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33379" w14:textId="3E117C7C" w:rsidR="00676719" w:rsidRPr="00057060" w:rsidRDefault="0029032B" w:rsidP="00BA086A">
      <w:pPr>
        <w:spacing w:line="240" w:lineRule="auto"/>
        <w:jc w:val="center"/>
        <w:rPr>
          <w:rFonts w:ascii="Arial" w:hAnsi="Arial" w:cs="Arial"/>
          <w:b/>
          <w:bCs/>
          <w:lang w:val="en-US"/>
        </w:rPr>
      </w:pPr>
      <w:bookmarkStart w:id="0" w:name="_Hlk167547040"/>
      <w:r w:rsidRPr="00057060">
        <w:rPr>
          <w:rFonts w:ascii="Arial" w:hAnsi="Arial" w:cs="Arial"/>
          <w:b/>
          <w:bCs/>
          <w:lang w:val="en-US"/>
        </w:rPr>
        <w:t xml:space="preserve">Assessing </w:t>
      </w:r>
      <w:bookmarkStart w:id="1" w:name="_Hlk170217708"/>
      <w:r w:rsidRPr="00057060">
        <w:rPr>
          <w:rFonts w:ascii="Arial" w:hAnsi="Arial" w:cs="Arial"/>
          <w:b/>
          <w:bCs/>
          <w:lang w:val="en-US"/>
        </w:rPr>
        <w:t xml:space="preserve">the </w:t>
      </w:r>
      <w:r w:rsidR="000B3851" w:rsidRPr="00057060">
        <w:rPr>
          <w:rFonts w:ascii="Arial" w:hAnsi="Arial" w:cs="Arial"/>
          <w:b/>
          <w:bCs/>
          <w:lang w:val="en-US"/>
        </w:rPr>
        <w:t xml:space="preserve">Sustainability of </w:t>
      </w:r>
      <w:proofErr w:type="spellStart"/>
      <w:r w:rsidR="000B3851" w:rsidRPr="00057060">
        <w:rPr>
          <w:rFonts w:ascii="Arial" w:hAnsi="Arial" w:cs="Arial"/>
          <w:b/>
          <w:bCs/>
          <w:lang w:val="en-US"/>
        </w:rPr>
        <w:t>Kilongo</w:t>
      </w:r>
      <w:proofErr w:type="spellEnd"/>
      <w:r w:rsidR="000B3851" w:rsidRPr="00057060">
        <w:rPr>
          <w:rFonts w:ascii="Arial" w:hAnsi="Arial" w:cs="Arial"/>
          <w:b/>
          <w:bCs/>
          <w:lang w:val="en-US"/>
        </w:rPr>
        <w:t xml:space="preserve"> Forest Reserve under</w:t>
      </w:r>
      <w:r w:rsidR="000453E1" w:rsidRPr="00057060">
        <w:rPr>
          <w:rFonts w:ascii="Arial" w:hAnsi="Arial" w:cs="Arial"/>
          <w:b/>
          <w:bCs/>
          <w:lang w:val="en-US"/>
        </w:rPr>
        <w:t xml:space="preserve"> Community-Based Forest Management </w:t>
      </w:r>
      <w:bookmarkStart w:id="2" w:name="_Hlk167390297"/>
      <w:r w:rsidR="000453E1" w:rsidRPr="00057060">
        <w:rPr>
          <w:rFonts w:ascii="Arial" w:hAnsi="Arial" w:cs="Arial"/>
          <w:b/>
          <w:bCs/>
          <w:lang w:val="en-US"/>
        </w:rPr>
        <w:t xml:space="preserve">in </w:t>
      </w:r>
      <w:proofErr w:type="spellStart"/>
      <w:r w:rsidR="000453E1" w:rsidRPr="00057060">
        <w:rPr>
          <w:rFonts w:ascii="Arial" w:hAnsi="Arial" w:cs="Arial"/>
          <w:b/>
          <w:bCs/>
          <w:lang w:val="en-US"/>
        </w:rPr>
        <w:t>Wangingómbe</w:t>
      </w:r>
      <w:proofErr w:type="spellEnd"/>
      <w:r w:rsidR="000453E1" w:rsidRPr="00057060">
        <w:rPr>
          <w:rFonts w:ascii="Arial" w:hAnsi="Arial" w:cs="Arial"/>
          <w:b/>
          <w:bCs/>
          <w:lang w:val="en-US"/>
        </w:rPr>
        <w:t xml:space="preserve"> District, </w:t>
      </w:r>
      <w:proofErr w:type="spellStart"/>
      <w:r w:rsidR="000453E1" w:rsidRPr="00057060">
        <w:rPr>
          <w:rFonts w:ascii="Arial" w:hAnsi="Arial" w:cs="Arial"/>
          <w:b/>
          <w:bCs/>
          <w:lang w:val="en-US"/>
        </w:rPr>
        <w:t>Njombe</w:t>
      </w:r>
      <w:proofErr w:type="spellEnd"/>
      <w:r w:rsidR="000453E1" w:rsidRPr="00057060">
        <w:rPr>
          <w:rFonts w:ascii="Arial" w:hAnsi="Arial" w:cs="Arial"/>
          <w:b/>
          <w:bCs/>
          <w:lang w:val="en-US"/>
        </w:rPr>
        <w:t xml:space="preserve"> Region, Tanzania</w:t>
      </w:r>
      <w:bookmarkEnd w:id="1"/>
      <w:bookmarkEnd w:id="2"/>
    </w:p>
    <w:p w14:paraId="39072BFF" w14:textId="77777777" w:rsidR="009F4297" w:rsidRDefault="009F4297" w:rsidP="00BA086A">
      <w:pPr>
        <w:spacing w:line="240" w:lineRule="auto"/>
        <w:jc w:val="center"/>
        <w:rPr>
          <w:rFonts w:ascii="Arial" w:hAnsi="Arial" w:cs="Arial"/>
          <w:sz w:val="20"/>
          <w:szCs w:val="20"/>
          <w:lang w:val="en-US"/>
        </w:rPr>
      </w:pPr>
    </w:p>
    <w:p w14:paraId="12AAE01B" w14:textId="77777777" w:rsidR="00630398" w:rsidRPr="002D4502" w:rsidRDefault="00630398" w:rsidP="00BA086A">
      <w:pPr>
        <w:spacing w:line="240" w:lineRule="auto"/>
        <w:jc w:val="center"/>
        <w:rPr>
          <w:rFonts w:ascii="Arial" w:hAnsi="Arial" w:cs="Arial"/>
          <w:sz w:val="20"/>
          <w:szCs w:val="20"/>
          <w:lang w:val="en-US"/>
        </w:rPr>
      </w:pPr>
    </w:p>
    <w:bookmarkEnd w:id="0"/>
    <w:p w14:paraId="1C1A14D2" w14:textId="65D1F930" w:rsidR="00676719" w:rsidRPr="005819DC" w:rsidRDefault="00455EAE" w:rsidP="00BA086A">
      <w:pPr>
        <w:spacing w:line="240" w:lineRule="auto"/>
        <w:jc w:val="both"/>
        <w:rPr>
          <w:rFonts w:ascii="Arial" w:hAnsi="Arial" w:cs="Arial"/>
          <w:b/>
          <w:bCs/>
          <w:lang w:val="en-US"/>
        </w:rPr>
      </w:pPr>
      <w:r w:rsidRPr="005819DC">
        <w:rPr>
          <w:rFonts w:ascii="Arial" w:hAnsi="Arial" w:cs="Arial"/>
          <w:b/>
          <w:bCs/>
          <w:lang w:val="en-US"/>
        </w:rPr>
        <w:t>ABSTRACT</w:t>
      </w:r>
    </w:p>
    <w:p w14:paraId="17C4AE7F" w14:textId="667845F8" w:rsidR="005D3A76" w:rsidRPr="002D4502" w:rsidRDefault="005D3A76" w:rsidP="00BA086A">
      <w:pPr>
        <w:spacing w:line="240" w:lineRule="auto"/>
        <w:jc w:val="both"/>
        <w:rPr>
          <w:rFonts w:ascii="Arial" w:hAnsi="Arial" w:cs="Arial"/>
          <w:sz w:val="20"/>
          <w:szCs w:val="20"/>
        </w:rPr>
      </w:pPr>
      <w:r w:rsidRPr="002D4502">
        <w:rPr>
          <w:rFonts w:ascii="Arial" w:hAnsi="Arial" w:cs="Arial"/>
          <w:sz w:val="20"/>
          <w:szCs w:val="20"/>
        </w:rPr>
        <w:t xml:space="preserve">Over the past three decades, community forest management regimes, which involve collaborative decision-making for forest resource management, have been the dominant form of forest management in the global south. Among other things, this management regime has been associated with improving both forest conditions and community livelihoods. Recent studies, however, indicate that forests under community-based forest management (CBFM) are decreasing, subjecting them to degradation and complete land use change. This study, therefore, assesses the sustainability of </w:t>
      </w:r>
      <w:proofErr w:type="spellStart"/>
      <w:r w:rsidRPr="002D4502">
        <w:rPr>
          <w:rFonts w:ascii="Arial" w:hAnsi="Arial" w:cs="Arial"/>
          <w:sz w:val="20"/>
          <w:szCs w:val="20"/>
        </w:rPr>
        <w:t>Kilongo</w:t>
      </w:r>
      <w:proofErr w:type="spellEnd"/>
      <w:r w:rsidRPr="002D4502">
        <w:rPr>
          <w:rFonts w:ascii="Arial" w:hAnsi="Arial" w:cs="Arial"/>
          <w:sz w:val="20"/>
          <w:szCs w:val="20"/>
        </w:rPr>
        <w:t xml:space="preserve"> Forest Reserve under CBFM in </w:t>
      </w:r>
      <w:proofErr w:type="spellStart"/>
      <w:r w:rsidRPr="002D4502">
        <w:rPr>
          <w:rFonts w:ascii="Arial" w:hAnsi="Arial" w:cs="Arial"/>
          <w:sz w:val="20"/>
          <w:szCs w:val="20"/>
        </w:rPr>
        <w:t>Wangingómbe</w:t>
      </w:r>
      <w:proofErr w:type="spellEnd"/>
      <w:r w:rsidRPr="002D4502">
        <w:rPr>
          <w:rFonts w:ascii="Arial" w:hAnsi="Arial" w:cs="Arial"/>
          <w:sz w:val="20"/>
          <w:szCs w:val="20"/>
        </w:rPr>
        <w:t xml:space="preserve"> District, </w:t>
      </w:r>
      <w:proofErr w:type="spellStart"/>
      <w:r w:rsidRPr="002D4502">
        <w:rPr>
          <w:rFonts w:ascii="Arial" w:hAnsi="Arial" w:cs="Arial"/>
          <w:sz w:val="20"/>
          <w:szCs w:val="20"/>
        </w:rPr>
        <w:t>Njombe</w:t>
      </w:r>
      <w:proofErr w:type="spellEnd"/>
      <w:r w:rsidRPr="002D4502">
        <w:rPr>
          <w:rFonts w:ascii="Arial" w:hAnsi="Arial" w:cs="Arial"/>
          <w:sz w:val="20"/>
          <w:szCs w:val="20"/>
        </w:rPr>
        <w:t xml:space="preserve"> Region, Tanzania. Data was gathered from 90 heads of </w:t>
      </w:r>
      <w:proofErr w:type="spellStart"/>
      <w:r w:rsidRPr="002D4502">
        <w:rPr>
          <w:rFonts w:ascii="Arial" w:hAnsi="Arial" w:cs="Arial"/>
          <w:sz w:val="20"/>
          <w:szCs w:val="20"/>
        </w:rPr>
        <w:t>Kilongo</w:t>
      </w:r>
      <w:proofErr w:type="spellEnd"/>
      <w:r w:rsidRPr="002D4502">
        <w:rPr>
          <w:rFonts w:ascii="Arial" w:hAnsi="Arial" w:cs="Arial"/>
          <w:sz w:val="20"/>
          <w:szCs w:val="20"/>
        </w:rPr>
        <w:t xml:space="preserve"> Sub-Village households in the study village of </w:t>
      </w:r>
      <w:proofErr w:type="spellStart"/>
      <w:r w:rsidRPr="002D4502">
        <w:rPr>
          <w:rFonts w:ascii="Arial" w:hAnsi="Arial" w:cs="Arial"/>
          <w:sz w:val="20"/>
          <w:szCs w:val="20"/>
        </w:rPr>
        <w:t>Masaulwa</w:t>
      </w:r>
      <w:proofErr w:type="spellEnd"/>
      <w:r w:rsidRPr="002D4502">
        <w:rPr>
          <w:rFonts w:ascii="Arial" w:hAnsi="Arial" w:cs="Arial"/>
          <w:sz w:val="20"/>
          <w:szCs w:val="20"/>
        </w:rPr>
        <w:t xml:space="preserve"> using both probability and non-probability techniques. Data was collected through structured interviews, in-depth interviews, and documentary reviews. </w:t>
      </w:r>
      <w:bookmarkStart w:id="3" w:name="_Hlk170656118"/>
      <w:r w:rsidR="007079C9">
        <w:rPr>
          <w:rFonts w:ascii="Arial" w:hAnsi="Arial" w:cs="Arial"/>
          <w:sz w:val="20"/>
          <w:szCs w:val="20"/>
        </w:rPr>
        <w:t>T</w:t>
      </w:r>
      <w:r w:rsidR="007079C9" w:rsidRPr="007079C9">
        <w:rPr>
          <w:rFonts w:ascii="Arial" w:hAnsi="Arial" w:cs="Arial"/>
          <w:sz w:val="20"/>
          <w:szCs w:val="20"/>
        </w:rPr>
        <w:t xml:space="preserve">he results showed that the conditions of </w:t>
      </w:r>
      <w:proofErr w:type="spellStart"/>
      <w:r w:rsidR="007079C9" w:rsidRPr="007079C9">
        <w:rPr>
          <w:rFonts w:ascii="Arial" w:hAnsi="Arial" w:cs="Arial"/>
          <w:sz w:val="20"/>
          <w:szCs w:val="20"/>
        </w:rPr>
        <w:t>Kilongo</w:t>
      </w:r>
      <w:proofErr w:type="spellEnd"/>
      <w:r w:rsidR="007079C9" w:rsidRPr="007079C9">
        <w:rPr>
          <w:rFonts w:ascii="Arial" w:hAnsi="Arial" w:cs="Arial"/>
          <w:sz w:val="20"/>
          <w:szCs w:val="20"/>
        </w:rPr>
        <w:t xml:space="preserve"> Forest Reserve improved noticeably under CBFM over the period of 20 years, among other things, due to the existence of rules and regulations and the involvement of villagers in managing the forest. However, with the exception of the increased harvests of honey, the results demonstrate that the improved forest conditions did not significantly improve the livelihoods of the villagers. On the other hand, the forest reserve faced the challenge of animals passing through or grazing within the forest, as well as illegal harvesting of forest resources. Generally, the management of the </w:t>
      </w:r>
      <w:proofErr w:type="spellStart"/>
      <w:r w:rsidR="007079C9" w:rsidRPr="007079C9">
        <w:rPr>
          <w:rFonts w:ascii="Arial" w:hAnsi="Arial" w:cs="Arial"/>
          <w:sz w:val="20"/>
          <w:szCs w:val="20"/>
        </w:rPr>
        <w:t>Kilongo</w:t>
      </w:r>
      <w:proofErr w:type="spellEnd"/>
      <w:r w:rsidR="007079C9" w:rsidRPr="007079C9">
        <w:rPr>
          <w:rFonts w:ascii="Arial" w:hAnsi="Arial" w:cs="Arial"/>
          <w:sz w:val="20"/>
          <w:szCs w:val="20"/>
        </w:rPr>
        <w:t xml:space="preserve"> Forest Reserve under CBFM was </w:t>
      </w:r>
      <w:r w:rsidR="00F06558">
        <w:rPr>
          <w:rFonts w:ascii="Arial" w:hAnsi="Arial" w:cs="Arial"/>
          <w:sz w:val="20"/>
          <w:szCs w:val="20"/>
        </w:rPr>
        <w:t xml:space="preserve">somehow </w:t>
      </w:r>
      <w:r w:rsidR="007079C9" w:rsidRPr="007079C9">
        <w:rPr>
          <w:rFonts w:ascii="Arial" w:hAnsi="Arial" w:cs="Arial"/>
          <w:sz w:val="20"/>
          <w:szCs w:val="20"/>
        </w:rPr>
        <w:t>effective but not sustainable. This was because there were many actors, multiple power centres, and a village environmental management committee (VEMC) that was neither accountable to the villagers nor under their control. Additionally, the forest management efforts were demotivated, especially among VEMC members, due to the uneven distribution of benefits.</w:t>
      </w:r>
      <w:r w:rsidR="00F06558" w:rsidRPr="00F06558">
        <w:t xml:space="preserve"> </w:t>
      </w:r>
      <w:r w:rsidR="00F06558" w:rsidRPr="00F06558">
        <w:rPr>
          <w:rFonts w:ascii="Arial" w:hAnsi="Arial" w:cs="Arial"/>
          <w:sz w:val="20"/>
          <w:szCs w:val="20"/>
        </w:rPr>
        <w:t xml:space="preserve">This study concludes that the management of </w:t>
      </w:r>
      <w:proofErr w:type="spellStart"/>
      <w:r w:rsidR="00F06558" w:rsidRPr="00F06558">
        <w:rPr>
          <w:rFonts w:ascii="Arial" w:hAnsi="Arial" w:cs="Arial"/>
          <w:sz w:val="20"/>
          <w:szCs w:val="20"/>
        </w:rPr>
        <w:t>Kilongo</w:t>
      </w:r>
      <w:proofErr w:type="spellEnd"/>
      <w:r w:rsidR="00F06558" w:rsidRPr="00F06558">
        <w:rPr>
          <w:rFonts w:ascii="Arial" w:hAnsi="Arial" w:cs="Arial"/>
          <w:sz w:val="20"/>
          <w:szCs w:val="20"/>
        </w:rPr>
        <w:t xml:space="preserve"> Forest Reserve under CBFM</w:t>
      </w:r>
      <w:r w:rsidR="005819DC">
        <w:rPr>
          <w:rFonts w:ascii="Arial" w:hAnsi="Arial" w:cs="Arial"/>
          <w:sz w:val="20"/>
          <w:szCs w:val="20"/>
        </w:rPr>
        <w:t xml:space="preserve"> is un</w:t>
      </w:r>
      <w:r w:rsidR="00F06558" w:rsidRPr="00F06558">
        <w:rPr>
          <w:rFonts w:ascii="Arial" w:hAnsi="Arial" w:cs="Arial"/>
          <w:sz w:val="20"/>
          <w:szCs w:val="20"/>
        </w:rPr>
        <w:t>sustainab</w:t>
      </w:r>
      <w:r w:rsidR="005819DC">
        <w:rPr>
          <w:rFonts w:ascii="Arial" w:hAnsi="Arial" w:cs="Arial"/>
          <w:sz w:val="20"/>
          <w:szCs w:val="20"/>
        </w:rPr>
        <w:t>le</w:t>
      </w:r>
      <w:r w:rsidR="00F06558" w:rsidRPr="00F06558">
        <w:rPr>
          <w:rFonts w:ascii="Arial" w:hAnsi="Arial" w:cs="Arial"/>
          <w:sz w:val="20"/>
          <w:szCs w:val="20"/>
        </w:rPr>
        <w:t>.</w:t>
      </w:r>
      <w:r w:rsidR="00F06558">
        <w:rPr>
          <w:rFonts w:ascii="Arial" w:hAnsi="Arial" w:cs="Arial"/>
          <w:sz w:val="20"/>
          <w:szCs w:val="20"/>
        </w:rPr>
        <w:t xml:space="preserve"> </w:t>
      </w:r>
      <w:r w:rsidR="007079C9" w:rsidRPr="007079C9">
        <w:rPr>
          <w:rFonts w:ascii="Arial" w:hAnsi="Arial" w:cs="Arial"/>
          <w:sz w:val="20"/>
          <w:szCs w:val="20"/>
        </w:rPr>
        <w:t xml:space="preserve">Thus, to ensure the sustainability of </w:t>
      </w:r>
      <w:proofErr w:type="spellStart"/>
      <w:r w:rsidR="007079C9" w:rsidRPr="007079C9">
        <w:rPr>
          <w:rFonts w:ascii="Arial" w:hAnsi="Arial" w:cs="Arial"/>
          <w:sz w:val="20"/>
          <w:szCs w:val="20"/>
        </w:rPr>
        <w:t>Kilongo</w:t>
      </w:r>
      <w:proofErr w:type="spellEnd"/>
      <w:r w:rsidR="007079C9" w:rsidRPr="007079C9">
        <w:rPr>
          <w:rFonts w:ascii="Arial" w:hAnsi="Arial" w:cs="Arial"/>
          <w:sz w:val="20"/>
          <w:szCs w:val="20"/>
        </w:rPr>
        <w:t xml:space="preserve"> Forest Reserve under CBFM, first, the village assembly, through the VEMC, should have full power to control the forest reserve, and second, the government must explore alternative energy sources for the rural population, who rely heavily on wood.</w:t>
      </w:r>
    </w:p>
    <w:bookmarkEnd w:id="3"/>
    <w:p w14:paraId="3DC3E694" w14:textId="0D467474" w:rsidR="005911D7" w:rsidRPr="002D4502" w:rsidRDefault="005911D7" w:rsidP="00BA086A">
      <w:pPr>
        <w:spacing w:line="240" w:lineRule="auto"/>
        <w:jc w:val="both"/>
        <w:rPr>
          <w:rFonts w:ascii="Arial" w:hAnsi="Arial" w:cs="Arial"/>
          <w:i/>
          <w:iCs/>
          <w:sz w:val="20"/>
          <w:szCs w:val="20"/>
          <w:lang w:val="en-US"/>
        </w:rPr>
      </w:pPr>
      <w:r w:rsidRPr="002D4502">
        <w:rPr>
          <w:rFonts w:ascii="Arial" w:hAnsi="Arial" w:cs="Arial"/>
          <w:i/>
          <w:iCs/>
          <w:sz w:val="20"/>
          <w:szCs w:val="20"/>
          <w:lang w:val="en-US"/>
        </w:rPr>
        <w:t>Keywords:</w:t>
      </w:r>
      <w:r w:rsidR="009A2459" w:rsidRPr="002D4502">
        <w:rPr>
          <w:rFonts w:ascii="Arial" w:hAnsi="Arial" w:cs="Arial"/>
          <w:i/>
          <w:iCs/>
          <w:sz w:val="20"/>
          <w:szCs w:val="20"/>
          <w:lang w:val="en-US"/>
        </w:rPr>
        <w:t xml:space="preserve"> </w:t>
      </w:r>
      <w:proofErr w:type="gramStart"/>
      <w:r w:rsidR="005B1970" w:rsidRPr="002D4502">
        <w:rPr>
          <w:rFonts w:ascii="Arial" w:hAnsi="Arial" w:cs="Arial"/>
          <w:i/>
          <w:iCs/>
          <w:sz w:val="20"/>
          <w:szCs w:val="20"/>
          <w:lang w:val="en-US"/>
        </w:rPr>
        <w:t>Community-based forest</w:t>
      </w:r>
      <w:proofErr w:type="gramEnd"/>
      <w:r w:rsidR="009A2459" w:rsidRPr="002D4502">
        <w:rPr>
          <w:rFonts w:ascii="Arial" w:hAnsi="Arial" w:cs="Arial"/>
          <w:i/>
          <w:iCs/>
          <w:sz w:val="20"/>
          <w:szCs w:val="20"/>
          <w:lang w:val="en-US"/>
        </w:rPr>
        <w:t xml:space="preserve"> </w:t>
      </w:r>
      <w:r w:rsidR="00AE4E3D" w:rsidRPr="002D4502">
        <w:rPr>
          <w:rFonts w:ascii="Arial" w:hAnsi="Arial" w:cs="Arial"/>
          <w:i/>
          <w:iCs/>
          <w:sz w:val="20"/>
          <w:szCs w:val="20"/>
          <w:lang w:val="en-US"/>
        </w:rPr>
        <w:t>management;</w:t>
      </w:r>
      <w:r w:rsidR="00DA20B6" w:rsidRPr="002D4502">
        <w:rPr>
          <w:rFonts w:ascii="Arial" w:hAnsi="Arial" w:cs="Arial"/>
          <w:i/>
          <w:iCs/>
          <w:sz w:val="20"/>
          <w:szCs w:val="20"/>
          <w:lang w:val="en-US"/>
        </w:rPr>
        <w:t xml:space="preserve"> </w:t>
      </w:r>
      <w:r w:rsidR="007C0517" w:rsidRPr="002D4502">
        <w:rPr>
          <w:rFonts w:ascii="Arial" w:hAnsi="Arial" w:cs="Arial"/>
          <w:i/>
          <w:iCs/>
          <w:sz w:val="20"/>
          <w:szCs w:val="20"/>
          <w:lang w:val="en-US"/>
        </w:rPr>
        <w:t xml:space="preserve">forest conditions; forest reserve; livelihoods; </w:t>
      </w:r>
      <w:r w:rsidR="005D3A76" w:rsidRPr="002D4502">
        <w:rPr>
          <w:rFonts w:ascii="Arial" w:hAnsi="Arial" w:cs="Arial"/>
          <w:i/>
          <w:iCs/>
          <w:sz w:val="20"/>
          <w:szCs w:val="20"/>
          <w:lang w:val="en-US"/>
        </w:rPr>
        <w:t>Tanzania</w:t>
      </w:r>
      <w:r w:rsidR="007B1AEA" w:rsidRPr="002D4502">
        <w:rPr>
          <w:rFonts w:ascii="Arial" w:hAnsi="Arial" w:cs="Arial"/>
          <w:i/>
          <w:iCs/>
          <w:sz w:val="20"/>
          <w:szCs w:val="20"/>
          <w:lang w:val="en-US"/>
        </w:rPr>
        <w:t>.</w:t>
      </w:r>
    </w:p>
    <w:p w14:paraId="6ADD3051" w14:textId="293FCF21" w:rsidR="00A87064" w:rsidRPr="002D4502" w:rsidRDefault="00455EAE" w:rsidP="00BA086A">
      <w:pPr>
        <w:pStyle w:val="ListParagraph"/>
        <w:numPr>
          <w:ilvl w:val="0"/>
          <w:numId w:val="1"/>
        </w:numPr>
        <w:spacing w:line="240" w:lineRule="auto"/>
        <w:jc w:val="both"/>
        <w:rPr>
          <w:rFonts w:ascii="Arial" w:hAnsi="Arial" w:cs="Arial"/>
          <w:b/>
          <w:bCs/>
          <w:lang w:val="en-US"/>
        </w:rPr>
      </w:pPr>
      <w:r w:rsidRPr="002D4502">
        <w:rPr>
          <w:rFonts w:ascii="Arial" w:hAnsi="Arial" w:cs="Arial"/>
          <w:b/>
          <w:bCs/>
          <w:lang w:val="en-US"/>
        </w:rPr>
        <w:t>INTRODUCTION</w:t>
      </w:r>
    </w:p>
    <w:p w14:paraId="57FBE977" w14:textId="6481FB17" w:rsidR="00E834BD" w:rsidRPr="002D4502" w:rsidRDefault="00E834BD" w:rsidP="00BA086A">
      <w:pPr>
        <w:spacing w:line="240" w:lineRule="auto"/>
        <w:jc w:val="both"/>
        <w:rPr>
          <w:rFonts w:ascii="Arial" w:hAnsi="Arial" w:cs="Arial"/>
          <w:sz w:val="20"/>
          <w:szCs w:val="20"/>
        </w:rPr>
      </w:pPr>
      <w:r w:rsidRPr="002D4502">
        <w:rPr>
          <w:rFonts w:ascii="Arial" w:hAnsi="Arial" w:cs="Arial"/>
          <w:sz w:val="20"/>
          <w:szCs w:val="20"/>
        </w:rPr>
        <w:t xml:space="preserve">Forests are crucial in providing a </w:t>
      </w:r>
      <w:r w:rsidR="003D0647" w:rsidRPr="002D4502">
        <w:rPr>
          <w:rFonts w:ascii="Arial" w:hAnsi="Arial" w:cs="Arial"/>
          <w:sz w:val="20"/>
          <w:szCs w:val="20"/>
        </w:rPr>
        <w:t xml:space="preserve">wide range of </w:t>
      </w:r>
      <w:r w:rsidRPr="002D4502">
        <w:rPr>
          <w:rFonts w:ascii="Arial" w:hAnsi="Arial" w:cs="Arial"/>
          <w:sz w:val="20"/>
          <w:szCs w:val="20"/>
        </w:rPr>
        <w:t xml:space="preserve">environmental services, including watershed protection, </w:t>
      </w:r>
      <w:r w:rsidR="003D0647" w:rsidRPr="002D4502">
        <w:rPr>
          <w:rFonts w:ascii="Arial" w:hAnsi="Arial" w:cs="Arial"/>
          <w:sz w:val="20"/>
          <w:szCs w:val="20"/>
        </w:rPr>
        <w:t>biodiversity conservation, improving soil quality, and regulating the climate</w:t>
      </w:r>
      <w:r w:rsidRPr="002D4502">
        <w:rPr>
          <w:rFonts w:ascii="Arial" w:hAnsi="Arial" w:cs="Arial"/>
          <w:sz w:val="20"/>
          <w:szCs w:val="20"/>
        </w:rPr>
        <w:t xml:space="preserve"> </w:t>
      </w:r>
      <w:r w:rsidR="007E3948" w:rsidRPr="002D4502">
        <w:rPr>
          <w:rFonts w:ascii="Arial" w:hAnsi="Arial" w:cs="Arial"/>
          <w:sz w:val="20"/>
          <w:szCs w:val="20"/>
        </w:rPr>
        <w:t>[</w:t>
      </w:r>
      <w:bookmarkStart w:id="4" w:name="_Hlk170841337"/>
      <w:r w:rsidR="00057060">
        <w:rPr>
          <w:rFonts w:ascii="Arial" w:hAnsi="Arial" w:cs="Arial"/>
          <w:sz w:val="20"/>
          <w:szCs w:val="20"/>
        </w:rPr>
        <w:t>1,</w:t>
      </w:r>
      <w:r w:rsidRPr="002D4502">
        <w:rPr>
          <w:rFonts w:ascii="Arial" w:hAnsi="Arial" w:cs="Arial"/>
          <w:sz w:val="20"/>
          <w:szCs w:val="20"/>
        </w:rPr>
        <w:t xml:space="preserve"> </w:t>
      </w:r>
      <w:bookmarkStart w:id="5" w:name="_Hlk170840104"/>
      <w:r w:rsidR="00AA00B7" w:rsidRPr="002D4502">
        <w:rPr>
          <w:rFonts w:ascii="Arial" w:hAnsi="Arial" w:cs="Arial"/>
          <w:sz w:val="20"/>
          <w:szCs w:val="20"/>
        </w:rPr>
        <w:t>2</w:t>
      </w:r>
      <w:r w:rsidR="00057060">
        <w:rPr>
          <w:rFonts w:ascii="Arial" w:hAnsi="Arial" w:cs="Arial"/>
          <w:sz w:val="20"/>
          <w:szCs w:val="20"/>
        </w:rPr>
        <w:t xml:space="preserve">, </w:t>
      </w:r>
      <w:r w:rsidR="00824882" w:rsidRPr="002D4502">
        <w:rPr>
          <w:rFonts w:ascii="Arial" w:hAnsi="Arial" w:cs="Arial"/>
          <w:sz w:val="20"/>
          <w:szCs w:val="20"/>
        </w:rPr>
        <w:t>3</w:t>
      </w:r>
      <w:r w:rsidR="00057060">
        <w:rPr>
          <w:rFonts w:ascii="Arial" w:hAnsi="Arial" w:cs="Arial"/>
          <w:sz w:val="20"/>
          <w:szCs w:val="20"/>
        </w:rPr>
        <w:t xml:space="preserve">, </w:t>
      </w:r>
      <w:r w:rsidR="00824882" w:rsidRPr="002D4502">
        <w:rPr>
          <w:rFonts w:ascii="Arial" w:hAnsi="Arial" w:cs="Arial"/>
          <w:sz w:val="20"/>
          <w:szCs w:val="20"/>
        </w:rPr>
        <w:t>4</w:t>
      </w:r>
      <w:bookmarkEnd w:id="4"/>
      <w:bookmarkEnd w:id="5"/>
      <w:r w:rsidR="007E3948" w:rsidRPr="002D4502">
        <w:rPr>
          <w:rFonts w:ascii="Arial" w:hAnsi="Arial" w:cs="Arial"/>
          <w:sz w:val="20"/>
          <w:szCs w:val="20"/>
        </w:rPr>
        <w:t>]</w:t>
      </w:r>
      <w:r w:rsidRPr="002D4502">
        <w:rPr>
          <w:rFonts w:ascii="Arial" w:hAnsi="Arial" w:cs="Arial"/>
          <w:sz w:val="20"/>
          <w:szCs w:val="20"/>
        </w:rPr>
        <w:t xml:space="preserve">. Also, more than 1.6 billion people globally rely on forests for food, energy, shelter, medicines, and income, and approximately 70 million people live in forests as their homes </w:t>
      </w:r>
      <w:bookmarkStart w:id="6" w:name="_Hlk170841398"/>
      <w:r w:rsidR="007E3948" w:rsidRPr="002D4502">
        <w:rPr>
          <w:rFonts w:ascii="Arial" w:hAnsi="Arial" w:cs="Arial"/>
          <w:sz w:val="20"/>
          <w:szCs w:val="20"/>
        </w:rPr>
        <w:t>[</w:t>
      </w:r>
      <w:r w:rsidR="00824882" w:rsidRPr="002D4502">
        <w:rPr>
          <w:rFonts w:ascii="Arial" w:hAnsi="Arial" w:cs="Arial"/>
          <w:sz w:val="20"/>
          <w:szCs w:val="20"/>
        </w:rPr>
        <w:t>5</w:t>
      </w:r>
      <w:r w:rsidRPr="002D4502">
        <w:rPr>
          <w:rFonts w:ascii="Arial" w:hAnsi="Arial" w:cs="Arial"/>
          <w:sz w:val="20"/>
          <w:szCs w:val="20"/>
        </w:rPr>
        <w:t xml:space="preserve">, </w:t>
      </w:r>
      <w:r w:rsidR="00824882" w:rsidRPr="002D4502">
        <w:rPr>
          <w:rFonts w:ascii="Arial" w:hAnsi="Arial" w:cs="Arial"/>
          <w:sz w:val="20"/>
          <w:szCs w:val="20"/>
        </w:rPr>
        <w:t>6</w:t>
      </w:r>
      <w:r w:rsidR="00057060">
        <w:rPr>
          <w:rFonts w:ascii="Arial" w:hAnsi="Arial" w:cs="Arial"/>
          <w:sz w:val="20"/>
          <w:szCs w:val="20"/>
        </w:rPr>
        <w:t>,</w:t>
      </w:r>
      <w:r w:rsidRPr="002D4502">
        <w:rPr>
          <w:rFonts w:ascii="Arial" w:hAnsi="Arial" w:cs="Arial"/>
          <w:sz w:val="20"/>
          <w:szCs w:val="20"/>
        </w:rPr>
        <w:t xml:space="preserve"> </w:t>
      </w:r>
      <w:r w:rsidR="00824882" w:rsidRPr="002D4502">
        <w:rPr>
          <w:rFonts w:ascii="Arial" w:hAnsi="Arial" w:cs="Arial"/>
          <w:sz w:val="20"/>
          <w:szCs w:val="20"/>
        </w:rPr>
        <w:t>7</w:t>
      </w:r>
      <w:r w:rsidR="00057060">
        <w:rPr>
          <w:rFonts w:ascii="Arial" w:hAnsi="Arial" w:cs="Arial"/>
          <w:sz w:val="20"/>
          <w:szCs w:val="20"/>
        </w:rPr>
        <w:t>,</w:t>
      </w:r>
      <w:r w:rsidRPr="002D4502">
        <w:rPr>
          <w:rFonts w:ascii="Arial" w:hAnsi="Arial" w:cs="Arial"/>
          <w:sz w:val="20"/>
          <w:szCs w:val="20"/>
        </w:rPr>
        <w:t xml:space="preserve"> </w:t>
      </w:r>
      <w:r w:rsidR="00824882" w:rsidRPr="002D4502">
        <w:rPr>
          <w:rFonts w:ascii="Arial" w:hAnsi="Arial" w:cs="Arial"/>
          <w:sz w:val="20"/>
          <w:szCs w:val="20"/>
        </w:rPr>
        <w:t>8</w:t>
      </w:r>
      <w:r w:rsidR="007E3948" w:rsidRPr="002D4502">
        <w:rPr>
          <w:rFonts w:ascii="Arial" w:hAnsi="Arial" w:cs="Arial"/>
          <w:sz w:val="20"/>
          <w:szCs w:val="20"/>
        </w:rPr>
        <w:t>]</w:t>
      </w:r>
      <w:r w:rsidRPr="002D4502">
        <w:rPr>
          <w:rFonts w:ascii="Arial" w:hAnsi="Arial" w:cs="Arial"/>
          <w:sz w:val="20"/>
          <w:szCs w:val="20"/>
        </w:rPr>
        <w:t xml:space="preserve">. </w:t>
      </w:r>
      <w:bookmarkEnd w:id="6"/>
      <w:r w:rsidRPr="002D4502">
        <w:rPr>
          <w:rFonts w:ascii="Arial" w:hAnsi="Arial" w:cs="Arial"/>
          <w:sz w:val="20"/>
          <w:szCs w:val="20"/>
        </w:rPr>
        <w:t>As a result, the fate of our forests determines our own destiny.</w:t>
      </w:r>
    </w:p>
    <w:p w14:paraId="15B171D6" w14:textId="06A7B52F" w:rsidR="00E834BD" w:rsidRPr="002D4502" w:rsidRDefault="00E834BD" w:rsidP="00BA086A">
      <w:pPr>
        <w:spacing w:line="240" w:lineRule="auto"/>
        <w:jc w:val="both"/>
        <w:rPr>
          <w:rFonts w:ascii="Arial" w:hAnsi="Arial" w:cs="Arial"/>
          <w:sz w:val="20"/>
          <w:szCs w:val="20"/>
        </w:rPr>
      </w:pPr>
      <w:r w:rsidRPr="002D4502">
        <w:rPr>
          <w:rFonts w:ascii="Arial" w:hAnsi="Arial" w:cs="Arial"/>
          <w:sz w:val="20"/>
          <w:szCs w:val="20"/>
        </w:rPr>
        <w:t xml:space="preserve">However, for years, forest degradation, specifically deforestation, has been at stake, particularly in the global south </w:t>
      </w:r>
      <w:r w:rsidR="007E3948" w:rsidRPr="002D4502">
        <w:rPr>
          <w:rFonts w:ascii="Arial" w:hAnsi="Arial" w:cs="Arial"/>
          <w:sz w:val="20"/>
          <w:szCs w:val="20"/>
        </w:rPr>
        <w:t>[</w:t>
      </w:r>
      <w:bookmarkStart w:id="7" w:name="_Hlk170841460"/>
      <w:r w:rsidR="00824882" w:rsidRPr="002D4502">
        <w:rPr>
          <w:rFonts w:ascii="Arial" w:hAnsi="Arial" w:cs="Arial"/>
          <w:sz w:val="20"/>
          <w:szCs w:val="20"/>
        </w:rPr>
        <w:t>9</w:t>
      </w:r>
      <w:r w:rsidR="00057060">
        <w:rPr>
          <w:rFonts w:ascii="Arial" w:hAnsi="Arial" w:cs="Arial"/>
          <w:sz w:val="20"/>
          <w:szCs w:val="20"/>
        </w:rPr>
        <w:t xml:space="preserve">, </w:t>
      </w:r>
      <w:r w:rsidR="007E3948" w:rsidRPr="002D4502">
        <w:rPr>
          <w:rFonts w:ascii="Arial" w:hAnsi="Arial" w:cs="Arial"/>
          <w:sz w:val="20"/>
          <w:szCs w:val="20"/>
        </w:rPr>
        <w:t>1</w:t>
      </w:r>
      <w:r w:rsidR="00824882" w:rsidRPr="002D4502">
        <w:rPr>
          <w:rFonts w:ascii="Arial" w:hAnsi="Arial" w:cs="Arial"/>
          <w:sz w:val="20"/>
          <w:szCs w:val="20"/>
        </w:rPr>
        <w:t>0</w:t>
      </w:r>
      <w:r w:rsidR="00057060">
        <w:rPr>
          <w:rFonts w:ascii="Arial" w:hAnsi="Arial" w:cs="Arial"/>
          <w:sz w:val="20"/>
          <w:szCs w:val="20"/>
        </w:rPr>
        <w:t xml:space="preserve">, </w:t>
      </w:r>
      <w:r w:rsidR="007E3948" w:rsidRPr="002D4502">
        <w:rPr>
          <w:rFonts w:ascii="Arial" w:hAnsi="Arial" w:cs="Arial"/>
          <w:sz w:val="20"/>
          <w:szCs w:val="20"/>
        </w:rPr>
        <w:t>1</w:t>
      </w:r>
      <w:r w:rsidR="00824882" w:rsidRPr="002D4502">
        <w:rPr>
          <w:rFonts w:ascii="Arial" w:hAnsi="Arial" w:cs="Arial"/>
          <w:sz w:val="20"/>
          <w:szCs w:val="20"/>
        </w:rPr>
        <w:t>1</w:t>
      </w:r>
      <w:r w:rsidR="007E3948" w:rsidRPr="002D4502">
        <w:rPr>
          <w:rFonts w:ascii="Arial" w:hAnsi="Arial" w:cs="Arial"/>
          <w:sz w:val="20"/>
          <w:szCs w:val="20"/>
        </w:rPr>
        <w:t>]</w:t>
      </w:r>
      <w:r w:rsidRPr="002D4502">
        <w:rPr>
          <w:rFonts w:ascii="Arial" w:hAnsi="Arial" w:cs="Arial"/>
          <w:sz w:val="20"/>
          <w:szCs w:val="20"/>
        </w:rPr>
        <w:t xml:space="preserve">. </w:t>
      </w:r>
      <w:bookmarkEnd w:id="7"/>
      <w:r w:rsidRPr="002D4502">
        <w:rPr>
          <w:rFonts w:ascii="Arial" w:hAnsi="Arial" w:cs="Arial"/>
          <w:sz w:val="20"/>
          <w:szCs w:val="20"/>
        </w:rPr>
        <w:t xml:space="preserve">For instance, estimates from the early 1980s indicated that the clearing of forests in Africa was occurring 29 times faster than the planting of new ones </w:t>
      </w:r>
      <w:r w:rsidR="007E3948" w:rsidRPr="002D4502">
        <w:rPr>
          <w:rFonts w:ascii="Arial" w:hAnsi="Arial" w:cs="Arial"/>
          <w:sz w:val="20"/>
          <w:szCs w:val="20"/>
        </w:rPr>
        <w:t>[</w:t>
      </w:r>
      <w:bookmarkStart w:id="8" w:name="_Hlk170841517"/>
      <w:r w:rsidR="007E3948" w:rsidRPr="002D4502">
        <w:rPr>
          <w:rFonts w:ascii="Arial" w:hAnsi="Arial" w:cs="Arial"/>
          <w:sz w:val="20"/>
          <w:szCs w:val="20"/>
        </w:rPr>
        <w:t>1</w:t>
      </w:r>
      <w:r w:rsidR="00824882" w:rsidRPr="002D4502">
        <w:rPr>
          <w:rFonts w:ascii="Arial" w:hAnsi="Arial" w:cs="Arial"/>
          <w:sz w:val="20"/>
          <w:szCs w:val="20"/>
        </w:rPr>
        <w:t>2</w:t>
      </w:r>
      <w:r w:rsidR="007E3948" w:rsidRPr="002D4502">
        <w:rPr>
          <w:rFonts w:ascii="Arial" w:hAnsi="Arial" w:cs="Arial"/>
          <w:sz w:val="20"/>
          <w:szCs w:val="20"/>
        </w:rPr>
        <w:t>]</w:t>
      </w:r>
      <w:r w:rsidRPr="002D4502">
        <w:rPr>
          <w:rFonts w:ascii="Arial" w:hAnsi="Arial" w:cs="Arial"/>
          <w:sz w:val="20"/>
          <w:szCs w:val="20"/>
        </w:rPr>
        <w:t xml:space="preserve">. </w:t>
      </w:r>
      <w:bookmarkEnd w:id="8"/>
      <w:r w:rsidRPr="002D4502">
        <w:rPr>
          <w:rFonts w:ascii="Arial" w:hAnsi="Arial" w:cs="Arial"/>
          <w:sz w:val="20"/>
          <w:szCs w:val="20"/>
        </w:rPr>
        <w:t xml:space="preserve">Eventually, in the early 1990s, the world adopted a decentralised forest management system to reverse the situation, replacing the centralised system that seemed to have failed to secure proper management of forest resources </w:t>
      </w:r>
      <w:r w:rsidR="007E3948" w:rsidRPr="002D4502">
        <w:rPr>
          <w:rFonts w:ascii="Arial" w:hAnsi="Arial" w:cs="Arial"/>
          <w:sz w:val="20"/>
          <w:szCs w:val="20"/>
        </w:rPr>
        <w:t>[</w:t>
      </w:r>
      <w:bookmarkStart w:id="9" w:name="_Hlk170841597"/>
      <w:r w:rsidR="007E3948" w:rsidRPr="002D4502">
        <w:rPr>
          <w:rFonts w:ascii="Arial" w:hAnsi="Arial" w:cs="Arial"/>
          <w:sz w:val="20"/>
          <w:szCs w:val="20"/>
        </w:rPr>
        <w:t>1</w:t>
      </w:r>
      <w:r w:rsidR="00824882" w:rsidRPr="002D4502">
        <w:rPr>
          <w:rFonts w:ascii="Arial" w:hAnsi="Arial" w:cs="Arial"/>
          <w:sz w:val="20"/>
          <w:szCs w:val="20"/>
        </w:rPr>
        <w:t>3</w:t>
      </w:r>
      <w:r w:rsidR="00057060">
        <w:rPr>
          <w:rFonts w:ascii="Arial" w:hAnsi="Arial" w:cs="Arial"/>
          <w:sz w:val="20"/>
          <w:szCs w:val="20"/>
        </w:rPr>
        <w:t>,1</w:t>
      </w:r>
      <w:r w:rsidR="00824882" w:rsidRPr="002D4502">
        <w:rPr>
          <w:rFonts w:ascii="Arial" w:hAnsi="Arial" w:cs="Arial"/>
          <w:sz w:val="20"/>
          <w:szCs w:val="20"/>
        </w:rPr>
        <w:t>4</w:t>
      </w:r>
      <w:r w:rsidR="00057060">
        <w:rPr>
          <w:rFonts w:ascii="Arial" w:hAnsi="Arial" w:cs="Arial"/>
          <w:sz w:val="20"/>
          <w:szCs w:val="20"/>
        </w:rPr>
        <w:t>, 1</w:t>
      </w:r>
      <w:r w:rsidR="00824882" w:rsidRPr="002D4502">
        <w:rPr>
          <w:rFonts w:ascii="Arial" w:hAnsi="Arial" w:cs="Arial"/>
          <w:sz w:val="20"/>
          <w:szCs w:val="20"/>
        </w:rPr>
        <w:t>5</w:t>
      </w:r>
      <w:r w:rsidR="007E3948" w:rsidRPr="002D4502">
        <w:rPr>
          <w:rFonts w:ascii="Arial" w:hAnsi="Arial" w:cs="Arial"/>
          <w:sz w:val="20"/>
          <w:szCs w:val="20"/>
        </w:rPr>
        <w:t>]</w:t>
      </w:r>
      <w:r w:rsidRPr="002D4502">
        <w:rPr>
          <w:rFonts w:ascii="Arial" w:hAnsi="Arial" w:cs="Arial"/>
          <w:sz w:val="20"/>
          <w:szCs w:val="20"/>
        </w:rPr>
        <w:t>.</w:t>
      </w:r>
    </w:p>
    <w:bookmarkEnd w:id="9"/>
    <w:p w14:paraId="7B381344" w14:textId="3DD8B10D" w:rsidR="00E834BD" w:rsidRPr="002D4502" w:rsidRDefault="00E834BD" w:rsidP="00BA086A">
      <w:pPr>
        <w:spacing w:line="240" w:lineRule="auto"/>
        <w:jc w:val="both"/>
        <w:rPr>
          <w:rFonts w:ascii="Arial" w:hAnsi="Arial" w:cs="Arial"/>
          <w:sz w:val="20"/>
          <w:szCs w:val="20"/>
        </w:rPr>
      </w:pPr>
      <w:r w:rsidRPr="002D4502">
        <w:rPr>
          <w:rFonts w:ascii="Arial" w:hAnsi="Arial" w:cs="Arial"/>
          <w:sz w:val="20"/>
          <w:szCs w:val="20"/>
        </w:rPr>
        <w:t xml:space="preserve">In this regard, many government states introduced community-based forest management (CBFM) approaches that involved local communities in protecting and managing forests </w:t>
      </w:r>
      <w:r w:rsidR="00824882" w:rsidRPr="002D4502">
        <w:rPr>
          <w:rFonts w:ascii="Arial" w:hAnsi="Arial" w:cs="Arial"/>
          <w:sz w:val="20"/>
          <w:szCs w:val="20"/>
        </w:rPr>
        <w:t>[</w:t>
      </w:r>
      <w:bookmarkStart w:id="10" w:name="_Hlk170841647"/>
      <w:r w:rsidR="00824882" w:rsidRPr="002D4502">
        <w:rPr>
          <w:rFonts w:ascii="Arial" w:hAnsi="Arial" w:cs="Arial"/>
          <w:sz w:val="20"/>
          <w:szCs w:val="20"/>
        </w:rPr>
        <w:t>16</w:t>
      </w:r>
      <w:r w:rsidR="00057060">
        <w:rPr>
          <w:rFonts w:ascii="Arial" w:hAnsi="Arial" w:cs="Arial"/>
          <w:sz w:val="20"/>
          <w:szCs w:val="20"/>
        </w:rPr>
        <w:t>,</w:t>
      </w:r>
      <w:r w:rsidR="007E3948" w:rsidRPr="002D4502">
        <w:rPr>
          <w:rFonts w:ascii="Arial" w:hAnsi="Arial" w:cs="Arial"/>
          <w:sz w:val="20"/>
          <w:szCs w:val="20"/>
        </w:rPr>
        <w:t>1</w:t>
      </w:r>
      <w:r w:rsidR="00824882" w:rsidRPr="002D4502">
        <w:rPr>
          <w:rFonts w:ascii="Arial" w:hAnsi="Arial" w:cs="Arial"/>
          <w:sz w:val="20"/>
          <w:szCs w:val="20"/>
        </w:rPr>
        <w:t>7]</w:t>
      </w:r>
      <w:bookmarkEnd w:id="10"/>
      <w:r w:rsidRPr="002D4502">
        <w:rPr>
          <w:rFonts w:ascii="Arial" w:hAnsi="Arial" w:cs="Arial"/>
          <w:sz w:val="20"/>
          <w:szCs w:val="20"/>
        </w:rPr>
        <w:t xml:space="preserve">. The CBFM empowers the local communities adjacent to the forests to manage the resource </w:t>
      </w:r>
      <w:r w:rsidR="007E3948" w:rsidRPr="002D4502">
        <w:rPr>
          <w:rFonts w:ascii="Arial" w:hAnsi="Arial" w:cs="Arial"/>
          <w:sz w:val="20"/>
          <w:szCs w:val="20"/>
        </w:rPr>
        <w:t>[</w:t>
      </w:r>
      <w:bookmarkStart w:id="11" w:name="_Hlk170841705"/>
      <w:r w:rsidR="007E3948" w:rsidRPr="002D4502">
        <w:rPr>
          <w:rFonts w:ascii="Arial" w:hAnsi="Arial" w:cs="Arial"/>
          <w:sz w:val="20"/>
          <w:szCs w:val="20"/>
        </w:rPr>
        <w:t>1</w:t>
      </w:r>
      <w:r w:rsidR="00824882" w:rsidRPr="002D4502">
        <w:rPr>
          <w:rFonts w:ascii="Arial" w:hAnsi="Arial" w:cs="Arial"/>
          <w:sz w:val="20"/>
          <w:szCs w:val="20"/>
        </w:rPr>
        <w:t>8</w:t>
      </w:r>
      <w:bookmarkStart w:id="12" w:name="_Hlk170746089"/>
      <w:r w:rsidR="00057060">
        <w:rPr>
          <w:rFonts w:ascii="Arial" w:hAnsi="Arial" w:cs="Arial"/>
          <w:sz w:val="20"/>
          <w:szCs w:val="20"/>
        </w:rPr>
        <w:t>,1</w:t>
      </w:r>
      <w:r w:rsidR="00824882" w:rsidRPr="002D4502">
        <w:rPr>
          <w:rFonts w:ascii="Arial" w:hAnsi="Arial" w:cs="Arial"/>
          <w:sz w:val="20"/>
          <w:szCs w:val="20"/>
        </w:rPr>
        <w:t>9</w:t>
      </w:r>
      <w:bookmarkEnd w:id="12"/>
      <w:r w:rsidR="00057060">
        <w:rPr>
          <w:rFonts w:ascii="Arial" w:hAnsi="Arial" w:cs="Arial"/>
          <w:sz w:val="20"/>
          <w:szCs w:val="20"/>
        </w:rPr>
        <w:t>,</w:t>
      </w:r>
      <w:r w:rsidR="00824882" w:rsidRPr="002D4502">
        <w:rPr>
          <w:rFonts w:ascii="Arial" w:hAnsi="Arial" w:cs="Arial"/>
          <w:sz w:val="20"/>
          <w:szCs w:val="20"/>
        </w:rPr>
        <w:t xml:space="preserve"> 20</w:t>
      </w:r>
      <w:r w:rsidR="007E3948" w:rsidRPr="002D4502">
        <w:rPr>
          <w:rFonts w:ascii="Arial" w:hAnsi="Arial" w:cs="Arial"/>
          <w:sz w:val="20"/>
          <w:szCs w:val="20"/>
        </w:rPr>
        <w:t>]</w:t>
      </w:r>
      <w:bookmarkEnd w:id="11"/>
      <w:r w:rsidRPr="002D4502">
        <w:rPr>
          <w:rFonts w:ascii="Arial" w:hAnsi="Arial" w:cs="Arial"/>
          <w:sz w:val="20"/>
          <w:szCs w:val="20"/>
        </w:rPr>
        <w:t xml:space="preserve">. </w:t>
      </w:r>
      <w:bookmarkStart w:id="13" w:name="_Hlk170841766"/>
      <w:r w:rsidRPr="002D4502">
        <w:rPr>
          <w:rFonts w:ascii="Arial" w:hAnsi="Arial" w:cs="Arial"/>
          <w:sz w:val="20"/>
          <w:szCs w:val="20"/>
        </w:rPr>
        <w:t xml:space="preserve">Gilmour </w:t>
      </w:r>
      <w:r w:rsidR="007E3948" w:rsidRPr="002D4502">
        <w:rPr>
          <w:rFonts w:ascii="Arial" w:hAnsi="Arial" w:cs="Arial"/>
          <w:sz w:val="20"/>
          <w:szCs w:val="20"/>
        </w:rPr>
        <w:t>[</w:t>
      </w:r>
      <w:r w:rsidR="00824882" w:rsidRPr="002D4502">
        <w:rPr>
          <w:rFonts w:ascii="Arial" w:hAnsi="Arial" w:cs="Arial"/>
          <w:sz w:val="20"/>
          <w:szCs w:val="20"/>
        </w:rPr>
        <w:t>21</w:t>
      </w:r>
      <w:bookmarkEnd w:id="13"/>
      <w:r w:rsidR="007E3948" w:rsidRPr="002D4502">
        <w:rPr>
          <w:rFonts w:ascii="Arial" w:hAnsi="Arial" w:cs="Arial"/>
          <w:sz w:val="20"/>
          <w:szCs w:val="20"/>
        </w:rPr>
        <w:t>]</w:t>
      </w:r>
      <w:r w:rsidRPr="002D4502">
        <w:rPr>
          <w:rFonts w:ascii="Arial" w:hAnsi="Arial" w:cs="Arial"/>
          <w:sz w:val="20"/>
          <w:szCs w:val="20"/>
        </w:rPr>
        <w:t xml:space="preserve"> characteri</w:t>
      </w:r>
      <w:r w:rsidR="00A355D1" w:rsidRPr="002D4502">
        <w:rPr>
          <w:rFonts w:ascii="Arial" w:hAnsi="Arial" w:cs="Arial"/>
          <w:sz w:val="20"/>
          <w:szCs w:val="20"/>
        </w:rPr>
        <w:t>s</w:t>
      </w:r>
      <w:r w:rsidRPr="002D4502">
        <w:rPr>
          <w:rFonts w:ascii="Arial" w:hAnsi="Arial" w:cs="Arial"/>
          <w:sz w:val="20"/>
          <w:szCs w:val="20"/>
        </w:rPr>
        <w:t xml:space="preserve">es community-based forest management as </w:t>
      </w:r>
      <w:r w:rsidR="00A355D1" w:rsidRPr="002D4502">
        <w:rPr>
          <w:rFonts w:ascii="Arial" w:hAnsi="Arial" w:cs="Arial"/>
          <w:sz w:val="20"/>
          <w:szCs w:val="20"/>
        </w:rPr>
        <w:t>“</w:t>
      </w:r>
      <w:r w:rsidRPr="002D4502">
        <w:rPr>
          <w:rFonts w:ascii="Arial" w:hAnsi="Arial" w:cs="Arial"/>
          <w:sz w:val="20"/>
          <w:szCs w:val="20"/>
        </w:rPr>
        <w:t>a set of initiatives, sciences, policies, institutions, and processes aimed at enhancing the involvement of local people in the governance and management of forest resources</w:t>
      </w:r>
      <w:r w:rsidR="00A355D1" w:rsidRPr="002D4502">
        <w:rPr>
          <w:rFonts w:ascii="Arial" w:hAnsi="Arial" w:cs="Arial"/>
          <w:sz w:val="20"/>
          <w:szCs w:val="20"/>
        </w:rPr>
        <w:t>”</w:t>
      </w:r>
      <w:r w:rsidRPr="002D4502">
        <w:rPr>
          <w:rFonts w:ascii="Arial" w:hAnsi="Arial" w:cs="Arial"/>
          <w:sz w:val="20"/>
          <w:szCs w:val="20"/>
        </w:rPr>
        <w:t>.</w:t>
      </w:r>
    </w:p>
    <w:p w14:paraId="62B0ED89" w14:textId="15E4BAD1" w:rsidR="007D7B1B" w:rsidRPr="002D4502" w:rsidRDefault="005B1970" w:rsidP="00BA086A">
      <w:pPr>
        <w:spacing w:line="240" w:lineRule="auto"/>
        <w:jc w:val="both"/>
        <w:rPr>
          <w:rFonts w:ascii="Arial" w:hAnsi="Arial" w:cs="Arial"/>
          <w:sz w:val="20"/>
          <w:szCs w:val="20"/>
        </w:rPr>
      </w:pPr>
      <w:r w:rsidRPr="002D4502">
        <w:rPr>
          <w:rFonts w:ascii="Arial" w:hAnsi="Arial" w:cs="Arial"/>
          <w:sz w:val="20"/>
          <w:szCs w:val="20"/>
        </w:rPr>
        <w:t xml:space="preserve">Numerous studies demonstrate that the implementation of Community-Based Forest Management (CBFM) has effectively enhanced the availability of forest products, improved the livelihoods of rural communities, created environmentally-friendly jobs, restored degraded land and habitats, and promoted </w:t>
      </w:r>
      <w:r w:rsidRPr="002D4502">
        <w:rPr>
          <w:rFonts w:ascii="Arial" w:hAnsi="Arial" w:cs="Arial"/>
          <w:sz w:val="20"/>
          <w:szCs w:val="20"/>
        </w:rPr>
        <w:lastRenderedPageBreak/>
        <w:t>biodiversity</w:t>
      </w:r>
      <w:r w:rsidR="007D7B1B" w:rsidRPr="002D4502">
        <w:rPr>
          <w:rFonts w:ascii="Arial" w:hAnsi="Arial" w:cs="Arial"/>
          <w:sz w:val="20"/>
          <w:szCs w:val="20"/>
        </w:rPr>
        <w:t xml:space="preserve"> </w:t>
      </w:r>
      <w:r w:rsidR="007E3948" w:rsidRPr="002D4502">
        <w:rPr>
          <w:rFonts w:ascii="Arial" w:hAnsi="Arial" w:cs="Arial"/>
          <w:sz w:val="20"/>
          <w:szCs w:val="20"/>
        </w:rPr>
        <w:t>[</w:t>
      </w:r>
      <w:bookmarkStart w:id="14" w:name="_Hlk170841820"/>
      <w:r w:rsidR="007E3948" w:rsidRPr="002D4502">
        <w:rPr>
          <w:rFonts w:ascii="Arial" w:hAnsi="Arial" w:cs="Arial"/>
          <w:sz w:val="20"/>
          <w:szCs w:val="20"/>
        </w:rPr>
        <w:t>2</w:t>
      </w:r>
      <w:r w:rsidR="00824882" w:rsidRPr="002D4502">
        <w:rPr>
          <w:rFonts w:ascii="Arial" w:hAnsi="Arial" w:cs="Arial"/>
          <w:sz w:val="20"/>
          <w:szCs w:val="20"/>
        </w:rPr>
        <w:t>2</w:t>
      </w:r>
      <w:bookmarkEnd w:id="14"/>
      <w:r w:rsidR="00057060">
        <w:rPr>
          <w:rFonts w:ascii="Arial" w:hAnsi="Arial" w:cs="Arial"/>
          <w:sz w:val="20"/>
          <w:szCs w:val="20"/>
        </w:rPr>
        <w:t xml:space="preserve">, </w:t>
      </w:r>
      <w:r w:rsidR="007E3948" w:rsidRPr="002D4502">
        <w:rPr>
          <w:rFonts w:ascii="Arial" w:hAnsi="Arial" w:cs="Arial"/>
          <w:sz w:val="20"/>
          <w:szCs w:val="20"/>
        </w:rPr>
        <w:t>1</w:t>
      </w:r>
      <w:r w:rsidR="00824882" w:rsidRPr="002D4502">
        <w:rPr>
          <w:rFonts w:ascii="Arial" w:hAnsi="Arial" w:cs="Arial"/>
          <w:sz w:val="20"/>
          <w:szCs w:val="20"/>
        </w:rPr>
        <w:t>4</w:t>
      </w:r>
      <w:r w:rsidR="007E3948" w:rsidRPr="002D4502">
        <w:rPr>
          <w:rFonts w:ascii="Arial" w:hAnsi="Arial" w:cs="Arial"/>
          <w:sz w:val="20"/>
          <w:szCs w:val="20"/>
        </w:rPr>
        <w:t xml:space="preserve">, </w:t>
      </w:r>
      <w:r w:rsidR="00824882" w:rsidRPr="002D4502">
        <w:rPr>
          <w:rFonts w:ascii="Arial" w:hAnsi="Arial" w:cs="Arial"/>
          <w:sz w:val="20"/>
          <w:szCs w:val="20"/>
        </w:rPr>
        <w:t>19</w:t>
      </w:r>
      <w:r w:rsidR="007E3948" w:rsidRPr="002D4502">
        <w:rPr>
          <w:rFonts w:ascii="Arial" w:hAnsi="Arial" w:cs="Arial"/>
          <w:sz w:val="20"/>
          <w:szCs w:val="20"/>
        </w:rPr>
        <w:t>, 2</w:t>
      </w:r>
      <w:r w:rsidR="00824882" w:rsidRPr="002D4502">
        <w:rPr>
          <w:rFonts w:ascii="Arial" w:hAnsi="Arial" w:cs="Arial"/>
          <w:sz w:val="20"/>
          <w:szCs w:val="20"/>
        </w:rPr>
        <w:t>0</w:t>
      </w:r>
      <w:r w:rsidR="007E3948" w:rsidRPr="002D4502">
        <w:rPr>
          <w:rFonts w:ascii="Arial" w:hAnsi="Arial" w:cs="Arial"/>
          <w:sz w:val="20"/>
          <w:szCs w:val="20"/>
        </w:rPr>
        <w:t>]</w:t>
      </w:r>
      <w:r w:rsidR="007D7B1B" w:rsidRPr="002D4502">
        <w:rPr>
          <w:rFonts w:ascii="Arial" w:hAnsi="Arial" w:cs="Arial"/>
          <w:sz w:val="20"/>
          <w:szCs w:val="20"/>
        </w:rPr>
        <w:t xml:space="preserve">. The successes are attributed to the high level of people's participation in rule formulation, cooperation, rule compliance, and sound monitoring of forest resources </w:t>
      </w:r>
      <w:r w:rsidR="007E3948" w:rsidRPr="002D4502">
        <w:rPr>
          <w:rFonts w:ascii="Arial" w:hAnsi="Arial" w:cs="Arial"/>
          <w:sz w:val="20"/>
          <w:szCs w:val="20"/>
        </w:rPr>
        <w:t>[1</w:t>
      </w:r>
      <w:r w:rsidR="00824882" w:rsidRPr="002D4502">
        <w:rPr>
          <w:rFonts w:ascii="Arial" w:hAnsi="Arial" w:cs="Arial"/>
          <w:sz w:val="20"/>
          <w:szCs w:val="20"/>
        </w:rPr>
        <w:t>4</w:t>
      </w:r>
      <w:r w:rsidR="007E3948" w:rsidRPr="002D4502">
        <w:rPr>
          <w:rFonts w:ascii="Arial" w:hAnsi="Arial" w:cs="Arial"/>
          <w:sz w:val="20"/>
          <w:szCs w:val="20"/>
        </w:rPr>
        <w:t>]</w:t>
      </w:r>
      <w:r w:rsidR="007D7B1B" w:rsidRPr="002D4502">
        <w:rPr>
          <w:rFonts w:ascii="Arial" w:hAnsi="Arial" w:cs="Arial"/>
          <w:sz w:val="20"/>
          <w:szCs w:val="20"/>
        </w:rPr>
        <w:t>.</w:t>
      </w:r>
    </w:p>
    <w:p w14:paraId="21246821" w14:textId="727A7856" w:rsidR="00E834BD" w:rsidRPr="002D4502" w:rsidRDefault="00E834BD" w:rsidP="00BA086A">
      <w:pPr>
        <w:spacing w:line="240" w:lineRule="auto"/>
        <w:jc w:val="both"/>
        <w:rPr>
          <w:rFonts w:ascii="Arial" w:hAnsi="Arial" w:cs="Arial"/>
          <w:sz w:val="20"/>
          <w:szCs w:val="20"/>
        </w:rPr>
      </w:pPr>
      <w:r w:rsidRPr="002D4502">
        <w:rPr>
          <w:rFonts w:ascii="Arial" w:hAnsi="Arial" w:cs="Arial"/>
          <w:sz w:val="20"/>
          <w:szCs w:val="20"/>
        </w:rPr>
        <w:t xml:space="preserve">Subsequently, one-third of the global forests were under community-based forestry management as of 2020 </w:t>
      </w:r>
      <w:r w:rsidR="00D82308" w:rsidRPr="002D4502">
        <w:rPr>
          <w:rFonts w:ascii="Arial" w:hAnsi="Arial" w:cs="Arial"/>
          <w:sz w:val="20"/>
          <w:szCs w:val="20"/>
        </w:rPr>
        <w:t>[1</w:t>
      </w:r>
      <w:r w:rsidR="00824882" w:rsidRPr="002D4502">
        <w:rPr>
          <w:rFonts w:ascii="Arial" w:hAnsi="Arial" w:cs="Arial"/>
          <w:sz w:val="20"/>
          <w:szCs w:val="20"/>
        </w:rPr>
        <w:t>6</w:t>
      </w:r>
      <w:r w:rsidR="00D82308" w:rsidRPr="002D4502">
        <w:rPr>
          <w:rFonts w:ascii="Arial" w:hAnsi="Arial" w:cs="Arial"/>
          <w:sz w:val="20"/>
          <w:szCs w:val="20"/>
        </w:rPr>
        <w:t>,1</w:t>
      </w:r>
      <w:r w:rsidR="00824882" w:rsidRPr="002D4502">
        <w:rPr>
          <w:rFonts w:ascii="Arial" w:hAnsi="Arial" w:cs="Arial"/>
          <w:sz w:val="20"/>
          <w:szCs w:val="20"/>
        </w:rPr>
        <w:t>7</w:t>
      </w:r>
      <w:r w:rsidR="00D82308" w:rsidRPr="002D4502">
        <w:rPr>
          <w:rFonts w:ascii="Arial" w:hAnsi="Arial" w:cs="Arial"/>
          <w:sz w:val="20"/>
          <w:szCs w:val="20"/>
        </w:rPr>
        <w:t>]</w:t>
      </w:r>
      <w:r w:rsidRPr="002D4502">
        <w:rPr>
          <w:rFonts w:ascii="Arial" w:hAnsi="Arial" w:cs="Arial"/>
          <w:sz w:val="20"/>
          <w:szCs w:val="20"/>
        </w:rPr>
        <w:t xml:space="preserve">. During the same time period, around 732 million hectares, or 28% of the world's forests, were under community-based forest management approaches in developing countries, representing 62 countries </w:t>
      </w:r>
      <w:r w:rsidR="00D82308" w:rsidRPr="002D4502">
        <w:rPr>
          <w:rFonts w:ascii="Arial" w:hAnsi="Arial" w:cs="Arial"/>
          <w:sz w:val="20"/>
          <w:szCs w:val="20"/>
        </w:rPr>
        <w:t>[15]</w:t>
      </w:r>
      <w:r w:rsidRPr="002D4502">
        <w:rPr>
          <w:rFonts w:ascii="Arial" w:hAnsi="Arial" w:cs="Arial"/>
          <w:sz w:val="20"/>
          <w:szCs w:val="20"/>
        </w:rPr>
        <w:t xml:space="preserve">. Africa, on the other hand, did not fall behind. As of 2017, there were 24 million hectares of forest land under community-based forest management on the continent, which is equivalent to 6% of the 376 million hectares of total forested land </w:t>
      </w:r>
      <w:r w:rsidR="00824882" w:rsidRPr="002D4502">
        <w:rPr>
          <w:rFonts w:ascii="Arial" w:hAnsi="Arial" w:cs="Arial"/>
          <w:sz w:val="20"/>
          <w:szCs w:val="20"/>
        </w:rPr>
        <w:t>[</w:t>
      </w:r>
      <w:bookmarkStart w:id="15" w:name="_Hlk170841858"/>
      <w:r w:rsidR="00D82308" w:rsidRPr="002D4502">
        <w:rPr>
          <w:rFonts w:ascii="Arial" w:hAnsi="Arial" w:cs="Arial"/>
          <w:sz w:val="20"/>
          <w:szCs w:val="20"/>
        </w:rPr>
        <w:t>2</w:t>
      </w:r>
      <w:r w:rsidR="00824882" w:rsidRPr="002D4502">
        <w:rPr>
          <w:rFonts w:ascii="Arial" w:hAnsi="Arial" w:cs="Arial"/>
          <w:sz w:val="20"/>
          <w:szCs w:val="20"/>
        </w:rPr>
        <w:t>3]</w:t>
      </w:r>
      <w:r w:rsidRPr="002D4502">
        <w:rPr>
          <w:rFonts w:ascii="Arial" w:hAnsi="Arial" w:cs="Arial"/>
          <w:sz w:val="20"/>
          <w:szCs w:val="20"/>
        </w:rPr>
        <w:t>.</w:t>
      </w:r>
      <w:bookmarkEnd w:id="15"/>
    </w:p>
    <w:p w14:paraId="38B15212" w14:textId="1FF9FFC0" w:rsidR="008A4130" w:rsidRPr="002D4502" w:rsidRDefault="008A4130" w:rsidP="00BA086A">
      <w:pPr>
        <w:spacing w:line="240" w:lineRule="auto"/>
        <w:jc w:val="both"/>
        <w:rPr>
          <w:rFonts w:ascii="Arial" w:hAnsi="Arial" w:cs="Arial"/>
          <w:sz w:val="20"/>
          <w:szCs w:val="20"/>
        </w:rPr>
      </w:pPr>
      <w:r w:rsidRPr="002D4502">
        <w:rPr>
          <w:rFonts w:ascii="Arial" w:hAnsi="Arial" w:cs="Arial"/>
          <w:sz w:val="20"/>
          <w:szCs w:val="20"/>
        </w:rPr>
        <w:t xml:space="preserve">Overall, the rate of forest loss has slowed globally. For instance, the rate of forest loss declined from 7.8 million hectares per year between 1990 and 2000 to 5.2 million hectares per year between 2000 and 2010, and 4.7 million hectares per year between 2010 and 2020 </w:t>
      </w:r>
      <w:r w:rsidR="00824882" w:rsidRPr="002D4502">
        <w:rPr>
          <w:rFonts w:ascii="Arial" w:hAnsi="Arial" w:cs="Arial"/>
          <w:sz w:val="20"/>
          <w:szCs w:val="20"/>
        </w:rPr>
        <w:t>[</w:t>
      </w:r>
      <w:bookmarkStart w:id="16" w:name="_Hlk170841923"/>
      <w:r w:rsidR="00D82308" w:rsidRPr="002D4502">
        <w:rPr>
          <w:rFonts w:ascii="Arial" w:hAnsi="Arial" w:cs="Arial"/>
          <w:sz w:val="20"/>
          <w:szCs w:val="20"/>
        </w:rPr>
        <w:t>2</w:t>
      </w:r>
      <w:r w:rsidR="00824882" w:rsidRPr="002D4502">
        <w:rPr>
          <w:rFonts w:ascii="Arial" w:hAnsi="Arial" w:cs="Arial"/>
          <w:sz w:val="20"/>
          <w:szCs w:val="20"/>
        </w:rPr>
        <w:t>4</w:t>
      </w:r>
      <w:bookmarkEnd w:id="16"/>
      <w:r w:rsidR="00057060">
        <w:rPr>
          <w:rFonts w:ascii="Arial" w:hAnsi="Arial" w:cs="Arial"/>
          <w:sz w:val="20"/>
          <w:szCs w:val="20"/>
        </w:rPr>
        <w:t xml:space="preserve">, </w:t>
      </w:r>
      <w:r w:rsidR="00D82308" w:rsidRPr="002D4502">
        <w:rPr>
          <w:rFonts w:ascii="Arial" w:hAnsi="Arial" w:cs="Arial"/>
          <w:sz w:val="20"/>
          <w:szCs w:val="20"/>
        </w:rPr>
        <w:t>1</w:t>
      </w:r>
      <w:r w:rsidR="00824882" w:rsidRPr="002D4502">
        <w:rPr>
          <w:rFonts w:ascii="Arial" w:hAnsi="Arial" w:cs="Arial"/>
          <w:sz w:val="20"/>
          <w:szCs w:val="20"/>
        </w:rPr>
        <w:t>7</w:t>
      </w:r>
      <w:r w:rsidR="00D82308" w:rsidRPr="002D4502">
        <w:rPr>
          <w:rFonts w:ascii="Arial" w:hAnsi="Arial" w:cs="Arial"/>
          <w:sz w:val="20"/>
          <w:szCs w:val="20"/>
        </w:rPr>
        <w:t>]</w:t>
      </w:r>
      <w:r w:rsidRPr="002D4502">
        <w:rPr>
          <w:rFonts w:ascii="Arial" w:hAnsi="Arial" w:cs="Arial"/>
          <w:sz w:val="20"/>
          <w:szCs w:val="20"/>
        </w:rPr>
        <w:t xml:space="preserve">. On the contrary, the rate of forest loss has been much higher in Africa in each of the three decades since 1990 </w:t>
      </w:r>
      <w:r w:rsidR="00D82308" w:rsidRPr="002D4502">
        <w:rPr>
          <w:rFonts w:ascii="Arial" w:hAnsi="Arial" w:cs="Arial"/>
          <w:sz w:val="20"/>
          <w:szCs w:val="20"/>
        </w:rPr>
        <w:t>[18]</w:t>
      </w:r>
      <w:r w:rsidRPr="002D4502">
        <w:rPr>
          <w:rFonts w:ascii="Arial" w:hAnsi="Arial" w:cs="Arial"/>
          <w:sz w:val="20"/>
          <w:szCs w:val="20"/>
        </w:rPr>
        <w:t xml:space="preserve">, with the largest annual rate of net forest loss between 2010 and 2020 at 3.9 million hectares </w:t>
      </w:r>
      <w:r w:rsidR="00D82308" w:rsidRPr="002D4502">
        <w:rPr>
          <w:rFonts w:ascii="Arial" w:hAnsi="Arial" w:cs="Arial"/>
          <w:sz w:val="20"/>
          <w:szCs w:val="20"/>
        </w:rPr>
        <w:t>[</w:t>
      </w:r>
      <w:bookmarkStart w:id="17" w:name="_Hlk170841970"/>
      <w:r w:rsidR="00D82308" w:rsidRPr="002D4502">
        <w:rPr>
          <w:rFonts w:ascii="Arial" w:hAnsi="Arial" w:cs="Arial"/>
          <w:sz w:val="20"/>
          <w:szCs w:val="20"/>
        </w:rPr>
        <w:t>2</w:t>
      </w:r>
      <w:r w:rsidR="00824882" w:rsidRPr="002D4502">
        <w:rPr>
          <w:rFonts w:ascii="Arial" w:hAnsi="Arial" w:cs="Arial"/>
          <w:sz w:val="20"/>
          <w:szCs w:val="20"/>
        </w:rPr>
        <w:t>5</w:t>
      </w:r>
      <w:bookmarkEnd w:id="17"/>
      <w:r w:rsidR="00057060">
        <w:rPr>
          <w:rFonts w:ascii="Arial" w:hAnsi="Arial" w:cs="Arial"/>
          <w:sz w:val="20"/>
          <w:szCs w:val="20"/>
        </w:rPr>
        <w:t xml:space="preserve">, </w:t>
      </w:r>
      <w:r w:rsidR="00D82308" w:rsidRPr="002D4502">
        <w:rPr>
          <w:rFonts w:ascii="Arial" w:hAnsi="Arial" w:cs="Arial"/>
          <w:sz w:val="20"/>
          <w:szCs w:val="20"/>
        </w:rPr>
        <w:t>18]</w:t>
      </w:r>
      <w:r w:rsidRPr="002D4502">
        <w:rPr>
          <w:rFonts w:ascii="Arial" w:hAnsi="Arial" w:cs="Arial"/>
          <w:sz w:val="20"/>
          <w:szCs w:val="20"/>
        </w:rPr>
        <w:t xml:space="preserve">. At the local level, Tanzania was losing 469,000 hectares of forest per year as of 2020 </w:t>
      </w:r>
      <w:r w:rsidR="00D82308" w:rsidRPr="002D4502">
        <w:rPr>
          <w:rFonts w:ascii="Arial" w:hAnsi="Arial" w:cs="Arial"/>
          <w:sz w:val="20"/>
          <w:szCs w:val="20"/>
        </w:rPr>
        <w:t>[</w:t>
      </w:r>
      <w:bookmarkStart w:id="18" w:name="_Hlk170842013"/>
      <w:r w:rsidR="00D82308" w:rsidRPr="002D4502">
        <w:rPr>
          <w:rFonts w:ascii="Arial" w:hAnsi="Arial" w:cs="Arial"/>
          <w:sz w:val="20"/>
          <w:szCs w:val="20"/>
        </w:rPr>
        <w:t>2</w:t>
      </w:r>
      <w:r w:rsidR="00824882" w:rsidRPr="002D4502">
        <w:rPr>
          <w:rFonts w:ascii="Arial" w:hAnsi="Arial" w:cs="Arial"/>
          <w:sz w:val="20"/>
          <w:szCs w:val="20"/>
        </w:rPr>
        <w:t>6</w:t>
      </w:r>
      <w:bookmarkEnd w:id="18"/>
      <w:r w:rsidR="00D82308" w:rsidRPr="002D4502">
        <w:rPr>
          <w:rFonts w:ascii="Arial" w:hAnsi="Arial" w:cs="Arial"/>
          <w:sz w:val="20"/>
          <w:szCs w:val="20"/>
        </w:rPr>
        <w:t>]</w:t>
      </w:r>
      <w:r w:rsidRPr="002D4502">
        <w:rPr>
          <w:rFonts w:ascii="Arial" w:hAnsi="Arial" w:cs="Arial"/>
          <w:sz w:val="20"/>
          <w:szCs w:val="20"/>
        </w:rPr>
        <w:t>.</w:t>
      </w:r>
    </w:p>
    <w:p w14:paraId="1DBBC582" w14:textId="028C0897" w:rsidR="004E54BC" w:rsidRPr="002D4502" w:rsidRDefault="004E54BC" w:rsidP="00BA086A">
      <w:pPr>
        <w:spacing w:line="240" w:lineRule="auto"/>
        <w:jc w:val="both"/>
        <w:rPr>
          <w:rFonts w:ascii="Arial" w:hAnsi="Arial" w:cs="Arial"/>
          <w:sz w:val="20"/>
          <w:szCs w:val="20"/>
        </w:rPr>
      </w:pPr>
      <w:r w:rsidRPr="002D4502">
        <w:rPr>
          <w:rFonts w:ascii="Arial" w:hAnsi="Arial" w:cs="Arial"/>
          <w:sz w:val="20"/>
          <w:szCs w:val="20"/>
        </w:rPr>
        <w:t xml:space="preserve">However, despite the widespread adoption of a community-based forest management approach over the past decades, its implementation is highly variable in developing countries, where the capacity to use or enforce community forest management policies, laws, and regulations remains unequal </w:t>
      </w:r>
      <w:r w:rsidR="00D82308" w:rsidRPr="002D4502">
        <w:rPr>
          <w:rFonts w:ascii="Arial" w:hAnsi="Arial" w:cs="Arial"/>
          <w:sz w:val="20"/>
          <w:szCs w:val="20"/>
        </w:rPr>
        <w:t>[</w:t>
      </w:r>
      <w:r w:rsidR="00824882" w:rsidRPr="002D4502">
        <w:rPr>
          <w:rFonts w:ascii="Arial" w:hAnsi="Arial" w:cs="Arial"/>
          <w:sz w:val="20"/>
          <w:szCs w:val="20"/>
        </w:rPr>
        <w:t>3</w:t>
      </w:r>
      <w:r w:rsidR="00057060">
        <w:rPr>
          <w:rFonts w:ascii="Arial" w:hAnsi="Arial" w:cs="Arial"/>
          <w:sz w:val="20"/>
          <w:szCs w:val="20"/>
        </w:rPr>
        <w:t xml:space="preserve">, </w:t>
      </w:r>
      <w:r w:rsidR="00D82308" w:rsidRPr="002D4502">
        <w:rPr>
          <w:rFonts w:ascii="Arial" w:hAnsi="Arial" w:cs="Arial"/>
          <w:sz w:val="20"/>
          <w:szCs w:val="20"/>
        </w:rPr>
        <w:t>2</w:t>
      </w:r>
      <w:r w:rsidR="00824882" w:rsidRPr="002D4502">
        <w:rPr>
          <w:rFonts w:ascii="Arial" w:hAnsi="Arial" w:cs="Arial"/>
          <w:sz w:val="20"/>
          <w:szCs w:val="20"/>
        </w:rPr>
        <w:t>1</w:t>
      </w:r>
      <w:r w:rsidR="00D82308" w:rsidRPr="002D4502">
        <w:rPr>
          <w:rFonts w:ascii="Arial" w:hAnsi="Arial" w:cs="Arial"/>
          <w:sz w:val="20"/>
          <w:szCs w:val="20"/>
        </w:rPr>
        <w:t>]</w:t>
      </w:r>
      <w:r w:rsidRPr="002D4502">
        <w:rPr>
          <w:rFonts w:ascii="Arial" w:hAnsi="Arial" w:cs="Arial"/>
          <w:sz w:val="20"/>
          <w:szCs w:val="20"/>
        </w:rPr>
        <w:t xml:space="preserve">. Also, other pitfalls in the implementation of CBFM include benefit capture by local elites and inadequate community institutional capacity </w:t>
      </w:r>
      <w:r w:rsidR="00D82308" w:rsidRPr="002D4502">
        <w:rPr>
          <w:rFonts w:ascii="Arial" w:hAnsi="Arial" w:cs="Arial"/>
          <w:sz w:val="20"/>
          <w:szCs w:val="20"/>
        </w:rPr>
        <w:t>[1</w:t>
      </w:r>
      <w:r w:rsidR="00824882" w:rsidRPr="002D4502">
        <w:rPr>
          <w:rFonts w:ascii="Arial" w:hAnsi="Arial" w:cs="Arial"/>
          <w:sz w:val="20"/>
          <w:szCs w:val="20"/>
        </w:rPr>
        <w:t>3</w:t>
      </w:r>
      <w:r w:rsidR="00D82308" w:rsidRPr="002D4502">
        <w:rPr>
          <w:rFonts w:ascii="Arial" w:hAnsi="Arial" w:cs="Arial"/>
          <w:sz w:val="20"/>
          <w:szCs w:val="20"/>
        </w:rPr>
        <w:t>]</w:t>
      </w:r>
      <w:r w:rsidRPr="002D4502">
        <w:rPr>
          <w:rFonts w:ascii="Arial" w:hAnsi="Arial" w:cs="Arial"/>
          <w:sz w:val="20"/>
          <w:szCs w:val="20"/>
        </w:rPr>
        <w:t>. Thus, establishing a better understanding of CBFM's performance in improving the condition of the forests and livelihoods of local people remains critical for sustainable forest management.</w:t>
      </w:r>
    </w:p>
    <w:p w14:paraId="1FF4DAF8" w14:textId="3466DB3B" w:rsidR="0074246B" w:rsidRPr="002D4502" w:rsidRDefault="0070494E" w:rsidP="00BA086A">
      <w:pPr>
        <w:spacing w:line="240" w:lineRule="auto"/>
        <w:jc w:val="both"/>
        <w:rPr>
          <w:rFonts w:ascii="Arial" w:hAnsi="Arial" w:cs="Arial"/>
          <w:sz w:val="20"/>
          <w:szCs w:val="20"/>
        </w:rPr>
      </w:pPr>
      <w:r w:rsidRPr="002D4502">
        <w:rPr>
          <w:rFonts w:ascii="Arial" w:hAnsi="Arial" w:cs="Arial"/>
          <w:sz w:val="20"/>
          <w:szCs w:val="20"/>
        </w:rPr>
        <w:t xml:space="preserve">Tanzania, like many other developing countries in the world, decentralised forest management in the early 1990s </w:t>
      </w:r>
      <w:r w:rsidR="00D82308" w:rsidRPr="002D4502">
        <w:rPr>
          <w:rFonts w:ascii="Arial" w:hAnsi="Arial" w:cs="Arial"/>
          <w:sz w:val="20"/>
          <w:szCs w:val="20"/>
        </w:rPr>
        <w:t>[1</w:t>
      </w:r>
      <w:r w:rsidR="00824882" w:rsidRPr="002D4502">
        <w:rPr>
          <w:rFonts w:ascii="Arial" w:hAnsi="Arial" w:cs="Arial"/>
          <w:sz w:val="20"/>
          <w:szCs w:val="20"/>
        </w:rPr>
        <w:t>8</w:t>
      </w:r>
      <w:r w:rsidR="00D82308" w:rsidRPr="002D4502">
        <w:rPr>
          <w:rFonts w:ascii="Arial" w:hAnsi="Arial" w:cs="Arial"/>
          <w:sz w:val="20"/>
          <w:szCs w:val="20"/>
        </w:rPr>
        <w:t>]</w:t>
      </w:r>
      <w:r w:rsidRPr="002D4502">
        <w:rPr>
          <w:rFonts w:ascii="Arial" w:hAnsi="Arial" w:cs="Arial"/>
          <w:sz w:val="20"/>
          <w:szCs w:val="20"/>
        </w:rPr>
        <w:t xml:space="preserve"> with the aim of enhancing the contribution of the forest sector to sustainable development in the country and the conservation and management of natural resources. Eventually, communities </w:t>
      </w:r>
      <w:r w:rsidR="00120BD1" w:rsidRPr="002D4502">
        <w:rPr>
          <w:rFonts w:ascii="Arial" w:hAnsi="Arial" w:cs="Arial"/>
          <w:sz w:val="20"/>
          <w:szCs w:val="20"/>
        </w:rPr>
        <w:t xml:space="preserve">were </w:t>
      </w:r>
      <w:r w:rsidRPr="002D4502">
        <w:rPr>
          <w:rFonts w:ascii="Arial" w:hAnsi="Arial" w:cs="Arial"/>
          <w:sz w:val="20"/>
          <w:szCs w:val="20"/>
        </w:rPr>
        <w:t>manag</w:t>
      </w:r>
      <w:r w:rsidR="00120BD1" w:rsidRPr="002D4502">
        <w:rPr>
          <w:rFonts w:ascii="Arial" w:hAnsi="Arial" w:cs="Arial"/>
          <w:sz w:val="20"/>
          <w:szCs w:val="20"/>
        </w:rPr>
        <w:t>ing</w:t>
      </w:r>
      <w:r w:rsidRPr="002D4502">
        <w:rPr>
          <w:rFonts w:ascii="Arial" w:hAnsi="Arial" w:cs="Arial"/>
          <w:sz w:val="20"/>
          <w:szCs w:val="20"/>
        </w:rPr>
        <w:t xml:space="preserve"> 45</w:t>
      </w:r>
      <w:r w:rsidR="000B6316" w:rsidRPr="002D4502">
        <w:rPr>
          <w:rFonts w:ascii="Arial" w:hAnsi="Arial" w:cs="Arial"/>
          <w:sz w:val="20"/>
          <w:szCs w:val="20"/>
        </w:rPr>
        <w:t xml:space="preserve">% </w:t>
      </w:r>
      <w:r w:rsidRPr="002D4502">
        <w:rPr>
          <w:rFonts w:ascii="Arial" w:hAnsi="Arial" w:cs="Arial"/>
          <w:sz w:val="20"/>
          <w:szCs w:val="20"/>
        </w:rPr>
        <w:t xml:space="preserve">of the country's total forest (37.7 million hectares) on village land until 2017 </w:t>
      </w:r>
      <w:r w:rsidR="00992AB6" w:rsidRPr="002D4502">
        <w:rPr>
          <w:rFonts w:ascii="Arial" w:hAnsi="Arial" w:cs="Arial"/>
          <w:sz w:val="20"/>
          <w:szCs w:val="20"/>
        </w:rPr>
        <w:t>[</w:t>
      </w:r>
      <w:bookmarkStart w:id="19" w:name="_Hlk170842060"/>
      <w:r w:rsidR="00D82308" w:rsidRPr="002D4502">
        <w:rPr>
          <w:rFonts w:ascii="Arial" w:hAnsi="Arial" w:cs="Arial"/>
          <w:sz w:val="20"/>
          <w:szCs w:val="20"/>
        </w:rPr>
        <w:t>2</w:t>
      </w:r>
      <w:r w:rsidR="00824882" w:rsidRPr="002D4502">
        <w:rPr>
          <w:rFonts w:ascii="Arial" w:hAnsi="Arial" w:cs="Arial"/>
          <w:sz w:val="20"/>
          <w:szCs w:val="20"/>
        </w:rPr>
        <w:t>7</w:t>
      </w:r>
      <w:bookmarkEnd w:id="19"/>
      <w:r w:rsidR="00992AB6" w:rsidRPr="002D4502">
        <w:rPr>
          <w:rFonts w:ascii="Arial" w:hAnsi="Arial" w:cs="Arial"/>
          <w:sz w:val="20"/>
          <w:szCs w:val="20"/>
        </w:rPr>
        <w:t>]</w:t>
      </w:r>
      <w:r w:rsidRPr="002D4502">
        <w:rPr>
          <w:rFonts w:ascii="Arial" w:hAnsi="Arial" w:cs="Arial"/>
          <w:sz w:val="20"/>
          <w:szCs w:val="20"/>
        </w:rPr>
        <w:t xml:space="preserve">. This followed the establishment of </w:t>
      </w:r>
      <w:bookmarkStart w:id="20" w:name="_Hlk170212740"/>
      <w:r w:rsidRPr="002D4502">
        <w:rPr>
          <w:rFonts w:ascii="Arial" w:hAnsi="Arial" w:cs="Arial"/>
          <w:sz w:val="20"/>
          <w:szCs w:val="20"/>
        </w:rPr>
        <w:t xml:space="preserve">the National Forest Policy of 1998 and the enactment of the Forest Act No. 14 of 2002, which introduced community-based forest management in the country </w:t>
      </w:r>
      <w:r w:rsidR="00992AB6" w:rsidRPr="002D4502">
        <w:rPr>
          <w:rFonts w:ascii="Arial" w:hAnsi="Arial" w:cs="Arial"/>
          <w:sz w:val="20"/>
          <w:szCs w:val="20"/>
        </w:rPr>
        <w:t>[</w:t>
      </w:r>
      <w:bookmarkStart w:id="21" w:name="_Hlk170842100"/>
      <w:r w:rsidR="00242175" w:rsidRPr="002D4502">
        <w:rPr>
          <w:rFonts w:ascii="Arial" w:hAnsi="Arial" w:cs="Arial"/>
          <w:sz w:val="20"/>
          <w:szCs w:val="20"/>
        </w:rPr>
        <w:t>2</w:t>
      </w:r>
      <w:r w:rsidR="00992AB6" w:rsidRPr="002D4502">
        <w:rPr>
          <w:rFonts w:ascii="Arial" w:hAnsi="Arial" w:cs="Arial"/>
          <w:sz w:val="20"/>
          <w:szCs w:val="20"/>
        </w:rPr>
        <w:t>8</w:t>
      </w:r>
      <w:bookmarkEnd w:id="21"/>
      <w:r w:rsidR="00992AB6" w:rsidRPr="002D4502">
        <w:rPr>
          <w:rFonts w:ascii="Arial" w:hAnsi="Arial" w:cs="Arial"/>
          <w:sz w:val="20"/>
          <w:szCs w:val="20"/>
        </w:rPr>
        <w:t>]</w:t>
      </w:r>
      <w:r w:rsidRPr="002D4502">
        <w:rPr>
          <w:rFonts w:ascii="Arial" w:hAnsi="Arial" w:cs="Arial"/>
          <w:sz w:val="20"/>
          <w:szCs w:val="20"/>
        </w:rPr>
        <w:t>.</w:t>
      </w:r>
    </w:p>
    <w:bookmarkEnd w:id="20"/>
    <w:p w14:paraId="056D3176" w14:textId="10A01769" w:rsidR="00AB5DCE" w:rsidRPr="002D4502" w:rsidRDefault="00856C5E" w:rsidP="00BA086A">
      <w:pPr>
        <w:spacing w:line="240" w:lineRule="auto"/>
        <w:jc w:val="both"/>
        <w:rPr>
          <w:rFonts w:ascii="Arial" w:hAnsi="Arial" w:cs="Arial"/>
          <w:sz w:val="20"/>
          <w:szCs w:val="20"/>
        </w:rPr>
      </w:pPr>
      <w:r w:rsidRPr="002D4502">
        <w:rPr>
          <w:rFonts w:ascii="Arial" w:hAnsi="Arial" w:cs="Arial"/>
          <w:sz w:val="20"/>
          <w:szCs w:val="20"/>
        </w:rPr>
        <w:t xml:space="preserve">Estimates indicate that CBFM forests encompass 2,202,335 hectares of forest area, accounting for approximately 8% of villages in Mainland Tanzania </w:t>
      </w:r>
      <w:r w:rsidR="00242175" w:rsidRPr="002D4502">
        <w:rPr>
          <w:rFonts w:ascii="Arial" w:hAnsi="Arial" w:cs="Arial"/>
          <w:sz w:val="20"/>
          <w:szCs w:val="20"/>
        </w:rPr>
        <w:t>[2</w:t>
      </w:r>
      <w:r w:rsidR="00992AB6" w:rsidRPr="002D4502">
        <w:rPr>
          <w:rFonts w:ascii="Arial" w:hAnsi="Arial" w:cs="Arial"/>
          <w:sz w:val="20"/>
          <w:szCs w:val="20"/>
        </w:rPr>
        <w:t>7</w:t>
      </w:r>
      <w:r w:rsidR="00242175" w:rsidRPr="002D4502">
        <w:rPr>
          <w:rFonts w:ascii="Arial" w:hAnsi="Arial" w:cs="Arial"/>
          <w:sz w:val="20"/>
          <w:szCs w:val="20"/>
        </w:rPr>
        <w:t>]</w:t>
      </w:r>
      <w:r w:rsidRPr="002D4502">
        <w:rPr>
          <w:rFonts w:ascii="Arial" w:hAnsi="Arial" w:cs="Arial"/>
          <w:sz w:val="20"/>
          <w:szCs w:val="20"/>
        </w:rPr>
        <w:t>. However, despite this, the forest area under community-based forest management increased from 2,060,608 hectares to 2,366,693 hectares between 2006 and 2012, and then decreased to 2,202,335 hectares in 2022</w:t>
      </w:r>
      <w:r w:rsidR="00AB5DCE" w:rsidRPr="002D4502">
        <w:rPr>
          <w:rFonts w:ascii="Arial" w:hAnsi="Arial" w:cs="Arial"/>
          <w:sz w:val="20"/>
          <w:szCs w:val="20"/>
        </w:rPr>
        <w:t>.</w:t>
      </w:r>
      <w:r w:rsidRPr="002D4502">
        <w:rPr>
          <w:rFonts w:ascii="Arial" w:hAnsi="Arial" w:cs="Arial"/>
          <w:sz w:val="20"/>
          <w:szCs w:val="20"/>
        </w:rPr>
        <w:t xml:space="preserve"> Generally, the number of villages with community-based forest management has decreased from 1,102 in 2006 to 988 in 2022, and the forest size has decreased over the years</w:t>
      </w:r>
      <w:r w:rsidR="00AB5DCE" w:rsidRPr="002D4502">
        <w:rPr>
          <w:rFonts w:ascii="Arial" w:hAnsi="Arial" w:cs="Arial"/>
          <w:sz w:val="20"/>
          <w:szCs w:val="20"/>
        </w:rPr>
        <w:t xml:space="preserve"> </w:t>
      </w:r>
      <w:r w:rsidR="00242175" w:rsidRPr="002D4502">
        <w:rPr>
          <w:rFonts w:ascii="Arial" w:hAnsi="Arial" w:cs="Arial"/>
          <w:sz w:val="20"/>
          <w:szCs w:val="20"/>
        </w:rPr>
        <w:t>[2</w:t>
      </w:r>
      <w:r w:rsidR="00992AB6" w:rsidRPr="002D4502">
        <w:rPr>
          <w:rFonts w:ascii="Arial" w:hAnsi="Arial" w:cs="Arial"/>
          <w:sz w:val="20"/>
          <w:szCs w:val="20"/>
        </w:rPr>
        <w:t>8</w:t>
      </w:r>
      <w:r w:rsidR="00242175" w:rsidRPr="002D4502">
        <w:rPr>
          <w:rFonts w:ascii="Arial" w:hAnsi="Arial" w:cs="Arial"/>
          <w:sz w:val="20"/>
          <w:szCs w:val="20"/>
        </w:rPr>
        <w:t>]</w:t>
      </w:r>
      <w:r w:rsidRPr="002D4502">
        <w:rPr>
          <w:rFonts w:ascii="Arial" w:hAnsi="Arial" w:cs="Arial"/>
          <w:sz w:val="20"/>
          <w:szCs w:val="20"/>
        </w:rPr>
        <w:t xml:space="preserve">. </w:t>
      </w:r>
    </w:p>
    <w:p w14:paraId="481F2BE5" w14:textId="3EF53406" w:rsidR="000012F6" w:rsidRPr="002D4502" w:rsidRDefault="00856C5E" w:rsidP="00BA086A">
      <w:pPr>
        <w:spacing w:line="240" w:lineRule="auto"/>
        <w:jc w:val="both"/>
        <w:rPr>
          <w:rFonts w:ascii="Arial" w:hAnsi="Arial" w:cs="Arial"/>
          <w:sz w:val="20"/>
          <w:szCs w:val="20"/>
        </w:rPr>
      </w:pPr>
      <w:r w:rsidRPr="002D4502">
        <w:rPr>
          <w:rFonts w:ascii="Arial" w:hAnsi="Arial" w:cs="Arial"/>
          <w:sz w:val="20"/>
          <w:szCs w:val="20"/>
        </w:rPr>
        <w:t>Reports indicate that various factors led to the loss of about 14,665.7 hectares of CBFM forest area during the same period</w:t>
      </w:r>
      <w:r w:rsidR="00AB5DCE" w:rsidRPr="002D4502">
        <w:rPr>
          <w:rFonts w:ascii="Arial" w:hAnsi="Arial" w:cs="Arial"/>
          <w:sz w:val="20"/>
          <w:szCs w:val="20"/>
        </w:rPr>
        <w:t xml:space="preserve">. </w:t>
      </w:r>
      <w:r w:rsidR="00A857B2" w:rsidRPr="002D4502">
        <w:rPr>
          <w:rFonts w:ascii="Arial" w:hAnsi="Arial" w:cs="Arial"/>
          <w:sz w:val="20"/>
          <w:szCs w:val="20"/>
        </w:rPr>
        <w:t xml:space="preserve">The primary factors contributing to deforestation are forest degradation and the change of land use, such as the conversion of forests into agricultural or grazing areas </w:t>
      </w:r>
      <w:r w:rsidR="00992AB6" w:rsidRPr="002D4502">
        <w:rPr>
          <w:rFonts w:ascii="Arial" w:hAnsi="Arial" w:cs="Arial"/>
          <w:sz w:val="20"/>
          <w:szCs w:val="20"/>
        </w:rPr>
        <w:t>[28]</w:t>
      </w:r>
      <w:r w:rsidRPr="002D4502">
        <w:rPr>
          <w:rFonts w:ascii="Arial" w:hAnsi="Arial" w:cs="Arial"/>
          <w:sz w:val="20"/>
          <w:szCs w:val="20"/>
        </w:rPr>
        <w:t>.</w:t>
      </w:r>
      <w:r w:rsidR="00120BD1" w:rsidRPr="002D4502">
        <w:rPr>
          <w:rFonts w:ascii="Arial" w:hAnsi="Arial" w:cs="Arial"/>
          <w:sz w:val="20"/>
          <w:szCs w:val="20"/>
        </w:rPr>
        <w:t xml:space="preserve"> </w:t>
      </w:r>
      <w:r w:rsidR="00AB5DCE" w:rsidRPr="002D4502">
        <w:rPr>
          <w:rFonts w:ascii="Arial" w:hAnsi="Arial" w:cs="Arial"/>
          <w:sz w:val="20"/>
          <w:szCs w:val="20"/>
        </w:rPr>
        <w:t xml:space="preserve">According to </w:t>
      </w:r>
      <w:proofErr w:type="spellStart"/>
      <w:proofErr w:type="gramStart"/>
      <w:r w:rsidR="00AB5DCE" w:rsidRPr="002D4502">
        <w:rPr>
          <w:rFonts w:ascii="Arial" w:hAnsi="Arial" w:cs="Arial"/>
          <w:sz w:val="20"/>
          <w:szCs w:val="20"/>
        </w:rPr>
        <w:t>Nzunda</w:t>
      </w:r>
      <w:proofErr w:type="spellEnd"/>
      <w:r w:rsidR="00AB5DCE" w:rsidRPr="002D4502">
        <w:rPr>
          <w:rFonts w:ascii="Arial" w:hAnsi="Arial" w:cs="Arial"/>
          <w:sz w:val="20"/>
          <w:szCs w:val="20"/>
        </w:rPr>
        <w:t xml:space="preserve"> </w:t>
      </w:r>
      <w:r w:rsidR="007413A0">
        <w:rPr>
          <w:rFonts w:ascii="Arial" w:hAnsi="Arial" w:cs="Arial"/>
          <w:sz w:val="20"/>
          <w:szCs w:val="20"/>
        </w:rPr>
        <w:t xml:space="preserve"> and</w:t>
      </w:r>
      <w:proofErr w:type="gramEnd"/>
      <w:r w:rsidR="007413A0">
        <w:rPr>
          <w:rFonts w:ascii="Arial" w:hAnsi="Arial" w:cs="Arial"/>
          <w:sz w:val="20"/>
          <w:szCs w:val="20"/>
        </w:rPr>
        <w:t xml:space="preserve"> </w:t>
      </w:r>
      <w:proofErr w:type="spellStart"/>
      <w:r w:rsidR="00AB5DCE" w:rsidRPr="002D4502">
        <w:rPr>
          <w:rFonts w:ascii="Arial" w:hAnsi="Arial" w:cs="Arial"/>
          <w:sz w:val="20"/>
          <w:szCs w:val="20"/>
        </w:rPr>
        <w:t>Manyanda</w:t>
      </w:r>
      <w:proofErr w:type="spellEnd"/>
      <w:r w:rsidR="00AB5DCE" w:rsidRPr="002D4502">
        <w:rPr>
          <w:rFonts w:ascii="Arial" w:hAnsi="Arial" w:cs="Arial"/>
          <w:sz w:val="20"/>
          <w:szCs w:val="20"/>
        </w:rPr>
        <w:t xml:space="preserve"> </w:t>
      </w:r>
      <w:r w:rsidR="00242175" w:rsidRPr="002D4502">
        <w:rPr>
          <w:rFonts w:ascii="Arial" w:hAnsi="Arial" w:cs="Arial"/>
          <w:sz w:val="20"/>
          <w:szCs w:val="20"/>
        </w:rPr>
        <w:t>[1</w:t>
      </w:r>
      <w:r w:rsidR="00992AB6" w:rsidRPr="002D4502">
        <w:rPr>
          <w:rFonts w:ascii="Arial" w:hAnsi="Arial" w:cs="Arial"/>
          <w:sz w:val="20"/>
          <w:szCs w:val="20"/>
        </w:rPr>
        <w:t>8</w:t>
      </w:r>
      <w:r w:rsidR="00242175" w:rsidRPr="002D4502">
        <w:rPr>
          <w:rFonts w:ascii="Arial" w:hAnsi="Arial" w:cs="Arial"/>
          <w:sz w:val="20"/>
          <w:szCs w:val="20"/>
        </w:rPr>
        <w:t>]</w:t>
      </w:r>
      <w:r w:rsidR="00AB5DCE" w:rsidRPr="002D4502">
        <w:rPr>
          <w:rFonts w:ascii="Arial" w:hAnsi="Arial" w:cs="Arial"/>
          <w:sz w:val="20"/>
          <w:szCs w:val="20"/>
        </w:rPr>
        <w:t xml:space="preserve"> regardless of the ownership in which forests and woodlands fall, deforestation and forest degradation pose major challenges to Tanzania's forest sector. </w:t>
      </w:r>
      <w:r w:rsidR="00120BD1" w:rsidRPr="002D4502">
        <w:rPr>
          <w:rFonts w:ascii="Arial" w:hAnsi="Arial" w:cs="Arial"/>
          <w:sz w:val="20"/>
          <w:szCs w:val="20"/>
        </w:rPr>
        <w:t>As a result, understanding how CBFM works is critical for sustainable forest management.</w:t>
      </w:r>
    </w:p>
    <w:p w14:paraId="4FADF130" w14:textId="337E868B" w:rsidR="00D3159D" w:rsidRPr="002D4502" w:rsidRDefault="00D3159D" w:rsidP="00BA086A">
      <w:pPr>
        <w:spacing w:line="240" w:lineRule="auto"/>
        <w:jc w:val="both"/>
        <w:rPr>
          <w:rFonts w:ascii="Arial" w:hAnsi="Arial" w:cs="Arial"/>
          <w:sz w:val="20"/>
          <w:szCs w:val="20"/>
        </w:rPr>
      </w:pPr>
      <w:r w:rsidRPr="002D4502">
        <w:rPr>
          <w:rFonts w:ascii="Arial" w:hAnsi="Arial" w:cs="Arial"/>
          <w:sz w:val="20"/>
          <w:szCs w:val="20"/>
        </w:rPr>
        <w:t xml:space="preserve">Similarly, </w:t>
      </w:r>
      <w:proofErr w:type="spellStart"/>
      <w:r w:rsidRPr="002D4502">
        <w:rPr>
          <w:rFonts w:ascii="Arial" w:hAnsi="Arial" w:cs="Arial"/>
          <w:sz w:val="20"/>
          <w:szCs w:val="20"/>
        </w:rPr>
        <w:t>Kilongo</w:t>
      </w:r>
      <w:proofErr w:type="spellEnd"/>
      <w:r w:rsidRPr="002D4502">
        <w:rPr>
          <w:rFonts w:ascii="Arial" w:hAnsi="Arial" w:cs="Arial"/>
          <w:sz w:val="20"/>
          <w:szCs w:val="20"/>
        </w:rPr>
        <w:t xml:space="preserve"> Forest Reserve in </w:t>
      </w:r>
      <w:proofErr w:type="spellStart"/>
      <w:r w:rsidRPr="002D4502">
        <w:rPr>
          <w:rFonts w:ascii="Arial" w:hAnsi="Arial" w:cs="Arial"/>
          <w:sz w:val="20"/>
          <w:szCs w:val="20"/>
        </w:rPr>
        <w:t>Wangingómbe</w:t>
      </w:r>
      <w:proofErr w:type="spellEnd"/>
      <w:r w:rsidRPr="002D4502">
        <w:rPr>
          <w:rFonts w:ascii="Arial" w:hAnsi="Arial" w:cs="Arial"/>
          <w:sz w:val="20"/>
          <w:szCs w:val="20"/>
        </w:rPr>
        <w:t xml:space="preserve"> District, </w:t>
      </w:r>
      <w:proofErr w:type="spellStart"/>
      <w:r w:rsidRPr="002D4502">
        <w:rPr>
          <w:rFonts w:ascii="Arial" w:hAnsi="Arial" w:cs="Arial"/>
          <w:sz w:val="20"/>
          <w:szCs w:val="20"/>
        </w:rPr>
        <w:t>Njombe</w:t>
      </w:r>
      <w:proofErr w:type="spellEnd"/>
      <w:r w:rsidRPr="002D4502">
        <w:rPr>
          <w:rFonts w:ascii="Arial" w:hAnsi="Arial" w:cs="Arial"/>
          <w:sz w:val="20"/>
          <w:szCs w:val="20"/>
        </w:rPr>
        <w:t xml:space="preserve"> Region, has been under a community-based forest management system since 2004 </w:t>
      </w:r>
      <w:r w:rsidR="00242175" w:rsidRPr="002D4502">
        <w:rPr>
          <w:rFonts w:ascii="Arial" w:hAnsi="Arial" w:cs="Arial"/>
          <w:sz w:val="20"/>
          <w:szCs w:val="20"/>
        </w:rPr>
        <w:t>[</w:t>
      </w:r>
      <w:bookmarkStart w:id="22" w:name="_Hlk170842140"/>
      <w:r w:rsidR="00992AB6" w:rsidRPr="002D4502">
        <w:rPr>
          <w:rFonts w:ascii="Arial" w:hAnsi="Arial" w:cs="Arial"/>
          <w:sz w:val="20"/>
          <w:szCs w:val="20"/>
        </w:rPr>
        <w:t>29</w:t>
      </w:r>
      <w:bookmarkEnd w:id="22"/>
      <w:r w:rsidR="00242175" w:rsidRPr="002D4502">
        <w:rPr>
          <w:rFonts w:ascii="Arial" w:hAnsi="Arial" w:cs="Arial"/>
          <w:sz w:val="20"/>
          <w:szCs w:val="20"/>
        </w:rPr>
        <w:t>]</w:t>
      </w:r>
      <w:r w:rsidRPr="002D4502">
        <w:rPr>
          <w:rFonts w:ascii="Arial" w:hAnsi="Arial" w:cs="Arial"/>
          <w:sz w:val="20"/>
          <w:szCs w:val="20"/>
        </w:rPr>
        <w:t xml:space="preserve">. The forest reserve is essential for people's livelihoods, as is the case for many forest reserves in the country. Apart from other environmental services, the forest reserve is home to two major water springs that serve the lowland irrigation and livestock of </w:t>
      </w:r>
      <w:proofErr w:type="spellStart"/>
      <w:r w:rsidRPr="002D4502">
        <w:rPr>
          <w:rFonts w:ascii="Arial" w:hAnsi="Arial" w:cs="Arial"/>
          <w:sz w:val="20"/>
          <w:szCs w:val="20"/>
        </w:rPr>
        <w:t>Masaulwa</w:t>
      </w:r>
      <w:proofErr w:type="spellEnd"/>
      <w:r w:rsidRPr="002D4502">
        <w:rPr>
          <w:rFonts w:ascii="Arial" w:hAnsi="Arial" w:cs="Arial"/>
          <w:sz w:val="20"/>
          <w:szCs w:val="20"/>
        </w:rPr>
        <w:t xml:space="preserve"> and </w:t>
      </w:r>
      <w:proofErr w:type="spellStart"/>
      <w:r w:rsidRPr="002D4502">
        <w:rPr>
          <w:rFonts w:ascii="Arial" w:hAnsi="Arial" w:cs="Arial"/>
          <w:sz w:val="20"/>
          <w:szCs w:val="20"/>
        </w:rPr>
        <w:t>Itambo</w:t>
      </w:r>
      <w:proofErr w:type="spellEnd"/>
      <w:r w:rsidRPr="002D4502">
        <w:rPr>
          <w:rFonts w:ascii="Arial" w:hAnsi="Arial" w:cs="Arial"/>
          <w:sz w:val="20"/>
          <w:szCs w:val="20"/>
        </w:rPr>
        <w:t xml:space="preserve"> villages. However, there is scant information on its sustainability, as reports show that the district has been losing its forests. For instance, </w:t>
      </w:r>
      <w:bookmarkStart w:id="23" w:name="_Hlk170842194"/>
      <w:r w:rsidRPr="002D4502">
        <w:rPr>
          <w:rFonts w:ascii="Arial" w:hAnsi="Arial" w:cs="Arial"/>
          <w:sz w:val="20"/>
          <w:szCs w:val="20"/>
        </w:rPr>
        <w:t xml:space="preserve">Gibbs &amp; Harris </w:t>
      </w:r>
      <w:r w:rsidR="00242175" w:rsidRPr="002D4502">
        <w:rPr>
          <w:rFonts w:ascii="Arial" w:hAnsi="Arial" w:cs="Arial"/>
          <w:sz w:val="20"/>
          <w:szCs w:val="20"/>
        </w:rPr>
        <w:t>[3</w:t>
      </w:r>
      <w:r w:rsidR="00992AB6" w:rsidRPr="002D4502">
        <w:rPr>
          <w:rFonts w:ascii="Arial" w:hAnsi="Arial" w:cs="Arial"/>
          <w:sz w:val="20"/>
          <w:szCs w:val="20"/>
        </w:rPr>
        <w:t>0</w:t>
      </w:r>
      <w:r w:rsidR="00242175" w:rsidRPr="002D4502">
        <w:rPr>
          <w:rFonts w:ascii="Arial" w:hAnsi="Arial" w:cs="Arial"/>
          <w:sz w:val="20"/>
          <w:szCs w:val="20"/>
        </w:rPr>
        <w:t>]</w:t>
      </w:r>
      <w:r w:rsidRPr="002D4502">
        <w:rPr>
          <w:rFonts w:ascii="Arial" w:hAnsi="Arial" w:cs="Arial"/>
          <w:sz w:val="20"/>
          <w:szCs w:val="20"/>
        </w:rPr>
        <w:t xml:space="preserve"> </w:t>
      </w:r>
      <w:bookmarkEnd w:id="23"/>
      <w:r w:rsidRPr="002D4502">
        <w:rPr>
          <w:rFonts w:ascii="Arial" w:hAnsi="Arial" w:cs="Arial"/>
          <w:sz w:val="20"/>
          <w:szCs w:val="20"/>
        </w:rPr>
        <w:t xml:space="preserve">indicate that </w:t>
      </w:r>
      <w:proofErr w:type="spellStart"/>
      <w:r w:rsidRPr="002D4502">
        <w:rPr>
          <w:rFonts w:ascii="Arial" w:hAnsi="Arial" w:cs="Arial"/>
          <w:sz w:val="20"/>
          <w:szCs w:val="20"/>
        </w:rPr>
        <w:t>Wangingómbe</w:t>
      </w:r>
      <w:proofErr w:type="spellEnd"/>
      <w:r w:rsidRPr="002D4502">
        <w:rPr>
          <w:rFonts w:ascii="Arial" w:hAnsi="Arial" w:cs="Arial"/>
          <w:sz w:val="20"/>
          <w:szCs w:val="20"/>
        </w:rPr>
        <w:t xml:space="preserve"> District lost 42 hectares of primary forest between 2002 and 2023, making up 0.78% of its total tree cover loss in the same period.</w:t>
      </w:r>
    </w:p>
    <w:p w14:paraId="4BD5F22D" w14:textId="402D34EB" w:rsidR="00CE6862" w:rsidRPr="002D4502" w:rsidRDefault="005C4B5C" w:rsidP="00BA086A">
      <w:pPr>
        <w:spacing w:line="240" w:lineRule="auto"/>
        <w:jc w:val="both"/>
        <w:rPr>
          <w:rFonts w:ascii="Arial" w:hAnsi="Arial" w:cs="Arial"/>
          <w:sz w:val="20"/>
          <w:szCs w:val="20"/>
        </w:rPr>
      </w:pPr>
      <w:r w:rsidRPr="002D4502">
        <w:rPr>
          <w:rFonts w:ascii="Arial" w:hAnsi="Arial" w:cs="Arial"/>
          <w:sz w:val="20"/>
          <w:szCs w:val="20"/>
        </w:rPr>
        <w:t xml:space="preserve">Various studies show that community-based forest management has not always been practical in the country. According to </w:t>
      </w:r>
      <w:proofErr w:type="spellStart"/>
      <w:r w:rsidRPr="002D4502">
        <w:rPr>
          <w:rFonts w:ascii="Arial" w:hAnsi="Arial" w:cs="Arial"/>
          <w:sz w:val="20"/>
          <w:szCs w:val="20"/>
        </w:rPr>
        <w:t>Nzunda</w:t>
      </w:r>
      <w:proofErr w:type="spellEnd"/>
      <w:r w:rsidRPr="002D4502">
        <w:rPr>
          <w:rFonts w:ascii="Arial" w:hAnsi="Arial" w:cs="Arial"/>
          <w:sz w:val="20"/>
          <w:szCs w:val="20"/>
        </w:rPr>
        <w:t xml:space="preserve"> </w:t>
      </w:r>
      <w:r w:rsidR="007413A0">
        <w:rPr>
          <w:rFonts w:ascii="Arial" w:hAnsi="Arial" w:cs="Arial"/>
          <w:sz w:val="20"/>
          <w:szCs w:val="20"/>
        </w:rPr>
        <w:t>and</w:t>
      </w:r>
      <w:r w:rsidRPr="002D4502">
        <w:rPr>
          <w:rFonts w:ascii="Arial" w:hAnsi="Arial" w:cs="Arial"/>
          <w:sz w:val="20"/>
          <w:szCs w:val="20"/>
        </w:rPr>
        <w:t xml:space="preserve"> </w:t>
      </w:r>
      <w:proofErr w:type="spellStart"/>
      <w:r w:rsidRPr="002D4502">
        <w:rPr>
          <w:rFonts w:ascii="Arial" w:hAnsi="Arial" w:cs="Arial"/>
          <w:sz w:val="20"/>
          <w:szCs w:val="20"/>
        </w:rPr>
        <w:t>Manyanda</w:t>
      </w:r>
      <w:proofErr w:type="spellEnd"/>
      <w:r w:rsidRPr="002D4502">
        <w:rPr>
          <w:rFonts w:ascii="Arial" w:hAnsi="Arial" w:cs="Arial"/>
          <w:sz w:val="20"/>
          <w:szCs w:val="20"/>
        </w:rPr>
        <w:t xml:space="preserve"> </w:t>
      </w:r>
      <w:r w:rsidR="00242175" w:rsidRPr="002D4502">
        <w:rPr>
          <w:rFonts w:ascii="Arial" w:hAnsi="Arial" w:cs="Arial"/>
          <w:sz w:val="20"/>
          <w:szCs w:val="20"/>
        </w:rPr>
        <w:t>[1</w:t>
      </w:r>
      <w:r w:rsidR="00992AB6" w:rsidRPr="002D4502">
        <w:rPr>
          <w:rFonts w:ascii="Arial" w:hAnsi="Arial" w:cs="Arial"/>
          <w:sz w:val="20"/>
          <w:szCs w:val="20"/>
        </w:rPr>
        <w:t>8</w:t>
      </w:r>
      <w:r w:rsidR="00242175" w:rsidRPr="002D4502">
        <w:rPr>
          <w:rFonts w:ascii="Arial" w:hAnsi="Arial" w:cs="Arial"/>
          <w:sz w:val="20"/>
          <w:szCs w:val="20"/>
        </w:rPr>
        <w:t>]</w:t>
      </w:r>
      <w:r w:rsidRPr="002D4502">
        <w:rPr>
          <w:rFonts w:ascii="Arial" w:hAnsi="Arial" w:cs="Arial"/>
          <w:sz w:val="20"/>
          <w:szCs w:val="20"/>
        </w:rPr>
        <w:t xml:space="preserve"> and </w:t>
      </w:r>
      <w:bookmarkStart w:id="24" w:name="_Hlk170842242"/>
      <w:proofErr w:type="spellStart"/>
      <w:r w:rsidRPr="002D4502">
        <w:rPr>
          <w:rFonts w:ascii="Arial" w:hAnsi="Arial" w:cs="Arial"/>
          <w:sz w:val="20"/>
          <w:szCs w:val="20"/>
        </w:rPr>
        <w:t>Sungusia</w:t>
      </w:r>
      <w:proofErr w:type="spellEnd"/>
      <w:r w:rsidRPr="002D4502">
        <w:rPr>
          <w:rFonts w:ascii="Arial" w:hAnsi="Arial" w:cs="Arial"/>
          <w:sz w:val="20"/>
          <w:szCs w:val="20"/>
        </w:rPr>
        <w:t xml:space="preserve"> et al. </w:t>
      </w:r>
      <w:r w:rsidR="00242175" w:rsidRPr="002D4502">
        <w:rPr>
          <w:rFonts w:ascii="Arial" w:hAnsi="Arial" w:cs="Arial"/>
          <w:sz w:val="20"/>
          <w:szCs w:val="20"/>
        </w:rPr>
        <w:t>[3</w:t>
      </w:r>
      <w:r w:rsidR="00992AB6" w:rsidRPr="002D4502">
        <w:rPr>
          <w:rFonts w:ascii="Arial" w:hAnsi="Arial" w:cs="Arial"/>
          <w:sz w:val="20"/>
          <w:szCs w:val="20"/>
        </w:rPr>
        <w:t>1</w:t>
      </w:r>
      <w:r w:rsidR="00242175" w:rsidRPr="002D4502">
        <w:rPr>
          <w:rFonts w:ascii="Arial" w:hAnsi="Arial" w:cs="Arial"/>
          <w:sz w:val="20"/>
          <w:szCs w:val="20"/>
        </w:rPr>
        <w:t>]</w:t>
      </w:r>
      <w:r w:rsidRPr="002D4502">
        <w:rPr>
          <w:rFonts w:ascii="Arial" w:hAnsi="Arial" w:cs="Arial"/>
          <w:sz w:val="20"/>
          <w:szCs w:val="20"/>
        </w:rPr>
        <w:t xml:space="preserve">, </w:t>
      </w:r>
      <w:bookmarkEnd w:id="24"/>
      <w:r w:rsidRPr="002D4502">
        <w:rPr>
          <w:rFonts w:ascii="Arial" w:hAnsi="Arial" w:cs="Arial"/>
          <w:sz w:val="20"/>
          <w:szCs w:val="20"/>
        </w:rPr>
        <w:t xml:space="preserve">there is a disconnect between ideals and reality in many community-based forest management </w:t>
      </w:r>
      <w:proofErr w:type="spellStart"/>
      <w:r w:rsidR="00C7656F">
        <w:rPr>
          <w:rFonts w:ascii="Arial" w:hAnsi="Arial" w:cs="Arial"/>
          <w:sz w:val="20"/>
          <w:szCs w:val="20"/>
        </w:rPr>
        <w:t>practises</w:t>
      </w:r>
      <w:r w:rsidRPr="002D4502">
        <w:rPr>
          <w:rFonts w:ascii="Arial" w:hAnsi="Arial" w:cs="Arial"/>
          <w:sz w:val="20"/>
          <w:szCs w:val="20"/>
        </w:rPr>
        <w:t>s</w:t>
      </w:r>
      <w:proofErr w:type="spellEnd"/>
      <w:r w:rsidRPr="002D4502">
        <w:rPr>
          <w:rFonts w:ascii="Arial" w:hAnsi="Arial" w:cs="Arial"/>
          <w:sz w:val="20"/>
          <w:szCs w:val="20"/>
        </w:rPr>
        <w:t xml:space="preserve">. Thus, since there is limited information available regarding the sustainability of </w:t>
      </w:r>
      <w:proofErr w:type="spellStart"/>
      <w:r w:rsidRPr="002D4502">
        <w:rPr>
          <w:rFonts w:ascii="Arial" w:hAnsi="Arial" w:cs="Arial"/>
          <w:sz w:val="20"/>
          <w:szCs w:val="20"/>
        </w:rPr>
        <w:t>Kilongo</w:t>
      </w:r>
      <w:proofErr w:type="spellEnd"/>
      <w:r w:rsidRPr="002D4502">
        <w:rPr>
          <w:rFonts w:ascii="Arial" w:hAnsi="Arial" w:cs="Arial"/>
          <w:sz w:val="20"/>
          <w:szCs w:val="20"/>
        </w:rPr>
        <w:t xml:space="preserve"> Forest Reserve under community-based forest management, this study aimed to (a) analyse the perceptions of the local community on community-based forest management and (b) assess the effectiveness of community-based forest management in the study village. Assessing the sustainability of </w:t>
      </w:r>
      <w:proofErr w:type="spellStart"/>
      <w:r w:rsidRPr="002D4502">
        <w:rPr>
          <w:rFonts w:ascii="Arial" w:hAnsi="Arial" w:cs="Arial"/>
          <w:sz w:val="20"/>
          <w:szCs w:val="20"/>
        </w:rPr>
        <w:t>Kilongo</w:t>
      </w:r>
      <w:proofErr w:type="spellEnd"/>
      <w:r w:rsidRPr="002D4502">
        <w:rPr>
          <w:rFonts w:ascii="Arial" w:hAnsi="Arial" w:cs="Arial"/>
          <w:sz w:val="20"/>
          <w:szCs w:val="20"/>
        </w:rPr>
        <w:t xml:space="preserve"> Forest Reserve through </w:t>
      </w:r>
      <w:r w:rsidRPr="002D4502">
        <w:rPr>
          <w:rFonts w:ascii="Arial" w:hAnsi="Arial" w:cs="Arial"/>
          <w:sz w:val="20"/>
          <w:szCs w:val="20"/>
        </w:rPr>
        <w:lastRenderedPageBreak/>
        <w:t xml:space="preserve">community-based forest management is crucial, as it enhances understanding and provides guidance to policymakers and other forestry stakeholders on enhancing community-based </w:t>
      </w:r>
      <w:bookmarkStart w:id="25" w:name="_Hlk170834543"/>
      <w:r w:rsidRPr="002D4502">
        <w:rPr>
          <w:rFonts w:ascii="Arial" w:hAnsi="Arial" w:cs="Arial"/>
          <w:sz w:val="20"/>
          <w:szCs w:val="20"/>
        </w:rPr>
        <w:t>forest management for the purpose of achieving sustainable forest management.</w:t>
      </w:r>
      <w:bookmarkEnd w:id="25"/>
      <w:r w:rsidR="00400F5C" w:rsidRPr="002D4502">
        <w:rPr>
          <w:rFonts w:ascii="Arial" w:hAnsi="Arial" w:cs="Arial"/>
          <w:sz w:val="20"/>
          <w:szCs w:val="20"/>
        </w:rPr>
        <w:t xml:space="preserve"> </w:t>
      </w:r>
    </w:p>
    <w:p w14:paraId="4B3800AB" w14:textId="1EB3C3C0" w:rsidR="00455EAE" w:rsidRPr="002D4502" w:rsidRDefault="00455EAE" w:rsidP="00BA086A">
      <w:pPr>
        <w:pStyle w:val="ListParagraph"/>
        <w:numPr>
          <w:ilvl w:val="0"/>
          <w:numId w:val="1"/>
        </w:numPr>
        <w:spacing w:line="240" w:lineRule="auto"/>
        <w:jc w:val="both"/>
        <w:rPr>
          <w:rFonts w:ascii="Arial" w:hAnsi="Arial" w:cs="Arial"/>
          <w:b/>
          <w:bCs/>
          <w:shd w:val="clear" w:color="auto" w:fill="FFFFFF"/>
        </w:rPr>
      </w:pPr>
      <w:r w:rsidRPr="002D4502">
        <w:rPr>
          <w:rFonts w:ascii="Arial" w:hAnsi="Arial" w:cs="Arial"/>
          <w:b/>
          <w:bCs/>
          <w:shd w:val="clear" w:color="auto" w:fill="FFFFFF"/>
        </w:rPr>
        <w:t>MATERIALS AND METHODS</w:t>
      </w:r>
    </w:p>
    <w:p w14:paraId="22F5B048" w14:textId="51D083D4" w:rsidR="00455EAE" w:rsidRPr="002D4502" w:rsidRDefault="006A2C99" w:rsidP="00BA086A">
      <w:pPr>
        <w:pStyle w:val="ListParagraph"/>
        <w:spacing w:line="240" w:lineRule="auto"/>
        <w:ind w:left="426" w:hanging="142"/>
        <w:jc w:val="both"/>
        <w:rPr>
          <w:rFonts w:ascii="Arial" w:hAnsi="Arial" w:cs="Arial"/>
          <w:b/>
          <w:bCs/>
          <w:shd w:val="clear" w:color="auto" w:fill="FFFFFF"/>
        </w:rPr>
      </w:pPr>
      <w:r w:rsidRPr="002D4502">
        <w:rPr>
          <w:rFonts w:ascii="Arial" w:hAnsi="Arial" w:cs="Arial"/>
          <w:b/>
          <w:bCs/>
          <w:shd w:val="clear" w:color="auto" w:fill="FFFFFF"/>
        </w:rPr>
        <w:t xml:space="preserve"> 2.1 </w:t>
      </w:r>
      <w:r w:rsidR="00836C53" w:rsidRPr="002D4502">
        <w:rPr>
          <w:rFonts w:ascii="Arial" w:hAnsi="Arial" w:cs="Arial"/>
          <w:b/>
          <w:bCs/>
          <w:shd w:val="clear" w:color="auto" w:fill="FFFFFF"/>
        </w:rPr>
        <w:t>Description of the Study Site</w:t>
      </w:r>
    </w:p>
    <w:p w14:paraId="57744211" w14:textId="2A4C88D0" w:rsidR="003D4AEA" w:rsidRPr="002D4502" w:rsidRDefault="0068781A" w:rsidP="00BA086A">
      <w:pPr>
        <w:pStyle w:val="NormalWeb"/>
        <w:jc w:val="both"/>
        <w:rPr>
          <w:rFonts w:ascii="Arial" w:hAnsi="Arial" w:cs="Arial"/>
          <w:sz w:val="20"/>
          <w:szCs w:val="20"/>
        </w:rPr>
      </w:pPr>
      <w:r w:rsidRPr="002D4502">
        <w:rPr>
          <w:rFonts w:ascii="Arial" w:hAnsi="Arial" w:cs="Arial"/>
          <w:sz w:val="20"/>
          <w:szCs w:val="20"/>
        </w:rPr>
        <w:t xml:space="preserve">The Kilongo Forest Reserve covers 58.21 hectares in Masaulwa village, Imalinyi Ward, Wangingómbe District, Njombe Region. Wangingómbe is one of the two districts in Njombe Region that </w:t>
      </w:r>
      <w:r w:rsidR="00C7656F">
        <w:rPr>
          <w:rFonts w:ascii="Arial" w:hAnsi="Arial" w:cs="Arial"/>
          <w:sz w:val="20"/>
          <w:szCs w:val="20"/>
        </w:rPr>
        <w:t>practises</w:t>
      </w:r>
      <w:r w:rsidRPr="002D4502">
        <w:rPr>
          <w:rFonts w:ascii="Arial" w:hAnsi="Arial" w:cs="Arial"/>
          <w:sz w:val="20"/>
          <w:szCs w:val="20"/>
        </w:rPr>
        <w:t xml:space="preserve">s community-based forest management. Masaulwa is one of 10 villages in Njombe Region declared for community-based forest management by the government </w:t>
      </w:r>
      <w:r w:rsidR="00601E10" w:rsidRPr="002D4502">
        <w:rPr>
          <w:rFonts w:ascii="Arial" w:hAnsi="Arial" w:cs="Arial"/>
          <w:sz w:val="20"/>
          <w:szCs w:val="20"/>
          <w:lang w:val="en-US"/>
        </w:rPr>
        <w:t>[2</w:t>
      </w:r>
      <w:r w:rsidR="00992AB6" w:rsidRPr="002D4502">
        <w:rPr>
          <w:rFonts w:ascii="Arial" w:hAnsi="Arial" w:cs="Arial"/>
          <w:sz w:val="20"/>
          <w:szCs w:val="20"/>
          <w:lang w:val="en-US"/>
        </w:rPr>
        <w:t>8</w:t>
      </w:r>
      <w:r w:rsidR="00601E10" w:rsidRPr="002D4502">
        <w:rPr>
          <w:rFonts w:ascii="Arial" w:hAnsi="Arial" w:cs="Arial"/>
          <w:sz w:val="20"/>
          <w:szCs w:val="20"/>
          <w:lang w:val="en-US"/>
        </w:rPr>
        <w:t>]</w:t>
      </w:r>
      <w:r w:rsidRPr="002D4502">
        <w:rPr>
          <w:rFonts w:ascii="Arial" w:hAnsi="Arial" w:cs="Arial"/>
          <w:sz w:val="20"/>
          <w:szCs w:val="20"/>
        </w:rPr>
        <w:t>. The forest reserve is located between latitudes 8</w:t>
      </w:r>
      <w:r w:rsidRPr="002D4502">
        <w:rPr>
          <w:rFonts w:ascii="Arial" w:hAnsi="Arial" w:cs="Arial"/>
          <w:sz w:val="20"/>
          <w:szCs w:val="20"/>
          <w:vertAlign w:val="superscript"/>
        </w:rPr>
        <w:t>0</w:t>
      </w:r>
      <w:r w:rsidRPr="002D4502">
        <w:rPr>
          <w:rFonts w:ascii="Arial" w:hAnsi="Arial" w:cs="Arial"/>
          <w:sz w:val="20"/>
          <w:szCs w:val="20"/>
        </w:rPr>
        <w:t>06’S to 9</w:t>
      </w:r>
      <w:r w:rsidRPr="002D4502">
        <w:rPr>
          <w:rFonts w:ascii="Arial" w:hAnsi="Arial" w:cs="Arial"/>
          <w:sz w:val="20"/>
          <w:szCs w:val="20"/>
          <w:vertAlign w:val="superscript"/>
        </w:rPr>
        <w:t>0</w:t>
      </w:r>
      <w:r w:rsidRPr="002D4502">
        <w:rPr>
          <w:rFonts w:ascii="Arial" w:hAnsi="Arial" w:cs="Arial"/>
          <w:sz w:val="20"/>
          <w:szCs w:val="20"/>
        </w:rPr>
        <w:t>10’S and longitudes 34</w:t>
      </w:r>
      <w:r w:rsidRPr="002D4502">
        <w:rPr>
          <w:rFonts w:ascii="Arial" w:hAnsi="Arial" w:cs="Arial"/>
          <w:sz w:val="20"/>
          <w:szCs w:val="20"/>
          <w:vertAlign w:val="superscript"/>
        </w:rPr>
        <w:t>0</w:t>
      </w:r>
      <w:r w:rsidRPr="002D4502">
        <w:rPr>
          <w:rFonts w:ascii="Arial" w:hAnsi="Arial" w:cs="Arial"/>
          <w:sz w:val="20"/>
          <w:szCs w:val="20"/>
        </w:rPr>
        <w:t>34’E to 34</w:t>
      </w:r>
      <w:r w:rsidRPr="002D4502">
        <w:rPr>
          <w:rFonts w:ascii="Arial" w:hAnsi="Arial" w:cs="Arial"/>
          <w:sz w:val="20"/>
          <w:szCs w:val="20"/>
          <w:vertAlign w:val="superscript"/>
        </w:rPr>
        <w:t>0</w:t>
      </w:r>
      <w:r w:rsidRPr="002D4502">
        <w:rPr>
          <w:rFonts w:ascii="Arial" w:hAnsi="Arial" w:cs="Arial"/>
          <w:sz w:val="20"/>
          <w:szCs w:val="20"/>
        </w:rPr>
        <w:t xml:space="preserve">37’E (Figure 1). In 2004, the District of Wangingómbe designated the Kilongo Forest Reserve as the first under the community-based forest management approach </w:t>
      </w:r>
      <w:r w:rsidR="00601E10" w:rsidRPr="002D4502">
        <w:rPr>
          <w:rFonts w:ascii="Arial" w:hAnsi="Arial" w:cs="Arial"/>
          <w:sz w:val="20"/>
          <w:szCs w:val="20"/>
          <w:lang w:val="en-US"/>
        </w:rPr>
        <w:t>[</w:t>
      </w:r>
      <w:r w:rsidR="00992AB6" w:rsidRPr="002D4502">
        <w:rPr>
          <w:rFonts w:ascii="Arial" w:hAnsi="Arial" w:cs="Arial"/>
          <w:sz w:val="20"/>
          <w:szCs w:val="20"/>
          <w:lang w:val="en-US"/>
        </w:rPr>
        <w:t>29</w:t>
      </w:r>
      <w:r w:rsidR="00601E10" w:rsidRPr="002D4502">
        <w:rPr>
          <w:rFonts w:ascii="Arial" w:hAnsi="Arial" w:cs="Arial"/>
          <w:sz w:val="20"/>
          <w:szCs w:val="20"/>
          <w:lang w:val="en-US"/>
        </w:rPr>
        <w:t>]</w:t>
      </w:r>
      <w:r w:rsidRPr="002D4502">
        <w:rPr>
          <w:rFonts w:ascii="Arial" w:hAnsi="Arial" w:cs="Arial"/>
          <w:sz w:val="20"/>
          <w:szCs w:val="20"/>
        </w:rPr>
        <w:t xml:space="preserve">. Administratively, the village of Masaulwa comprises five sub-villages, namely, Bomani, Ikaula, Kilongo, Uheni, and Yeriko </w:t>
      </w:r>
      <w:r w:rsidR="00601E10" w:rsidRPr="002D4502">
        <w:rPr>
          <w:rFonts w:ascii="Arial" w:hAnsi="Arial" w:cs="Arial"/>
          <w:sz w:val="20"/>
          <w:szCs w:val="20"/>
          <w:lang w:val="en-US"/>
        </w:rPr>
        <w:t>[30]</w:t>
      </w:r>
      <w:r w:rsidRPr="002D4502">
        <w:rPr>
          <w:rFonts w:ascii="Arial" w:hAnsi="Arial" w:cs="Arial"/>
          <w:sz w:val="20"/>
          <w:szCs w:val="20"/>
        </w:rPr>
        <w:t xml:space="preserve">. The village's local community, as of 2023, consisted of 500 households </w:t>
      </w:r>
      <w:r w:rsidR="00601E10" w:rsidRPr="002D4502">
        <w:rPr>
          <w:rFonts w:ascii="Arial" w:hAnsi="Arial" w:cs="Arial"/>
          <w:sz w:val="20"/>
          <w:szCs w:val="20"/>
          <w:lang w:val="en-US"/>
        </w:rPr>
        <w:t>[</w:t>
      </w:r>
      <w:bookmarkStart w:id="26" w:name="_Hlk170842298"/>
      <w:r w:rsidR="00601E10" w:rsidRPr="002D4502">
        <w:rPr>
          <w:rFonts w:ascii="Arial" w:hAnsi="Arial" w:cs="Arial"/>
          <w:sz w:val="20"/>
          <w:szCs w:val="20"/>
          <w:lang w:val="en-US"/>
        </w:rPr>
        <w:t>3</w:t>
      </w:r>
      <w:r w:rsidR="00992AB6" w:rsidRPr="002D4502">
        <w:rPr>
          <w:rFonts w:ascii="Arial" w:hAnsi="Arial" w:cs="Arial"/>
          <w:sz w:val="20"/>
          <w:szCs w:val="20"/>
          <w:lang w:val="en-US"/>
        </w:rPr>
        <w:t>2</w:t>
      </w:r>
      <w:bookmarkEnd w:id="26"/>
      <w:r w:rsidR="00601E10" w:rsidRPr="002D4502">
        <w:rPr>
          <w:rFonts w:ascii="Arial" w:hAnsi="Arial" w:cs="Arial"/>
          <w:sz w:val="20"/>
          <w:szCs w:val="20"/>
          <w:lang w:val="en-US"/>
        </w:rPr>
        <w:t>]</w:t>
      </w:r>
      <w:r w:rsidRPr="002D4502">
        <w:rPr>
          <w:rFonts w:ascii="Arial" w:hAnsi="Arial" w:cs="Arial"/>
          <w:sz w:val="20"/>
          <w:szCs w:val="20"/>
        </w:rPr>
        <w:t>.</w:t>
      </w:r>
    </w:p>
    <w:p w14:paraId="42FF6680" w14:textId="77777777" w:rsidR="000E4FFA" w:rsidRPr="002D4502" w:rsidRDefault="00467C4A" w:rsidP="00BA086A">
      <w:pPr>
        <w:pStyle w:val="NormalWeb"/>
        <w:keepNext/>
        <w:rPr>
          <w:rFonts w:ascii="Arial" w:hAnsi="Arial" w:cs="Arial"/>
          <w:sz w:val="20"/>
          <w:szCs w:val="20"/>
        </w:rPr>
      </w:pPr>
      <w:r w:rsidRPr="002D4502">
        <w:rPr>
          <w:rFonts w:ascii="Arial" w:hAnsi="Arial" w:cs="Arial"/>
          <w:noProof/>
          <w:sz w:val="20"/>
          <w:szCs w:val="20"/>
          <w:bdr w:val="single" w:sz="8" w:space="0" w:color="auto"/>
        </w:rPr>
        <w:drawing>
          <wp:inline distT="0" distB="0" distL="0" distR="0" wp14:anchorId="264DCE26" wp14:editId="76B34033">
            <wp:extent cx="5695950" cy="4214606"/>
            <wp:effectExtent l="0" t="0" r="0" b="0"/>
            <wp:docPr id="1740293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4214606"/>
                    </a:xfrm>
                    <a:prstGeom prst="rect">
                      <a:avLst/>
                    </a:prstGeom>
                    <a:noFill/>
                    <a:ln>
                      <a:noFill/>
                    </a:ln>
                  </pic:spPr>
                </pic:pic>
              </a:graphicData>
            </a:graphic>
          </wp:inline>
        </w:drawing>
      </w:r>
    </w:p>
    <w:p w14:paraId="7236404D" w14:textId="225359E3" w:rsidR="00467C4A" w:rsidRPr="002D4502" w:rsidRDefault="000E4FFA" w:rsidP="00BA086A">
      <w:pPr>
        <w:pStyle w:val="Caption"/>
        <w:rPr>
          <w:rFonts w:ascii="Arial" w:hAnsi="Arial" w:cs="Arial"/>
          <w:i w:val="0"/>
          <w:iCs w:val="0"/>
          <w:color w:val="auto"/>
          <w:sz w:val="20"/>
          <w:szCs w:val="20"/>
          <w:lang/>
        </w:rPr>
      </w:pPr>
      <w:r w:rsidRPr="002D4502">
        <w:rPr>
          <w:rFonts w:ascii="Arial" w:hAnsi="Arial" w:cs="Arial"/>
          <w:i w:val="0"/>
          <w:iCs w:val="0"/>
          <w:color w:val="auto"/>
          <w:sz w:val="20"/>
          <w:szCs w:val="20"/>
        </w:rPr>
        <w:t xml:space="preserve">Figure </w:t>
      </w:r>
      <w:r w:rsidRPr="002D4502">
        <w:rPr>
          <w:rFonts w:ascii="Arial" w:hAnsi="Arial" w:cs="Arial"/>
          <w:i w:val="0"/>
          <w:iCs w:val="0"/>
          <w:color w:val="auto"/>
          <w:sz w:val="20"/>
          <w:szCs w:val="20"/>
        </w:rPr>
        <w:fldChar w:fldCharType="begin"/>
      </w:r>
      <w:r w:rsidRPr="002D4502">
        <w:rPr>
          <w:rFonts w:ascii="Arial" w:hAnsi="Arial" w:cs="Arial"/>
          <w:i w:val="0"/>
          <w:iCs w:val="0"/>
          <w:color w:val="auto"/>
          <w:sz w:val="20"/>
          <w:szCs w:val="20"/>
        </w:rPr>
        <w:instrText xml:space="preserve"> SEQ Figure \* ARABIC </w:instrText>
      </w:r>
      <w:r w:rsidRPr="002D4502">
        <w:rPr>
          <w:rFonts w:ascii="Arial" w:hAnsi="Arial" w:cs="Arial"/>
          <w:i w:val="0"/>
          <w:iCs w:val="0"/>
          <w:color w:val="auto"/>
          <w:sz w:val="20"/>
          <w:szCs w:val="20"/>
        </w:rPr>
        <w:fldChar w:fldCharType="separate"/>
      </w:r>
      <w:r w:rsidR="007704D4" w:rsidRPr="002D4502">
        <w:rPr>
          <w:rFonts w:ascii="Arial" w:hAnsi="Arial" w:cs="Arial"/>
          <w:i w:val="0"/>
          <w:iCs w:val="0"/>
          <w:noProof/>
          <w:color w:val="auto"/>
          <w:sz w:val="20"/>
          <w:szCs w:val="20"/>
        </w:rPr>
        <w:t>1</w:t>
      </w:r>
      <w:r w:rsidRPr="002D4502">
        <w:rPr>
          <w:rFonts w:ascii="Arial" w:hAnsi="Arial" w:cs="Arial"/>
          <w:i w:val="0"/>
          <w:iCs w:val="0"/>
          <w:color w:val="auto"/>
          <w:sz w:val="20"/>
          <w:szCs w:val="20"/>
        </w:rPr>
        <w:fldChar w:fldCharType="end"/>
      </w:r>
      <w:r w:rsidRPr="002D4502">
        <w:rPr>
          <w:rFonts w:ascii="Arial" w:hAnsi="Arial" w:cs="Arial"/>
          <w:i w:val="0"/>
          <w:iCs w:val="0"/>
          <w:color w:val="auto"/>
          <w:sz w:val="20"/>
          <w:szCs w:val="20"/>
        </w:rPr>
        <w:t xml:space="preserve">: Location of </w:t>
      </w:r>
      <w:proofErr w:type="spellStart"/>
      <w:r w:rsidR="001254C6" w:rsidRPr="002D4502">
        <w:rPr>
          <w:rFonts w:ascii="Arial" w:hAnsi="Arial" w:cs="Arial"/>
          <w:i w:val="0"/>
          <w:iCs w:val="0"/>
          <w:color w:val="auto"/>
          <w:sz w:val="20"/>
          <w:szCs w:val="20"/>
        </w:rPr>
        <w:t>Kilongo</w:t>
      </w:r>
      <w:proofErr w:type="spellEnd"/>
      <w:r w:rsidR="001254C6" w:rsidRPr="002D4502">
        <w:rPr>
          <w:rFonts w:ascii="Arial" w:hAnsi="Arial" w:cs="Arial"/>
          <w:i w:val="0"/>
          <w:iCs w:val="0"/>
          <w:color w:val="auto"/>
          <w:sz w:val="20"/>
          <w:szCs w:val="20"/>
        </w:rPr>
        <w:t xml:space="preserve"> Forest Reserve</w:t>
      </w:r>
    </w:p>
    <w:p w14:paraId="16CBC0FD" w14:textId="55BD52D8" w:rsidR="003D4AEA" w:rsidRPr="002D4502" w:rsidRDefault="00A857B2" w:rsidP="00BA086A">
      <w:pPr>
        <w:pStyle w:val="NormalWeb"/>
        <w:jc w:val="both"/>
        <w:rPr>
          <w:rFonts w:ascii="Arial" w:hAnsi="Arial" w:cs="Arial"/>
          <w:b/>
          <w:bCs/>
          <w:color w:val="FF0000"/>
          <w:sz w:val="20"/>
          <w:szCs w:val="20"/>
        </w:rPr>
      </w:pPr>
      <w:r w:rsidRPr="002D4502">
        <w:rPr>
          <w:rFonts w:ascii="Arial" w:hAnsi="Arial" w:cs="Arial"/>
          <w:sz w:val="20"/>
          <w:szCs w:val="20"/>
        </w:rPr>
        <w:t xml:space="preserve">The </w:t>
      </w:r>
      <w:r w:rsidRPr="002D4502">
        <w:rPr>
          <w:rFonts w:ascii="Arial" w:hAnsi="Arial" w:cs="Arial"/>
          <w:sz w:val="20"/>
          <w:szCs w:val="20"/>
          <w:lang w:val="en-US"/>
        </w:rPr>
        <w:t>study area</w:t>
      </w:r>
      <w:r w:rsidRPr="002D4502">
        <w:rPr>
          <w:rFonts w:ascii="Arial" w:hAnsi="Arial" w:cs="Arial"/>
          <w:sz w:val="20"/>
          <w:szCs w:val="20"/>
        </w:rPr>
        <w:t xml:space="preserve"> is located in the Highland agro-ecological zone in Tanzania. This zone is an extension of the southern highlands, characterised by </w:t>
      </w:r>
      <w:r w:rsidRPr="002D4502">
        <w:rPr>
          <w:rFonts w:ascii="Arial" w:hAnsi="Arial" w:cs="Arial"/>
          <w:sz w:val="20"/>
          <w:szCs w:val="20"/>
          <w:lang w:val="en-US"/>
        </w:rPr>
        <w:t>undulating topography</w:t>
      </w:r>
      <w:r w:rsidRPr="002D4502">
        <w:rPr>
          <w:rFonts w:ascii="Arial" w:hAnsi="Arial" w:cs="Arial"/>
          <w:sz w:val="20"/>
          <w:szCs w:val="20"/>
        </w:rPr>
        <w:t xml:space="preserve"> with s</w:t>
      </w:r>
      <w:proofErr w:type="spellStart"/>
      <w:r w:rsidRPr="002D4502">
        <w:rPr>
          <w:rFonts w:ascii="Arial" w:hAnsi="Arial" w:cs="Arial"/>
          <w:sz w:val="20"/>
          <w:szCs w:val="20"/>
          <w:lang w:val="en-US"/>
        </w:rPr>
        <w:t>cattered</w:t>
      </w:r>
      <w:proofErr w:type="spellEnd"/>
      <w:r w:rsidRPr="002D4502">
        <w:rPr>
          <w:rFonts w:ascii="Arial" w:hAnsi="Arial" w:cs="Arial"/>
          <w:sz w:val="20"/>
          <w:szCs w:val="20"/>
          <w:lang w:val="en-US"/>
        </w:rPr>
        <w:t xml:space="preserve"> p</w:t>
      </w:r>
      <w:r w:rsidRPr="002D4502">
        <w:rPr>
          <w:rFonts w:ascii="Arial" w:hAnsi="Arial" w:cs="Arial"/>
          <w:sz w:val="20"/>
          <w:szCs w:val="20"/>
        </w:rPr>
        <w:t>lateaus</w:t>
      </w:r>
      <w:r w:rsidRPr="002D4502">
        <w:rPr>
          <w:rFonts w:ascii="Arial" w:hAnsi="Arial" w:cs="Arial"/>
          <w:sz w:val="20"/>
          <w:szCs w:val="20"/>
          <w:lang w:val="en-US"/>
        </w:rPr>
        <w:t xml:space="preserve"> and mountains</w:t>
      </w:r>
      <w:r w:rsidRPr="002D4502">
        <w:rPr>
          <w:rFonts w:ascii="Arial" w:hAnsi="Arial" w:cs="Arial"/>
          <w:sz w:val="20"/>
          <w:szCs w:val="20"/>
        </w:rPr>
        <w:t>. The altitude of the area is over 1,800 metres above sea level.</w:t>
      </w:r>
      <w:bookmarkStart w:id="27" w:name="_Hlk167983867"/>
      <w:r w:rsidRPr="002D4502">
        <w:rPr>
          <w:rFonts w:ascii="Arial" w:hAnsi="Arial" w:cs="Arial"/>
          <w:sz w:val="20"/>
          <w:szCs w:val="20"/>
          <w:lang w:val="en-US"/>
        </w:rPr>
        <w:t xml:space="preserve"> </w:t>
      </w:r>
      <w:r w:rsidR="00861431" w:rsidRPr="002D4502">
        <w:rPr>
          <w:rFonts w:ascii="Arial" w:hAnsi="Arial" w:cs="Arial"/>
          <w:sz w:val="20"/>
          <w:szCs w:val="20"/>
        </w:rPr>
        <w:t xml:space="preserve">The temperature is between 15°C and 24°C, and the area receives between 900 and 2000 mm of rainfall per year. Planted and natural forest trees, fruit trees, scattered shrubs, and grasslands primarily cover the highland zones </w:t>
      </w:r>
      <w:bookmarkStart w:id="28" w:name="_Hlk170842341"/>
      <w:r w:rsidR="007413A0">
        <w:rPr>
          <w:rFonts w:ascii="Arial" w:hAnsi="Arial" w:cs="Arial"/>
          <w:sz w:val="20"/>
          <w:szCs w:val="20"/>
          <w:lang w:val="en-US"/>
        </w:rPr>
        <w:t>[</w:t>
      </w:r>
      <w:r w:rsidR="00601E10" w:rsidRPr="002D4502">
        <w:rPr>
          <w:rFonts w:ascii="Arial" w:hAnsi="Arial" w:cs="Arial"/>
          <w:sz w:val="20"/>
          <w:szCs w:val="20"/>
          <w:lang w:val="en-US"/>
        </w:rPr>
        <w:t>3</w:t>
      </w:r>
      <w:r w:rsidR="00992AB6" w:rsidRPr="002D4502">
        <w:rPr>
          <w:rFonts w:ascii="Arial" w:hAnsi="Arial" w:cs="Arial"/>
          <w:sz w:val="20"/>
          <w:szCs w:val="20"/>
          <w:lang w:val="en-US"/>
        </w:rPr>
        <w:t>3</w:t>
      </w:r>
      <w:r w:rsidR="007413A0">
        <w:rPr>
          <w:rFonts w:ascii="Arial" w:hAnsi="Arial" w:cs="Arial"/>
          <w:sz w:val="20"/>
          <w:szCs w:val="20"/>
          <w:lang w:val="en-US"/>
        </w:rPr>
        <w:t>]</w:t>
      </w:r>
      <w:r w:rsidR="00861431" w:rsidRPr="002D4502">
        <w:rPr>
          <w:rFonts w:ascii="Arial" w:hAnsi="Arial" w:cs="Arial"/>
          <w:sz w:val="20"/>
          <w:szCs w:val="20"/>
        </w:rPr>
        <w:t>.</w:t>
      </w:r>
      <w:bookmarkEnd w:id="28"/>
    </w:p>
    <w:bookmarkEnd w:id="27"/>
    <w:p w14:paraId="3BD7676F" w14:textId="3FC1724B" w:rsidR="00861431" w:rsidRPr="002D4502" w:rsidRDefault="00861431" w:rsidP="00BA086A">
      <w:pPr>
        <w:pStyle w:val="NormalWeb"/>
        <w:jc w:val="both"/>
        <w:rPr>
          <w:rFonts w:ascii="Arial" w:hAnsi="Arial" w:cs="Arial"/>
          <w:sz w:val="20"/>
          <w:szCs w:val="20"/>
        </w:rPr>
      </w:pPr>
      <w:r w:rsidRPr="002D4502">
        <w:rPr>
          <w:rFonts w:ascii="Arial" w:hAnsi="Arial" w:cs="Arial"/>
          <w:sz w:val="20"/>
          <w:szCs w:val="20"/>
        </w:rPr>
        <w:t xml:space="preserve">Natural forest in the district of Wangingómbe covers 135,557 hectares, with 5,457 being village land forest reserves, 13,500 hectares being game reserves, and 116,600 hectares being forest in general </w:t>
      </w:r>
      <w:r w:rsidRPr="002D4502">
        <w:rPr>
          <w:rFonts w:ascii="Arial" w:hAnsi="Arial" w:cs="Arial"/>
          <w:sz w:val="20"/>
          <w:szCs w:val="20"/>
        </w:rPr>
        <w:lastRenderedPageBreak/>
        <w:t xml:space="preserve">land. Plantation forests, on the other hand, cover an estimated 18,635 hectares of land; over 99% of the total plantation forest areas are privately owned </w:t>
      </w:r>
      <w:r w:rsidR="00601E10" w:rsidRPr="002D4502">
        <w:rPr>
          <w:rFonts w:ascii="Arial" w:hAnsi="Arial" w:cs="Arial"/>
          <w:sz w:val="20"/>
          <w:szCs w:val="20"/>
          <w:lang w:val="en-US"/>
        </w:rPr>
        <w:t>[3</w:t>
      </w:r>
      <w:r w:rsidR="00992AB6" w:rsidRPr="002D4502">
        <w:rPr>
          <w:rFonts w:ascii="Arial" w:hAnsi="Arial" w:cs="Arial"/>
          <w:sz w:val="20"/>
          <w:szCs w:val="20"/>
          <w:lang w:val="en-US"/>
        </w:rPr>
        <w:t>3</w:t>
      </w:r>
      <w:r w:rsidR="00601E10" w:rsidRPr="002D4502">
        <w:rPr>
          <w:rFonts w:ascii="Arial" w:hAnsi="Arial" w:cs="Arial"/>
          <w:sz w:val="20"/>
          <w:szCs w:val="20"/>
          <w:lang w:val="en-US"/>
        </w:rPr>
        <w:t>]</w:t>
      </w:r>
      <w:r w:rsidRPr="002D4502">
        <w:rPr>
          <w:rFonts w:ascii="Arial" w:hAnsi="Arial" w:cs="Arial"/>
          <w:sz w:val="20"/>
          <w:szCs w:val="20"/>
        </w:rPr>
        <w:t>.</w:t>
      </w:r>
    </w:p>
    <w:p w14:paraId="17670F8D" w14:textId="6D2429AA" w:rsidR="00565920" w:rsidRPr="002D4502" w:rsidRDefault="00565920" w:rsidP="00BA086A">
      <w:pPr>
        <w:pStyle w:val="NormalWeb"/>
        <w:jc w:val="both"/>
        <w:rPr>
          <w:rFonts w:ascii="Arial" w:hAnsi="Arial" w:cs="Arial"/>
          <w:sz w:val="20"/>
          <w:szCs w:val="20"/>
        </w:rPr>
      </w:pPr>
      <w:r w:rsidRPr="002D4502">
        <w:rPr>
          <w:rFonts w:ascii="Arial" w:hAnsi="Arial" w:cs="Arial"/>
          <w:sz w:val="20"/>
          <w:szCs w:val="20"/>
        </w:rPr>
        <w:t xml:space="preserve">The Kilongo Forest Reserve was selected for this study due to its dual nature, as it is operated by both </w:t>
      </w:r>
      <w:bookmarkStart w:id="29" w:name="_Hlk168831436"/>
      <w:r w:rsidRPr="002D4502">
        <w:rPr>
          <w:rFonts w:ascii="Arial" w:hAnsi="Arial" w:cs="Arial"/>
          <w:sz w:val="20"/>
          <w:szCs w:val="20"/>
        </w:rPr>
        <w:t xml:space="preserve">the Masaulwa Village Environmental </w:t>
      </w:r>
      <w:r w:rsidR="005E083F" w:rsidRPr="002D4502">
        <w:rPr>
          <w:rFonts w:ascii="Arial" w:hAnsi="Arial" w:cs="Arial"/>
          <w:sz w:val="20"/>
          <w:szCs w:val="20"/>
          <w:lang w:val="en-US"/>
        </w:rPr>
        <w:t xml:space="preserve">Management </w:t>
      </w:r>
      <w:r w:rsidRPr="002D4502">
        <w:rPr>
          <w:rFonts w:ascii="Arial" w:hAnsi="Arial" w:cs="Arial"/>
          <w:sz w:val="20"/>
          <w:szCs w:val="20"/>
        </w:rPr>
        <w:t>Committee</w:t>
      </w:r>
      <w:r w:rsidR="005E083F" w:rsidRPr="002D4502">
        <w:rPr>
          <w:rFonts w:ascii="Arial" w:hAnsi="Arial" w:cs="Arial"/>
          <w:sz w:val="20"/>
          <w:szCs w:val="20"/>
          <w:lang w:val="en-US"/>
        </w:rPr>
        <w:t xml:space="preserve"> (VEMC)</w:t>
      </w:r>
      <w:r w:rsidRPr="002D4502">
        <w:rPr>
          <w:rFonts w:ascii="Arial" w:hAnsi="Arial" w:cs="Arial"/>
          <w:sz w:val="20"/>
          <w:szCs w:val="20"/>
        </w:rPr>
        <w:t xml:space="preserve">, under the Ministry of Natural Resources and Tourism, and </w:t>
      </w:r>
      <w:bookmarkStart w:id="30" w:name="_Hlk170211945"/>
      <w:r w:rsidRPr="002D4502">
        <w:rPr>
          <w:rFonts w:ascii="Arial" w:hAnsi="Arial" w:cs="Arial"/>
          <w:sz w:val="20"/>
          <w:szCs w:val="20"/>
        </w:rPr>
        <w:t xml:space="preserve">the MBUMTILU Sub-Catchment Water Users Association (WUA), known in Swahili as "Jumuiya ya Watumia Maji Bonde Dogo la Mito Mbukwa, Mtitafu, and Lumbidzi" </w:t>
      </w:r>
      <w:bookmarkStart w:id="31" w:name="_Hlk170842385"/>
      <w:r w:rsidR="00433F2E">
        <w:rPr>
          <w:rFonts w:ascii="Arial" w:hAnsi="Arial" w:cs="Arial"/>
          <w:sz w:val="20"/>
          <w:szCs w:val="20"/>
          <w:lang w:val="en-US"/>
        </w:rPr>
        <w:t>[</w:t>
      </w:r>
      <w:r w:rsidR="00992AB6" w:rsidRPr="002D4502">
        <w:rPr>
          <w:rFonts w:ascii="Arial" w:hAnsi="Arial" w:cs="Arial"/>
          <w:sz w:val="20"/>
          <w:szCs w:val="20"/>
          <w:lang w:val="en-US"/>
        </w:rPr>
        <w:t>34</w:t>
      </w:r>
      <w:bookmarkEnd w:id="31"/>
      <w:r w:rsidR="00433F2E">
        <w:rPr>
          <w:rFonts w:ascii="Arial" w:hAnsi="Arial" w:cs="Arial"/>
          <w:sz w:val="20"/>
          <w:szCs w:val="20"/>
          <w:lang w:val="en-US"/>
        </w:rPr>
        <w:t>]</w:t>
      </w:r>
      <w:r w:rsidRPr="002D4502">
        <w:rPr>
          <w:rFonts w:ascii="Arial" w:hAnsi="Arial" w:cs="Arial"/>
          <w:sz w:val="20"/>
          <w:szCs w:val="20"/>
        </w:rPr>
        <w:t>, under the Ministry of Water</w:t>
      </w:r>
      <w:bookmarkEnd w:id="29"/>
      <w:bookmarkEnd w:id="30"/>
      <w:r w:rsidRPr="002D4502">
        <w:rPr>
          <w:rFonts w:ascii="Arial" w:hAnsi="Arial" w:cs="Arial"/>
          <w:sz w:val="20"/>
          <w:szCs w:val="20"/>
        </w:rPr>
        <w:t xml:space="preserve">. </w:t>
      </w:r>
      <w:r w:rsidR="00A94EE0" w:rsidRPr="002D4502">
        <w:rPr>
          <w:rFonts w:ascii="Arial" w:hAnsi="Arial" w:cs="Arial"/>
          <w:sz w:val="20"/>
          <w:szCs w:val="20"/>
          <w:lang w:val="en-US"/>
        </w:rPr>
        <w:t>T</w:t>
      </w:r>
      <w:r w:rsidR="00A94EE0" w:rsidRPr="002D4502">
        <w:rPr>
          <w:rFonts w:ascii="Arial" w:hAnsi="Arial" w:cs="Arial"/>
          <w:sz w:val="20"/>
          <w:szCs w:val="20"/>
        </w:rPr>
        <w:t xml:space="preserve">hus, understanding how </w:t>
      </w:r>
      <w:r w:rsidR="00181E98" w:rsidRPr="002D4502">
        <w:rPr>
          <w:rFonts w:ascii="Arial" w:hAnsi="Arial" w:cs="Arial"/>
          <w:sz w:val="20"/>
          <w:szCs w:val="20"/>
          <w:lang w:val="en-US"/>
        </w:rPr>
        <w:t xml:space="preserve">duality nature </w:t>
      </w:r>
      <w:proofErr w:type="gramStart"/>
      <w:r w:rsidR="00181E98" w:rsidRPr="002D4502">
        <w:rPr>
          <w:rFonts w:ascii="Arial" w:hAnsi="Arial" w:cs="Arial"/>
          <w:sz w:val="20"/>
          <w:szCs w:val="20"/>
          <w:lang w:val="en-US"/>
        </w:rPr>
        <w:t>affect</w:t>
      </w:r>
      <w:proofErr w:type="gramEnd"/>
      <w:r w:rsidR="00181E98" w:rsidRPr="002D4502">
        <w:rPr>
          <w:rFonts w:ascii="Arial" w:hAnsi="Arial" w:cs="Arial"/>
          <w:sz w:val="20"/>
          <w:szCs w:val="20"/>
          <w:lang w:val="en-US"/>
        </w:rPr>
        <w:t xml:space="preserve"> the management of forest </w:t>
      </w:r>
      <w:r w:rsidR="00A94EE0" w:rsidRPr="002D4502">
        <w:rPr>
          <w:rFonts w:ascii="Arial" w:hAnsi="Arial" w:cs="Arial"/>
          <w:sz w:val="20"/>
          <w:szCs w:val="20"/>
        </w:rPr>
        <w:t xml:space="preserve">is </w:t>
      </w:r>
      <w:r w:rsidR="00181E98" w:rsidRPr="002D4502">
        <w:rPr>
          <w:rFonts w:ascii="Arial" w:hAnsi="Arial" w:cs="Arial"/>
          <w:sz w:val="20"/>
          <w:szCs w:val="20"/>
          <w:lang w:val="en-US"/>
        </w:rPr>
        <w:t xml:space="preserve">crucial for the sustainability of the village forest reserve. </w:t>
      </w:r>
      <w:r w:rsidRPr="002D4502">
        <w:rPr>
          <w:rFonts w:ascii="Arial" w:hAnsi="Arial" w:cs="Arial"/>
          <w:sz w:val="20"/>
          <w:szCs w:val="20"/>
        </w:rPr>
        <w:t>Moreover, the forest reserve was the first in the district to be declared under community-based forest management in 2004</w:t>
      </w:r>
      <w:r w:rsidR="00822039" w:rsidRPr="002D4502">
        <w:rPr>
          <w:rFonts w:ascii="Arial" w:hAnsi="Arial" w:cs="Arial"/>
          <w:sz w:val="20"/>
          <w:szCs w:val="20"/>
          <w:lang w:val="en-US"/>
        </w:rPr>
        <w:t xml:space="preserve"> </w:t>
      </w:r>
      <w:r w:rsidR="00601E10" w:rsidRPr="002D4502">
        <w:rPr>
          <w:rFonts w:ascii="Arial" w:hAnsi="Arial" w:cs="Arial"/>
          <w:sz w:val="20"/>
          <w:szCs w:val="20"/>
          <w:lang w:val="en-US"/>
        </w:rPr>
        <w:t>[</w:t>
      </w:r>
      <w:r w:rsidR="00992AB6" w:rsidRPr="002D4502">
        <w:rPr>
          <w:rFonts w:ascii="Arial" w:hAnsi="Arial" w:cs="Arial"/>
          <w:sz w:val="20"/>
          <w:szCs w:val="20"/>
          <w:lang w:val="en-US"/>
        </w:rPr>
        <w:t>29</w:t>
      </w:r>
      <w:r w:rsidR="00601E10" w:rsidRPr="002D4502">
        <w:rPr>
          <w:rFonts w:ascii="Arial" w:hAnsi="Arial" w:cs="Arial"/>
          <w:sz w:val="20"/>
          <w:szCs w:val="20"/>
          <w:lang w:val="en-US"/>
        </w:rPr>
        <w:t>]</w:t>
      </w:r>
      <w:r w:rsidRPr="002D4502">
        <w:rPr>
          <w:rFonts w:ascii="Arial" w:hAnsi="Arial" w:cs="Arial"/>
          <w:sz w:val="20"/>
          <w:szCs w:val="20"/>
        </w:rPr>
        <w:t xml:space="preserve">. Thus, it is worth assessing its sustainability. According to </w:t>
      </w:r>
      <w:bookmarkStart w:id="32" w:name="_Hlk170842422"/>
      <w:r w:rsidRPr="002D4502">
        <w:rPr>
          <w:rFonts w:ascii="Arial" w:hAnsi="Arial" w:cs="Arial"/>
          <w:sz w:val="20"/>
          <w:szCs w:val="20"/>
        </w:rPr>
        <w:t xml:space="preserve">van Hensbergen et al. </w:t>
      </w:r>
      <w:r w:rsidR="00433F2E">
        <w:rPr>
          <w:rFonts w:ascii="Arial" w:hAnsi="Arial" w:cs="Arial"/>
          <w:sz w:val="20"/>
          <w:szCs w:val="20"/>
          <w:lang w:val="en-US"/>
        </w:rPr>
        <w:t>[</w:t>
      </w:r>
      <w:r w:rsidR="00601E10" w:rsidRPr="002D4502">
        <w:rPr>
          <w:rFonts w:ascii="Arial" w:hAnsi="Arial" w:cs="Arial"/>
          <w:sz w:val="20"/>
          <w:szCs w:val="20"/>
          <w:lang w:val="en-US"/>
        </w:rPr>
        <w:t>3</w:t>
      </w:r>
      <w:r w:rsidR="00992AB6" w:rsidRPr="002D4502">
        <w:rPr>
          <w:rFonts w:ascii="Arial" w:hAnsi="Arial" w:cs="Arial"/>
          <w:sz w:val="20"/>
          <w:szCs w:val="20"/>
          <w:lang w:val="en-US"/>
        </w:rPr>
        <w:t>5</w:t>
      </w:r>
      <w:bookmarkEnd w:id="32"/>
      <w:r w:rsidR="00433F2E">
        <w:rPr>
          <w:rFonts w:ascii="Arial" w:hAnsi="Arial" w:cs="Arial"/>
          <w:sz w:val="20"/>
          <w:szCs w:val="20"/>
          <w:lang w:val="en-US"/>
        </w:rPr>
        <w:t>]</w:t>
      </w:r>
      <w:r w:rsidRPr="002D4502">
        <w:rPr>
          <w:rFonts w:ascii="Arial" w:hAnsi="Arial" w:cs="Arial"/>
          <w:sz w:val="20"/>
          <w:szCs w:val="20"/>
        </w:rPr>
        <w:t>, the duration of forest management plans should exceed 10 years, as shorter periods fail to offer the medium-term stability necessary for the consistent implementation of sustainable forest management.</w:t>
      </w:r>
    </w:p>
    <w:p w14:paraId="07A8A61C" w14:textId="7293E0DE" w:rsidR="001A5D3C" w:rsidRPr="002D4502" w:rsidRDefault="00C979B4" w:rsidP="00BA086A">
      <w:pPr>
        <w:pStyle w:val="NormalWeb"/>
        <w:jc w:val="both"/>
        <w:rPr>
          <w:rFonts w:ascii="Arial" w:hAnsi="Arial" w:cs="Arial"/>
          <w:b/>
          <w:bCs/>
          <w:sz w:val="22"/>
          <w:szCs w:val="22"/>
        </w:rPr>
      </w:pPr>
      <w:r w:rsidRPr="002D4502">
        <w:rPr>
          <w:rFonts w:ascii="Arial" w:hAnsi="Arial" w:cs="Arial"/>
          <w:b/>
          <w:bCs/>
          <w:sz w:val="22"/>
          <w:szCs w:val="22"/>
          <w:lang w:val="en-US"/>
        </w:rPr>
        <w:t xml:space="preserve">2.2 </w:t>
      </w:r>
      <w:r w:rsidRPr="002D4502">
        <w:rPr>
          <w:rFonts w:ascii="Arial" w:hAnsi="Arial" w:cs="Arial"/>
          <w:b/>
          <w:bCs/>
          <w:sz w:val="22"/>
          <w:szCs w:val="22"/>
        </w:rPr>
        <w:t>Sample Size and Sampling Procedures</w:t>
      </w:r>
    </w:p>
    <w:p w14:paraId="3B085C7C" w14:textId="686940F7" w:rsidR="005E083F" w:rsidRPr="002D4502" w:rsidRDefault="005E083F" w:rsidP="00BA086A">
      <w:pPr>
        <w:pStyle w:val="NormalWeb"/>
        <w:jc w:val="both"/>
        <w:rPr>
          <w:rFonts w:ascii="Arial" w:hAnsi="Arial" w:cs="Arial"/>
          <w:sz w:val="20"/>
          <w:szCs w:val="20"/>
        </w:rPr>
      </w:pPr>
      <w:bookmarkStart w:id="33" w:name="_Hlk167987210"/>
      <w:r w:rsidRPr="002D4502">
        <w:rPr>
          <w:rFonts w:ascii="Arial" w:hAnsi="Arial" w:cs="Arial"/>
          <w:sz w:val="20"/>
          <w:szCs w:val="20"/>
        </w:rPr>
        <w:t xml:space="preserve">The study employed purposeful sampling to select eight members of the village environmental </w:t>
      </w:r>
      <w:r w:rsidRPr="002D4502">
        <w:rPr>
          <w:rFonts w:ascii="Arial" w:hAnsi="Arial" w:cs="Arial"/>
          <w:sz w:val="20"/>
          <w:szCs w:val="20"/>
          <w:lang w:val="en-US"/>
        </w:rPr>
        <w:t xml:space="preserve">management </w:t>
      </w:r>
      <w:r w:rsidRPr="002D4502">
        <w:rPr>
          <w:rFonts w:ascii="Arial" w:hAnsi="Arial" w:cs="Arial"/>
          <w:sz w:val="20"/>
          <w:szCs w:val="20"/>
        </w:rPr>
        <w:t>committee (VE</w:t>
      </w:r>
      <w:r w:rsidRPr="002D4502">
        <w:rPr>
          <w:rFonts w:ascii="Arial" w:hAnsi="Arial" w:cs="Arial"/>
          <w:sz w:val="20"/>
          <w:szCs w:val="20"/>
          <w:lang w:val="en-US"/>
        </w:rPr>
        <w:t>M</w:t>
      </w:r>
      <w:r w:rsidRPr="002D4502">
        <w:rPr>
          <w:rFonts w:ascii="Arial" w:hAnsi="Arial" w:cs="Arial"/>
          <w:sz w:val="20"/>
          <w:szCs w:val="20"/>
        </w:rPr>
        <w:t>C</w:t>
      </w:r>
      <w:r w:rsidRPr="002D4502">
        <w:rPr>
          <w:rFonts w:ascii="Arial" w:hAnsi="Arial" w:cs="Arial"/>
          <w:sz w:val="20"/>
          <w:szCs w:val="20"/>
          <w:lang w:val="en-US"/>
        </w:rPr>
        <w:t>)</w:t>
      </w:r>
      <w:r w:rsidRPr="002D4502">
        <w:rPr>
          <w:rFonts w:ascii="Arial" w:hAnsi="Arial" w:cs="Arial"/>
          <w:sz w:val="20"/>
          <w:szCs w:val="20"/>
        </w:rPr>
        <w:t>, eight members of the MBUMTILU Sub-Catchment water users’ association, and a village government officer. Others included the Wangingómbe District Water Supply and Sanitation Authority officer and the Tanzania Forest Services (TFS) officer at the district level. Additionally, two members of the forest reserve patrol team and six individuals consisting of two village elders and four villagers living adjacent to the forest reserve were selected purposefully. Moreover, the Kilongo sub-village with 116 total households was selected purposefully because it borders the village's forest reserve, and its community was close enough to be able to notice any forms of interactions and changes in the forest reserve. Thus, the heads of households in the sub-village were selected as sample units from the village for this study, thereby representing the local community. A sample of 90 heads of households was selected from the total of 116 households in the sub-village. The Israel 1992 formula was applied to determine the sample size.</w:t>
      </w:r>
    </w:p>
    <w:p w14:paraId="6353FC31" w14:textId="197BBCD8" w:rsidR="00EC7B04" w:rsidRPr="002D4502" w:rsidRDefault="00EC7B04" w:rsidP="00BA086A">
      <w:pPr>
        <w:pStyle w:val="NormalWeb"/>
        <w:jc w:val="right"/>
        <w:rPr>
          <w:rFonts w:ascii="Arial" w:hAnsi="Arial" w:cs="Arial"/>
          <w:sz w:val="20"/>
          <w:szCs w:val="20"/>
          <w:lang w:val="en-US"/>
        </w:rPr>
      </w:pPr>
      <m:oMath>
        <m:r>
          <w:rPr>
            <w:rFonts w:ascii="Cambria Math" w:hAnsi="Cambria Math" w:cs="Arial"/>
            <w:sz w:val="20"/>
            <w:szCs w:val="20"/>
          </w:rPr>
          <m:t>n=</m:t>
        </m:r>
        <m:f>
          <m:fPr>
            <m:ctrlPr>
              <w:rPr>
                <w:rFonts w:ascii="Cambria Math" w:hAnsi="Cambria Math" w:cs="Arial"/>
                <w:i/>
                <w:sz w:val="20"/>
                <w:szCs w:val="20"/>
              </w:rPr>
            </m:ctrlPr>
          </m:fPr>
          <m:num>
            <m:r>
              <w:rPr>
                <w:rFonts w:ascii="Cambria Math" w:hAnsi="Cambria Math" w:cs="Arial"/>
                <w:sz w:val="20"/>
                <w:szCs w:val="20"/>
              </w:rPr>
              <m:t>N</m:t>
            </m:r>
          </m:num>
          <m:den>
            <m:sSup>
              <m:sSupPr>
                <m:ctrlPr>
                  <w:rPr>
                    <w:rFonts w:ascii="Cambria Math" w:hAnsi="Cambria Math" w:cs="Arial"/>
                    <w:i/>
                    <w:sz w:val="20"/>
                    <w:szCs w:val="20"/>
                  </w:rPr>
                </m:ctrlPr>
              </m:sSupPr>
              <m:e>
                <m:r>
                  <w:rPr>
                    <w:rFonts w:ascii="Cambria Math" w:hAnsi="Cambria Math" w:cs="Arial"/>
                    <w:sz w:val="20"/>
                    <w:szCs w:val="20"/>
                  </w:rPr>
                  <m:t>1+N(e)</m:t>
                </m:r>
              </m:e>
              <m:sup>
                <m:r>
                  <w:rPr>
                    <w:rFonts w:ascii="Cambria Math" w:hAnsi="Cambria Math" w:cs="Arial"/>
                    <w:sz w:val="20"/>
                    <w:szCs w:val="20"/>
                  </w:rPr>
                  <m:t>2</m:t>
                </m:r>
              </m:sup>
            </m:sSup>
          </m:den>
        </m:f>
      </m:oMath>
      <w:r w:rsidR="00566BC2" w:rsidRPr="002D4502">
        <w:rPr>
          <w:rFonts w:ascii="Arial" w:hAnsi="Arial" w:cs="Arial"/>
          <w:sz w:val="20"/>
          <w:szCs w:val="20"/>
          <w:lang w:val="en-US"/>
        </w:rPr>
        <w:t>…………………………...</w:t>
      </w:r>
      <w:r w:rsidR="005A7D5E" w:rsidRPr="002D4502">
        <w:rPr>
          <w:rFonts w:ascii="Arial" w:hAnsi="Arial" w:cs="Arial"/>
          <w:sz w:val="20"/>
          <w:szCs w:val="20"/>
          <w:lang w:val="en-US"/>
        </w:rPr>
        <w:t>............</w:t>
      </w:r>
      <w:r w:rsidR="00566BC2" w:rsidRPr="002D4502">
        <w:rPr>
          <w:rFonts w:ascii="Arial" w:hAnsi="Arial" w:cs="Arial"/>
          <w:sz w:val="20"/>
          <w:szCs w:val="20"/>
          <w:lang w:val="en-US"/>
        </w:rPr>
        <w:t>Equation (1)</w:t>
      </w:r>
    </w:p>
    <w:bookmarkEnd w:id="33"/>
    <w:p w14:paraId="6EF160C0" w14:textId="119AE107" w:rsidR="002B01F0" w:rsidRPr="002D4502" w:rsidRDefault="00E908AB" w:rsidP="00BA086A">
      <w:pPr>
        <w:pStyle w:val="NormalWeb"/>
        <w:jc w:val="both"/>
        <w:rPr>
          <w:rFonts w:ascii="Arial" w:hAnsi="Arial" w:cs="Arial"/>
          <w:sz w:val="20"/>
          <w:szCs w:val="20"/>
          <w:lang w:val="en-US"/>
        </w:rPr>
      </w:pPr>
      <w:r w:rsidRPr="002D4502">
        <w:rPr>
          <w:rFonts w:ascii="Arial" w:hAnsi="Arial" w:cs="Arial"/>
          <w:sz w:val="20"/>
          <w:szCs w:val="20"/>
          <w:lang w:val="en-US"/>
        </w:rPr>
        <w:t xml:space="preserve">whereby </w:t>
      </w:r>
      <w:r w:rsidRPr="002D4502">
        <w:rPr>
          <w:rFonts w:ascii="Arial" w:hAnsi="Arial" w:cs="Arial"/>
          <w:i/>
          <w:iCs/>
          <w:sz w:val="20"/>
          <w:szCs w:val="20"/>
          <w:lang w:val="en-US"/>
        </w:rPr>
        <w:t>n</w:t>
      </w:r>
      <w:r w:rsidRPr="002D4502">
        <w:rPr>
          <w:rFonts w:ascii="Arial" w:hAnsi="Arial" w:cs="Arial"/>
          <w:sz w:val="20"/>
          <w:szCs w:val="20"/>
          <w:lang w:val="en-US"/>
        </w:rPr>
        <w:t xml:space="preserve"> represents the sample size, </w:t>
      </w:r>
      <w:r w:rsidRPr="002D4502">
        <w:rPr>
          <w:rFonts w:ascii="Arial" w:hAnsi="Arial" w:cs="Arial"/>
          <w:i/>
          <w:iCs/>
          <w:sz w:val="20"/>
          <w:szCs w:val="20"/>
          <w:lang w:val="en-US"/>
        </w:rPr>
        <w:t>N</w:t>
      </w:r>
      <w:r w:rsidRPr="002D4502">
        <w:rPr>
          <w:rFonts w:ascii="Arial" w:hAnsi="Arial" w:cs="Arial"/>
          <w:sz w:val="20"/>
          <w:szCs w:val="20"/>
          <w:lang w:val="en-US"/>
        </w:rPr>
        <w:t xml:space="preserve"> denotes the total number of households in the village, 1 represents the confidence level (95%), and </w:t>
      </w:r>
      <w:r w:rsidRPr="002D4502">
        <w:rPr>
          <w:rFonts w:ascii="Arial" w:hAnsi="Arial" w:cs="Arial"/>
          <w:i/>
          <w:iCs/>
          <w:sz w:val="20"/>
          <w:szCs w:val="20"/>
          <w:lang w:val="en-US"/>
        </w:rPr>
        <w:t>e</w:t>
      </w:r>
      <w:r w:rsidRPr="002D4502">
        <w:rPr>
          <w:rFonts w:ascii="Arial" w:hAnsi="Arial" w:cs="Arial"/>
          <w:sz w:val="20"/>
          <w:szCs w:val="20"/>
          <w:lang w:val="en-US"/>
        </w:rPr>
        <w:t xml:space="preserve"> signifies the accuracy level. Thus</w:t>
      </w:r>
      <w:r w:rsidR="00337252" w:rsidRPr="002D4502">
        <w:rPr>
          <w:rFonts w:ascii="Arial" w:hAnsi="Arial" w:cs="Arial"/>
          <w:sz w:val="20"/>
          <w:szCs w:val="20"/>
          <w:lang w:val="en-US"/>
        </w:rPr>
        <w:t>;</w:t>
      </w:r>
    </w:p>
    <w:p w14:paraId="0339FCEF" w14:textId="5FD38F41" w:rsidR="00566BC2" w:rsidRPr="002D4502" w:rsidRDefault="00741CC8" w:rsidP="00BA086A">
      <w:pPr>
        <w:pStyle w:val="NormalWeb"/>
        <w:jc w:val="center"/>
        <w:rPr>
          <w:rFonts w:ascii="Arial" w:hAnsi="Arial" w:cs="Arial"/>
          <w:sz w:val="20"/>
          <w:szCs w:val="20"/>
          <w:lang w:val="en-US"/>
        </w:rPr>
      </w:pPr>
      <m:oMathPara>
        <m:oMathParaPr>
          <m:jc m:val="center"/>
        </m:oMathParaPr>
        <m:oMath>
          <m:r>
            <w:rPr>
              <w:rFonts w:ascii="Cambria Math" w:hAnsi="Cambria Math" w:cs="Arial"/>
              <w:sz w:val="20"/>
              <w:szCs w:val="20"/>
            </w:rPr>
            <m:t>90=</m:t>
          </m:r>
          <m:f>
            <m:fPr>
              <m:ctrlPr>
                <w:rPr>
                  <w:rFonts w:ascii="Cambria Math" w:hAnsi="Cambria Math" w:cs="Arial"/>
                  <w:i/>
                  <w:sz w:val="20"/>
                  <w:szCs w:val="20"/>
                </w:rPr>
              </m:ctrlPr>
            </m:fPr>
            <m:num>
              <m:r>
                <w:rPr>
                  <w:rFonts w:ascii="Cambria Math" w:hAnsi="Cambria Math" w:cs="Arial"/>
                  <w:sz w:val="20"/>
                  <w:szCs w:val="20"/>
                </w:rPr>
                <m:t>116</m:t>
              </m:r>
            </m:num>
            <m:den>
              <m:sSup>
                <m:sSupPr>
                  <m:ctrlPr>
                    <w:rPr>
                      <w:rFonts w:ascii="Cambria Math" w:hAnsi="Cambria Math" w:cs="Arial"/>
                      <w:i/>
                      <w:sz w:val="20"/>
                      <w:szCs w:val="20"/>
                    </w:rPr>
                  </m:ctrlPr>
                </m:sSupPr>
                <m:e>
                  <m:r>
                    <w:rPr>
                      <w:rFonts w:ascii="Cambria Math" w:hAnsi="Cambria Math" w:cs="Arial"/>
                      <w:sz w:val="20"/>
                      <w:szCs w:val="20"/>
                    </w:rPr>
                    <m:t>1+116(0.05)</m:t>
                  </m:r>
                </m:e>
                <m:sup>
                  <m:r>
                    <w:rPr>
                      <w:rFonts w:ascii="Cambria Math" w:hAnsi="Cambria Math" w:cs="Arial"/>
                      <w:sz w:val="20"/>
                      <w:szCs w:val="20"/>
                    </w:rPr>
                    <m:t>2</m:t>
                  </m:r>
                </m:sup>
              </m:sSup>
            </m:den>
          </m:f>
        </m:oMath>
      </m:oMathPara>
    </w:p>
    <w:p w14:paraId="7589CE0B" w14:textId="6444C932" w:rsidR="00EC7B04" w:rsidRPr="002D4502" w:rsidRDefault="00E908AB" w:rsidP="00BA086A">
      <w:pPr>
        <w:pStyle w:val="NormalWeb"/>
        <w:rPr>
          <w:rFonts w:ascii="Arial" w:hAnsi="Arial" w:cs="Arial"/>
          <w:sz w:val="20"/>
          <w:szCs w:val="20"/>
          <w:lang w:val="en-US"/>
        </w:rPr>
      </w:pPr>
      <w:r w:rsidRPr="002D4502">
        <w:rPr>
          <w:rFonts w:ascii="Arial" w:hAnsi="Arial" w:cs="Arial"/>
          <w:sz w:val="20"/>
          <w:szCs w:val="20"/>
          <w:lang w:val="en-US"/>
        </w:rPr>
        <w:t>Then</w:t>
      </w:r>
      <w:r w:rsidRPr="002D4502">
        <w:rPr>
          <w:rFonts w:ascii="Arial" w:hAnsi="Arial" w:cs="Arial"/>
          <w:sz w:val="20"/>
          <w:szCs w:val="20"/>
        </w:rPr>
        <w:t>, the heads of households</w:t>
      </w:r>
      <w:r w:rsidRPr="002D4502">
        <w:rPr>
          <w:rFonts w:ascii="Arial" w:hAnsi="Arial" w:cs="Arial"/>
          <w:sz w:val="20"/>
          <w:szCs w:val="20"/>
          <w:lang w:val="en-US"/>
        </w:rPr>
        <w:t xml:space="preserve"> were selected through systematic sampling </w:t>
      </w:r>
      <w:r w:rsidRPr="002D4502">
        <w:rPr>
          <w:rFonts w:ascii="Arial" w:hAnsi="Arial" w:cs="Arial"/>
          <w:sz w:val="20"/>
          <w:szCs w:val="20"/>
        </w:rPr>
        <w:t>from the village government office's list of all households</w:t>
      </w:r>
      <w:r w:rsidR="006A5A8A" w:rsidRPr="002D4502">
        <w:rPr>
          <w:rFonts w:ascii="Arial" w:hAnsi="Arial" w:cs="Arial"/>
          <w:sz w:val="20"/>
          <w:szCs w:val="20"/>
          <w:lang w:val="en-US"/>
        </w:rPr>
        <w:t xml:space="preserve"> in the sub-village</w:t>
      </w:r>
      <w:r w:rsidRPr="002D4502">
        <w:rPr>
          <w:rFonts w:ascii="Arial" w:hAnsi="Arial" w:cs="Arial"/>
          <w:sz w:val="20"/>
          <w:szCs w:val="20"/>
        </w:rPr>
        <w:t>.</w:t>
      </w:r>
    </w:p>
    <w:p w14:paraId="45D484C1" w14:textId="767F4F08" w:rsidR="00FD1DF4" w:rsidRPr="002D4502" w:rsidRDefault="00602B27" w:rsidP="00BA086A">
      <w:pPr>
        <w:pStyle w:val="NormalWeb"/>
        <w:jc w:val="both"/>
        <w:rPr>
          <w:rFonts w:ascii="Arial" w:hAnsi="Arial" w:cs="Arial"/>
          <w:b/>
          <w:bCs/>
          <w:sz w:val="22"/>
          <w:szCs w:val="22"/>
        </w:rPr>
      </w:pPr>
      <w:r w:rsidRPr="002D4502">
        <w:rPr>
          <w:rFonts w:ascii="Arial" w:hAnsi="Arial" w:cs="Arial"/>
          <w:b/>
          <w:bCs/>
          <w:sz w:val="22"/>
          <w:szCs w:val="22"/>
          <w:lang w:val="en-US"/>
        </w:rPr>
        <w:t xml:space="preserve">2.3 </w:t>
      </w:r>
      <w:r w:rsidRPr="002D4502">
        <w:rPr>
          <w:rFonts w:ascii="Arial" w:hAnsi="Arial" w:cs="Arial"/>
          <w:b/>
          <w:bCs/>
          <w:sz w:val="22"/>
          <w:szCs w:val="22"/>
        </w:rPr>
        <w:t>Data Collection</w:t>
      </w:r>
    </w:p>
    <w:p w14:paraId="13D68464" w14:textId="03A7E373" w:rsidR="0035408E" w:rsidRPr="002D4502" w:rsidRDefault="00276E8B" w:rsidP="00BA086A">
      <w:pPr>
        <w:pStyle w:val="NormalWeb"/>
        <w:jc w:val="both"/>
        <w:rPr>
          <w:rFonts w:ascii="Arial" w:hAnsi="Arial" w:cs="Arial"/>
          <w:sz w:val="20"/>
          <w:szCs w:val="20"/>
          <w:lang w:val="en-US"/>
        </w:rPr>
      </w:pPr>
      <w:r w:rsidRPr="002D4502">
        <w:rPr>
          <w:rFonts w:ascii="Arial" w:hAnsi="Arial" w:cs="Arial"/>
          <w:sz w:val="20"/>
          <w:szCs w:val="20"/>
          <w:lang w:val="en-US"/>
        </w:rPr>
        <w:t>Participatory Rural Appraisals (PRAs), i.e., group discussion</w:t>
      </w:r>
      <w:r w:rsidR="004E251F" w:rsidRPr="002D4502">
        <w:rPr>
          <w:rFonts w:ascii="Arial" w:hAnsi="Arial" w:cs="Arial"/>
          <w:sz w:val="20"/>
          <w:szCs w:val="20"/>
          <w:lang w:val="en-US"/>
        </w:rPr>
        <w:t xml:space="preserve"> </w:t>
      </w:r>
      <w:r w:rsidRPr="002D4502">
        <w:rPr>
          <w:rFonts w:ascii="Arial" w:hAnsi="Arial" w:cs="Arial"/>
          <w:sz w:val="20"/>
          <w:szCs w:val="20"/>
          <w:lang w:val="en-US"/>
        </w:rPr>
        <w:t xml:space="preserve">and key informants’ interviews with the villagers, and questionnaires (i.e., household surveys), were the tools used in data collection to address critical forestry management aspects. </w:t>
      </w:r>
      <w:r w:rsidR="004372FD" w:rsidRPr="002D4502">
        <w:rPr>
          <w:rFonts w:ascii="Arial" w:hAnsi="Arial" w:cs="Arial"/>
          <w:sz w:val="20"/>
          <w:szCs w:val="20"/>
          <w:lang w:val="en-US"/>
        </w:rPr>
        <w:t>Vari</w:t>
      </w:r>
      <w:r w:rsidR="00822039" w:rsidRPr="002D4502">
        <w:rPr>
          <w:rFonts w:ascii="Arial" w:hAnsi="Arial" w:cs="Arial"/>
          <w:sz w:val="20"/>
          <w:szCs w:val="20"/>
          <w:lang w:val="en-US"/>
        </w:rPr>
        <w:t>o</w:t>
      </w:r>
      <w:r w:rsidR="004372FD" w:rsidRPr="002D4502">
        <w:rPr>
          <w:rFonts w:ascii="Arial" w:hAnsi="Arial" w:cs="Arial"/>
          <w:sz w:val="20"/>
          <w:szCs w:val="20"/>
          <w:lang w:val="en-US"/>
        </w:rPr>
        <w:t xml:space="preserve">us </w:t>
      </w:r>
      <w:r w:rsidR="00822039" w:rsidRPr="002D4502">
        <w:rPr>
          <w:rFonts w:ascii="Arial" w:hAnsi="Arial" w:cs="Arial"/>
          <w:sz w:val="20"/>
          <w:szCs w:val="20"/>
          <w:lang w:val="en-US"/>
        </w:rPr>
        <w:t>studies have</w:t>
      </w:r>
      <w:r w:rsidR="004372FD" w:rsidRPr="002D4502">
        <w:rPr>
          <w:rFonts w:ascii="Arial" w:hAnsi="Arial" w:cs="Arial"/>
          <w:sz w:val="20"/>
          <w:szCs w:val="20"/>
          <w:lang w:val="en-US"/>
        </w:rPr>
        <w:t xml:space="preserve"> </w:t>
      </w:r>
      <w:proofErr w:type="spellStart"/>
      <w:r w:rsidR="004372FD" w:rsidRPr="002D4502">
        <w:rPr>
          <w:rFonts w:ascii="Arial" w:hAnsi="Arial" w:cs="Arial"/>
          <w:sz w:val="20"/>
          <w:szCs w:val="20"/>
          <w:lang w:val="en-US"/>
        </w:rPr>
        <w:t>utilised</w:t>
      </w:r>
      <w:proofErr w:type="spellEnd"/>
      <w:r w:rsidR="004372FD" w:rsidRPr="002D4502">
        <w:rPr>
          <w:rFonts w:ascii="Arial" w:hAnsi="Arial" w:cs="Arial"/>
          <w:sz w:val="20"/>
          <w:szCs w:val="20"/>
          <w:lang w:val="en-US"/>
        </w:rPr>
        <w:t xml:space="preserve"> the Participatory Rural Appraisal (PRA) approach to investigate the perceptions of rural communities </w:t>
      </w:r>
      <w:r w:rsidR="005775F3" w:rsidRPr="002D4502">
        <w:rPr>
          <w:rFonts w:ascii="Arial" w:hAnsi="Arial" w:cs="Arial"/>
          <w:sz w:val="20"/>
          <w:szCs w:val="20"/>
          <w:lang w:val="en-US"/>
        </w:rPr>
        <w:t xml:space="preserve">on </w:t>
      </w:r>
      <w:r w:rsidR="004372FD" w:rsidRPr="002D4502">
        <w:rPr>
          <w:rFonts w:ascii="Arial" w:hAnsi="Arial" w:cs="Arial"/>
          <w:sz w:val="20"/>
          <w:szCs w:val="20"/>
          <w:lang w:val="en-US"/>
        </w:rPr>
        <w:t xml:space="preserve">environmental </w:t>
      </w:r>
      <w:r w:rsidR="00754A37" w:rsidRPr="002D4502">
        <w:rPr>
          <w:rFonts w:ascii="Arial" w:hAnsi="Arial" w:cs="Arial"/>
          <w:sz w:val="20"/>
          <w:szCs w:val="20"/>
          <w:lang w:val="en-US"/>
        </w:rPr>
        <w:t>issues</w:t>
      </w:r>
      <w:r w:rsidR="004372FD" w:rsidRPr="002D4502">
        <w:rPr>
          <w:rFonts w:ascii="Arial" w:hAnsi="Arial" w:cs="Arial"/>
          <w:sz w:val="20"/>
          <w:szCs w:val="20"/>
          <w:lang w:val="en-US"/>
        </w:rPr>
        <w:t xml:space="preserve"> that affect their livelihoods</w:t>
      </w:r>
      <w:r w:rsidR="00822039" w:rsidRPr="002D4502">
        <w:rPr>
          <w:rFonts w:ascii="Arial" w:hAnsi="Arial" w:cs="Arial"/>
          <w:sz w:val="20"/>
          <w:szCs w:val="20"/>
          <w:lang w:val="en-US"/>
        </w:rPr>
        <w:t xml:space="preserve"> </w:t>
      </w:r>
      <w:r w:rsidR="00601E10" w:rsidRPr="002D4502">
        <w:rPr>
          <w:rFonts w:ascii="Arial" w:hAnsi="Arial" w:cs="Arial"/>
          <w:sz w:val="20"/>
          <w:szCs w:val="20"/>
          <w:lang w:val="en-US"/>
        </w:rPr>
        <w:t>[</w:t>
      </w:r>
      <w:bookmarkStart w:id="34" w:name="_Hlk170842475"/>
      <w:r w:rsidR="00601E10" w:rsidRPr="002D4502">
        <w:rPr>
          <w:rFonts w:ascii="Arial" w:hAnsi="Arial" w:cs="Arial"/>
          <w:sz w:val="20"/>
          <w:szCs w:val="20"/>
          <w:lang w:val="en-US"/>
        </w:rPr>
        <w:t>3</w:t>
      </w:r>
      <w:r w:rsidR="00992AB6" w:rsidRPr="002D4502">
        <w:rPr>
          <w:rFonts w:ascii="Arial" w:hAnsi="Arial" w:cs="Arial"/>
          <w:sz w:val="20"/>
          <w:szCs w:val="20"/>
          <w:lang w:val="en-US"/>
        </w:rPr>
        <w:t>6</w:t>
      </w:r>
      <w:r w:rsidR="00433F2E">
        <w:rPr>
          <w:rFonts w:ascii="Arial" w:hAnsi="Arial" w:cs="Arial"/>
          <w:sz w:val="20"/>
          <w:szCs w:val="20"/>
          <w:lang w:val="en-US"/>
        </w:rPr>
        <w:t xml:space="preserve">, </w:t>
      </w:r>
      <w:r w:rsidR="00601E10" w:rsidRPr="002D4502">
        <w:rPr>
          <w:rFonts w:ascii="Arial" w:hAnsi="Arial" w:cs="Arial"/>
          <w:sz w:val="20"/>
          <w:szCs w:val="20"/>
          <w:lang w:val="en-US"/>
        </w:rPr>
        <w:t>3</w:t>
      </w:r>
      <w:r w:rsidR="00992AB6" w:rsidRPr="002D4502">
        <w:rPr>
          <w:rFonts w:ascii="Arial" w:hAnsi="Arial" w:cs="Arial"/>
          <w:sz w:val="20"/>
          <w:szCs w:val="20"/>
          <w:lang w:val="en-US"/>
        </w:rPr>
        <w:t>7</w:t>
      </w:r>
      <w:r w:rsidR="00433F2E">
        <w:rPr>
          <w:rFonts w:ascii="Arial" w:hAnsi="Arial" w:cs="Arial"/>
          <w:sz w:val="20"/>
          <w:szCs w:val="20"/>
          <w:lang w:val="en-US"/>
        </w:rPr>
        <w:t xml:space="preserve">, </w:t>
      </w:r>
      <w:r w:rsidR="00601E10" w:rsidRPr="002D4502">
        <w:rPr>
          <w:rFonts w:ascii="Arial" w:hAnsi="Arial" w:cs="Arial"/>
          <w:sz w:val="20"/>
          <w:szCs w:val="20"/>
          <w:lang w:val="en-US"/>
        </w:rPr>
        <w:t>3</w:t>
      </w:r>
      <w:r w:rsidR="00992AB6" w:rsidRPr="002D4502">
        <w:rPr>
          <w:rFonts w:ascii="Arial" w:hAnsi="Arial" w:cs="Arial"/>
          <w:sz w:val="20"/>
          <w:szCs w:val="20"/>
          <w:lang w:val="en-US"/>
        </w:rPr>
        <w:t>8</w:t>
      </w:r>
      <w:r w:rsidR="00601E10" w:rsidRPr="002D4502">
        <w:rPr>
          <w:rFonts w:ascii="Arial" w:hAnsi="Arial" w:cs="Arial"/>
          <w:sz w:val="20"/>
          <w:szCs w:val="20"/>
          <w:lang w:val="en-US"/>
        </w:rPr>
        <w:t>]</w:t>
      </w:r>
      <w:r w:rsidR="004372FD" w:rsidRPr="002D4502">
        <w:rPr>
          <w:rFonts w:ascii="Arial" w:hAnsi="Arial" w:cs="Arial"/>
          <w:sz w:val="20"/>
          <w:szCs w:val="20"/>
          <w:lang w:val="en-US"/>
        </w:rPr>
        <w:t>.</w:t>
      </w:r>
      <w:bookmarkEnd w:id="34"/>
    </w:p>
    <w:p w14:paraId="136D8651" w14:textId="5FFEBAC5" w:rsidR="0069187E" w:rsidRPr="002D4502" w:rsidRDefault="0069187E" w:rsidP="00BA086A">
      <w:pPr>
        <w:pStyle w:val="NormalWeb"/>
        <w:jc w:val="both"/>
        <w:rPr>
          <w:rFonts w:ascii="Arial" w:hAnsi="Arial" w:cs="Arial"/>
          <w:sz w:val="20"/>
          <w:szCs w:val="20"/>
          <w:lang w:val="en-US"/>
        </w:rPr>
      </w:pPr>
      <w:r w:rsidRPr="002D4502">
        <w:rPr>
          <w:rFonts w:ascii="Arial" w:hAnsi="Arial" w:cs="Arial"/>
          <w:sz w:val="20"/>
          <w:szCs w:val="20"/>
          <w:lang w:val="en-US"/>
        </w:rPr>
        <w:t xml:space="preserve">As a result, the study </w:t>
      </w:r>
      <w:r w:rsidR="00AA4382" w:rsidRPr="002D4502">
        <w:rPr>
          <w:rFonts w:ascii="Arial" w:hAnsi="Arial" w:cs="Arial"/>
          <w:sz w:val="20"/>
          <w:szCs w:val="20"/>
          <w:lang w:val="en-US"/>
        </w:rPr>
        <w:t>employed</w:t>
      </w:r>
      <w:r w:rsidRPr="002D4502">
        <w:rPr>
          <w:rFonts w:ascii="Arial" w:hAnsi="Arial" w:cs="Arial"/>
          <w:sz w:val="20"/>
          <w:szCs w:val="20"/>
          <w:lang w:val="en-US"/>
        </w:rPr>
        <w:t xml:space="preserve"> semi-structured interview guides to conduct in-depth interviews with members of the </w:t>
      </w:r>
      <w:bookmarkStart w:id="35" w:name="_Hlk170211558"/>
      <w:r w:rsidRPr="002D4502">
        <w:rPr>
          <w:rFonts w:ascii="Arial" w:hAnsi="Arial" w:cs="Arial"/>
          <w:sz w:val="20"/>
          <w:szCs w:val="20"/>
          <w:lang w:val="en-US"/>
        </w:rPr>
        <w:t xml:space="preserve">village environmental </w:t>
      </w:r>
      <w:r w:rsidR="005E083F" w:rsidRPr="002D4502">
        <w:rPr>
          <w:rFonts w:ascii="Arial" w:hAnsi="Arial" w:cs="Arial"/>
          <w:sz w:val="20"/>
          <w:szCs w:val="20"/>
          <w:lang w:val="en-US"/>
        </w:rPr>
        <w:t xml:space="preserve">management </w:t>
      </w:r>
      <w:r w:rsidRPr="002D4502">
        <w:rPr>
          <w:rFonts w:ascii="Arial" w:hAnsi="Arial" w:cs="Arial"/>
          <w:sz w:val="20"/>
          <w:szCs w:val="20"/>
          <w:lang w:val="en-US"/>
        </w:rPr>
        <w:t>committee (VE</w:t>
      </w:r>
      <w:r w:rsidR="005E083F" w:rsidRPr="002D4502">
        <w:rPr>
          <w:rFonts w:ascii="Arial" w:hAnsi="Arial" w:cs="Arial"/>
          <w:sz w:val="20"/>
          <w:szCs w:val="20"/>
          <w:lang w:val="en-US"/>
        </w:rPr>
        <w:t>M</w:t>
      </w:r>
      <w:r w:rsidRPr="002D4502">
        <w:rPr>
          <w:rFonts w:ascii="Arial" w:hAnsi="Arial" w:cs="Arial"/>
          <w:sz w:val="20"/>
          <w:szCs w:val="20"/>
          <w:lang w:val="en-US"/>
        </w:rPr>
        <w:t xml:space="preserve">C), </w:t>
      </w:r>
      <w:bookmarkEnd w:id="35"/>
      <w:r w:rsidRPr="002D4502">
        <w:rPr>
          <w:rFonts w:ascii="Arial" w:hAnsi="Arial" w:cs="Arial"/>
          <w:sz w:val="20"/>
          <w:szCs w:val="20"/>
          <w:lang w:val="en-US"/>
        </w:rPr>
        <w:t xml:space="preserve">members of the </w:t>
      </w:r>
      <w:bookmarkStart w:id="36" w:name="_Hlk170582487"/>
      <w:r w:rsidRPr="002D4502">
        <w:rPr>
          <w:rFonts w:ascii="Arial" w:hAnsi="Arial" w:cs="Arial"/>
          <w:sz w:val="20"/>
          <w:szCs w:val="20"/>
          <w:lang w:val="en-US"/>
        </w:rPr>
        <w:t>MBUMTILU Sub-Catchment water users’ association</w:t>
      </w:r>
      <w:bookmarkEnd w:id="36"/>
      <w:r w:rsidRPr="002D4502">
        <w:rPr>
          <w:rFonts w:ascii="Arial" w:hAnsi="Arial" w:cs="Arial"/>
          <w:sz w:val="20"/>
          <w:szCs w:val="20"/>
          <w:lang w:val="en-US"/>
        </w:rPr>
        <w:t xml:space="preserve">, a village government officer, </w:t>
      </w:r>
      <w:bookmarkStart w:id="37" w:name="_Hlk170640294"/>
      <w:proofErr w:type="spellStart"/>
      <w:r w:rsidR="00F64672" w:rsidRPr="002D4502">
        <w:rPr>
          <w:rFonts w:ascii="Arial" w:hAnsi="Arial" w:cs="Arial"/>
          <w:sz w:val="20"/>
          <w:szCs w:val="20"/>
          <w:lang w:val="en-US"/>
        </w:rPr>
        <w:t>Wangingómbe</w:t>
      </w:r>
      <w:proofErr w:type="spellEnd"/>
      <w:r w:rsidR="00F64672" w:rsidRPr="002D4502">
        <w:rPr>
          <w:rFonts w:ascii="Arial" w:hAnsi="Arial" w:cs="Arial"/>
          <w:sz w:val="20"/>
          <w:szCs w:val="20"/>
          <w:lang w:val="en-US"/>
        </w:rPr>
        <w:t xml:space="preserve"> Water Supply and Sanitation Authority officer </w:t>
      </w:r>
      <w:bookmarkEnd w:id="37"/>
      <w:r w:rsidRPr="002D4502">
        <w:rPr>
          <w:rFonts w:ascii="Arial" w:hAnsi="Arial" w:cs="Arial"/>
          <w:sz w:val="20"/>
          <w:szCs w:val="20"/>
          <w:lang w:val="en-US"/>
        </w:rPr>
        <w:t>and a Tanzania Forest Services (TFS) officer at the district level</w:t>
      </w:r>
      <w:r w:rsidR="00AA4382" w:rsidRPr="002D4502">
        <w:rPr>
          <w:rFonts w:ascii="Arial" w:hAnsi="Arial" w:cs="Arial"/>
          <w:sz w:val="20"/>
          <w:szCs w:val="20"/>
          <w:lang w:val="en-US"/>
        </w:rPr>
        <w:t>. Also, the same tool and method were employed to get information from the village forest reserve patrol team, which consisted of two members. There was one focus discussion group that consisted of two village elders, village government officials, two dry-season lowland farmers, and two beekeepers.</w:t>
      </w:r>
      <w:r w:rsidR="005775F3" w:rsidRPr="002D4502">
        <w:rPr>
          <w:rFonts w:ascii="Arial" w:hAnsi="Arial" w:cs="Arial"/>
          <w:sz w:val="20"/>
          <w:szCs w:val="20"/>
        </w:rPr>
        <w:t xml:space="preserve"> </w:t>
      </w:r>
      <w:r w:rsidR="005775F3" w:rsidRPr="002D4502">
        <w:rPr>
          <w:rFonts w:ascii="Arial" w:hAnsi="Arial" w:cs="Arial"/>
          <w:sz w:val="20"/>
          <w:szCs w:val="20"/>
          <w:lang w:val="en-US"/>
        </w:rPr>
        <w:t xml:space="preserve">Data was collected through face-to-face interviews using semi-structured questions. The method </w:t>
      </w:r>
      <w:r w:rsidR="00AA4382" w:rsidRPr="002D4502">
        <w:rPr>
          <w:rFonts w:ascii="Arial" w:hAnsi="Arial" w:cs="Arial"/>
          <w:sz w:val="20"/>
          <w:szCs w:val="20"/>
          <w:lang w:val="en-US"/>
        </w:rPr>
        <w:t xml:space="preserve">helped </w:t>
      </w:r>
      <w:r w:rsidR="005775F3" w:rsidRPr="002D4502">
        <w:rPr>
          <w:rFonts w:ascii="Arial" w:hAnsi="Arial" w:cs="Arial"/>
          <w:sz w:val="20"/>
          <w:szCs w:val="20"/>
          <w:lang w:val="en-US"/>
        </w:rPr>
        <w:t xml:space="preserve">to </w:t>
      </w:r>
      <w:r w:rsidR="00AA4382" w:rsidRPr="002D4502">
        <w:rPr>
          <w:rFonts w:ascii="Arial" w:hAnsi="Arial" w:cs="Arial"/>
          <w:sz w:val="20"/>
          <w:szCs w:val="20"/>
          <w:lang w:val="en-US"/>
        </w:rPr>
        <w:t xml:space="preserve">gather data from </w:t>
      </w:r>
      <w:r w:rsidR="003C6840" w:rsidRPr="002D4502">
        <w:rPr>
          <w:rFonts w:ascii="Arial" w:hAnsi="Arial" w:cs="Arial"/>
          <w:sz w:val="20"/>
          <w:szCs w:val="20"/>
          <w:lang w:val="en-US"/>
        </w:rPr>
        <w:t xml:space="preserve">90 </w:t>
      </w:r>
      <w:r w:rsidR="00AA4382" w:rsidRPr="002D4502">
        <w:rPr>
          <w:rFonts w:ascii="Arial" w:hAnsi="Arial" w:cs="Arial"/>
          <w:sz w:val="20"/>
          <w:szCs w:val="20"/>
          <w:lang w:val="en-US"/>
        </w:rPr>
        <w:t xml:space="preserve">household heads in the </w:t>
      </w:r>
      <w:proofErr w:type="spellStart"/>
      <w:r w:rsidR="00AA4382" w:rsidRPr="002D4502">
        <w:rPr>
          <w:rFonts w:ascii="Arial" w:hAnsi="Arial" w:cs="Arial"/>
          <w:sz w:val="20"/>
          <w:szCs w:val="20"/>
          <w:lang w:val="en-US"/>
        </w:rPr>
        <w:t>Kilongo</w:t>
      </w:r>
      <w:proofErr w:type="spellEnd"/>
      <w:r w:rsidR="00AA4382" w:rsidRPr="002D4502">
        <w:rPr>
          <w:rFonts w:ascii="Arial" w:hAnsi="Arial" w:cs="Arial"/>
          <w:sz w:val="20"/>
          <w:szCs w:val="20"/>
          <w:lang w:val="en-US"/>
        </w:rPr>
        <w:t xml:space="preserve"> sub-village.  </w:t>
      </w:r>
    </w:p>
    <w:p w14:paraId="12E5E010" w14:textId="7F2B7185" w:rsidR="0069187E" w:rsidRPr="002D4502" w:rsidRDefault="0069187E" w:rsidP="00BA086A">
      <w:pPr>
        <w:pStyle w:val="NormalWeb"/>
        <w:jc w:val="both"/>
        <w:rPr>
          <w:rFonts w:ascii="Arial" w:hAnsi="Arial" w:cs="Arial"/>
          <w:sz w:val="20"/>
          <w:szCs w:val="20"/>
          <w:lang w:val="en-US"/>
        </w:rPr>
      </w:pPr>
      <w:r w:rsidRPr="002D4502">
        <w:rPr>
          <w:rFonts w:ascii="Arial" w:hAnsi="Arial" w:cs="Arial"/>
          <w:sz w:val="20"/>
          <w:szCs w:val="20"/>
          <w:lang w:val="en-US"/>
        </w:rPr>
        <w:lastRenderedPageBreak/>
        <w:t xml:space="preserve">Moreover, the documentary review method was used to review different documents on community-based forest management at the global, regional, and local levels. </w:t>
      </w:r>
      <w:r w:rsidR="000C3B07" w:rsidRPr="002D4502">
        <w:rPr>
          <w:rFonts w:ascii="Arial" w:hAnsi="Arial" w:cs="Arial"/>
          <w:sz w:val="20"/>
          <w:szCs w:val="20"/>
          <w:lang w:val="en-US"/>
        </w:rPr>
        <w:t xml:space="preserve">But also documents on Tanzania integrated water resources management (IWRM) and water user associations (WUA) were reviewed. </w:t>
      </w:r>
      <w:r w:rsidRPr="002D4502">
        <w:rPr>
          <w:rFonts w:ascii="Arial" w:hAnsi="Arial" w:cs="Arial"/>
          <w:sz w:val="20"/>
          <w:szCs w:val="20"/>
          <w:lang w:val="en-US"/>
        </w:rPr>
        <w:t>Internet searches were the major medium for searching the materials. On the other hand, the village government office provided much of the information on the demographic characteristics of the respondents.</w:t>
      </w:r>
    </w:p>
    <w:p w14:paraId="4E654B8C" w14:textId="77777777" w:rsidR="00920B7E" w:rsidRPr="002D4502" w:rsidRDefault="00602B27" w:rsidP="00BA086A">
      <w:pPr>
        <w:pStyle w:val="NormalWeb"/>
        <w:jc w:val="both"/>
        <w:rPr>
          <w:rFonts w:ascii="Arial" w:hAnsi="Arial" w:cs="Arial"/>
          <w:b/>
          <w:bCs/>
          <w:sz w:val="22"/>
          <w:szCs w:val="22"/>
        </w:rPr>
      </w:pPr>
      <w:r w:rsidRPr="002D4502">
        <w:rPr>
          <w:rFonts w:ascii="Arial" w:hAnsi="Arial" w:cs="Arial"/>
          <w:b/>
          <w:bCs/>
          <w:sz w:val="22"/>
          <w:szCs w:val="22"/>
          <w:lang w:val="en-US"/>
        </w:rPr>
        <w:t xml:space="preserve">2.4 </w:t>
      </w:r>
      <w:r w:rsidRPr="002D4502">
        <w:rPr>
          <w:rFonts w:ascii="Arial" w:hAnsi="Arial" w:cs="Arial"/>
          <w:b/>
          <w:bCs/>
          <w:sz w:val="22"/>
          <w:szCs w:val="22"/>
        </w:rPr>
        <w:t>Data Analysis</w:t>
      </w:r>
    </w:p>
    <w:p w14:paraId="50782224" w14:textId="1CCB4F7B" w:rsidR="00F31528" w:rsidRPr="002D4502" w:rsidRDefault="0093506B" w:rsidP="00BA086A">
      <w:pPr>
        <w:pStyle w:val="NormalWeb"/>
        <w:jc w:val="both"/>
        <w:rPr>
          <w:rFonts w:ascii="Arial" w:hAnsi="Arial" w:cs="Arial"/>
          <w:sz w:val="20"/>
          <w:szCs w:val="20"/>
        </w:rPr>
      </w:pPr>
      <w:r w:rsidRPr="002D4502">
        <w:rPr>
          <w:rFonts w:ascii="Arial" w:hAnsi="Arial" w:cs="Arial"/>
          <w:sz w:val="20"/>
          <w:szCs w:val="20"/>
          <w:lang w:val="en-US"/>
        </w:rPr>
        <w:t xml:space="preserve">The </w:t>
      </w:r>
      <w:r w:rsidRPr="002D4502">
        <w:rPr>
          <w:rFonts w:ascii="Arial" w:hAnsi="Arial" w:cs="Arial"/>
          <w:sz w:val="20"/>
          <w:szCs w:val="20"/>
        </w:rPr>
        <w:t xml:space="preserve">content analysis </w:t>
      </w:r>
      <w:r w:rsidR="00F31528" w:rsidRPr="002D4502">
        <w:rPr>
          <w:rFonts w:ascii="Arial" w:hAnsi="Arial" w:cs="Arial"/>
          <w:sz w:val="20"/>
          <w:szCs w:val="20"/>
          <w:lang w:val="en-US"/>
        </w:rPr>
        <w:t xml:space="preserve">method </w:t>
      </w:r>
      <w:r w:rsidRPr="002D4502">
        <w:rPr>
          <w:rFonts w:ascii="Arial" w:hAnsi="Arial" w:cs="Arial"/>
          <w:sz w:val="20"/>
          <w:szCs w:val="20"/>
        </w:rPr>
        <w:t xml:space="preserve">was </w:t>
      </w:r>
      <w:r w:rsidR="005775F3" w:rsidRPr="002D4502">
        <w:rPr>
          <w:rFonts w:ascii="Arial" w:hAnsi="Arial" w:cs="Arial"/>
          <w:sz w:val="20"/>
          <w:szCs w:val="20"/>
          <w:lang w:val="en-US"/>
        </w:rPr>
        <w:t>used</w:t>
      </w:r>
      <w:r w:rsidRPr="002D4502">
        <w:rPr>
          <w:rFonts w:ascii="Arial" w:hAnsi="Arial" w:cs="Arial"/>
          <w:sz w:val="20"/>
          <w:szCs w:val="20"/>
        </w:rPr>
        <w:t xml:space="preserve"> to analyse the qualitative data</w:t>
      </w:r>
      <w:r w:rsidRPr="002D4502">
        <w:rPr>
          <w:rFonts w:ascii="Arial" w:hAnsi="Arial" w:cs="Arial"/>
          <w:sz w:val="20"/>
          <w:szCs w:val="20"/>
          <w:lang w:val="en-US"/>
        </w:rPr>
        <w:t>.</w:t>
      </w:r>
      <w:r w:rsidR="00362D5B" w:rsidRPr="002D4502">
        <w:rPr>
          <w:rFonts w:ascii="Arial" w:hAnsi="Arial" w:cs="Arial"/>
          <w:sz w:val="20"/>
          <w:szCs w:val="20"/>
          <w:lang w:val="en-US"/>
        </w:rPr>
        <w:t xml:space="preserve"> </w:t>
      </w:r>
      <w:bookmarkStart w:id="38" w:name="_Hlk169782995"/>
      <w:r w:rsidR="00362D5B" w:rsidRPr="002D4502">
        <w:rPr>
          <w:rFonts w:ascii="Arial" w:hAnsi="Arial" w:cs="Arial"/>
          <w:sz w:val="20"/>
          <w:szCs w:val="20"/>
        </w:rPr>
        <w:t xml:space="preserve">The International Business Machines Statistical Products and Service Solutions (IBM SPSS) software version 23 </w:t>
      </w:r>
      <w:bookmarkEnd w:id="38"/>
      <w:r w:rsidR="00362D5B" w:rsidRPr="002D4502">
        <w:rPr>
          <w:rFonts w:ascii="Arial" w:hAnsi="Arial" w:cs="Arial"/>
          <w:sz w:val="20"/>
          <w:szCs w:val="20"/>
        </w:rPr>
        <w:t xml:space="preserve">was used to analyse the quantitative data obtained from </w:t>
      </w:r>
      <w:r w:rsidR="008136FE" w:rsidRPr="002D4502">
        <w:rPr>
          <w:rFonts w:ascii="Arial" w:hAnsi="Arial" w:cs="Arial"/>
          <w:sz w:val="20"/>
          <w:szCs w:val="20"/>
          <w:lang w:val="en-US"/>
        </w:rPr>
        <w:t>semi-</w:t>
      </w:r>
      <w:r w:rsidR="00362D5B" w:rsidRPr="002D4502">
        <w:rPr>
          <w:rFonts w:ascii="Arial" w:hAnsi="Arial" w:cs="Arial"/>
          <w:sz w:val="20"/>
          <w:szCs w:val="20"/>
        </w:rPr>
        <w:t xml:space="preserve">structured interviews, whereby frequencies and percentages were produced. On the other hand, Microsoft Excel software was used to create figures and graphs. Finally, quantitative data was presented in </w:t>
      </w:r>
      <w:r w:rsidR="00935D7B" w:rsidRPr="002D4502">
        <w:rPr>
          <w:rFonts w:ascii="Arial" w:hAnsi="Arial" w:cs="Arial"/>
          <w:sz w:val="20"/>
          <w:szCs w:val="20"/>
          <w:lang w:val="en-US"/>
        </w:rPr>
        <w:t>figure</w:t>
      </w:r>
      <w:r w:rsidR="005775F3" w:rsidRPr="002D4502">
        <w:rPr>
          <w:rFonts w:ascii="Arial" w:hAnsi="Arial" w:cs="Arial"/>
          <w:sz w:val="20"/>
          <w:szCs w:val="20"/>
          <w:lang w:val="en-US"/>
        </w:rPr>
        <w:t>s</w:t>
      </w:r>
      <w:r w:rsidR="00935D7B" w:rsidRPr="002D4502">
        <w:rPr>
          <w:rFonts w:ascii="Arial" w:hAnsi="Arial" w:cs="Arial"/>
          <w:sz w:val="20"/>
          <w:szCs w:val="20"/>
          <w:lang w:val="en-US"/>
        </w:rPr>
        <w:t xml:space="preserve"> and </w:t>
      </w:r>
      <w:r w:rsidR="00362D5B" w:rsidRPr="002D4502">
        <w:rPr>
          <w:rFonts w:ascii="Arial" w:hAnsi="Arial" w:cs="Arial"/>
          <w:sz w:val="20"/>
          <w:szCs w:val="20"/>
        </w:rPr>
        <w:t>tables, and qualitative data was presented using explanations.</w:t>
      </w:r>
    </w:p>
    <w:p w14:paraId="649D7846" w14:textId="25CD5D9B" w:rsidR="00FD1DF4" w:rsidRPr="002D4502" w:rsidRDefault="00FD1DF4" w:rsidP="00BA086A">
      <w:pPr>
        <w:pStyle w:val="NormalWeb"/>
        <w:jc w:val="both"/>
        <w:rPr>
          <w:rFonts w:ascii="Arial" w:hAnsi="Arial" w:cs="Arial"/>
          <w:b/>
          <w:bCs/>
          <w:sz w:val="22"/>
          <w:szCs w:val="22"/>
          <w:lang w:val="en-US"/>
        </w:rPr>
      </w:pPr>
      <w:r w:rsidRPr="002D4502">
        <w:rPr>
          <w:rFonts w:ascii="Arial" w:hAnsi="Arial" w:cs="Arial"/>
          <w:b/>
          <w:bCs/>
          <w:sz w:val="22"/>
          <w:szCs w:val="22"/>
          <w:lang w:val="en-US"/>
        </w:rPr>
        <w:t>2.</w:t>
      </w:r>
      <w:r w:rsidR="00585331" w:rsidRPr="002D4502">
        <w:rPr>
          <w:rFonts w:ascii="Arial" w:hAnsi="Arial" w:cs="Arial"/>
          <w:b/>
          <w:bCs/>
          <w:sz w:val="22"/>
          <w:szCs w:val="22"/>
          <w:lang w:val="en-US"/>
        </w:rPr>
        <w:t>5</w:t>
      </w:r>
      <w:r w:rsidRPr="002D4502">
        <w:rPr>
          <w:rFonts w:ascii="Arial" w:hAnsi="Arial" w:cs="Arial"/>
          <w:b/>
          <w:bCs/>
          <w:sz w:val="22"/>
          <w:szCs w:val="22"/>
          <w:lang w:val="en-US"/>
        </w:rPr>
        <w:t xml:space="preserve"> </w:t>
      </w:r>
      <w:r w:rsidR="00076CB4" w:rsidRPr="002D4502">
        <w:rPr>
          <w:rFonts w:ascii="Arial" w:hAnsi="Arial" w:cs="Arial"/>
          <w:b/>
          <w:bCs/>
          <w:sz w:val="22"/>
          <w:szCs w:val="22"/>
          <w:lang w:val="en-US"/>
        </w:rPr>
        <w:t xml:space="preserve">The Conceptual </w:t>
      </w:r>
      <w:r w:rsidRPr="002D4502">
        <w:rPr>
          <w:rFonts w:ascii="Arial" w:hAnsi="Arial" w:cs="Arial"/>
          <w:b/>
          <w:bCs/>
          <w:sz w:val="22"/>
          <w:szCs w:val="22"/>
          <w:lang w:val="en-US"/>
        </w:rPr>
        <w:t xml:space="preserve">Framework </w:t>
      </w:r>
      <w:r w:rsidR="00076CB4" w:rsidRPr="002D4502">
        <w:rPr>
          <w:rFonts w:ascii="Arial" w:hAnsi="Arial" w:cs="Arial"/>
          <w:b/>
          <w:bCs/>
          <w:sz w:val="22"/>
          <w:szCs w:val="22"/>
          <w:lang w:val="en-US"/>
        </w:rPr>
        <w:t>of Community-based Forest Management</w:t>
      </w:r>
    </w:p>
    <w:p w14:paraId="0946B6AF" w14:textId="290BC8F8" w:rsidR="002F7317" w:rsidRPr="002D4502" w:rsidRDefault="002F7317" w:rsidP="00BA086A">
      <w:pPr>
        <w:pStyle w:val="NormalWeb"/>
        <w:jc w:val="both"/>
        <w:rPr>
          <w:rFonts w:ascii="Arial" w:hAnsi="Arial" w:cs="Arial"/>
          <w:sz w:val="20"/>
          <w:szCs w:val="20"/>
        </w:rPr>
      </w:pPr>
      <w:r w:rsidRPr="002D4502">
        <w:rPr>
          <w:rFonts w:ascii="Arial" w:hAnsi="Arial" w:cs="Arial"/>
          <w:sz w:val="20"/>
          <w:szCs w:val="20"/>
        </w:rPr>
        <w:t xml:space="preserve">This study uses the </w:t>
      </w:r>
      <w:bookmarkStart w:id="39" w:name="_Hlk170844058"/>
      <w:r w:rsidRPr="002D4502">
        <w:rPr>
          <w:rFonts w:ascii="Arial" w:hAnsi="Arial" w:cs="Arial"/>
          <w:sz w:val="20"/>
          <w:szCs w:val="20"/>
        </w:rPr>
        <w:t xml:space="preserve">Agrawal </w:t>
      </w:r>
      <w:r w:rsidR="00433F2E">
        <w:rPr>
          <w:rFonts w:ascii="Arial" w:hAnsi="Arial" w:cs="Arial"/>
          <w:sz w:val="20"/>
          <w:szCs w:val="20"/>
          <w:lang w:val="en-US"/>
        </w:rPr>
        <w:t>and</w:t>
      </w:r>
      <w:r w:rsidRPr="002D4502">
        <w:rPr>
          <w:rFonts w:ascii="Arial" w:hAnsi="Arial" w:cs="Arial"/>
          <w:sz w:val="20"/>
          <w:szCs w:val="20"/>
        </w:rPr>
        <w:t xml:space="preserve"> Ribot </w:t>
      </w:r>
      <w:r w:rsidR="00601E10" w:rsidRPr="002D4502">
        <w:rPr>
          <w:rFonts w:ascii="Arial" w:hAnsi="Arial" w:cs="Arial"/>
          <w:sz w:val="20"/>
          <w:szCs w:val="20"/>
          <w:lang w:val="en-US"/>
        </w:rPr>
        <w:t>[</w:t>
      </w:r>
      <w:r w:rsidR="00992AB6" w:rsidRPr="002D4502">
        <w:rPr>
          <w:rFonts w:ascii="Arial" w:hAnsi="Arial" w:cs="Arial"/>
          <w:sz w:val="20"/>
          <w:szCs w:val="20"/>
          <w:lang w:val="en-US"/>
        </w:rPr>
        <w:t>39</w:t>
      </w:r>
      <w:r w:rsidR="00601E10" w:rsidRPr="002D4502">
        <w:rPr>
          <w:rFonts w:ascii="Arial" w:hAnsi="Arial" w:cs="Arial"/>
          <w:sz w:val="20"/>
          <w:szCs w:val="20"/>
          <w:lang w:val="en-US"/>
        </w:rPr>
        <w:t>]</w:t>
      </w:r>
      <w:r w:rsidRPr="002D4502">
        <w:rPr>
          <w:rFonts w:ascii="Arial" w:hAnsi="Arial" w:cs="Arial"/>
          <w:sz w:val="20"/>
          <w:szCs w:val="20"/>
        </w:rPr>
        <w:t xml:space="preserve"> </w:t>
      </w:r>
      <w:bookmarkEnd w:id="39"/>
      <w:r w:rsidRPr="002D4502">
        <w:rPr>
          <w:rFonts w:ascii="Arial" w:hAnsi="Arial" w:cs="Arial"/>
          <w:sz w:val="20"/>
          <w:szCs w:val="20"/>
        </w:rPr>
        <w:t xml:space="preserve">framework to analyse and assess the effectiveness of decentralisation in managing common property resources, specifically the village forest reserve in Masaulwa Village. The framework is based on three key dimensions: actors, powers, and accountability, which are essential for successful decentralisation. According to the framework, any analysis of the effectiveness of decentralisation should take into account the powers held by different actors, the areas in which they exercise these powers, and the individuals or entities to whom they are accountable </w:t>
      </w:r>
      <w:bookmarkStart w:id="40" w:name="_Hlk170588722"/>
      <w:bookmarkStart w:id="41" w:name="_Hlk170580650"/>
      <w:r w:rsidR="00601E10" w:rsidRPr="002D4502">
        <w:rPr>
          <w:rFonts w:ascii="Arial" w:hAnsi="Arial" w:cs="Arial"/>
          <w:sz w:val="20"/>
          <w:szCs w:val="20"/>
          <w:lang w:val="en-US"/>
        </w:rPr>
        <w:t>[</w:t>
      </w:r>
      <w:bookmarkEnd w:id="40"/>
      <w:r w:rsidR="00992AB6" w:rsidRPr="002D4502">
        <w:rPr>
          <w:rFonts w:ascii="Arial" w:hAnsi="Arial" w:cs="Arial"/>
          <w:sz w:val="20"/>
          <w:szCs w:val="20"/>
          <w:lang w:val="en-US"/>
        </w:rPr>
        <w:t>39</w:t>
      </w:r>
      <w:r w:rsidR="00601E10" w:rsidRPr="002D4502">
        <w:rPr>
          <w:rFonts w:ascii="Arial" w:hAnsi="Arial" w:cs="Arial"/>
          <w:sz w:val="20"/>
          <w:szCs w:val="20"/>
          <w:lang w:val="en-US"/>
        </w:rPr>
        <w:t>]</w:t>
      </w:r>
      <w:r w:rsidRPr="002D4502">
        <w:rPr>
          <w:rFonts w:ascii="Arial" w:hAnsi="Arial" w:cs="Arial"/>
          <w:sz w:val="20"/>
          <w:szCs w:val="20"/>
        </w:rPr>
        <w:t>.</w:t>
      </w:r>
      <w:bookmarkEnd w:id="41"/>
    </w:p>
    <w:p w14:paraId="6D03C2F4" w14:textId="580EC354" w:rsidR="007771EB" w:rsidRPr="002D4502" w:rsidRDefault="007771EB" w:rsidP="00BA086A">
      <w:pPr>
        <w:pStyle w:val="NormalWeb"/>
        <w:keepNext/>
        <w:ind w:left="142"/>
        <w:jc w:val="both"/>
        <w:rPr>
          <w:rFonts w:ascii="Arial" w:hAnsi="Arial" w:cs="Arial"/>
          <w:sz w:val="20"/>
          <w:szCs w:val="20"/>
        </w:rPr>
      </w:pPr>
      <w:r w:rsidRPr="002D4502">
        <w:rPr>
          <w:rFonts w:ascii="Arial" w:hAnsi="Arial" w:cs="Arial"/>
          <w:noProof/>
          <w:sz w:val="20"/>
          <w:szCs w:val="20"/>
          <w:bdr w:val="single" w:sz="8" w:space="0" w:color="auto"/>
        </w:rPr>
        <w:drawing>
          <wp:inline distT="0" distB="0" distL="0" distR="0" wp14:anchorId="5EEEC591" wp14:editId="5946CD66">
            <wp:extent cx="5591175" cy="3667125"/>
            <wp:effectExtent l="0" t="0" r="9525" b="9525"/>
            <wp:docPr id="1033507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1175" cy="3667125"/>
                    </a:xfrm>
                    <a:prstGeom prst="rect">
                      <a:avLst/>
                    </a:prstGeom>
                    <a:noFill/>
                    <a:ln>
                      <a:noFill/>
                    </a:ln>
                  </pic:spPr>
                </pic:pic>
              </a:graphicData>
            </a:graphic>
          </wp:inline>
        </w:drawing>
      </w:r>
    </w:p>
    <w:p w14:paraId="5C76E213" w14:textId="496C6397" w:rsidR="00BE29E3" w:rsidRPr="002D4502" w:rsidRDefault="0080497F" w:rsidP="00BA086A">
      <w:pPr>
        <w:pStyle w:val="Caption"/>
        <w:jc w:val="both"/>
        <w:rPr>
          <w:rFonts w:ascii="Arial" w:hAnsi="Arial" w:cs="Arial"/>
          <w:b/>
          <w:bCs/>
          <w:i w:val="0"/>
          <w:iCs w:val="0"/>
          <w:color w:val="auto"/>
          <w:sz w:val="20"/>
          <w:szCs w:val="20"/>
        </w:rPr>
      </w:pPr>
      <w:r w:rsidRPr="002D4502">
        <w:rPr>
          <w:rFonts w:ascii="Arial" w:hAnsi="Arial" w:cs="Arial"/>
          <w:b/>
          <w:bCs/>
          <w:i w:val="0"/>
          <w:iCs w:val="0"/>
          <w:color w:val="auto"/>
          <w:sz w:val="20"/>
          <w:szCs w:val="20"/>
        </w:rPr>
        <w:t xml:space="preserve">   </w:t>
      </w:r>
      <w:r w:rsidR="007771EB" w:rsidRPr="002D4502">
        <w:rPr>
          <w:rFonts w:ascii="Arial" w:hAnsi="Arial" w:cs="Arial"/>
          <w:b/>
          <w:bCs/>
          <w:i w:val="0"/>
          <w:iCs w:val="0"/>
          <w:color w:val="auto"/>
          <w:sz w:val="20"/>
          <w:szCs w:val="20"/>
        </w:rPr>
        <w:t xml:space="preserve">Figure </w:t>
      </w:r>
      <w:r w:rsidR="007771EB" w:rsidRPr="002D4502">
        <w:rPr>
          <w:rFonts w:ascii="Arial" w:hAnsi="Arial" w:cs="Arial"/>
          <w:b/>
          <w:bCs/>
          <w:i w:val="0"/>
          <w:iCs w:val="0"/>
          <w:color w:val="auto"/>
          <w:sz w:val="20"/>
          <w:szCs w:val="20"/>
        </w:rPr>
        <w:fldChar w:fldCharType="begin"/>
      </w:r>
      <w:r w:rsidR="007771EB" w:rsidRPr="002D4502">
        <w:rPr>
          <w:rFonts w:ascii="Arial" w:hAnsi="Arial" w:cs="Arial"/>
          <w:b/>
          <w:bCs/>
          <w:i w:val="0"/>
          <w:iCs w:val="0"/>
          <w:color w:val="auto"/>
          <w:sz w:val="20"/>
          <w:szCs w:val="20"/>
        </w:rPr>
        <w:instrText xml:space="preserve"> SEQ Figure \* ARABIC </w:instrText>
      </w:r>
      <w:r w:rsidR="007771EB" w:rsidRPr="002D4502">
        <w:rPr>
          <w:rFonts w:ascii="Arial" w:hAnsi="Arial" w:cs="Arial"/>
          <w:b/>
          <w:bCs/>
          <w:i w:val="0"/>
          <w:iCs w:val="0"/>
          <w:color w:val="auto"/>
          <w:sz w:val="20"/>
          <w:szCs w:val="20"/>
        </w:rPr>
        <w:fldChar w:fldCharType="separate"/>
      </w:r>
      <w:r w:rsidR="007704D4" w:rsidRPr="002D4502">
        <w:rPr>
          <w:rFonts w:ascii="Arial" w:hAnsi="Arial" w:cs="Arial"/>
          <w:b/>
          <w:bCs/>
          <w:i w:val="0"/>
          <w:iCs w:val="0"/>
          <w:noProof/>
          <w:color w:val="auto"/>
          <w:sz w:val="20"/>
          <w:szCs w:val="20"/>
        </w:rPr>
        <w:t>2</w:t>
      </w:r>
      <w:r w:rsidR="007771EB" w:rsidRPr="002D4502">
        <w:rPr>
          <w:rFonts w:ascii="Arial" w:hAnsi="Arial" w:cs="Arial"/>
          <w:b/>
          <w:bCs/>
          <w:i w:val="0"/>
          <w:iCs w:val="0"/>
          <w:color w:val="auto"/>
          <w:sz w:val="20"/>
          <w:szCs w:val="20"/>
        </w:rPr>
        <w:fldChar w:fldCharType="end"/>
      </w:r>
      <w:r w:rsidR="007771EB" w:rsidRPr="002D4502">
        <w:rPr>
          <w:rFonts w:ascii="Arial" w:hAnsi="Arial" w:cs="Arial"/>
          <w:b/>
          <w:bCs/>
          <w:i w:val="0"/>
          <w:iCs w:val="0"/>
          <w:color w:val="auto"/>
          <w:sz w:val="20"/>
          <w:szCs w:val="20"/>
        </w:rPr>
        <w:t xml:space="preserve">: </w:t>
      </w:r>
      <w:r w:rsidR="002377DE" w:rsidRPr="002D4502">
        <w:rPr>
          <w:rFonts w:ascii="Arial" w:hAnsi="Arial" w:cs="Arial"/>
          <w:b/>
          <w:bCs/>
          <w:i w:val="0"/>
          <w:iCs w:val="0"/>
          <w:color w:val="auto"/>
          <w:sz w:val="20"/>
          <w:szCs w:val="20"/>
        </w:rPr>
        <w:t xml:space="preserve">The Conceptual Framework of Community-based </w:t>
      </w:r>
      <w:r w:rsidR="003F13AA" w:rsidRPr="002D4502">
        <w:rPr>
          <w:rFonts w:ascii="Arial" w:hAnsi="Arial" w:cs="Arial"/>
          <w:b/>
          <w:bCs/>
          <w:i w:val="0"/>
          <w:iCs w:val="0"/>
          <w:color w:val="auto"/>
          <w:sz w:val="20"/>
          <w:szCs w:val="20"/>
        </w:rPr>
        <w:t xml:space="preserve">Forest </w:t>
      </w:r>
      <w:r w:rsidR="00491CE2" w:rsidRPr="002D4502">
        <w:rPr>
          <w:rFonts w:ascii="Arial" w:hAnsi="Arial" w:cs="Arial"/>
          <w:b/>
          <w:bCs/>
          <w:i w:val="0"/>
          <w:iCs w:val="0"/>
          <w:color w:val="auto"/>
          <w:sz w:val="20"/>
          <w:szCs w:val="20"/>
        </w:rPr>
        <w:t>M</w:t>
      </w:r>
      <w:r w:rsidR="003F13AA" w:rsidRPr="002D4502">
        <w:rPr>
          <w:rFonts w:ascii="Arial" w:hAnsi="Arial" w:cs="Arial"/>
          <w:b/>
          <w:bCs/>
          <w:i w:val="0"/>
          <w:iCs w:val="0"/>
          <w:color w:val="auto"/>
          <w:sz w:val="20"/>
          <w:szCs w:val="20"/>
        </w:rPr>
        <w:t xml:space="preserve">anagement </w:t>
      </w:r>
    </w:p>
    <w:p w14:paraId="0B1A4F0A" w14:textId="7A1767C2" w:rsidR="00491CE2" w:rsidRPr="002D4502" w:rsidRDefault="0080497F" w:rsidP="00BA086A">
      <w:pPr>
        <w:spacing w:line="240" w:lineRule="auto"/>
        <w:jc w:val="both"/>
        <w:rPr>
          <w:rFonts w:ascii="Arial" w:hAnsi="Arial" w:cs="Arial"/>
          <w:b/>
          <w:bCs/>
          <w:sz w:val="20"/>
          <w:szCs w:val="20"/>
        </w:rPr>
      </w:pPr>
      <w:r w:rsidRPr="002D4502">
        <w:rPr>
          <w:rFonts w:ascii="Arial" w:hAnsi="Arial" w:cs="Arial"/>
          <w:b/>
          <w:bCs/>
          <w:sz w:val="20"/>
          <w:szCs w:val="20"/>
        </w:rPr>
        <w:t xml:space="preserve">    </w:t>
      </w:r>
      <w:r w:rsidR="00491CE2" w:rsidRPr="002D4502">
        <w:rPr>
          <w:rFonts w:ascii="Arial" w:hAnsi="Arial" w:cs="Arial"/>
          <w:b/>
          <w:bCs/>
          <w:sz w:val="20"/>
          <w:szCs w:val="20"/>
        </w:rPr>
        <w:t xml:space="preserve">Source: </w:t>
      </w:r>
      <w:r w:rsidR="00491CE2" w:rsidRPr="002D4502">
        <w:rPr>
          <w:rFonts w:ascii="Arial" w:hAnsi="Arial" w:cs="Arial"/>
          <w:sz w:val="20"/>
          <w:szCs w:val="20"/>
        </w:rPr>
        <w:t xml:space="preserve">Modified from </w:t>
      </w:r>
      <w:bookmarkStart w:id="42" w:name="_Hlk168836963"/>
      <w:r w:rsidR="00491CE2" w:rsidRPr="002D4502">
        <w:rPr>
          <w:rFonts w:ascii="Arial" w:hAnsi="Arial" w:cs="Arial"/>
          <w:sz w:val="20"/>
          <w:szCs w:val="20"/>
        </w:rPr>
        <w:t xml:space="preserve">Agrawal &amp; Ribot </w:t>
      </w:r>
      <w:r w:rsidR="00601E10" w:rsidRPr="002D4502">
        <w:rPr>
          <w:rFonts w:ascii="Arial" w:hAnsi="Arial" w:cs="Arial"/>
          <w:sz w:val="20"/>
          <w:szCs w:val="20"/>
        </w:rPr>
        <w:t>[</w:t>
      </w:r>
      <w:r w:rsidR="00992AB6" w:rsidRPr="002D4502">
        <w:rPr>
          <w:rFonts w:ascii="Arial" w:hAnsi="Arial" w:cs="Arial"/>
          <w:sz w:val="20"/>
          <w:szCs w:val="20"/>
        </w:rPr>
        <w:t>39</w:t>
      </w:r>
      <w:r w:rsidR="00601E10" w:rsidRPr="002D4502">
        <w:rPr>
          <w:rFonts w:ascii="Arial" w:hAnsi="Arial" w:cs="Arial"/>
          <w:sz w:val="20"/>
          <w:szCs w:val="20"/>
        </w:rPr>
        <w:t>]</w:t>
      </w:r>
      <w:r w:rsidR="00491CE2" w:rsidRPr="002D4502">
        <w:rPr>
          <w:rFonts w:ascii="Arial" w:hAnsi="Arial" w:cs="Arial"/>
          <w:sz w:val="20"/>
          <w:szCs w:val="20"/>
        </w:rPr>
        <w:t>.</w:t>
      </w:r>
      <w:bookmarkEnd w:id="42"/>
    </w:p>
    <w:p w14:paraId="79DA1C5A" w14:textId="2A7EB92C" w:rsidR="0038276C" w:rsidRPr="002D4502" w:rsidRDefault="004A30C7" w:rsidP="00BA086A">
      <w:pPr>
        <w:pStyle w:val="NormalWeb"/>
        <w:jc w:val="both"/>
        <w:rPr>
          <w:rFonts w:ascii="Arial" w:hAnsi="Arial" w:cs="Arial"/>
          <w:sz w:val="20"/>
          <w:szCs w:val="20"/>
        </w:rPr>
      </w:pPr>
      <w:r w:rsidRPr="002D4502">
        <w:rPr>
          <w:rFonts w:ascii="Arial" w:hAnsi="Arial" w:cs="Arial"/>
          <w:sz w:val="20"/>
          <w:szCs w:val="20"/>
          <w:lang w:val="en-US"/>
        </w:rPr>
        <w:t xml:space="preserve">Actors involved in </w:t>
      </w:r>
      <w:proofErr w:type="spellStart"/>
      <w:r w:rsidRPr="002D4502">
        <w:rPr>
          <w:rFonts w:ascii="Arial" w:hAnsi="Arial" w:cs="Arial"/>
          <w:sz w:val="20"/>
          <w:szCs w:val="20"/>
          <w:lang w:val="en-US"/>
        </w:rPr>
        <w:t>decentralisation</w:t>
      </w:r>
      <w:proofErr w:type="spellEnd"/>
      <w:r w:rsidRPr="002D4502">
        <w:rPr>
          <w:rFonts w:ascii="Arial" w:hAnsi="Arial" w:cs="Arial"/>
          <w:sz w:val="20"/>
          <w:szCs w:val="20"/>
          <w:lang w:val="en-US"/>
        </w:rPr>
        <w:t xml:space="preserve"> encompass both appointed and elected officials, influential individuals, as well as committees that have authority over communal resources.</w:t>
      </w:r>
      <w:r w:rsidRPr="002D4502">
        <w:rPr>
          <w:rFonts w:ascii="Arial" w:hAnsi="Arial" w:cs="Arial"/>
          <w:sz w:val="20"/>
          <w:szCs w:val="20"/>
        </w:rPr>
        <w:t xml:space="preserve"> Each</w:t>
      </w:r>
      <w:r w:rsidR="00B11D31" w:rsidRPr="002D4502">
        <w:rPr>
          <w:rFonts w:ascii="Arial" w:hAnsi="Arial" w:cs="Arial"/>
          <w:sz w:val="20"/>
          <w:szCs w:val="20"/>
        </w:rPr>
        <w:t xml:space="preserve"> of these players is often situated inside a distinct framework of responsibility and possesses distinctive forms of </w:t>
      </w:r>
      <w:r w:rsidR="00B11D31" w:rsidRPr="002D4502">
        <w:rPr>
          <w:rFonts w:ascii="Arial" w:hAnsi="Arial" w:cs="Arial"/>
          <w:sz w:val="20"/>
          <w:szCs w:val="20"/>
        </w:rPr>
        <w:lastRenderedPageBreak/>
        <w:t>authority. The nature of these relationships is contingent upon the social and political structure of each individual entity, which is determined by the process of election and appointment. Actors are bound by legal regulations. Actors are situated at various levels of social engagement, and the</w:t>
      </w:r>
      <w:r w:rsidR="00E8307F" w:rsidRPr="002D4502">
        <w:rPr>
          <w:rFonts w:ascii="Arial" w:hAnsi="Arial" w:cs="Arial"/>
          <w:sz w:val="20"/>
          <w:szCs w:val="20"/>
          <w:lang w:val="en-US"/>
        </w:rPr>
        <w:t xml:space="preserve"> effectiveness </w:t>
      </w:r>
      <w:r w:rsidR="00B11D31" w:rsidRPr="002D4502">
        <w:rPr>
          <w:rFonts w:ascii="Arial" w:hAnsi="Arial" w:cs="Arial"/>
          <w:sz w:val="20"/>
          <w:szCs w:val="20"/>
        </w:rPr>
        <w:t>of decentralisation relies heavily on which individuals have the authority to exert power and the corresponding responsibility they are held accountable to</w:t>
      </w:r>
      <w:r w:rsidR="00F07B85" w:rsidRPr="002D4502">
        <w:rPr>
          <w:rFonts w:ascii="Arial" w:hAnsi="Arial" w:cs="Arial"/>
          <w:sz w:val="20"/>
          <w:szCs w:val="20"/>
          <w:lang w:val="en-US"/>
        </w:rPr>
        <w:t xml:space="preserve"> </w:t>
      </w:r>
      <w:r w:rsidR="00601E10" w:rsidRPr="002D4502">
        <w:rPr>
          <w:rFonts w:ascii="Arial" w:hAnsi="Arial" w:cs="Arial"/>
          <w:sz w:val="20"/>
          <w:szCs w:val="20"/>
          <w:lang w:val="en-US"/>
        </w:rPr>
        <w:t>[</w:t>
      </w:r>
      <w:r w:rsidR="00992AB6" w:rsidRPr="002D4502">
        <w:rPr>
          <w:rFonts w:ascii="Arial" w:hAnsi="Arial" w:cs="Arial"/>
          <w:sz w:val="20"/>
          <w:szCs w:val="20"/>
          <w:lang w:val="en-US"/>
        </w:rPr>
        <w:t>39</w:t>
      </w:r>
      <w:r w:rsidR="00601E10" w:rsidRPr="002D4502">
        <w:rPr>
          <w:rFonts w:ascii="Arial" w:hAnsi="Arial" w:cs="Arial"/>
          <w:sz w:val="20"/>
          <w:szCs w:val="20"/>
          <w:lang w:val="en-US"/>
        </w:rPr>
        <w:t>]</w:t>
      </w:r>
      <w:r w:rsidR="00B11D31" w:rsidRPr="002D4502">
        <w:rPr>
          <w:rFonts w:ascii="Arial" w:hAnsi="Arial" w:cs="Arial"/>
          <w:sz w:val="20"/>
          <w:szCs w:val="20"/>
        </w:rPr>
        <w:t>.</w:t>
      </w:r>
    </w:p>
    <w:p w14:paraId="25208D93" w14:textId="27E987E6" w:rsidR="00A60BD6" w:rsidRPr="002D4502" w:rsidRDefault="00A60BD6" w:rsidP="00BA086A">
      <w:pPr>
        <w:pStyle w:val="NormalWeb"/>
        <w:jc w:val="both"/>
        <w:rPr>
          <w:rFonts w:ascii="Arial" w:hAnsi="Arial" w:cs="Arial"/>
          <w:sz w:val="20"/>
          <w:szCs w:val="20"/>
        </w:rPr>
      </w:pPr>
      <w:r w:rsidRPr="002D4502">
        <w:rPr>
          <w:rFonts w:ascii="Arial" w:hAnsi="Arial" w:cs="Arial"/>
          <w:sz w:val="20"/>
          <w:szCs w:val="20"/>
        </w:rPr>
        <w:t xml:space="preserve">Understanding the </w:t>
      </w:r>
      <w:bookmarkStart w:id="43" w:name="_Hlk170384643"/>
      <w:r w:rsidRPr="002D4502">
        <w:rPr>
          <w:rFonts w:ascii="Arial" w:hAnsi="Arial" w:cs="Arial"/>
          <w:sz w:val="20"/>
          <w:szCs w:val="20"/>
        </w:rPr>
        <w:t>effectiveness of decentralisation requires a thorough grasp of decision-making powers. The powers encompassed are as follows: a) the authority to establish or revise regulations; b) the ability to determine the use of a specific resource or opportunity; c) the capacity to enforce and guarantee adherence to the revised or new regulations; and d) the jurisdiction to settle conflicts that arise during the process of establishing regulations and ensuring compliance. Decentralisation is created when lower-level actors are allocated different sets of decision-making and rule-making powers</w:t>
      </w:r>
      <w:r w:rsidR="00F07B85" w:rsidRPr="002D4502">
        <w:rPr>
          <w:rFonts w:ascii="Arial" w:hAnsi="Arial" w:cs="Arial"/>
          <w:sz w:val="20"/>
          <w:szCs w:val="20"/>
        </w:rPr>
        <w:t xml:space="preserve"> </w:t>
      </w:r>
      <w:r w:rsidR="00601E10" w:rsidRPr="002D4502">
        <w:rPr>
          <w:rFonts w:ascii="Arial" w:hAnsi="Arial" w:cs="Arial"/>
          <w:sz w:val="20"/>
          <w:szCs w:val="20"/>
          <w:lang w:val="en-US"/>
        </w:rPr>
        <w:t>[</w:t>
      </w:r>
      <w:r w:rsidR="00992AB6" w:rsidRPr="002D4502">
        <w:rPr>
          <w:rFonts w:ascii="Arial" w:hAnsi="Arial" w:cs="Arial"/>
          <w:sz w:val="20"/>
          <w:szCs w:val="20"/>
          <w:lang w:val="en-US"/>
        </w:rPr>
        <w:t>39</w:t>
      </w:r>
      <w:r w:rsidR="00601E10" w:rsidRPr="002D4502">
        <w:rPr>
          <w:rFonts w:ascii="Arial" w:hAnsi="Arial" w:cs="Arial"/>
          <w:sz w:val="20"/>
          <w:szCs w:val="20"/>
          <w:lang w:val="en-US"/>
        </w:rPr>
        <w:t>]</w:t>
      </w:r>
      <w:r w:rsidRPr="002D4502">
        <w:rPr>
          <w:rFonts w:ascii="Arial" w:hAnsi="Arial" w:cs="Arial"/>
          <w:sz w:val="20"/>
          <w:szCs w:val="20"/>
        </w:rPr>
        <w:t>.</w:t>
      </w:r>
      <w:bookmarkEnd w:id="43"/>
    </w:p>
    <w:p w14:paraId="2DFF13E2" w14:textId="00B4F194" w:rsidR="0059430A" w:rsidRPr="002D4502" w:rsidRDefault="0059430A" w:rsidP="00BA086A">
      <w:pPr>
        <w:pStyle w:val="NormalWeb"/>
        <w:jc w:val="both"/>
        <w:rPr>
          <w:rFonts w:ascii="Arial" w:hAnsi="Arial" w:cs="Arial"/>
          <w:sz w:val="20"/>
          <w:szCs w:val="20"/>
        </w:rPr>
      </w:pPr>
      <w:r w:rsidRPr="002D4502">
        <w:rPr>
          <w:rFonts w:ascii="Arial" w:hAnsi="Arial" w:cs="Arial"/>
          <w:sz w:val="20"/>
          <w:szCs w:val="20"/>
        </w:rPr>
        <w:t xml:space="preserve">Finally, </w:t>
      </w:r>
      <w:bookmarkStart w:id="44" w:name="_Hlk170385325"/>
      <w:r w:rsidRPr="002D4502">
        <w:rPr>
          <w:rFonts w:ascii="Arial" w:hAnsi="Arial" w:cs="Arial"/>
          <w:sz w:val="20"/>
          <w:szCs w:val="20"/>
        </w:rPr>
        <w:t>in order for decentralisation to be effective, it is necessary to transfer powers to constituents</w:t>
      </w:r>
      <w:r w:rsidR="008E6455" w:rsidRPr="002D4502">
        <w:rPr>
          <w:rFonts w:ascii="Arial" w:hAnsi="Arial" w:cs="Arial"/>
          <w:sz w:val="20"/>
          <w:szCs w:val="20"/>
          <w:lang w:val="en-US"/>
        </w:rPr>
        <w:t xml:space="preserve"> (villagers)</w:t>
      </w:r>
      <w:r w:rsidRPr="002D4502">
        <w:rPr>
          <w:rFonts w:ascii="Arial" w:hAnsi="Arial" w:cs="Arial"/>
          <w:sz w:val="20"/>
          <w:szCs w:val="20"/>
        </w:rPr>
        <w:t xml:space="preserve"> and ensure that actors</w:t>
      </w:r>
      <w:r w:rsidR="008E6455" w:rsidRPr="002D4502">
        <w:rPr>
          <w:rFonts w:ascii="Arial" w:hAnsi="Arial" w:cs="Arial"/>
          <w:sz w:val="20"/>
          <w:szCs w:val="20"/>
          <w:lang w:val="en-US"/>
        </w:rPr>
        <w:t xml:space="preserve"> (elected leaders)</w:t>
      </w:r>
      <w:r w:rsidRPr="002D4502">
        <w:rPr>
          <w:rFonts w:ascii="Arial" w:hAnsi="Arial" w:cs="Arial"/>
          <w:sz w:val="20"/>
          <w:szCs w:val="20"/>
        </w:rPr>
        <w:t xml:space="preserve"> are accountable to the</w:t>
      </w:r>
      <w:r w:rsidR="008E6455" w:rsidRPr="002D4502">
        <w:rPr>
          <w:rFonts w:ascii="Arial" w:hAnsi="Arial" w:cs="Arial"/>
          <w:sz w:val="20"/>
          <w:szCs w:val="20"/>
          <w:lang w:val="en-US"/>
        </w:rPr>
        <w:t>m</w:t>
      </w:r>
      <w:r w:rsidRPr="002D4502">
        <w:rPr>
          <w:rFonts w:ascii="Arial" w:hAnsi="Arial" w:cs="Arial"/>
          <w:sz w:val="20"/>
          <w:szCs w:val="20"/>
        </w:rPr>
        <w:t>. Downward responsibility expands participation in the governance of shared resources, such as community forest reserves. Electoral systems have the ability to ensure that individuals or groups are held responsible for their actions towards the specific communities they represent. Additional me</w:t>
      </w:r>
      <w:proofErr w:type="spellStart"/>
      <w:r w:rsidR="008E6455" w:rsidRPr="002D4502">
        <w:rPr>
          <w:rFonts w:ascii="Arial" w:hAnsi="Arial" w:cs="Arial"/>
          <w:sz w:val="20"/>
          <w:szCs w:val="20"/>
          <w:lang w:val="en-US"/>
        </w:rPr>
        <w:t>chanisms</w:t>
      </w:r>
      <w:proofErr w:type="spellEnd"/>
      <w:r w:rsidRPr="002D4502">
        <w:rPr>
          <w:rFonts w:ascii="Arial" w:hAnsi="Arial" w:cs="Arial"/>
          <w:sz w:val="20"/>
          <w:szCs w:val="20"/>
        </w:rPr>
        <w:t xml:space="preserve"> for enhancing local or vertical accountability of elected officials or other local </w:t>
      </w:r>
      <w:r w:rsidR="008E6455" w:rsidRPr="002D4502">
        <w:rPr>
          <w:rFonts w:ascii="Arial" w:hAnsi="Arial" w:cs="Arial"/>
          <w:sz w:val="20"/>
          <w:szCs w:val="20"/>
          <w:lang w:val="en-US"/>
        </w:rPr>
        <w:t>actors</w:t>
      </w:r>
      <w:r w:rsidRPr="002D4502">
        <w:rPr>
          <w:rFonts w:ascii="Arial" w:hAnsi="Arial" w:cs="Arial"/>
          <w:sz w:val="20"/>
          <w:szCs w:val="20"/>
        </w:rPr>
        <w:t xml:space="preserve"> are promoting </w:t>
      </w:r>
      <w:r w:rsidR="008E6455" w:rsidRPr="002D4502">
        <w:rPr>
          <w:rFonts w:ascii="Arial" w:hAnsi="Arial" w:cs="Arial"/>
          <w:sz w:val="20"/>
          <w:szCs w:val="20"/>
          <w:lang w:val="en-US"/>
        </w:rPr>
        <w:t>widespread participation</w:t>
      </w:r>
      <w:r w:rsidRPr="002D4502">
        <w:rPr>
          <w:rFonts w:ascii="Arial" w:hAnsi="Arial" w:cs="Arial"/>
          <w:sz w:val="20"/>
          <w:szCs w:val="20"/>
        </w:rPr>
        <w:t xml:space="preserve"> and public reporting </w:t>
      </w:r>
      <w:r w:rsidR="008E6455" w:rsidRPr="002D4502">
        <w:rPr>
          <w:rFonts w:ascii="Arial" w:hAnsi="Arial" w:cs="Arial"/>
          <w:sz w:val="20"/>
          <w:szCs w:val="20"/>
          <w:lang w:val="en-US"/>
        </w:rPr>
        <w:t xml:space="preserve">requirement </w:t>
      </w:r>
      <w:r w:rsidRPr="002D4502">
        <w:rPr>
          <w:rFonts w:ascii="Arial" w:hAnsi="Arial" w:cs="Arial"/>
          <w:sz w:val="20"/>
          <w:szCs w:val="20"/>
        </w:rPr>
        <w:t>for elected leaders or any other local actors</w:t>
      </w:r>
      <w:r w:rsidR="00EE6C0B" w:rsidRPr="002D4502">
        <w:rPr>
          <w:rFonts w:ascii="Arial" w:hAnsi="Arial" w:cs="Arial"/>
          <w:sz w:val="20"/>
          <w:szCs w:val="20"/>
          <w:lang w:val="en-US"/>
        </w:rPr>
        <w:t xml:space="preserve"> [</w:t>
      </w:r>
      <w:r w:rsidR="00992AB6" w:rsidRPr="002D4502">
        <w:rPr>
          <w:rFonts w:ascii="Arial" w:hAnsi="Arial" w:cs="Arial"/>
          <w:sz w:val="20"/>
          <w:szCs w:val="20"/>
          <w:lang w:val="en-US"/>
        </w:rPr>
        <w:t>39</w:t>
      </w:r>
      <w:r w:rsidR="00EE6C0B" w:rsidRPr="002D4502">
        <w:rPr>
          <w:rFonts w:ascii="Arial" w:hAnsi="Arial" w:cs="Arial"/>
          <w:sz w:val="20"/>
          <w:szCs w:val="20"/>
          <w:lang w:val="en-US"/>
        </w:rPr>
        <w:t>]</w:t>
      </w:r>
      <w:r w:rsidR="00F07B85" w:rsidRPr="002D4502">
        <w:rPr>
          <w:rFonts w:ascii="Arial" w:hAnsi="Arial" w:cs="Arial"/>
          <w:sz w:val="20"/>
          <w:szCs w:val="20"/>
        </w:rPr>
        <w:t>.</w:t>
      </w:r>
    </w:p>
    <w:bookmarkEnd w:id="44"/>
    <w:p w14:paraId="3330198C" w14:textId="2B39470E" w:rsidR="00240BDA" w:rsidRPr="002D4502" w:rsidRDefault="00455EAE" w:rsidP="00BA086A">
      <w:pPr>
        <w:pStyle w:val="ListParagraph"/>
        <w:numPr>
          <w:ilvl w:val="0"/>
          <w:numId w:val="1"/>
        </w:numPr>
        <w:spacing w:line="240" w:lineRule="auto"/>
        <w:jc w:val="both"/>
        <w:rPr>
          <w:rFonts w:ascii="Arial" w:hAnsi="Arial" w:cs="Arial"/>
          <w:b/>
          <w:bCs/>
          <w:lang w:val="en-US"/>
        </w:rPr>
      </w:pPr>
      <w:r w:rsidRPr="002D4502">
        <w:rPr>
          <w:rFonts w:ascii="Arial" w:hAnsi="Arial" w:cs="Arial"/>
          <w:b/>
          <w:bCs/>
          <w:lang w:val="en-US"/>
        </w:rPr>
        <w:t>RESULTS AND DISCUSSION</w:t>
      </w:r>
    </w:p>
    <w:p w14:paraId="552925C4" w14:textId="5A19D76E" w:rsidR="00BF7329" w:rsidRPr="002D4502" w:rsidRDefault="00BF7329" w:rsidP="00BA086A">
      <w:pPr>
        <w:spacing w:line="240" w:lineRule="auto"/>
        <w:jc w:val="both"/>
        <w:rPr>
          <w:rFonts w:ascii="Arial" w:hAnsi="Arial" w:cs="Arial"/>
          <w:b/>
          <w:bCs/>
        </w:rPr>
      </w:pPr>
      <w:r w:rsidRPr="002D4502">
        <w:rPr>
          <w:rFonts w:ascii="Arial" w:hAnsi="Arial" w:cs="Arial"/>
          <w:b/>
          <w:bCs/>
          <w:lang w:val="en-US"/>
        </w:rPr>
        <w:t>3.1</w:t>
      </w:r>
      <w:bookmarkStart w:id="45" w:name="_Hlk169992968"/>
      <w:r w:rsidR="00E9292D" w:rsidRPr="002D4502">
        <w:rPr>
          <w:rFonts w:ascii="Arial" w:hAnsi="Arial" w:cs="Arial"/>
          <w:b/>
          <w:bCs/>
          <w:lang w:val="en-US"/>
        </w:rPr>
        <w:t xml:space="preserve"> </w:t>
      </w:r>
      <w:r w:rsidR="00E9292D" w:rsidRPr="002D4502">
        <w:rPr>
          <w:rFonts w:ascii="Arial" w:hAnsi="Arial" w:cs="Arial"/>
          <w:b/>
          <w:bCs/>
        </w:rPr>
        <w:t>The Perceptions of the Local Community on Community-based Forest Management in the Study Village</w:t>
      </w:r>
      <w:bookmarkEnd w:id="45"/>
    </w:p>
    <w:p w14:paraId="2C6A7DC4" w14:textId="53D3BC75" w:rsidR="004F0D66" w:rsidRPr="002D4502" w:rsidRDefault="004F0D66" w:rsidP="00BA086A">
      <w:pPr>
        <w:spacing w:line="240" w:lineRule="auto"/>
        <w:jc w:val="both"/>
        <w:rPr>
          <w:rFonts w:ascii="Arial" w:hAnsi="Arial" w:cs="Arial"/>
          <w:i/>
          <w:iCs/>
        </w:rPr>
      </w:pPr>
      <w:r w:rsidRPr="002D4502">
        <w:rPr>
          <w:rFonts w:ascii="Arial" w:hAnsi="Arial" w:cs="Arial"/>
          <w:i/>
          <w:iCs/>
        </w:rPr>
        <w:t>a. Improvement of Forest Reserve</w:t>
      </w:r>
    </w:p>
    <w:p w14:paraId="6FF52E54" w14:textId="6C9FCEE9" w:rsidR="00897272" w:rsidRPr="002D4502" w:rsidRDefault="00B57A5B" w:rsidP="00BA086A">
      <w:pPr>
        <w:spacing w:after="0" w:line="240" w:lineRule="auto"/>
        <w:jc w:val="both"/>
        <w:rPr>
          <w:rFonts w:ascii="Arial" w:hAnsi="Arial" w:cs="Arial"/>
          <w:sz w:val="20"/>
          <w:szCs w:val="20"/>
        </w:rPr>
      </w:pPr>
      <w:r w:rsidRPr="002D4502">
        <w:rPr>
          <w:rFonts w:ascii="Arial" w:hAnsi="Arial" w:cs="Arial"/>
          <w:sz w:val="20"/>
          <w:szCs w:val="20"/>
        </w:rPr>
        <w:t xml:space="preserve">The results from </w:t>
      </w:r>
      <w:bookmarkStart w:id="46" w:name="_Hlk170645643"/>
      <w:r w:rsidRPr="002D4502">
        <w:rPr>
          <w:rFonts w:ascii="Arial" w:hAnsi="Arial" w:cs="Arial"/>
          <w:sz w:val="20"/>
          <w:szCs w:val="20"/>
        </w:rPr>
        <w:t xml:space="preserve">analyses </w:t>
      </w:r>
      <w:r w:rsidR="005775F3" w:rsidRPr="002D4502">
        <w:rPr>
          <w:rFonts w:ascii="Arial" w:hAnsi="Arial" w:cs="Arial"/>
          <w:sz w:val="20"/>
          <w:szCs w:val="20"/>
        </w:rPr>
        <w:t>indicate</w:t>
      </w:r>
      <w:r w:rsidRPr="002D4502">
        <w:rPr>
          <w:rFonts w:ascii="Arial" w:hAnsi="Arial" w:cs="Arial"/>
          <w:sz w:val="20"/>
          <w:szCs w:val="20"/>
        </w:rPr>
        <w:t xml:space="preserve"> that respondents perceived notable improvement in the </w:t>
      </w:r>
      <w:proofErr w:type="spellStart"/>
      <w:r w:rsidRPr="002D4502">
        <w:rPr>
          <w:rFonts w:ascii="Arial" w:hAnsi="Arial" w:cs="Arial"/>
          <w:sz w:val="20"/>
          <w:szCs w:val="20"/>
        </w:rPr>
        <w:t>Kilongo</w:t>
      </w:r>
      <w:proofErr w:type="spellEnd"/>
      <w:r w:rsidRPr="002D4502">
        <w:rPr>
          <w:rFonts w:ascii="Arial" w:hAnsi="Arial" w:cs="Arial"/>
          <w:sz w:val="20"/>
          <w:szCs w:val="20"/>
        </w:rPr>
        <w:t xml:space="preserve"> Forest Reserve condition over the past 20 years under CBFM</w:t>
      </w:r>
      <w:bookmarkEnd w:id="46"/>
      <w:r w:rsidRPr="002D4502">
        <w:rPr>
          <w:rFonts w:ascii="Arial" w:hAnsi="Arial" w:cs="Arial"/>
          <w:sz w:val="20"/>
          <w:szCs w:val="20"/>
        </w:rPr>
        <w:t xml:space="preserve">. Table 1 presents the demographic characteristics of the households. The survey findings indicate that a significant proportion of respondents were male, accounting for 81.1% of the total population. The majority of respondents were between the ages of 36 and 64 (57.8%). About 77.8% of the respondents had completed primary education. The primary livelihood activities were crop production (68.9%) and mixed farming (31.1%) (Table 1). The main crops grown in the study area include maize, beans, sweet potatoes, Irish potatoes, and temperate fruits such as avocado. Few households kept cattle, sheep, and goats. The findings indicate that beekeeping was a part-time occupation in the study village, practised in the </w:t>
      </w:r>
      <w:proofErr w:type="spellStart"/>
      <w:r w:rsidRPr="002D4502">
        <w:rPr>
          <w:rFonts w:ascii="Arial" w:hAnsi="Arial" w:cs="Arial"/>
          <w:sz w:val="20"/>
          <w:szCs w:val="20"/>
        </w:rPr>
        <w:t>Kilongo</w:t>
      </w:r>
      <w:proofErr w:type="spellEnd"/>
      <w:r w:rsidRPr="002D4502">
        <w:rPr>
          <w:rFonts w:ascii="Arial" w:hAnsi="Arial" w:cs="Arial"/>
          <w:sz w:val="20"/>
          <w:szCs w:val="20"/>
        </w:rPr>
        <w:t xml:space="preserve"> forest reserve and in the village general land.</w:t>
      </w:r>
    </w:p>
    <w:p w14:paraId="2E9FBE12" w14:textId="77777777" w:rsidR="00702E30" w:rsidRPr="002D4502" w:rsidRDefault="00702E30" w:rsidP="00BA086A">
      <w:pPr>
        <w:spacing w:after="0" w:line="240" w:lineRule="auto"/>
        <w:jc w:val="both"/>
        <w:rPr>
          <w:rFonts w:ascii="Arial" w:hAnsi="Arial" w:cs="Arial"/>
          <w:sz w:val="20"/>
          <w:szCs w:val="20"/>
        </w:rPr>
      </w:pPr>
    </w:p>
    <w:p w14:paraId="77AA7A84" w14:textId="0AA88952" w:rsidR="00A56047" w:rsidRPr="002D4502" w:rsidRDefault="00A56047" w:rsidP="00BA086A">
      <w:pPr>
        <w:pStyle w:val="Caption"/>
        <w:keepNext/>
        <w:jc w:val="center"/>
        <w:rPr>
          <w:rFonts w:ascii="Arial" w:hAnsi="Arial" w:cs="Arial"/>
          <w:b/>
          <w:bCs/>
          <w:i w:val="0"/>
          <w:iCs w:val="0"/>
          <w:color w:val="auto"/>
          <w:sz w:val="20"/>
          <w:szCs w:val="20"/>
        </w:rPr>
      </w:pPr>
      <w:r w:rsidRPr="002D4502">
        <w:rPr>
          <w:rFonts w:ascii="Arial" w:hAnsi="Arial" w:cs="Arial"/>
          <w:b/>
          <w:bCs/>
          <w:i w:val="0"/>
          <w:iCs w:val="0"/>
          <w:color w:val="auto"/>
          <w:sz w:val="20"/>
          <w:szCs w:val="20"/>
        </w:rPr>
        <w:t xml:space="preserve">Table </w:t>
      </w:r>
      <w:r w:rsidRPr="002D4502">
        <w:rPr>
          <w:rFonts w:ascii="Arial" w:hAnsi="Arial" w:cs="Arial"/>
          <w:b/>
          <w:bCs/>
          <w:i w:val="0"/>
          <w:iCs w:val="0"/>
          <w:color w:val="auto"/>
          <w:sz w:val="20"/>
          <w:szCs w:val="20"/>
        </w:rPr>
        <w:fldChar w:fldCharType="begin"/>
      </w:r>
      <w:r w:rsidRPr="002D4502">
        <w:rPr>
          <w:rFonts w:ascii="Arial" w:hAnsi="Arial" w:cs="Arial"/>
          <w:b/>
          <w:bCs/>
          <w:i w:val="0"/>
          <w:iCs w:val="0"/>
          <w:color w:val="auto"/>
          <w:sz w:val="20"/>
          <w:szCs w:val="20"/>
        </w:rPr>
        <w:instrText xml:space="preserve"> SEQ Table \* ARABIC </w:instrText>
      </w:r>
      <w:r w:rsidRPr="002D4502">
        <w:rPr>
          <w:rFonts w:ascii="Arial" w:hAnsi="Arial" w:cs="Arial"/>
          <w:b/>
          <w:bCs/>
          <w:i w:val="0"/>
          <w:iCs w:val="0"/>
          <w:color w:val="auto"/>
          <w:sz w:val="20"/>
          <w:szCs w:val="20"/>
        </w:rPr>
        <w:fldChar w:fldCharType="separate"/>
      </w:r>
      <w:r w:rsidR="00661EB4" w:rsidRPr="002D4502">
        <w:rPr>
          <w:rFonts w:ascii="Arial" w:hAnsi="Arial" w:cs="Arial"/>
          <w:b/>
          <w:bCs/>
          <w:i w:val="0"/>
          <w:iCs w:val="0"/>
          <w:noProof/>
          <w:color w:val="auto"/>
          <w:sz w:val="20"/>
          <w:szCs w:val="20"/>
        </w:rPr>
        <w:t>1</w:t>
      </w:r>
      <w:r w:rsidRPr="002D4502">
        <w:rPr>
          <w:rFonts w:ascii="Arial" w:hAnsi="Arial" w:cs="Arial"/>
          <w:b/>
          <w:bCs/>
          <w:i w:val="0"/>
          <w:iCs w:val="0"/>
          <w:color w:val="auto"/>
          <w:sz w:val="20"/>
          <w:szCs w:val="20"/>
        </w:rPr>
        <w:fldChar w:fldCharType="end"/>
      </w:r>
      <w:r w:rsidRPr="002D4502">
        <w:rPr>
          <w:rFonts w:ascii="Arial" w:hAnsi="Arial" w:cs="Arial"/>
          <w:b/>
          <w:bCs/>
          <w:i w:val="0"/>
          <w:iCs w:val="0"/>
          <w:color w:val="auto"/>
          <w:sz w:val="20"/>
          <w:szCs w:val="20"/>
        </w:rPr>
        <w:t>: Summary of demographic and occupation characteristics of respondents</w:t>
      </w:r>
    </w:p>
    <w:tbl>
      <w:tblPr>
        <w:tblStyle w:val="TableGrid"/>
        <w:tblW w:w="0" w:type="auto"/>
        <w:tblLook w:val="04A0" w:firstRow="1" w:lastRow="0" w:firstColumn="1" w:lastColumn="0" w:noHBand="0" w:noVBand="1"/>
      </w:tblPr>
      <w:tblGrid>
        <w:gridCol w:w="3005"/>
        <w:gridCol w:w="3005"/>
        <w:gridCol w:w="3006"/>
      </w:tblGrid>
      <w:tr w:rsidR="00A56047" w:rsidRPr="002D4502" w14:paraId="0187CAD3" w14:textId="77777777" w:rsidTr="00097C54">
        <w:tc>
          <w:tcPr>
            <w:tcW w:w="3005" w:type="dxa"/>
          </w:tcPr>
          <w:p w14:paraId="254BE459"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Variables</w:t>
            </w:r>
          </w:p>
        </w:tc>
        <w:tc>
          <w:tcPr>
            <w:tcW w:w="3005" w:type="dxa"/>
          </w:tcPr>
          <w:p w14:paraId="6B83F422"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Frequency</w:t>
            </w:r>
          </w:p>
        </w:tc>
        <w:tc>
          <w:tcPr>
            <w:tcW w:w="3006" w:type="dxa"/>
          </w:tcPr>
          <w:p w14:paraId="4039B955"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Percentage</w:t>
            </w:r>
          </w:p>
        </w:tc>
      </w:tr>
      <w:tr w:rsidR="00A56047" w:rsidRPr="002D4502" w14:paraId="35D561A8" w14:textId="77777777" w:rsidTr="00097C54">
        <w:tc>
          <w:tcPr>
            <w:tcW w:w="9016" w:type="dxa"/>
            <w:gridSpan w:val="3"/>
          </w:tcPr>
          <w:p w14:paraId="517CA511"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Age</w:t>
            </w:r>
          </w:p>
        </w:tc>
      </w:tr>
      <w:tr w:rsidR="00A56047" w:rsidRPr="002D4502" w14:paraId="51D65A62" w14:textId="77777777" w:rsidTr="00097C54">
        <w:tc>
          <w:tcPr>
            <w:tcW w:w="3005" w:type="dxa"/>
          </w:tcPr>
          <w:p w14:paraId="56103F39" w14:textId="77777777" w:rsidR="00A56047" w:rsidRPr="002D4502" w:rsidRDefault="00A56047" w:rsidP="00BA086A">
            <w:pPr>
              <w:rPr>
                <w:rFonts w:ascii="Arial" w:hAnsi="Arial" w:cs="Arial"/>
                <w:sz w:val="20"/>
                <w:szCs w:val="20"/>
              </w:rPr>
            </w:pPr>
            <w:r w:rsidRPr="002D4502">
              <w:rPr>
                <w:rFonts w:ascii="Arial" w:hAnsi="Arial" w:cs="Arial"/>
                <w:sz w:val="20"/>
                <w:szCs w:val="20"/>
              </w:rPr>
              <w:t>18-35</w:t>
            </w:r>
          </w:p>
        </w:tc>
        <w:tc>
          <w:tcPr>
            <w:tcW w:w="3005" w:type="dxa"/>
          </w:tcPr>
          <w:p w14:paraId="48565BB4"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35</w:t>
            </w:r>
          </w:p>
        </w:tc>
        <w:tc>
          <w:tcPr>
            <w:tcW w:w="3006" w:type="dxa"/>
          </w:tcPr>
          <w:p w14:paraId="3408D4BE"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38.9</w:t>
            </w:r>
          </w:p>
        </w:tc>
      </w:tr>
      <w:tr w:rsidR="00A56047" w:rsidRPr="002D4502" w14:paraId="66EBAE77" w14:textId="77777777" w:rsidTr="00097C54">
        <w:tc>
          <w:tcPr>
            <w:tcW w:w="3005" w:type="dxa"/>
          </w:tcPr>
          <w:p w14:paraId="275647E1" w14:textId="77777777" w:rsidR="00A56047" w:rsidRPr="002D4502" w:rsidRDefault="00A56047" w:rsidP="00BA086A">
            <w:pPr>
              <w:rPr>
                <w:rFonts w:ascii="Arial" w:hAnsi="Arial" w:cs="Arial"/>
                <w:sz w:val="20"/>
                <w:szCs w:val="20"/>
              </w:rPr>
            </w:pPr>
            <w:r w:rsidRPr="002D4502">
              <w:rPr>
                <w:rFonts w:ascii="Arial" w:hAnsi="Arial" w:cs="Arial"/>
                <w:sz w:val="20"/>
                <w:szCs w:val="20"/>
              </w:rPr>
              <w:t>36-64</w:t>
            </w:r>
          </w:p>
        </w:tc>
        <w:tc>
          <w:tcPr>
            <w:tcW w:w="3005" w:type="dxa"/>
          </w:tcPr>
          <w:p w14:paraId="34105A41"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52</w:t>
            </w:r>
          </w:p>
        </w:tc>
        <w:tc>
          <w:tcPr>
            <w:tcW w:w="3006" w:type="dxa"/>
          </w:tcPr>
          <w:p w14:paraId="72634F72"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57.8</w:t>
            </w:r>
          </w:p>
        </w:tc>
      </w:tr>
      <w:tr w:rsidR="00A56047" w:rsidRPr="002D4502" w14:paraId="34A36E0F" w14:textId="77777777" w:rsidTr="00097C54">
        <w:tc>
          <w:tcPr>
            <w:tcW w:w="3005" w:type="dxa"/>
          </w:tcPr>
          <w:p w14:paraId="7A90F45A" w14:textId="77777777" w:rsidR="00A56047" w:rsidRPr="002D4502" w:rsidRDefault="00A56047" w:rsidP="00BA086A">
            <w:pPr>
              <w:rPr>
                <w:rFonts w:ascii="Arial" w:hAnsi="Arial" w:cs="Arial"/>
                <w:sz w:val="20"/>
                <w:szCs w:val="20"/>
              </w:rPr>
            </w:pPr>
            <w:r w:rsidRPr="002D4502">
              <w:rPr>
                <w:rFonts w:ascii="Arial" w:hAnsi="Arial" w:cs="Arial"/>
                <w:sz w:val="20"/>
                <w:szCs w:val="20"/>
              </w:rPr>
              <w:t>65+</w:t>
            </w:r>
          </w:p>
        </w:tc>
        <w:tc>
          <w:tcPr>
            <w:tcW w:w="3005" w:type="dxa"/>
          </w:tcPr>
          <w:p w14:paraId="25FB1AD5"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3</w:t>
            </w:r>
          </w:p>
        </w:tc>
        <w:tc>
          <w:tcPr>
            <w:tcW w:w="3006" w:type="dxa"/>
          </w:tcPr>
          <w:p w14:paraId="2D4113DA"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3.3</w:t>
            </w:r>
          </w:p>
        </w:tc>
      </w:tr>
      <w:tr w:rsidR="00A56047" w:rsidRPr="002D4502" w14:paraId="3A0B2FFD" w14:textId="77777777" w:rsidTr="00097C54">
        <w:tc>
          <w:tcPr>
            <w:tcW w:w="9016" w:type="dxa"/>
            <w:gridSpan w:val="3"/>
          </w:tcPr>
          <w:p w14:paraId="7CC20372"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Sex of the household head</w:t>
            </w:r>
          </w:p>
        </w:tc>
      </w:tr>
      <w:tr w:rsidR="00A56047" w:rsidRPr="002D4502" w14:paraId="5F6D295E" w14:textId="77777777" w:rsidTr="00097C54">
        <w:tc>
          <w:tcPr>
            <w:tcW w:w="3005" w:type="dxa"/>
          </w:tcPr>
          <w:p w14:paraId="5A3CD540" w14:textId="77777777" w:rsidR="00A56047" w:rsidRPr="002D4502" w:rsidRDefault="00A56047" w:rsidP="00BA086A">
            <w:pPr>
              <w:rPr>
                <w:rFonts w:ascii="Arial" w:hAnsi="Arial" w:cs="Arial"/>
                <w:sz w:val="20"/>
                <w:szCs w:val="20"/>
              </w:rPr>
            </w:pPr>
            <w:r w:rsidRPr="002D4502">
              <w:rPr>
                <w:rFonts w:ascii="Arial" w:hAnsi="Arial" w:cs="Arial"/>
                <w:sz w:val="20"/>
                <w:szCs w:val="20"/>
              </w:rPr>
              <w:t>Male</w:t>
            </w:r>
          </w:p>
        </w:tc>
        <w:tc>
          <w:tcPr>
            <w:tcW w:w="3005" w:type="dxa"/>
          </w:tcPr>
          <w:p w14:paraId="6ACDD802"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73</w:t>
            </w:r>
          </w:p>
        </w:tc>
        <w:tc>
          <w:tcPr>
            <w:tcW w:w="3006" w:type="dxa"/>
          </w:tcPr>
          <w:p w14:paraId="75E4A3CF"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81.1</w:t>
            </w:r>
          </w:p>
        </w:tc>
      </w:tr>
      <w:tr w:rsidR="00A56047" w:rsidRPr="002D4502" w14:paraId="53E6B044" w14:textId="77777777" w:rsidTr="00097C54">
        <w:tc>
          <w:tcPr>
            <w:tcW w:w="3005" w:type="dxa"/>
          </w:tcPr>
          <w:p w14:paraId="79D8EE03" w14:textId="77777777" w:rsidR="00A56047" w:rsidRPr="002D4502" w:rsidRDefault="00A56047" w:rsidP="00BA086A">
            <w:pPr>
              <w:rPr>
                <w:rFonts w:ascii="Arial" w:hAnsi="Arial" w:cs="Arial"/>
                <w:sz w:val="20"/>
                <w:szCs w:val="20"/>
              </w:rPr>
            </w:pPr>
            <w:r w:rsidRPr="002D4502">
              <w:rPr>
                <w:rFonts w:ascii="Arial" w:hAnsi="Arial" w:cs="Arial"/>
                <w:sz w:val="20"/>
                <w:szCs w:val="20"/>
              </w:rPr>
              <w:t>Female</w:t>
            </w:r>
          </w:p>
        </w:tc>
        <w:tc>
          <w:tcPr>
            <w:tcW w:w="3005" w:type="dxa"/>
          </w:tcPr>
          <w:p w14:paraId="122FD464"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17</w:t>
            </w:r>
          </w:p>
        </w:tc>
        <w:tc>
          <w:tcPr>
            <w:tcW w:w="3006" w:type="dxa"/>
          </w:tcPr>
          <w:p w14:paraId="4FF3B800"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18.9</w:t>
            </w:r>
          </w:p>
        </w:tc>
      </w:tr>
      <w:tr w:rsidR="00A56047" w:rsidRPr="002D4502" w14:paraId="5DE439FA" w14:textId="77777777" w:rsidTr="00097C54">
        <w:tc>
          <w:tcPr>
            <w:tcW w:w="9016" w:type="dxa"/>
            <w:gridSpan w:val="3"/>
          </w:tcPr>
          <w:p w14:paraId="5404F97E"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Level of education</w:t>
            </w:r>
          </w:p>
        </w:tc>
      </w:tr>
      <w:tr w:rsidR="00A56047" w:rsidRPr="002D4502" w14:paraId="6DD852FF" w14:textId="77777777" w:rsidTr="00097C54">
        <w:tc>
          <w:tcPr>
            <w:tcW w:w="3005" w:type="dxa"/>
          </w:tcPr>
          <w:p w14:paraId="1791188B" w14:textId="77777777" w:rsidR="00A56047" w:rsidRPr="002D4502" w:rsidRDefault="00A56047" w:rsidP="00BA086A">
            <w:pPr>
              <w:rPr>
                <w:rFonts w:ascii="Arial" w:hAnsi="Arial" w:cs="Arial"/>
                <w:sz w:val="20"/>
                <w:szCs w:val="20"/>
              </w:rPr>
            </w:pPr>
            <w:r w:rsidRPr="002D4502">
              <w:rPr>
                <w:rFonts w:ascii="Arial" w:hAnsi="Arial" w:cs="Arial"/>
                <w:sz w:val="20"/>
                <w:szCs w:val="20"/>
              </w:rPr>
              <w:t>Non-formal</w:t>
            </w:r>
          </w:p>
        </w:tc>
        <w:tc>
          <w:tcPr>
            <w:tcW w:w="3005" w:type="dxa"/>
          </w:tcPr>
          <w:p w14:paraId="3467557A"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3</w:t>
            </w:r>
          </w:p>
        </w:tc>
        <w:tc>
          <w:tcPr>
            <w:tcW w:w="3006" w:type="dxa"/>
          </w:tcPr>
          <w:p w14:paraId="7B470002"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3.3</w:t>
            </w:r>
          </w:p>
        </w:tc>
      </w:tr>
      <w:tr w:rsidR="00A56047" w:rsidRPr="002D4502" w14:paraId="40C96DC8" w14:textId="77777777" w:rsidTr="00097C54">
        <w:tc>
          <w:tcPr>
            <w:tcW w:w="3005" w:type="dxa"/>
          </w:tcPr>
          <w:p w14:paraId="1EF4EDA9" w14:textId="77777777" w:rsidR="00A56047" w:rsidRPr="002D4502" w:rsidRDefault="00A56047" w:rsidP="00BA086A">
            <w:pPr>
              <w:rPr>
                <w:rFonts w:ascii="Arial" w:hAnsi="Arial" w:cs="Arial"/>
                <w:sz w:val="20"/>
                <w:szCs w:val="20"/>
              </w:rPr>
            </w:pPr>
            <w:r w:rsidRPr="002D4502">
              <w:rPr>
                <w:rFonts w:ascii="Arial" w:hAnsi="Arial" w:cs="Arial"/>
                <w:sz w:val="20"/>
                <w:szCs w:val="20"/>
              </w:rPr>
              <w:t>Primary</w:t>
            </w:r>
          </w:p>
        </w:tc>
        <w:tc>
          <w:tcPr>
            <w:tcW w:w="3005" w:type="dxa"/>
          </w:tcPr>
          <w:p w14:paraId="354E2AF6"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70</w:t>
            </w:r>
          </w:p>
        </w:tc>
        <w:tc>
          <w:tcPr>
            <w:tcW w:w="3006" w:type="dxa"/>
          </w:tcPr>
          <w:p w14:paraId="12D2EC8C"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77.8</w:t>
            </w:r>
          </w:p>
        </w:tc>
      </w:tr>
      <w:tr w:rsidR="00A56047" w:rsidRPr="002D4502" w14:paraId="45336BE2" w14:textId="77777777" w:rsidTr="00097C54">
        <w:tc>
          <w:tcPr>
            <w:tcW w:w="3005" w:type="dxa"/>
          </w:tcPr>
          <w:p w14:paraId="0A8570F8" w14:textId="77777777" w:rsidR="00A56047" w:rsidRPr="002D4502" w:rsidRDefault="00A56047" w:rsidP="00BA086A">
            <w:pPr>
              <w:rPr>
                <w:rFonts w:ascii="Arial" w:hAnsi="Arial" w:cs="Arial"/>
                <w:sz w:val="20"/>
                <w:szCs w:val="20"/>
              </w:rPr>
            </w:pPr>
            <w:r w:rsidRPr="002D4502">
              <w:rPr>
                <w:rFonts w:ascii="Arial" w:hAnsi="Arial" w:cs="Arial"/>
                <w:sz w:val="20"/>
                <w:szCs w:val="20"/>
              </w:rPr>
              <w:t>Secondary</w:t>
            </w:r>
          </w:p>
        </w:tc>
        <w:tc>
          <w:tcPr>
            <w:tcW w:w="3005" w:type="dxa"/>
          </w:tcPr>
          <w:p w14:paraId="3C4B8F5E"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15</w:t>
            </w:r>
          </w:p>
        </w:tc>
        <w:tc>
          <w:tcPr>
            <w:tcW w:w="3006" w:type="dxa"/>
          </w:tcPr>
          <w:p w14:paraId="39C7E89C"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16.7</w:t>
            </w:r>
          </w:p>
        </w:tc>
      </w:tr>
      <w:tr w:rsidR="00A56047" w:rsidRPr="002D4502" w14:paraId="61067F35" w14:textId="77777777" w:rsidTr="00097C54">
        <w:tc>
          <w:tcPr>
            <w:tcW w:w="3005" w:type="dxa"/>
          </w:tcPr>
          <w:p w14:paraId="60BE9451" w14:textId="77777777" w:rsidR="00A56047" w:rsidRPr="002D4502" w:rsidRDefault="00A56047" w:rsidP="00BA086A">
            <w:pPr>
              <w:rPr>
                <w:rFonts w:ascii="Arial" w:hAnsi="Arial" w:cs="Arial"/>
                <w:sz w:val="20"/>
                <w:szCs w:val="20"/>
              </w:rPr>
            </w:pPr>
            <w:r w:rsidRPr="002D4502">
              <w:rPr>
                <w:rFonts w:ascii="Arial" w:hAnsi="Arial" w:cs="Arial"/>
                <w:sz w:val="20"/>
                <w:szCs w:val="20"/>
              </w:rPr>
              <w:t>Tertiary</w:t>
            </w:r>
          </w:p>
        </w:tc>
        <w:tc>
          <w:tcPr>
            <w:tcW w:w="3005" w:type="dxa"/>
          </w:tcPr>
          <w:p w14:paraId="0A4CD1C1"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2</w:t>
            </w:r>
          </w:p>
        </w:tc>
        <w:tc>
          <w:tcPr>
            <w:tcW w:w="3006" w:type="dxa"/>
          </w:tcPr>
          <w:p w14:paraId="401782EC"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2.2</w:t>
            </w:r>
          </w:p>
        </w:tc>
      </w:tr>
      <w:tr w:rsidR="00A56047" w:rsidRPr="002D4502" w14:paraId="47798864" w14:textId="77777777" w:rsidTr="00097C54">
        <w:tc>
          <w:tcPr>
            <w:tcW w:w="9016" w:type="dxa"/>
            <w:gridSpan w:val="3"/>
          </w:tcPr>
          <w:p w14:paraId="514B0E89"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Occupation</w:t>
            </w:r>
          </w:p>
        </w:tc>
      </w:tr>
      <w:tr w:rsidR="00A56047" w:rsidRPr="002D4502" w14:paraId="07DB2BB7" w14:textId="77777777" w:rsidTr="00097C54">
        <w:tc>
          <w:tcPr>
            <w:tcW w:w="3005" w:type="dxa"/>
          </w:tcPr>
          <w:p w14:paraId="1C725061" w14:textId="77777777" w:rsidR="00A56047" w:rsidRPr="002D4502" w:rsidRDefault="00A56047" w:rsidP="00BA086A">
            <w:pPr>
              <w:rPr>
                <w:rFonts w:ascii="Arial" w:hAnsi="Arial" w:cs="Arial"/>
                <w:sz w:val="20"/>
                <w:szCs w:val="20"/>
              </w:rPr>
            </w:pPr>
            <w:r w:rsidRPr="002D4502">
              <w:rPr>
                <w:rFonts w:ascii="Arial" w:hAnsi="Arial" w:cs="Arial"/>
                <w:sz w:val="20"/>
                <w:szCs w:val="20"/>
              </w:rPr>
              <w:t>Crop production</w:t>
            </w:r>
          </w:p>
        </w:tc>
        <w:tc>
          <w:tcPr>
            <w:tcW w:w="3005" w:type="dxa"/>
          </w:tcPr>
          <w:p w14:paraId="688249DD"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62</w:t>
            </w:r>
          </w:p>
        </w:tc>
        <w:tc>
          <w:tcPr>
            <w:tcW w:w="3006" w:type="dxa"/>
          </w:tcPr>
          <w:p w14:paraId="69589F11"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68.9</w:t>
            </w:r>
          </w:p>
        </w:tc>
      </w:tr>
      <w:tr w:rsidR="00A56047" w:rsidRPr="002D4502" w14:paraId="28E29032" w14:textId="77777777" w:rsidTr="00097C54">
        <w:tc>
          <w:tcPr>
            <w:tcW w:w="3005" w:type="dxa"/>
          </w:tcPr>
          <w:p w14:paraId="7E28CB77" w14:textId="77777777" w:rsidR="00A56047" w:rsidRPr="002D4502" w:rsidRDefault="00A56047" w:rsidP="00BA086A">
            <w:pPr>
              <w:rPr>
                <w:rFonts w:ascii="Arial" w:hAnsi="Arial" w:cs="Arial"/>
                <w:sz w:val="20"/>
                <w:szCs w:val="20"/>
              </w:rPr>
            </w:pPr>
            <w:r w:rsidRPr="002D4502">
              <w:rPr>
                <w:rFonts w:ascii="Arial" w:hAnsi="Arial" w:cs="Arial"/>
                <w:sz w:val="20"/>
                <w:szCs w:val="20"/>
              </w:rPr>
              <w:t>Mixed farming (i.e., crop and animal farming)</w:t>
            </w:r>
          </w:p>
        </w:tc>
        <w:tc>
          <w:tcPr>
            <w:tcW w:w="3005" w:type="dxa"/>
          </w:tcPr>
          <w:p w14:paraId="7E129913"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28</w:t>
            </w:r>
          </w:p>
        </w:tc>
        <w:tc>
          <w:tcPr>
            <w:tcW w:w="3006" w:type="dxa"/>
          </w:tcPr>
          <w:p w14:paraId="2A87700E" w14:textId="77777777" w:rsidR="00A56047" w:rsidRPr="002D4502" w:rsidRDefault="00A56047" w:rsidP="00BA086A">
            <w:pPr>
              <w:jc w:val="center"/>
              <w:rPr>
                <w:rFonts w:ascii="Arial" w:hAnsi="Arial" w:cs="Arial"/>
                <w:sz w:val="20"/>
                <w:szCs w:val="20"/>
              </w:rPr>
            </w:pPr>
            <w:r w:rsidRPr="002D4502">
              <w:rPr>
                <w:rFonts w:ascii="Arial" w:hAnsi="Arial" w:cs="Arial"/>
                <w:sz w:val="20"/>
                <w:szCs w:val="20"/>
              </w:rPr>
              <w:t>31.1</w:t>
            </w:r>
          </w:p>
        </w:tc>
      </w:tr>
      <w:tr w:rsidR="00A56047" w:rsidRPr="002D4502" w14:paraId="43F65AF0" w14:textId="77777777" w:rsidTr="00097C54">
        <w:tc>
          <w:tcPr>
            <w:tcW w:w="3005" w:type="dxa"/>
          </w:tcPr>
          <w:p w14:paraId="16C2901B" w14:textId="77777777" w:rsidR="00A56047" w:rsidRPr="002D4502" w:rsidRDefault="00A56047" w:rsidP="00BA086A">
            <w:pPr>
              <w:rPr>
                <w:rFonts w:ascii="Arial" w:hAnsi="Arial" w:cs="Arial"/>
                <w:sz w:val="20"/>
                <w:szCs w:val="20"/>
              </w:rPr>
            </w:pPr>
            <w:r w:rsidRPr="002D4502">
              <w:rPr>
                <w:rFonts w:ascii="Arial" w:hAnsi="Arial" w:cs="Arial"/>
                <w:i/>
                <w:iCs/>
                <w:sz w:val="20"/>
                <w:szCs w:val="20"/>
              </w:rPr>
              <w:lastRenderedPageBreak/>
              <w:t>n</w:t>
            </w:r>
            <w:r w:rsidRPr="002D4502">
              <w:rPr>
                <w:rFonts w:ascii="Arial" w:hAnsi="Arial" w:cs="Arial"/>
                <w:sz w:val="20"/>
                <w:szCs w:val="20"/>
              </w:rPr>
              <w:t>=90</w:t>
            </w:r>
          </w:p>
        </w:tc>
        <w:tc>
          <w:tcPr>
            <w:tcW w:w="3005" w:type="dxa"/>
          </w:tcPr>
          <w:p w14:paraId="411F094A" w14:textId="77777777" w:rsidR="00A56047" w:rsidRPr="002D4502" w:rsidRDefault="00A56047" w:rsidP="00BA086A">
            <w:pPr>
              <w:rPr>
                <w:rFonts w:ascii="Arial" w:hAnsi="Arial" w:cs="Arial"/>
                <w:sz w:val="20"/>
                <w:szCs w:val="20"/>
              </w:rPr>
            </w:pPr>
          </w:p>
        </w:tc>
        <w:tc>
          <w:tcPr>
            <w:tcW w:w="3006" w:type="dxa"/>
          </w:tcPr>
          <w:p w14:paraId="5EB43F89" w14:textId="77777777" w:rsidR="00A56047" w:rsidRPr="002D4502" w:rsidRDefault="00A56047" w:rsidP="00BA086A">
            <w:pPr>
              <w:rPr>
                <w:rFonts w:ascii="Arial" w:hAnsi="Arial" w:cs="Arial"/>
                <w:sz w:val="20"/>
                <w:szCs w:val="20"/>
              </w:rPr>
            </w:pPr>
          </w:p>
        </w:tc>
      </w:tr>
    </w:tbl>
    <w:p w14:paraId="48A3201E" w14:textId="6A4B015E" w:rsidR="00F53C15" w:rsidRPr="002D4502" w:rsidRDefault="00F53C15" w:rsidP="00BA086A">
      <w:pPr>
        <w:spacing w:after="0" w:line="240" w:lineRule="auto"/>
        <w:jc w:val="both"/>
        <w:rPr>
          <w:rFonts w:ascii="Arial" w:eastAsia="Times New Roman" w:hAnsi="Arial" w:cs="Arial"/>
          <w:sz w:val="20"/>
          <w:szCs w:val="20"/>
          <w:lang/>
        </w:rPr>
      </w:pPr>
    </w:p>
    <w:p w14:paraId="10D0A4C9" w14:textId="356D8C0F" w:rsidR="00897272" w:rsidRPr="002D4502" w:rsidRDefault="00F53C15" w:rsidP="00BA086A">
      <w:pPr>
        <w:spacing w:after="0" w:line="240" w:lineRule="auto"/>
        <w:jc w:val="both"/>
        <w:rPr>
          <w:rFonts w:ascii="Arial" w:eastAsia="Times New Roman" w:hAnsi="Arial" w:cs="Arial"/>
          <w:sz w:val="20"/>
          <w:szCs w:val="20"/>
          <w:lang w:val="en-US"/>
        </w:rPr>
      </w:pPr>
      <w:r w:rsidRPr="002D4502">
        <w:rPr>
          <w:rFonts w:ascii="Arial" w:eastAsia="Times New Roman" w:hAnsi="Arial" w:cs="Arial"/>
          <w:sz w:val="20"/>
          <w:szCs w:val="20"/>
          <w:lang w:val="en-US"/>
        </w:rPr>
        <w:t xml:space="preserve">The study further revealed a correlation between the ages of respondents and their knowledge of changes in </w:t>
      </w:r>
      <w:proofErr w:type="spellStart"/>
      <w:r w:rsidRPr="002D4502">
        <w:rPr>
          <w:rFonts w:ascii="Arial" w:eastAsia="Times New Roman" w:hAnsi="Arial" w:cs="Arial"/>
          <w:sz w:val="20"/>
          <w:szCs w:val="20"/>
          <w:lang w:val="en-US"/>
        </w:rPr>
        <w:t>Kilongo</w:t>
      </w:r>
      <w:proofErr w:type="spellEnd"/>
      <w:r w:rsidRPr="002D4502">
        <w:rPr>
          <w:rFonts w:ascii="Arial" w:eastAsia="Times New Roman" w:hAnsi="Arial" w:cs="Arial"/>
          <w:sz w:val="20"/>
          <w:szCs w:val="20"/>
          <w:lang w:val="en-US"/>
        </w:rPr>
        <w:t xml:space="preserve"> Forest Reserve. Table 2 shows that the majority of adults (between 36 and 64 years) and older people (65</w:t>
      </w:r>
      <w:r w:rsidR="00E27331" w:rsidRPr="002D4502">
        <w:rPr>
          <w:rFonts w:ascii="Arial" w:eastAsia="Times New Roman" w:hAnsi="Arial" w:cs="Arial"/>
          <w:sz w:val="20"/>
          <w:szCs w:val="20"/>
          <w:lang w:val="en-US"/>
        </w:rPr>
        <w:t xml:space="preserve"> years and above</w:t>
      </w:r>
      <w:r w:rsidRPr="002D4502">
        <w:rPr>
          <w:rFonts w:ascii="Arial" w:eastAsia="Times New Roman" w:hAnsi="Arial" w:cs="Arial"/>
          <w:sz w:val="20"/>
          <w:szCs w:val="20"/>
          <w:lang w:val="en-US"/>
        </w:rPr>
        <w:t>) strongly perceived improvements in forest conditions (at 53.3% and 3.3%, respectively) over the past 20 years, compared to 7.8% of those aged between 18 and 35 years. Their perceptions are based on the increased density of the forest, the height of trees, the diversity of undergrowth, and the presence of wild animals like antelopes, dik-diks, and hares, as well as big snakes like pythons. But they also said there were many birds of different types in the forest reserve. In addition to noting these observations in relation to the forest's previous status, they also compared the condition of the forest to that of the village's general land, where villagers were accessing it freely.</w:t>
      </w:r>
    </w:p>
    <w:p w14:paraId="285A9BBE" w14:textId="77777777" w:rsidR="00C96F3A" w:rsidRPr="002D4502" w:rsidRDefault="00C96F3A" w:rsidP="00BA086A">
      <w:pPr>
        <w:spacing w:after="0" w:line="240" w:lineRule="auto"/>
        <w:jc w:val="both"/>
        <w:rPr>
          <w:rFonts w:ascii="Arial" w:eastAsia="Times New Roman" w:hAnsi="Arial" w:cs="Arial"/>
          <w:sz w:val="20"/>
          <w:szCs w:val="20"/>
          <w:lang w:val="en-US"/>
        </w:rPr>
      </w:pPr>
    </w:p>
    <w:p w14:paraId="2F35678C" w14:textId="09140826" w:rsidR="00897272" w:rsidRPr="002D4502" w:rsidRDefault="00897272" w:rsidP="00BA086A">
      <w:pPr>
        <w:pStyle w:val="Caption"/>
        <w:keepNext/>
        <w:jc w:val="center"/>
        <w:rPr>
          <w:rFonts w:ascii="Arial" w:hAnsi="Arial" w:cs="Arial"/>
          <w:b/>
          <w:bCs/>
          <w:i w:val="0"/>
          <w:iCs w:val="0"/>
          <w:color w:val="auto"/>
          <w:sz w:val="20"/>
          <w:szCs w:val="20"/>
        </w:rPr>
      </w:pPr>
      <w:r w:rsidRPr="002D4502">
        <w:rPr>
          <w:rFonts w:ascii="Arial" w:hAnsi="Arial" w:cs="Arial"/>
          <w:b/>
          <w:bCs/>
          <w:i w:val="0"/>
          <w:iCs w:val="0"/>
          <w:color w:val="auto"/>
          <w:sz w:val="20"/>
          <w:szCs w:val="20"/>
        </w:rPr>
        <w:t xml:space="preserve">Table </w:t>
      </w:r>
      <w:r w:rsidRPr="002D4502">
        <w:rPr>
          <w:rFonts w:ascii="Arial" w:hAnsi="Arial" w:cs="Arial"/>
          <w:b/>
          <w:bCs/>
          <w:i w:val="0"/>
          <w:iCs w:val="0"/>
          <w:color w:val="auto"/>
          <w:sz w:val="20"/>
          <w:szCs w:val="20"/>
        </w:rPr>
        <w:fldChar w:fldCharType="begin"/>
      </w:r>
      <w:r w:rsidRPr="002D4502">
        <w:rPr>
          <w:rFonts w:ascii="Arial" w:hAnsi="Arial" w:cs="Arial"/>
          <w:b/>
          <w:bCs/>
          <w:i w:val="0"/>
          <w:iCs w:val="0"/>
          <w:color w:val="auto"/>
          <w:sz w:val="20"/>
          <w:szCs w:val="20"/>
        </w:rPr>
        <w:instrText xml:space="preserve"> SEQ Table \* ARABIC </w:instrText>
      </w:r>
      <w:r w:rsidRPr="002D4502">
        <w:rPr>
          <w:rFonts w:ascii="Arial" w:hAnsi="Arial" w:cs="Arial"/>
          <w:b/>
          <w:bCs/>
          <w:i w:val="0"/>
          <w:iCs w:val="0"/>
          <w:color w:val="auto"/>
          <w:sz w:val="20"/>
          <w:szCs w:val="20"/>
        </w:rPr>
        <w:fldChar w:fldCharType="separate"/>
      </w:r>
      <w:r w:rsidR="00661EB4" w:rsidRPr="002D4502">
        <w:rPr>
          <w:rFonts w:ascii="Arial" w:hAnsi="Arial" w:cs="Arial"/>
          <w:b/>
          <w:bCs/>
          <w:i w:val="0"/>
          <w:iCs w:val="0"/>
          <w:noProof/>
          <w:color w:val="auto"/>
          <w:sz w:val="20"/>
          <w:szCs w:val="20"/>
        </w:rPr>
        <w:t>2</w:t>
      </w:r>
      <w:r w:rsidRPr="002D4502">
        <w:rPr>
          <w:rFonts w:ascii="Arial" w:hAnsi="Arial" w:cs="Arial"/>
          <w:b/>
          <w:bCs/>
          <w:i w:val="0"/>
          <w:iCs w:val="0"/>
          <w:color w:val="auto"/>
          <w:sz w:val="20"/>
          <w:szCs w:val="20"/>
        </w:rPr>
        <w:fldChar w:fldCharType="end"/>
      </w:r>
      <w:r w:rsidRPr="002D4502">
        <w:rPr>
          <w:rFonts w:ascii="Arial" w:hAnsi="Arial" w:cs="Arial"/>
          <w:b/>
          <w:bCs/>
          <w:i w:val="0"/>
          <w:iCs w:val="0"/>
          <w:color w:val="auto"/>
          <w:sz w:val="20"/>
          <w:szCs w:val="20"/>
        </w:rPr>
        <w:t xml:space="preserve">: </w:t>
      </w:r>
      <w:bookmarkStart w:id="47" w:name="_Hlk170645324"/>
      <w:r w:rsidRPr="002D4502">
        <w:rPr>
          <w:rFonts w:ascii="Arial" w:hAnsi="Arial" w:cs="Arial"/>
          <w:b/>
          <w:bCs/>
          <w:i w:val="0"/>
          <w:iCs w:val="0"/>
          <w:color w:val="auto"/>
          <w:sz w:val="20"/>
          <w:szCs w:val="20"/>
        </w:rPr>
        <w:t xml:space="preserve">Response (based on age) to the question “Has the condition of </w:t>
      </w:r>
      <w:proofErr w:type="spellStart"/>
      <w:r w:rsidRPr="002D4502">
        <w:rPr>
          <w:rFonts w:ascii="Arial" w:hAnsi="Arial" w:cs="Arial"/>
          <w:b/>
          <w:bCs/>
          <w:i w:val="0"/>
          <w:iCs w:val="0"/>
          <w:color w:val="auto"/>
          <w:sz w:val="20"/>
          <w:szCs w:val="20"/>
        </w:rPr>
        <w:t>Kilongo</w:t>
      </w:r>
      <w:proofErr w:type="spellEnd"/>
      <w:r w:rsidRPr="002D4502">
        <w:rPr>
          <w:rFonts w:ascii="Arial" w:hAnsi="Arial" w:cs="Arial"/>
          <w:b/>
          <w:bCs/>
          <w:i w:val="0"/>
          <w:iCs w:val="0"/>
          <w:color w:val="auto"/>
          <w:sz w:val="20"/>
          <w:szCs w:val="20"/>
        </w:rPr>
        <w:t xml:space="preserve"> Forest Reserve improved over the past 20 years?”</w:t>
      </w:r>
      <w:bookmarkEnd w:id="47"/>
    </w:p>
    <w:tbl>
      <w:tblPr>
        <w:tblW w:w="893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134"/>
        <w:gridCol w:w="1276"/>
        <w:gridCol w:w="992"/>
        <w:gridCol w:w="1134"/>
        <w:gridCol w:w="1276"/>
        <w:gridCol w:w="1134"/>
      </w:tblGrid>
      <w:tr w:rsidR="00897272" w:rsidRPr="002D4502" w14:paraId="56316F67" w14:textId="77777777" w:rsidTr="00E27331">
        <w:trPr>
          <w:cantSplit/>
          <w:trHeight w:val="315"/>
        </w:trPr>
        <w:tc>
          <w:tcPr>
            <w:tcW w:w="1985" w:type="dxa"/>
            <w:vMerge w:val="restart"/>
            <w:tcBorders>
              <w:top w:val="single" w:sz="16" w:space="0" w:color="000000"/>
              <w:left w:val="single" w:sz="16" w:space="0" w:color="000000"/>
              <w:right w:val="single" w:sz="4" w:space="0" w:color="auto"/>
            </w:tcBorders>
            <w:shd w:val="clear" w:color="auto" w:fill="FFFFFF"/>
            <w:vAlign w:val="bottom"/>
          </w:tcPr>
          <w:p w14:paraId="69F7BD01" w14:textId="77777777" w:rsidR="00897272" w:rsidRPr="002D4502" w:rsidRDefault="00897272" w:rsidP="00BA086A">
            <w:pPr>
              <w:autoSpaceDE w:val="0"/>
              <w:autoSpaceDN w:val="0"/>
              <w:adjustRightInd w:val="0"/>
              <w:spacing w:after="0" w:line="240" w:lineRule="auto"/>
              <w:jc w:val="center"/>
              <w:rPr>
                <w:rFonts w:ascii="Arial" w:hAnsi="Arial" w:cs="Arial"/>
                <w:sz w:val="20"/>
                <w:szCs w:val="20"/>
                <w:lang/>
              </w:rPr>
            </w:pPr>
          </w:p>
          <w:p w14:paraId="601AB723" w14:textId="77777777" w:rsidR="00897272" w:rsidRPr="002D4502" w:rsidRDefault="00897272" w:rsidP="00BA086A">
            <w:pPr>
              <w:autoSpaceDE w:val="0"/>
              <w:autoSpaceDN w:val="0"/>
              <w:adjustRightInd w:val="0"/>
              <w:spacing w:after="0" w:line="240" w:lineRule="auto"/>
              <w:jc w:val="center"/>
              <w:rPr>
                <w:rFonts w:ascii="Arial" w:hAnsi="Arial" w:cs="Arial"/>
                <w:sz w:val="20"/>
                <w:szCs w:val="20"/>
                <w:lang w:val="en-US"/>
              </w:rPr>
            </w:pPr>
            <w:r w:rsidRPr="002D4502">
              <w:rPr>
                <w:rFonts w:ascii="Arial" w:hAnsi="Arial" w:cs="Arial"/>
                <w:sz w:val="20"/>
                <w:szCs w:val="20"/>
                <w:lang w:val="en-US"/>
              </w:rPr>
              <w:t>Age of Respondents</w:t>
            </w:r>
          </w:p>
        </w:tc>
        <w:tc>
          <w:tcPr>
            <w:tcW w:w="5812" w:type="dxa"/>
            <w:gridSpan w:val="5"/>
            <w:tcBorders>
              <w:top w:val="single" w:sz="16" w:space="0" w:color="000000"/>
              <w:left w:val="single" w:sz="16" w:space="0" w:color="000000"/>
            </w:tcBorders>
            <w:shd w:val="clear" w:color="auto" w:fill="FFFFFF"/>
            <w:vAlign w:val="bottom"/>
          </w:tcPr>
          <w:p w14:paraId="7BF0A981"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Has the condition of Kilongo Forest Reserve improved over the past 20 years?</w:t>
            </w:r>
          </w:p>
        </w:tc>
        <w:tc>
          <w:tcPr>
            <w:tcW w:w="1134" w:type="dxa"/>
            <w:vMerge w:val="restart"/>
            <w:tcBorders>
              <w:top w:val="single" w:sz="16" w:space="0" w:color="000000"/>
              <w:right w:val="single" w:sz="16" w:space="0" w:color="000000"/>
            </w:tcBorders>
            <w:shd w:val="clear" w:color="auto" w:fill="FFFFFF"/>
            <w:vAlign w:val="bottom"/>
          </w:tcPr>
          <w:p w14:paraId="5AA3BA5D"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Total</w:t>
            </w:r>
          </w:p>
        </w:tc>
      </w:tr>
      <w:tr w:rsidR="00897272" w:rsidRPr="002D4502" w14:paraId="57A3A98E" w14:textId="77777777" w:rsidTr="00E27331">
        <w:trPr>
          <w:cantSplit/>
          <w:trHeight w:val="690"/>
        </w:trPr>
        <w:tc>
          <w:tcPr>
            <w:tcW w:w="1985" w:type="dxa"/>
            <w:vMerge/>
            <w:tcBorders>
              <w:left w:val="single" w:sz="16" w:space="0" w:color="000000"/>
              <w:bottom w:val="nil"/>
              <w:right w:val="single" w:sz="4" w:space="0" w:color="auto"/>
            </w:tcBorders>
            <w:shd w:val="clear" w:color="auto" w:fill="FFFFFF"/>
            <w:vAlign w:val="bottom"/>
          </w:tcPr>
          <w:p w14:paraId="418BB8A8" w14:textId="77777777" w:rsidR="00897272" w:rsidRPr="002D4502" w:rsidRDefault="00897272" w:rsidP="00BA086A">
            <w:pPr>
              <w:autoSpaceDE w:val="0"/>
              <w:autoSpaceDN w:val="0"/>
              <w:adjustRightInd w:val="0"/>
              <w:spacing w:after="0" w:line="240" w:lineRule="auto"/>
              <w:jc w:val="center"/>
              <w:rPr>
                <w:rFonts w:ascii="Arial" w:hAnsi="Arial" w:cs="Arial"/>
                <w:color w:val="000000"/>
                <w:sz w:val="20"/>
                <w:szCs w:val="20"/>
                <w:lang/>
              </w:rPr>
            </w:pPr>
          </w:p>
        </w:tc>
        <w:tc>
          <w:tcPr>
            <w:tcW w:w="1134" w:type="dxa"/>
            <w:tcBorders>
              <w:left w:val="single" w:sz="16" w:space="0" w:color="000000"/>
              <w:bottom w:val="single" w:sz="16" w:space="0" w:color="000000"/>
            </w:tcBorders>
            <w:shd w:val="clear" w:color="auto" w:fill="FFFFFF"/>
            <w:vAlign w:val="bottom"/>
          </w:tcPr>
          <w:p w14:paraId="2837D0A3" w14:textId="77777777" w:rsidR="00897272" w:rsidRPr="002D4502" w:rsidRDefault="00897272" w:rsidP="00BA086A">
            <w:pPr>
              <w:autoSpaceDE w:val="0"/>
              <w:autoSpaceDN w:val="0"/>
              <w:adjustRightInd w:val="0"/>
              <w:spacing w:after="0" w:line="240" w:lineRule="auto"/>
              <w:ind w:right="60"/>
              <w:jc w:val="center"/>
              <w:rPr>
                <w:rFonts w:ascii="Arial" w:hAnsi="Arial" w:cs="Arial"/>
                <w:color w:val="000000"/>
                <w:sz w:val="20"/>
                <w:szCs w:val="20"/>
                <w:lang/>
              </w:rPr>
            </w:pPr>
            <w:r w:rsidRPr="002D4502">
              <w:rPr>
                <w:rFonts w:ascii="Arial" w:hAnsi="Arial" w:cs="Arial"/>
                <w:color w:val="000000"/>
                <w:sz w:val="20"/>
                <w:szCs w:val="20"/>
                <w:lang/>
              </w:rPr>
              <w:t>Strongly Agree</w:t>
            </w:r>
          </w:p>
        </w:tc>
        <w:tc>
          <w:tcPr>
            <w:tcW w:w="1276" w:type="dxa"/>
            <w:tcBorders>
              <w:bottom w:val="single" w:sz="16" w:space="0" w:color="000000"/>
            </w:tcBorders>
            <w:shd w:val="clear" w:color="auto" w:fill="FFFFFF"/>
            <w:vAlign w:val="bottom"/>
          </w:tcPr>
          <w:p w14:paraId="004BBB42"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Agree</w:t>
            </w:r>
          </w:p>
        </w:tc>
        <w:tc>
          <w:tcPr>
            <w:tcW w:w="992" w:type="dxa"/>
            <w:tcBorders>
              <w:bottom w:val="single" w:sz="16" w:space="0" w:color="000000"/>
            </w:tcBorders>
            <w:shd w:val="clear" w:color="auto" w:fill="FFFFFF"/>
            <w:vAlign w:val="bottom"/>
          </w:tcPr>
          <w:p w14:paraId="745B95BC"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Neutral</w:t>
            </w:r>
          </w:p>
        </w:tc>
        <w:tc>
          <w:tcPr>
            <w:tcW w:w="1134" w:type="dxa"/>
            <w:tcBorders>
              <w:bottom w:val="single" w:sz="16" w:space="0" w:color="000000"/>
            </w:tcBorders>
            <w:shd w:val="clear" w:color="auto" w:fill="FFFFFF"/>
            <w:vAlign w:val="bottom"/>
          </w:tcPr>
          <w:p w14:paraId="788C476E"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Disagree</w:t>
            </w:r>
          </w:p>
        </w:tc>
        <w:tc>
          <w:tcPr>
            <w:tcW w:w="1276" w:type="dxa"/>
            <w:tcBorders>
              <w:bottom w:val="single" w:sz="16" w:space="0" w:color="000000"/>
            </w:tcBorders>
            <w:shd w:val="clear" w:color="auto" w:fill="FFFFFF"/>
            <w:vAlign w:val="bottom"/>
          </w:tcPr>
          <w:p w14:paraId="389D3209"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Strongly Disagree</w:t>
            </w:r>
          </w:p>
        </w:tc>
        <w:tc>
          <w:tcPr>
            <w:tcW w:w="1134" w:type="dxa"/>
            <w:vMerge/>
            <w:tcBorders>
              <w:top w:val="single" w:sz="16" w:space="0" w:color="000000"/>
              <w:right w:val="single" w:sz="16" w:space="0" w:color="000000"/>
            </w:tcBorders>
            <w:shd w:val="clear" w:color="auto" w:fill="FFFFFF"/>
            <w:vAlign w:val="bottom"/>
          </w:tcPr>
          <w:p w14:paraId="01954C7B" w14:textId="77777777" w:rsidR="00897272" w:rsidRPr="002D4502" w:rsidRDefault="00897272" w:rsidP="00BA086A">
            <w:pPr>
              <w:autoSpaceDE w:val="0"/>
              <w:autoSpaceDN w:val="0"/>
              <w:adjustRightInd w:val="0"/>
              <w:spacing w:after="0" w:line="240" w:lineRule="auto"/>
              <w:jc w:val="center"/>
              <w:rPr>
                <w:rFonts w:ascii="Arial" w:hAnsi="Arial" w:cs="Arial"/>
                <w:color w:val="000000"/>
                <w:sz w:val="20"/>
                <w:szCs w:val="20"/>
                <w:lang/>
              </w:rPr>
            </w:pPr>
          </w:p>
        </w:tc>
      </w:tr>
      <w:tr w:rsidR="00897272" w:rsidRPr="002D4502" w14:paraId="2B54F197" w14:textId="77777777" w:rsidTr="00E27331">
        <w:trPr>
          <w:cantSplit/>
          <w:trHeight w:val="360"/>
        </w:trPr>
        <w:tc>
          <w:tcPr>
            <w:tcW w:w="1985" w:type="dxa"/>
            <w:tcBorders>
              <w:top w:val="single" w:sz="4" w:space="0" w:color="auto"/>
              <w:left w:val="single" w:sz="16" w:space="0" w:color="000000"/>
              <w:bottom w:val="single" w:sz="4" w:space="0" w:color="auto"/>
              <w:right w:val="single" w:sz="16" w:space="0" w:color="000000"/>
            </w:tcBorders>
            <w:shd w:val="clear" w:color="auto" w:fill="FFFFFF"/>
          </w:tcPr>
          <w:p w14:paraId="3CAC8022"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18-35</w:t>
            </w:r>
          </w:p>
        </w:tc>
        <w:tc>
          <w:tcPr>
            <w:tcW w:w="1134" w:type="dxa"/>
            <w:tcBorders>
              <w:top w:val="single" w:sz="4" w:space="0" w:color="auto"/>
              <w:left w:val="single" w:sz="16" w:space="0" w:color="000000"/>
            </w:tcBorders>
            <w:shd w:val="clear" w:color="auto" w:fill="FFFFFF"/>
            <w:vAlign w:val="center"/>
          </w:tcPr>
          <w:p w14:paraId="40BC6B99"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7.8%</w:t>
            </w:r>
          </w:p>
        </w:tc>
        <w:tc>
          <w:tcPr>
            <w:tcW w:w="1276" w:type="dxa"/>
            <w:tcBorders>
              <w:top w:val="single" w:sz="4" w:space="0" w:color="auto"/>
            </w:tcBorders>
            <w:shd w:val="clear" w:color="auto" w:fill="FFFFFF"/>
            <w:vAlign w:val="center"/>
          </w:tcPr>
          <w:p w14:paraId="17789EDB"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12.2%</w:t>
            </w:r>
          </w:p>
        </w:tc>
        <w:tc>
          <w:tcPr>
            <w:tcW w:w="992" w:type="dxa"/>
            <w:tcBorders>
              <w:top w:val="single" w:sz="4" w:space="0" w:color="auto"/>
            </w:tcBorders>
            <w:shd w:val="clear" w:color="auto" w:fill="FFFFFF"/>
            <w:vAlign w:val="center"/>
          </w:tcPr>
          <w:p w14:paraId="0972FBF9"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14.4%</w:t>
            </w:r>
          </w:p>
        </w:tc>
        <w:tc>
          <w:tcPr>
            <w:tcW w:w="1134" w:type="dxa"/>
            <w:tcBorders>
              <w:top w:val="single" w:sz="4" w:space="0" w:color="auto"/>
            </w:tcBorders>
            <w:shd w:val="clear" w:color="auto" w:fill="FFFFFF"/>
            <w:vAlign w:val="center"/>
          </w:tcPr>
          <w:p w14:paraId="1B392CB7"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2.2%</w:t>
            </w:r>
          </w:p>
        </w:tc>
        <w:tc>
          <w:tcPr>
            <w:tcW w:w="1276" w:type="dxa"/>
            <w:tcBorders>
              <w:top w:val="single" w:sz="4" w:space="0" w:color="auto"/>
            </w:tcBorders>
            <w:shd w:val="clear" w:color="auto" w:fill="FFFFFF"/>
            <w:vAlign w:val="center"/>
          </w:tcPr>
          <w:p w14:paraId="7B75373A"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2.2%</w:t>
            </w:r>
          </w:p>
        </w:tc>
        <w:tc>
          <w:tcPr>
            <w:tcW w:w="1134" w:type="dxa"/>
            <w:tcBorders>
              <w:top w:val="single" w:sz="4" w:space="0" w:color="auto"/>
              <w:right w:val="single" w:sz="16" w:space="0" w:color="000000"/>
            </w:tcBorders>
            <w:shd w:val="clear" w:color="auto" w:fill="FFFFFF"/>
            <w:vAlign w:val="center"/>
          </w:tcPr>
          <w:p w14:paraId="5AD4A89A"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38.9%</w:t>
            </w:r>
          </w:p>
        </w:tc>
      </w:tr>
      <w:tr w:rsidR="00897272" w:rsidRPr="002D4502" w14:paraId="1BCFEE11" w14:textId="77777777" w:rsidTr="00E27331">
        <w:trPr>
          <w:cantSplit/>
          <w:trHeight w:val="360"/>
        </w:trPr>
        <w:tc>
          <w:tcPr>
            <w:tcW w:w="1985" w:type="dxa"/>
            <w:tcBorders>
              <w:top w:val="single" w:sz="4" w:space="0" w:color="auto"/>
              <w:left w:val="single" w:sz="16" w:space="0" w:color="000000"/>
              <w:bottom w:val="single" w:sz="4" w:space="0" w:color="auto"/>
              <w:right w:val="single" w:sz="16" w:space="0" w:color="000000"/>
            </w:tcBorders>
            <w:shd w:val="clear" w:color="auto" w:fill="FFFFFF"/>
          </w:tcPr>
          <w:p w14:paraId="74C4F8EE"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36-64</w:t>
            </w:r>
          </w:p>
        </w:tc>
        <w:tc>
          <w:tcPr>
            <w:tcW w:w="1134" w:type="dxa"/>
            <w:tcBorders>
              <w:top w:val="single" w:sz="4" w:space="0" w:color="auto"/>
              <w:left w:val="single" w:sz="16" w:space="0" w:color="000000"/>
            </w:tcBorders>
            <w:shd w:val="clear" w:color="auto" w:fill="FFFFFF"/>
            <w:vAlign w:val="center"/>
          </w:tcPr>
          <w:p w14:paraId="438EC2D0"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53.3%</w:t>
            </w:r>
          </w:p>
        </w:tc>
        <w:tc>
          <w:tcPr>
            <w:tcW w:w="1276" w:type="dxa"/>
            <w:tcBorders>
              <w:top w:val="single" w:sz="4" w:space="0" w:color="auto"/>
            </w:tcBorders>
            <w:shd w:val="clear" w:color="auto" w:fill="FFFFFF"/>
            <w:vAlign w:val="center"/>
          </w:tcPr>
          <w:p w14:paraId="56D4853F"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4.4%</w:t>
            </w:r>
          </w:p>
        </w:tc>
        <w:tc>
          <w:tcPr>
            <w:tcW w:w="992" w:type="dxa"/>
            <w:tcBorders>
              <w:top w:val="single" w:sz="4" w:space="0" w:color="auto"/>
            </w:tcBorders>
            <w:shd w:val="clear" w:color="auto" w:fill="FFFFFF"/>
            <w:vAlign w:val="center"/>
          </w:tcPr>
          <w:p w14:paraId="32089A01"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0.0%</w:t>
            </w:r>
          </w:p>
        </w:tc>
        <w:tc>
          <w:tcPr>
            <w:tcW w:w="1134" w:type="dxa"/>
            <w:tcBorders>
              <w:top w:val="single" w:sz="4" w:space="0" w:color="auto"/>
            </w:tcBorders>
            <w:shd w:val="clear" w:color="auto" w:fill="FFFFFF"/>
            <w:vAlign w:val="center"/>
          </w:tcPr>
          <w:p w14:paraId="0F08E338"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0.0%</w:t>
            </w:r>
          </w:p>
        </w:tc>
        <w:tc>
          <w:tcPr>
            <w:tcW w:w="1276" w:type="dxa"/>
            <w:tcBorders>
              <w:top w:val="single" w:sz="4" w:space="0" w:color="auto"/>
            </w:tcBorders>
            <w:shd w:val="clear" w:color="auto" w:fill="FFFFFF"/>
            <w:vAlign w:val="center"/>
          </w:tcPr>
          <w:p w14:paraId="6301A06D"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0.0%</w:t>
            </w:r>
          </w:p>
        </w:tc>
        <w:tc>
          <w:tcPr>
            <w:tcW w:w="1134" w:type="dxa"/>
            <w:tcBorders>
              <w:top w:val="single" w:sz="4" w:space="0" w:color="auto"/>
              <w:right w:val="single" w:sz="16" w:space="0" w:color="000000"/>
            </w:tcBorders>
            <w:shd w:val="clear" w:color="auto" w:fill="FFFFFF"/>
            <w:vAlign w:val="center"/>
          </w:tcPr>
          <w:p w14:paraId="50746192"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57.8%</w:t>
            </w:r>
          </w:p>
        </w:tc>
      </w:tr>
      <w:tr w:rsidR="00897272" w:rsidRPr="002D4502" w14:paraId="59AAE97C" w14:textId="77777777" w:rsidTr="00E27331">
        <w:trPr>
          <w:cantSplit/>
          <w:trHeight w:val="360"/>
        </w:trPr>
        <w:tc>
          <w:tcPr>
            <w:tcW w:w="1985" w:type="dxa"/>
            <w:tcBorders>
              <w:top w:val="single" w:sz="4" w:space="0" w:color="auto"/>
              <w:left w:val="single" w:sz="16" w:space="0" w:color="000000"/>
              <w:right w:val="single" w:sz="16" w:space="0" w:color="000000"/>
            </w:tcBorders>
            <w:shd w:val="clear" w:color="auto" w:fill="FFFFFF"/>
          </w:tcPr>
          <w:p w14:paraId="12ECB55B"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val="en-US"/>
              </w:rPr>
              <w:t>65+</w:t>
            </w:r>
          </w:p>
        </w:tc>
        <w:tc>
          <w:tcPr>
            <w:tcW w:w="1134" w:type="dxa"/>
            <w:tcBorders>
              <w:top w:val="single" w:sz="4" w:space="0" w:color="auto"/>
              <w:left w:val="single" w:sz="16" w:space="0" w:color="000000"/>
            </w:tcBorders>
            <w:shd w:val="clear" w:color="auto" w:fill="FFFFFF"/>
            <w:vAlign w:val="center"/>
          </w:tcPr>
          <w:p w14:paraId="1DF619DC"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3.3%</w:t>
            </w:r>
          </w:p>
        </w:tc>
        <w:tc>
          <w:tcPr>
            <w:tcW w:w="1276" w:type="dxa"/>
            <w:tcBorders>
              <w:top w:val="single" w:sz="4" w:space="0" w:color="auto"/>
            </w:tcBorders>
            <w:shd w:val="clear" w:color="auto" w:fill="FFFFFF"/>
            <w:vAlign w:val="center"/>
          </w:tcPr>
          <w:p w14:paraId="054AD070"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0.0%</w:t>
            </w:r>
          </w:p>
        </w:tc>
        <w:tc>
          <w:tcPr>
            <w:tcW w:w="992" w:type="dxa"/>
            <w:tcBorders>
              <w:top w:val="single" w:sz="4" w:space="0" w:color="auto"/>
            </w:tcBorders>
            <w:shd w:val="clear" w:color="auto" w:fill="FFFFFF"/>
            <w:vAlign w:val="center"/>
          </w:tcPr>
          <w:p w14:paraId="222AFF0E"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0.0%</w:t>
            </w:r>
          </w:p>
        </w:tc>
        <w:tc>
          <w:tcPr>
            <w:tcW w:w="1134" w:type="dxa"/>
            <w:tcBorders>
              <w:top w:val="single" w:sz="4" w:space="0" w:color="auto"/>
            </w:tcBorders>
            <w:shd w:val="clear" w:color="auto" w:fill="FFFFFF"/>
            <w:vAlign w:val="center"/>
          </w:tcPr>
          <w:p w14:paraId="66876F8F"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0.0%</w:t>
            </w:r>
          </w:p>
        </w:tc>
        <w:tc>
          <w:tcPr>
            <w:tcW w:w="1276" w:type="dxa"/>
            <w:tcBorders>
              <w:top w:val="single" w:sz="4" w:space="0" w:color="auto"/>
            </w:tcBorders>
            <w:shd w:val="clear" w:color="auto" w:fill="FFFFFF"/>
            <w:vAlign w:val="center"/>
          </w:tcPr>
          <w:p w14:paraId="74CFB8FB"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0.0%</w:t>
            </w:r>
          </w:p>
        </w:tc>
        <w:tc>
          <w:tcPr>
            <w:tcW w:w="1134" w:type="dxa"/>
            <w:tcBorders>
              <w:top w:val="single" w:sz="4" w:space="0" w:color="auto"/>
              <w:right w:val="single" w:sz="16" w:space="0" w:color="000000"/>
            </w:tcBorders>
            <w:shd w:val="clear" w:color="auto" w:fill="FFFFFF"/>
            <w:vAlign w:val="center"/>
          </w:tcPr>
          <w:p w14:paraId="5FF874EF"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3.3%</w:t>
            </w:r>
          </w:p>
        </w:tc>
      </w:tr>
      <w:tr w:rsidR="00897272" w:rsidRPr="002D4502" w14:paraId="4B554774" w14:textId="77777777" w:rsidTr="00E27331">
        <w:trPr>
          <w:cantSplit/>
          <w:trHeight w:val="315"/>
        </w:trPr>
        <w:tc>
          <w:tcPr>
            <w:tcW w:w="1985" w:type="dxa"/>
            <w:vMerge w:val="restart"/>
            <w:tcBorders>
              <w:top w:val="nil"/>
              <w:left w:val="single" w:sz="16" w:space="0" w:color="000000"/>
              <w:right w:val="single" w:sz="16" w:space="0" w:color="000000"/>
            </w:tcBorders>
            <w:shd w:val="clear" w:color="auto" w:fill="FFFFFF"/>
          </w:tcPr>
          <w:p w14:paraId="0CCC3322" w14:textId="77777777" w:rsidR="00897272" w:rsidRPr="002D4502" w:rsidRDefault="00897272" w:rsidP="00BA086A">
            <w:pPr>
              <w:autoSpaceDE w:val="0"/>
              <w:autoSpaceDN w:val="0"/>
              <w:adjustRightInd w:val="0"/>
              <w:spacing w:after="0" w:line="240" w:lineRule="auto"/>
              <w:ind w:right="60"/>
              <w:jc w:val="center"/>
              <w:rPr>
                <w:rFonts w:ascii="Arial" w:hAnsi="Arial" w:cs="Arial"/>
                <w:color w:val="000000"/>
                <w:sz w:val="20"/>
                <w:szCs w:val="20"/>
                <w:lang w:val="en-US"/>
              </w:rPr>
            </w:pPr>
            <w:r w:rsidRPr="002D4502">
              <w:rPr>
                <w:rFonts w:ascii="Arial" w:hAnsi="Arial" w:cs="Arial"/>
                <w:color w:val="000000"/>
                <w:sz w:val="20"/>
                <w:szCs w:val="20"/>
                <w:lang w:val="en-US"/>
              </w:rPr>
              <w:t>Total</w:t>
            </w:r>
          </w:p>
          <w:p w14:paraId="10D26736" w14:textId="77777777" w:rsidR="00897272" w:rsidRPr="002D4502" w:rsidRDefault="00897272" w:rsidP="00BA086A">
            <w:pPr>
              <w:autoSpaceDE w:val="0"/>
              <w:autoSpaceDN w:val="0"/>
              <w:adjustRightInd w:val="0"/>
              <w:spacing w:after="0" w:line="240" w:lineRule="auto"/>
              <w:ind w:right="60"/>
              <w:jc w:val="center"/>
              <w:rPr>
                <w:rFonts w:ascii="Arial" w:hAnsi="Arial" w:cs="Arial"/>
                <w:color w:val="000000"/>
                <w:sz w:val="20"/>
                <w:szCs w:val="20"/>
                <w:lang/>
              </w:rPr>
            </w:pPr>
          </w:p>
        </w:tc>
        <w:tc>
          <w:tcPr>
            <w:tcW w:w="1134" w:type="dxa"/>
            <w:tcBorders>
              <w:top w:val="nil"/>
              <w:left w:val="single" w:sz="16" w:space="0" w:color="000000"/>
              <w:bottom w:val="single" w:sz="4" w:space="0" w:color="auto"/>
            </w:tcBorders>
            <w:shd w:val="clear" w:color="auto" w:fill="FFFFFF"/>
            <w:vAlign w:val="center"/>
          </w:tcPr>
          <w:p w14:paraId="72CE3D82"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58</w:t>
            </w:r>
          </w:p>
        </w:tc>
        <w:tc>
          <w:tcPr>
            <w:tcW w:w="1276" w:type="dxa"/>
            <w:tcBorders>
              <w:top w:val="nil"/>
              <w:bottom w:val="single" w:sz="4" w:space="0" w:color="auto"/>
            </w:tcBorders>
            <w:shd w:val="clear" w:color="auto" w:fill="FFFFFF"/>
            <w:vAlign w:val="center"/>
          </w:tcPr>
          <w:p w14:paraId="6D1A9B96"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15</w:t>
            </w:r>
          </w:p>
        </w:tc>
        <w:tc>
          <w:tcPr>
            <w:tcW w:w="992" w:type="dxa"/>
            <w:tcBorders>
              <w:top w:val="nil"/>
              <w:bottom w:val="single" w:sz="4" w:space="0" w:color="auto"/>
            </w:tcBorders>
            <w:shd w:val="clear" w:color="auto" w:fill="FFFFFF"/>
            <w:vAlign w:val="center"/>
          </w:tcPr>
          <w:p w14:paraId="30CFB0F8"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13</w:t>
            </w:r>
          </w:p>
        </w:tc>
        <w:tc>
          <w:tcPr>
            <w:tcW w:w="1134" w:type="dxa"/>
            <w:tcBorders>
              <w:top w:val="nil"/>
              <w:bottom w:val="single" w:sz="4" w:space="0" w:color="auto"/>
            </w:tcBorders>
            <w:shd w:val="clear" w:color="auto" w:fill="FFFFFF"/>
            <w:vAlign w:val="center"/>
          </w:tcPr>
          <w:p w14:paraId="2AC4EE17"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2</w:t>
            </w:r>
          </w:p>
        </w:tc>
        <w:tc>
          <w:tcPr>
            <w:tcW w:w="1276" w:type="dxa"/>
            <w:tcBorders>
              <w:top w:val="nil"/>
              <w:bottom w:val="single" w:sz="4" w:space="0" w:color="auto"/>
            </w:tcBorders>
            <w:shd w:val="clear" w:color="auto" w:fill="FFFFFF"/>
            <w:vAlign w:val="center"/>
          </w:tcPr>
          <w:p w14:paraId="5FEEB395"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2</w:t>
            </w:r>
          </w:p>
        </w:tc>
        <w:tc>
          <w:tcPr>
            <w:tcW w:w="1134" w:type="dxa"/>
            <w:tcBorders>
              <w:top w:val="nil"/>
              <w:bottom w:val="single" w:sz="4" w:space="0" w:color="auto"/>
              <w:right w:val="single" w:sz="16" w:space="0" w:color="000000"/>
            </w:tcBorders>
            <w:shd w:val="clear" w:color="auto" w:fill="FFFFFF"/>
            <w:vAlign w:val="center"/>
          </w:tcPr>
          <w:p w14:paraId="636C430D"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90</w:t>
            </w:r>
          </w:p>
        </w:tc>
      </w:tr>
      <w:tr w:rsidR="00897272" w:rsidRPr="002D4502" w14:paraId="0AEC1372" w14:textId="77777777" w:rsidTr="00E27331">
        <w:trPr>
          <w:cantSplit/>
          <w:trHeight w:val="315"/>
        </w:trPr>
        <w:tc>
          <w:tcPr>
            <w:tcW w:w="1985" w:type="dxa"/>
            <w:vMerge/>
            <w:tcBorders>
              <w:left w:val="single" w:sz="16" w:space="0" w:color="000000"/>
              <w:bottom w:val="single" w:sz="16" w:space="0" w:color="000000"/>
              <w:right w:val="single" w:sz="16" w:space="0" w:color="000000"/>
            </w:tcBorders>
            <w:shd w:val="clear" w:color="auto" w:fill="FFFFFF"/>
          </w:tcPr>
          <w:p w14:paraId="21A2FF0A" w14:textId="77777777" w:rsidR="00897272" w:rsidRPr="002D4502" w:rsidRDefault="00897272" w:rsidP="00BA086A">
            <w:pPr>
              <w:autoSpaceDE w:val="0"/>
              <w:autoSpaceDN w:val="0"/>
              <w:adjustRightInd w:val="0"/>
              <w:spacing w:after="0" w:line="240" w:lineRule="auto"/>
              <w:ind w:left="60" w:right="60"/>
              <w:rPr>
                <w:rFonts w:ascii="Arial" w:hAnsi="Arial" w:cs="Arial"/>
                <w:color w:val="000000"/>
                <w:sz w:val="20"/>
                <w:szCs w:val="20"/>
                <w:lang/>
              </w:rPr>
            </w:pPr>
          </w:p>
        </w:tc>
        <w:tc>
          <w:tcPr>
            <w:tcW w:w="1134" w:type="dxa"/>
            <w:tcBorders>
              <w:top w:val="single" w:sz="4" w:space="0" w:color="auto"/>
              <w:left w:val="single" w:sz="16" w:space="0" w:color="000000"/>
              <w:bottom w:val="single" w:sz="16" w:space="0" w:color="000000"/>
            </w:tcBorders>
            <w:shd w:val="clear" w:color="auto" w:fill="FFFFFF"/>
            <w:vAlign w:val="center"/>
          </w:tcPr>
          <w:p w14:paraId="051EEA91"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64.4%</w:t>
            </w:r>
          </w:p>
        </w:tc>
        <w:tc>
          <w:tcPr>
            <w:tcW w:w="1276" w:type="dxa"/>
            <w:tcBorders>
              <w:top w:val="single" w:sz="4" w:space="0" w:color="auto"/>
              <w:bottom w:val="single" w:sz="16" w:space="0" w:color="000000"/>
            </w:tcBorders>
            <w:shd w:val="clear" w:color="auto" w:fill="FFFFFF"/>
            <w:vAlign w:val="center"/>
          </w:tcPr>
          <w:p w14:paraId="0E197E8B"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16.7%</w:t>
            </w:r>
          </w:p>
        </w:tc>
        <w:tc>
          <w:tcPr>
            <w:tcW w:w="992" w:type="dxa"/>
            <w:tcBorders>
              <w:top w:val="single" w:sz="4" w:space="0" w:color="auto"/>
              <w:bottom w:val="single" w:sz="16" w:space="0" w:color="000000"/>
            </w:tcBorders>
            <w:shd w:val="clear" w:color="auto" w:fill="FFFFFF"/>
            <w:vAlign w:val="center"/>
          </w:tcPr>
          <w:p w14:paraId="03184103"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14.4%</w:t>
            </w:r>
          </w:p>
        </w:tc>
        <w:tc>
          <w:tcPr>
            <w:tcW w:w="1134" w:type="dxa"/>
            <w:tcBorders>
              <w:top w:val="single" w:sz="4" w:space="0" w:color="auto"/>
              <w:bottom w:val="single" w:sz="16" w:space="0" w:color="000000"/>
            </w:tcBorders>
            <w:shd w:val="clear" w:color="auto" w:fill="FFFFFF"/>
            <w:vAlign w:val="center"/>
          </w:tcPr>
          <w:p w14:paraId="5482D180"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2.2%</w:t>
            </w:r>
          </w:p>
        </w:tc>
        <w:tc>
          <w:tcPr>
            <w:tcW w:w="1276" w:type="dxa"/>
            <w:tcBorders>
              <w:top w:val="single" w:sz="4" w:space="0" w:color="auto"/>
              <w:bottom w:val="single" w:sz="16" w:space="0" w:color="000000"/>
            </w:tcBorders>
            <w:shd w:val="clear" w:color="auto" w:fill="FFFFFF"/>
            <w:vAlign w:val="center"/>
          </w:tcPr>
          <w:p w14:paraId="39AC0B4C"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2.2%</w:t>
            </w:r>
          </w:p>
        </w:tc>
        <w:tc>
          <w:tcPr>
            <w:tcW w:w="1134" w:type="dxa"/>
            <w:tcBorders>
              <w:top w:val="single" w:sz="4" w:space="0" w:color="auto"/>
              <w:bottom w:val="single" w:sz="16" w:space="0" w:color="000000"/>
              <w:right w:val="single" w:sz="16" w:space="0" w:color="000000"/>
            </w:tcBorders>
            <w:shd w:val="clear" w:color="auto" w:fill="FFFFFF"/>
            <w:vAlign w:val="center"/>
          </w:tcPr>
          <w:p w14:paraId="183A2D64" w14:textId="77777777" w:rsidR="00897272" w:rsidRPr="002D4502" w:rsidRDefault="00897272"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100.0%</w:t>
            </w:r>
          </w:p>
        </w:tc>
      </w:tr>
    </w:tbl>
    <w:p w14:paraId="7A60DDEF" w14:textId="77777777" w:rsidR="00897272" w:rsidRPr="002D4502" w:rsidRDefault="00897272" w:rsidP="00BA086A">
      <w:pPr>
        <w:spacing w:after="0" w:line="240" w:lineRule="auto"/>
        <w:jc w:val="both"/>
        <w:rPr>
          <w:rFonts w:ascii="Arial" w:eastAsia="Times New Roman" w:hAnsi="Arial" w:cs="Arial"/>
          <w:sz w:val="20"/>
          <w:szCs w:val="20"/>
          <w:lang w:val="en-US"/>
        </w:rPr>
      </w:pPr>
    </w:p>
    <w:p w14:paraId="5E4D0BAA" w14:textId="77777777" w:rsidR="000373BC" w:rsidRPr="002D4502" w:rsidRDefault="00F75FC1" w:rsidP="00BA086A">
      <w:pPr>
        <w:autoSpaceDE w:val="0"/>
        <w:autoSpaceDN w:val="0"/>
        <w:adjustRightInd w:val="0"/>
        <w:spacing w:after="0" w:line="240" w:lineRule="auto"/>
        <w:jc w:val="both"/>
        <w:rPr>
          <w:rFonts w:ascii="Arial" w:hAnsi="Arial" w:cs="Arial"/>
          <w:sz w:val="20"/>
          <w:szCs w:val="20"/>
          <w:lang w:val="en-US"/>
        </w:rPr>
      </w:pPr>
      <w:r w:rsidRPr="002D4502">
        <w:rPr>
          <w:rFonts w:ascii="Arial" w:hAnsi="Arial" w:cs="Arial"/>
          <w:sz w:val="20"/>
          <w:szCs w:val="20"/>
          <w:lang w:val="en-US"/>
        </w:rPr>
        <w:t xml:space="preserve">Moreover, the findings indicate that respondents associated the improved condition of </w:t>
      </w:r>
      <w:proofErr w:type="spellStart"/>
      <w:r w:rsidRPr="002D4502">
        <w:rPr>
          <w:rFonts w:ascii="Arial" w:hAnsi="Arial" w:cs="Arial"/>
          <w:sz w:val="20"/>
          <w:szCs w:val="20"/>
          <w:lang w:val="en-US"/>
        </w:rPr>
        <w:t>Kilongo</w:t>
      </w:r>
      <w:proofErr w:type="spellEnd"/>
      <w:r w:rsidRPr="002D4502">
        <w:rPr>
          <w:rFonts w:ascii="Arial" w:hAnsi="Arial" w:cs="Arial"/>
          <w:sz w:val="20"/>
          <w:szCs w:val="20"/>
          <w:lang w:val="en-US"/>
        </w:rPr>
        <w:t xml:space="preserve"> Forest Reserve with a community-based forest management (CBFM) regime. Table 3 shows the reasons for the improved condition of the </w:t>
      </w:r>
      <w:proofErr w:type="spellStart"/>
      <w:r w:rsidRPr="002D4502">
        <w:rPr>
          <w:rFonts w:ascii="Arial" w:hAnsi="Arial" w:cs="Arial"/>
          <w:sz w:val="20"/>
          <w:szCs w:val="20"/>
          <w:lang w:val="en-US"/>
        </w:rPr>
        <w:t>Kilongo</w:t>
      </w:r>
      <w:proofErr w:type="spellEnd"/>
      <w:r w:rsidRPr="002D4502">
        <w:rPr>
          <w:rFonts w:ascii="Arial" w:hAnsi="Arial" w:cs="Arial"/>
          <w:sz w:val="20"/>
          <w:szCs w:val="20"/>
          <w:lang w:val="en-US"/>
        </w:rPr>
        <w:t xml:space="preserve"> Forest Reserve. About 53.3% of the respondents perceived that the presence and enforcement of bylaws improved the condition of the forest reserve. They said the presence of the forest patrol team, made up of two adults who lived adjacent to the forest, helped to safeguard the forest.</w:t>
      </w:r>
      <w:r w:rsidR="00D85992" w:rsidRPr="002D4502">
        <w:rPr>
          <w:rFonts w:ascii="Arial" w:hAnsi="Arial" w:cs="Arial"/>
          <w:sz w:val="20"/>
          <w:szCs w:val="20"/>
        </w:rPr>
        <w:t xml:space="preserve"> </w:t>
      </w:r>
      <w:r w:rsidR="00D85992" w:rsidRPr="002D4502">
        <w:rPr>
          <w:rFonts w:ascii="Arial" w:hAnsi="Arial" w:cs="Arial"/>
          <w:sz w:val="20"/>
          <w:szCs w:val="20"/>
          <w:lang w:val="en-US"/>
        </w:rPr>
        <w:t xml:space="preserve">The patrol team members performed this duty and received a small amount of honey during the harvest season as payment. </w:t>
      </w:r>
      <w:r w:rsidRPr="002D4502">
        <w:rPr>
          <w:rFonts w:ascii="Arial" w:hAnsi="Arial" w:cs="Arial"/>
          <w:sz w:val="20"/>
          <w:szCs w:val="20"/>
          <w:lang w:val="en-US"/>
        </w:rPr>
        <w:t>Furthermore, Table 3's results indicate that villagers' involvement in forest management issues gave them a sense of ownership over the forest reserve (26.7%).</w:t>
      </w:r>
      <w:r w:rsidR="000C3E17" w:rsidRPr="002D4502">
        <w:rPr>
          <w:rFonts w:ascii="Arial" w:hAnsi="Arial" w:cs="Arial"/>
          <w:sz w:val="20"/>
          <w:szCs w:val="20"/>
          <w:lang w:val="en-US"/>
        </w:rPr>
        <w:t xml:space="preserve"> </w:t>
      </w:r>
      <w:r w:rsidR="00BD25E6" w:rsidRPr="002D4502">
        <w:rPr>
          <w:rFonts w:ascii="Arial" w:hAnsi="Arial" w:cs="Arial"/>
          <w:sz w:val="20"/>
          <w:szCs w:val="20"/>
          <w:lang w:val="en-US"/>
        </w:rPr>
        <w:t xml:space="preserve">For example, it was established that the majority of people in the adjacent sub-village volunteered to save a large portion of the forest from fire, </w:t>
      </w:r>
      <w:r w:rsidR="002B238A" w:rsidRPr="002D4502">
        <w:rPr>
          <w:rFonts w:ascii="Arial" w:hAnsi="Arial" w:cs="Arial"/>
          <w:sz w:val="20"/>
          <w:szCs w:val="20"/>
          <w:lang w:val="en-US"/>
        </w:rPr>
        <w:t xml:space="preserve">by setting </w:t>
      </w:r>
      <w:r w:rsidR="00B90C80" w:rsidRPr="002D4502">
        <w:rPr>
          <w:rFonts w:ascii="Arial" w:hAnsi="Arial" w:cs="Arial"/>
          <w:sz w:val="20"/>
          <w:szCs w:val="20"/>
          <w:lang w:val="en-US"/>
        </w:rPr>
        <w:t xml:space="preserve">it </w:t>
      </w:r>
      <w:r w:rsidR="002B238A" w:rsidRPr="002D4502">
        <w:rPr>
          <w:rFonts w:ascii="Arial" w:hAnsi="Arial" w:cs="Arial"/>
          <w:sz w:val="20"/>
          <w:szCs w:val="20"/>
          <w:lang w:val="en-US"/>
        </w:rPr>
        <w:t xml:space="preserve">off, </w:t>
      </w:r>
      <w:r w:rsidR="00BD25E6" w:rsidRPr="002D4502">
        <w:rPr>
          <w:rFonts w:ascii="Arial" w:hAnsi="Arial" w:cs="Arial"/>
          <w:sz w:val="20"/>
          <w:szCs w:val="20"/>
          <w:lang w:val="en-US"/>
        </w:rPr>
        <w:t xml:space="preserve">in 2023. </w:t>
      </w:r>
    </w:p>
    <w:p w14:paraId="4A5499DD" w14:textId="77777777" w:rsidR="000373BC" w:rsidRPr="002D4502" w:rsidRDefault="000373BC" w:rsidP="00BA086A">
      <w:pPr>
        <w:autoSpaceDE w:val="0"/>
        <w:autoSpaceDN w:val="0"/>
        <w:adjustRightInd w:val="0"/>
        <w:spacing w:after="0" w:line="240" w:lineRule="auto"/>
        <w:jc w:val="both"/>
        <w:rPr>
          <w:rFonts w:ascii="Arial" w:hAnsi="Arial" w:cs="Arial"/>
          <w:sz w:val="20"/>
          <w:szCs w:val="20"/>
          <w:lang w:val="en-US"/>
        </w:rPr>
      </w:pPr>
    </w:p>
    <w:p w14:paraId="38DF6105" w14:textId="58F237B2" w:rsidR="00F75FC1" w:rsidRPr="002D4502" w:rsidRDefault="00AD3710" w:rsidP="00BA086A">
      <w:pPr>
        <w:autoSpaceDE w:val="0"/>
        <w:autoSpaceDN w:val="0"/>
        <w:adjustRightInd w:val="0"/>
        <w:spacing w:after="0" w:line="240" w:lineRule="auto"/>
        <w:jc w:val="both"/>
        <w:rPr>
          <w:rFonts w:ascii="Arial" w:hAnsi="Arial" w:cs="Arial"/>
          <w:sz w:val="20"/>
          <w:szCs w:val="20"/>
          <w:lang w:val="en-US"/>
        </w:rPr>
      </w:pPr>
      <w:r w:rsidRPr="002D4502">
        <w:rPr>
          <w:rFonts w:ascii="Arial" w:hAnsi="Arial" w:cs="Arial"/>
          <w:sz w:val="20"/>
          <w:szCs w:val="20"/>
          <w:lang w:val="en-US"/>
        </w:rPr>
        <w:t>While 20%</w:t>
      </w:r>
      <w:r w:rsidR="00F75FC1" w:rsidRPr="002D4502">
        <w:rPr>
          <w:rFonts w:ascii="Arial" w:hAnsi="Arial" w:cs="Arial"/>
          <w:sz w:val="20"/>
          <w:szCs w:val="20"/>
          <w:lang w:val="en-US"/>
        </w:rPr>
        <w:t xml:space="preserve"> of the participants expressed that the benefits of conservation drove them to engage in CBFM activities</w:t>
      </w:r>
      <w:r w:rsidR="00585095" w:rsidRPr="002D4502">
        <w:rPr>
          <w:rFonts w:ascii="Arial" w:hAnsi="Arial" w:cs="Arial"/>
          <w:sz w:val="20"/>
          <w:szCs w:val="20"/>
          <w:lang w:val="en-US"/>
        </w:rPr>
        <w:t xml:space="preserve"> (Table 3)</w:t>
      </w:r>
      <w:r w:rsidR="00F75FC1" w:rsidRPr="002D4502">
        <w:rPr>
          <w:rFonts w:ascii="Arial" w:hAnsi="Arial" w:cs="Arial"/>
          <w:sz w:val="20"/>
          <w:szCs w:val="20"/>
          <w:lang w:val="en-US"/>
        </w:rPr>
        <w:t>. Non-timber products such as honey, mushrooms, and spring water were among the benefits mentioned.</w:t>
      </w:r>
      <w:r w:rsidR="00B74CAC" w:rsidRPr="002D4502">
        <w:rPr>
          <w:rFonts w:ascii="Arial" w:hAnsi="Arial" w:cs="Arial"/>
          <w:sz w:val="20"/>
          <w:szCs w:val="20"/>
          <w:lang w:val="en-US"/>
        </w:rPr>
        <w:t xml:space="preserve"> </w:t>
      </w:r>
      <w:r w:rsidR="00581093" w:rsidRPr="002D4502">
        <w:rPr>
          <w:rFonts w:ascii="Arial" w:hAnsi="Arial" w:cs="Arial"/>
          <w:sz w:val="20"/>
          <w:szCs w:val="20"/>
          <w:lang w:val="en-US"/>
        </w:rPr>
        <w:t xml:space="preserve">For instance, individuals were allowed to install their own beehives in the </w:t>
      </w:r>
      <w:proofErr w:type="spellStart"/>
      <w:r w:rsidR="00581093" w:rsidRPr="002D4502">
        <w:rPr>
          <w:rFonts w:ascii="Arial" w:hAnsi="Arial" w:cs="Arial"/>
          <w:sz w:val="20"/>
          <w:szCs w:val="20"/>
          <w:lang w:val="en-US"/>
        </w:rPr>
        <w:t>Kilongo</w:t>
      </w:r>
      <w:proofErr w:type="spellEnd"/>
      <w:r w:rsidR="00581093" w:rsidRPr="002D4502">
        <w:rPr>
          <w:rFonts w:ascii="Arial" w:hAnsi="Arial" w:cs="Arial"/>
          <w:sz w:val="20"/>
          <w:szCs w:val="20"/>
          <w:lang w:val="en-US"/>
        </w:rPr>
        <w:t xml:space="preserve"> Forest Reserve with the condition that, after harvest, they would contribute something to the village government. They cited the example of Mzee </w:t>
      </w:r>
      <w:proofErr w:type="spellStart"/>
      <w:r w:rsidR="00581093" w:rsidRPr="002D4502">
        <w:rPr>
          <w:rFonts w:ascii="Arial" w:hAnsi="Arial" w:cs="Arial"/>
          <w:sz w:val="20"/>
          <w:szCs w:val="20"/>
          <w:lang w:val="en-US"/>
        </w:rPr>
        <w:t>Msigala</w:t>
      </w:r>
      <w:proofErr w:type="spellEnd"/>
      <w:r w:rsidR="00581093" w:rsidRPr="002D4502">
        <w:rPr>
          <w:rFonts w:ascii="Arial" w:hAnsi="Arial" w:cs="Arial"/>
          <w:sz w:val="20"/>
          <w:szCs w:val="20"/>
          <w:lang w:val="en-US"/>
        </w:rPr>
        <w:t xml:space="preserve"> (pseudo name), an elderly conservationist and member of VE</w:t>
      </w:r>
      <w:r w:rsidR="005E083F" w:rsidRPr="002D4502">
        <w:rPr>
          <w:rFonts w:ascii="Arial" w:hAnsi="Arial" w:cs="Arial"/>
          <w:sz w:val="20"/>
          <w:szCs w:val="20"/>
          <w:lang w:val="en-US"/>
        </w:rPr>
        <w:t>M</w:t>
      </w:r>
      <w:r w:rsidR="00581093" w:rsidRPr="002D4502">
        <w:rPr>
          <w:rFonts w:ascii="Arial" w:hAnsi="Arial" w:cs="Arial"/>
          <w:sz w:val="20"/>
          <w:szCs w:val="20"/>
          <w:lang w:val="en-US"/>
        </w:rPr>
        <w:t>C, who had installed and owned the majority of the traditional beehives in the forest reserve</w:t>
      </w:r>
      <w:r w:rsidRPr="002D4502">
        <w:rPr>
          <w:rFonts w:ascii="Arial" w:hAnsi="Arial" w:cs="Arial"/>
          <w:sz w:val="20"/>
          <w:szCs w:val="20"/>
          <w:lang w:val="en-US"/>
        </w:rPr>
        <w:t xml:space="preserve"> and was earning a lot of money from the sales of honey.</w:t>
      </w:r>
      <w:r w:rsidR="000373BC" w:rsidRPr="002D4502">
        <w:rPr>
          <w:rFonts w:ascii="Arial" w:hAnsi="Arial" w:cs="Arial"/>
          <w:sz w:val="20"/>
          <w:szCs w:val="20"/>
        </w:rPr>
        <w:t xml:space="preserve"> Benefit-sharing has played a crucial role in empowering local communities residing near forests to participate in the management of natural resources and improve the outcomes of biodiversity conservation </w:t>
      </w:r>
      <w:r w:rsidR="00EE6C0B" w:rsidRPr="002D4502">
        <w:rPr>
          <w:rFonts w:ascii="Arial" w:hAnsi="Arial" w:cs="Arial"/>
          <w:sz w:val="20"/>
          <w:szCs w:val="20"/>
        </w:rPr>
        <w:t>[</w:t>
      </w:r>
      <w:bookmarkStart w:id="48" w:name="_Hlk170844104"/>
      <w:r w:rsidR="00992AB6" w:rsidRPr="002D4502">
        <w:rPr>
          <w:rFonts w:ascii="Arial" w:hAnsi="Arial" w:cs="Arial"/>
          <w:sz w:val="20"/>
          <w:szCs w:val="20"/>
        </w:rPr>
        <w:t>40</w:t>
      </w:r>
      <w:r w:rsidR="00433F2E">
        <w:rPr>
          <w:rFonts w:ascii="Arial" w:hAnsi="Arial" w:cs="Arial"/>
          <w:sz w:val="20"/>
          <w:szCs w:val="20"/>
        </w:rPr>
        <w:t xml:space="preserve">, </w:t>
      </w:r>
      <w:r w:rsidR="00EE6C0B" w:rsidRPr="002D4502">
        <w:rPr>
          <w:rFonts w:ascii="Arial" w:hAnsi="Arial" w:cs="Arial"/>
          <w:sz w:val="20"/>
          <w:szCs w:val="20"/>
        </w:rPr>
        <w:t>4</w:t>
      </w:r>
      <w:bookmarkEnd w:id="48"/>
      <w:r w:rsidR="00433F2E">
        <w:rPr>
          <w:rFonts w:ascii="Arial" w:hAnsi="Arial" w:cs="Arial"/>
          <w:sz w:val="20"/>
          <w:szCs w:val="20"/>
        </w:rPr>
        <w:t>1</w:t>
      </w:r>
      <w:r w:rsidR="00EE6C0B" w:rsidRPr="002D4502">
        <w:rPr>
          <w:rFonts w:ascii="Arial" w:hAnsi="Arial" w:cs="Arial"/>
          <w:sz w:val="20"/>
          <w:szCs w:val="20"/>
        </w:rPr>
        <w:t>]</w:t>
      </w:r>
      <w:r w:rsidR="000373BC" w:rsidRPr="002D4502">
        <w:rPr>
          <w:rFonts w:ascii="Arial" w:hAnsi="Arial" w:cs="Arial"/>
          <w:sz w:val="20"/>
          <w:szCs w:val="20"/>
        </w:rPr>
        <w:t>.</w:t>
      </w:r>
    </w:p>
    <w:p w14:paraId="0899ED2C" w14:textId="77777777" w:rsidR="009D3A58" w:rsidRPr="002D4502" w:rsidRDefault="009D3A58" w:rsidP="00BA086A">
      <w:pPr>
        <w:autoSpaceDE w:val="0"/>
        <w:autoSpaceDN w:val="0"/>
        <w:adjustRightInd w:val="0"/>
        <w:spacing w:after="0" w:line="240" w:lineRule="auto"/>
        <w:jc w:val="both"/>
        <w:rPr>
          <w:rFonts w:ascii="Arial" w:hAnsi="Arial" w:cs="Arial"/>
          <w:sz w:val="20"/>
          <w:szCs w:val="20"/>
          <w:lang w:val="en-US"/>
        </w:rPr>
      </w:pPr>
    </w:p>
    <w:p w14:paraId="26EA1E97" w14:textId="5C636A0B" w:rsidR="00661EB4" w:rsidRPr="002D4502" w:rsidRDefault="00661EB4" w:rsidP="00BA086A">
      <w:pPr>
        <w:pStyle w:val="Caption"/>
        <w:keepNext/>
        <w:jc w:val="center"/>
        <w:rPr>
          <w:rFonts w:ascii="Arial" w:hAnsi="Arial" w:cs="Arial"/>
          <w:b/>
          <w:bCs/>
          <w:i w:val="0"/>
          <w:iCs w:val="0"/>
          <w:color w:val="auto"/>
          <w:sz w:val="20"/>
          <w:szCs w:val="20"/>
        </w:rPr>
      </w:pPr>
      <w:r w:rsidRPr="002D4502">
        <w:rPr>
          <w:rFonts w:ascii="Arial" w:hAnsi="Arial" w:cs="Arial"/>
          <w:b/>
          <w:bCs/>
          <w:i w:val="0"/>
          <w:iCs w:val="0"/>
          <w:color w:val="auto"/>
          <w:sz w:val="20"/>
          <w:szCs w:val="20"/>
        </w:rPr>
        <w:t xml:space="preserve">Table </w:t>
      </w:r>
      <w:r w:rsidRPr="002D4502">
        <w:rPr>
          <w:rFonts w:ascii="Arial" w:hAnsi="Arial" w:cs="Arial"/>
          <w:b/>
          <w:bCs/>
          <w:i w:val="0"/>
          <w:iCs w:val="0"/>
          <w:color w:val="auto"/>
          <w:sz w:val="20"/>
          <w:szCs w:val="20"/>
        </w:rPr>
        <w:fldChar w:fldCharType="begin"/>
      </w:r>
      <w:r w:rsidRPr="002D4502">
        <w:rPr>
          <w:rFonts w:ascii="Arial" w:hAnsi="Arial" w:cs="Arial"/>
          <w:b/>
          <w:bCs/>
          <w:i w:val="0"/>
          <w:iCs w:val="0"/>
          <w:color w:val="auto"/>
          <w:sz w:val="20"/>
          <w:szCs w:val="20"/>
        </w:rPr>
        <w:instrText xml:space="preserve"> SEQ Table \* ARABIC </w:instrText>
      </w:r>
      <w:r w:rsidRPr="002D4502">
        <w:rPr>
          <w:rFonts w:ascii="Arial" w:hAnsi="Arial" w:cs="Arial"/>
          <w:b/>
          <w:bCs/>
          <w:i w:val="0"/>
          <w:iCs w:val="0"/>
          <w:color w:val="auto"/>
          <w:sz w:val="20"/>
          <w:szCs w:val="20"/>
        </w:rPr>
        <w:fldChar w:fldCharType="separate"/>
      </w:r>
      <w:r w:rsidRPr="002D4502">
        <w:rPr>
          <w:rFonts w:ascii="Arial" w:hAnsi="Arial" w:cs="Arial"/>
          <w:b/>
          <w:bCs/>
          <w:i w:val="0"/>
          <w:iCs w:val="0"/>
          <w:noProof/>
          <w:color w:val="auto"/>
          <w:sz w:val="20"/>
          <w:szCs w:val="20"/>
        </w:rPr>
        <w:t>3</w:t>
      </w:r>
      <w:r w:rsidRPr="002D4502">
        <w:rPr>
          <w:rFonts w:ascii="Arial" w:hAnsi="Arial" w:cs="Arial"/>
          <w:b/>
          <w:bCs/>
          <w:i w:val="0"/>
          <w:iCs w:val="0"/>
          <w:color w:val="auto"/>
          <w:sz w:val="20"/>
          <w:szCs w:val="20"/>
        </w:rPr>
        <w:fldChar w:fldCharType="end"/>
      </w:r>
      <w:r w:rsidRPr="002D4502">
        <w:rPr>
          <w:rFonts w:ascii="Arial" w:hAnsi="Arial" w:cs="Arial"/>
          <w:b/>
          <w:bCs/>
          <w:i w:val="0"/>
          <w:iCs w:val="0"/>
          <w:color w:val="auto"/>
          <w:sz w:val="20"/>
          <w:szCs w:val="20"/>
        </w:rPr>
        <w:t xml:space="preserve">: Reasons for the improved condition of the </w:t>
      </w:r>
      <w:proofErr w:type="spellStart"/>
      <w:r w:rsidRPr="002D4502">
        <w:rPr>
          <w:rFonts w:ascii="Arial" w:hAnsi="Arial" w:cs="Arial"/>
          <w:b/>
          <w:bCs/>
          <w:i w:val="0"/>
          <w:iCs w:val="0"/>
          <w:color w:val="auto"/>
          <w:sz w:val="20"/>
          <w:szCs w:val="20"/>
        </w:rPr>
        <w:t>Kilongo</w:t>
      </w:r>
      <w:proofErr w:type="spellEnd"/>
      <w:r w:rsidRPr="002D4502">
        <w:rPr>
          <w:rFonts w:ascii="Arial" w:hAnsi="Arial" w:cs="Arial"/>
          <w:b/>
          <w:bCs/>
          <w:i w:val="0"/>
          <w:iCs w:val="0"/>
          <w:color w:val="auto"/>
          <w:sz w:val="20"/>
          <w:szCs w:val="20"/>
        </w:rPr>
        <w:t xml:space="preserve"> Forest Reserve</w:t>
      </w:r>
    </w:p>
    <w:tbl>
      <w:tblPr>
        <w:tblW w:w="893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37"/>
        <w:gridCol w:w="1418"/>
        <w:gridCol w:w="1276"/>
      </w:tblGrid>
      <w:tr w:rsidR="00661EB4" w:rsidRPr="002D4502" w14:paraId="59642648" w14:textId="77777777" w:rsidTr="00585095">
        <w:trPr>
          <w:cantSplit/>
        </w:trPr>
        <w:tc>
          <w:tcPr>
            <w:tcW w:w="6237" w:type="dxa"/>
            <w:tcBorders>
              <w:top w:val="single" w:sz="16" w:space="0" w:color="000000"/>
              <w:left w:val="single" w:sz="16" w:space="0" w:color="000000"/>
              <w:bottom w:val="single" w:sz="16" w:space="0" w:color="000000"/>
              <w:right w:val="nil"/>
            </w:tcBorders>
            <w:shd w:val="clear" w:color="auto" w:fill="FFFFFF"/>
            <w:vAlign w:val="bottom"/>
          </w:tcPr>
          <w:p w14:paraId="01223267" w14:textId="77777777" w:rsidR="00661EB4" w:rsidRPr="002D4502" w:rsidRDefault="00661EB4" w:rsidP="00BA086A">
            <w:pPr>
              <w:autoSpaceDE w:val="0"/>
              <w:autoSpaceDN w:val="0"/>
              <w:adjustRightInd w:val="0"/>
              <w:spacing w:after="0" w:line="240" w:lineRule="auto"/>
              <w:jc w:val="both"/>
              <w:rPr>
                <w:rFonts w:ascii="Arial" w:hAnsi="Arial" w:cs="Arial"/>
                <w:sz w:val="20"/>
                <w:szCs w:val="20"/>
                <w:lang/>
              </w:rPr>
            </w:pPr>
            <w:r w:rsidRPr="002D4502">
              <w:rPr>
                <w:rFonts w:ascii="Arial" w:hAnsi="Arial" w:cs="Arial"/>
                <w:sz w:val="20"/>
                <w:szCs w:val="20"/>
              </w:rPr>
              <w:t>Reasons for improvement of forest condition</w:t>
            </w:r>
          </w:p>
        </w:tc>
        <w:tc>
          <w:tcPr>
            <w:tcW w:w="1418" w:type="dxa"/>
            <w:tcBorders>
              <w:top w:val="single" w:sz="16" w:space="0" w:color="000000"/>
              <w:left w:val="single" w:sz="16" w:space="0" w:color="000000"/>
              <w:bottom w:val="single" w:sz="16" w:space="0" w:color="000000"/>
            </w:tcBorders>
            <w:shd w:val="clear" w:color="auto" w:fill="FFFFFF"/>
            <w:vAlign w:val="bottom"/>
          </w:tcPr>
          <w:p w14:paraId="17F44807" w14:textId="77777777" w:rsidR="00661EB4" w:rsidRPr="002D4502" w:rsidRDefault="00661EB4"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Frequency</w:t>
            </w:r>
          </w:p>
        </w:tc>
        <w:tc>
          <w:tcPr>
            <w:tcW w:w="1276" w:type="dxa"/>
            <w:tcBorders>
              <w:top w:val="single" w:sz="16" w:space="0" w:color="000000"/>
              <w:bottom w:val="single" w:sz="16" w:space="0" w:color="000000"/>
            </w:tcBorders>
            <w:shd w:val="clear" w:color="auto" w:fill="FFFFFF"/>
            <w:vAlign w:val="bottom"/>
          </w:tcPr>
          <w:p w14:paraId="117BE746" w14:textId="77777777" w:rsidR="00661EB4" w:rsidRPr="002D4502" w:rsidRDefault="00661EB4"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Percent</w:t>
            </w:r>
          </w:p>
        </w:tc>
      </w:tr>
      <w:tr w:rsidR="00661EB4" w:rsidRPr="002D4502" w14:paraId="607128BB" w14:textId="77777777" w:rsidTr="00585095">
        <w:trPr>
          <w:cantSplit/>
        </w:trPr>
        <w:tc>
          <w:tcPr>
            <w:tcW w:w="6237" w:type="dxa"/>
            <w:tcBorders>
              <w:top w:val="single" w:sz="16" w:space="0" w:color="000000"/>
              <w:left w:val="single" w:sz="16" w:space="0" w:color="000000"/>
              <w:bottom w:val="single" w:sz="4" w:space="0" w:color="auto"/>
              <w:right w:val="single" w:sz="16" w:space="0" w:color="000000"/>
            </w:tcBorders>
            <w:shd w:val="clear" w:color="auto" w:fill="FFFFFF"/>
          </w:tcPr>
          <w:p w14:paraId="721D830A" w14:textId="32E0048B" w:rsidR="00661EB4" w:rsidRPr="002D4502" w:rsidRDefault="00E9445B" w:rsidP="00BA086A">
            <w:pPr>
              <w:autoSpaceDE w:val="0"/>
              <w:autoSpaceDN w:val="0"/>
              <w:adjustRightInd w:val="0"/>
              <w:spacing w:after="0" w:line="240" w:lineRule="auto"/>
              <w:ind w:left="60" w:right="60"/>
              <w:jc w:val="both"/>
              <w:rPr>
                <w:rFonts w:ascii="Arial" w:hAnsi="Arial" w:cs="Arial"/>
                <w:color w:val="000000"/>
                <w:sz w:val="20"/>
                <w:szCs w:val="20"/>
                <w:lang w:val="en-US"/>
              </w:rPr>
            </w:pPr>
            <w:bookmarkStart w:id="49" w:name="_Hlk170293606"/>
            <w:bookmarkStart w:id="50" w:name="_Hlk170650721"/>
            <w:r w:rsidRPr="002D4502">
              <w:rPr>
                <w:rFonts w:ascii="Arial" w:hAnsi="Arial" w:cs="Arial"/>
                <w:color w:val="000000"/>
                <w:sz w:val="20"/>
                <w:szCs w:val="20"/>
                <w:lang w:val="en-US"/>
              </w:rPr>
              <w:t>The presence and enforcement of bylaws improved the condition of the forest reserve.</w:t>
            </w:r>
            <w:bookmarkEnd w:id="49"/>
          </w:p>
        </w:tc>
        <w:tc>
          <w:tcPr>
            <w:tcW w:w="1418" w:type="dxa"/>
            <w:tcBorders>
              <w:top w:val="single" w:sz="16" w:space="0" w:color="000000"/>
              <w:left w:val="single" w:sz="16" w:space="0" w:color="000000"/>
              <w:bottom w:val="single" w:sz="4" w:space="0" w:color="auto"/>
            </w:tcBorders>
            <w:shd w:val="clear" w:color="auto" w:fill="FFFFFF"/>
            <w:vAlign w:val="center"/>
          </w:tcPr>
          <w:p w14:paraId="713907EC" w14:textId="77777777" w:rsidR="00661EB4" w:rsidRPr="002D4502" w:rsidRDefault="00661EB4"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48</w:t>
            </w:r>
          </w:p>
        </w:tc>
        <w:tc>
          <w:tcPr>
            <w:tcW w:w="1276" w:type="dxa"/>
            <w:tcBorders>
              <w:top w:val="single" w:sz="16" w:space="0" w:color="000000"/>
              <w:bottom w:val="single" w:sz="4" w:space="0" w:color="auto"/>
            </w:tcBorders>
            <w:shd w:val="clear" w:color="auto" w:fill="FFFFFF"/>
            <w:vAlign w:val="center"/>
          </w:tcPr>
          <w:p w14:paraId="33F1DB27" w14:textId="77777777" w:rsidR="00661EB4" w:rsidRPr="002D4502" w:rsidRDefault="00661EB4"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53.3</w:t>
            </w:r>
          </w:p>
        </w:tc>
      </w:tr>
      <w:bookmarkEnd w:id="50"/>
      <w:tr w:rsidR="00661EB4" w:rsidRPr="002D4502" w14:paraId="5BA47BA5" w14:textId="77777777" w:rsidTr="00585095">
        <w:trPr>
          <w:cantSplit/>
        </w:trPr>
        <w:tc>
          <w:tcPr>
            <w:tcW w:w="6237" w:type="dxa"/>
            <w:tcBorders>
              <w:top w:val="single" w:sz="4" w:space="0" w:color="auto"/>
              <w:left w:val="single" w:sz="16" w:space="0" w:color="000000"/>
              <w:bottom w:val="single" w:sz="4" w:space="0" w:color="auto"/>
              <w:right w:val="single" w:sz="16" w:space="0" w:color="000000"/>
            </w:tcBorders>
            <w:shd w:val="clear" w:color="auto" w:fill="FFFFFF"/>
          </w:tcPr>
          <w:p w14:paraId="7034654C" w14:textId="77777777" w:rsidR="00661EB4" w:rsidRPr="002D4502" w:rsidRDefault="00661EB4" w:rsidP="00BA086A">
            <w:pPr>
              <w:autoSpaceDE w:val="0"/>
              <w:autoSpaceDN w:val="0"/>
              <w:adjustRightInd w:val="0"/>
              <w:spacing w:after="0" w:line="240" w:lineRule="auto"/>
              <w:ind w:right="60"/>
              <w:jc w:val="both"/>
              <w:rPr>
                <w:rFonts w:ascii="Arial" w:hAnsi="Arial" w:cs="Arial"/>
                <w:color w:val="000000"/>
                <w:sz w:val="20"/>
                <w:szCs w:val="20"/>
                <w:lang w:val="en-US"/>
              </w:rPr>
            </w:pPr>
            <w:r w:rsidRPr="002D4502">
              <w:rPr>
                <w:rFonts w:ascii="Arial" w:hAnsi="Arial" w:cs="Arial"/>
                <w:color w:val="000000"/>
                <w:sz w:val="20"/>
                <w:szCs w:val="20"/>
                <w:lang w:val="en-US"/>
              </w:rPr>
              <w:t xml:space="preserve"> </w:t>
            </w:r>
            <w:bookmarkStart w:id="51" w:name="_Hlk170206116"/>
            <w:r w:rsidRPr="002D4502">
              <w:rPr>
                <w:rFonts w:ascii="Arial" w:hAnsi="Arial" w:cs="Arial"/>
                <w:sz w:val="20"/>
                <w:szCs w:val="20"/>
              </w:rPr>
              <w:t>Their involvement gave them a sense of ownership over the forest reserve.</w:t>
            </w:r>
            <w:bookmarkEnd w:id="51"/>
          </w:p>
        </w:tc>
        <w:tc>
          <w:tcPr>
            <w:tcW w:w="1418" w:type="dxa"/>
            <w:tcBorders>
              <w:top w:val="single" w:sz="4" w:space="0" w:color="auto"/>
              <w:left w:val="single" w:sz="16" w:space="0" w:color="000000"/>
              <w:bottom w:val="single" w:sz="4" w:space="0" w:color="auto"/>
            </w:tcBorders>
            <w:shd w:val="clear" w:color="auto" w:fill="FFFFFF"/>
            <w:vAlign w:val="center"/>
          </w:tcPr>
          <w:p w14:paraId="251F0CDF" w14:textId="77777777" w:rsidR="00661EB4" w:rsidRPr="002D4502" w:rsidRDefault="00661EB4"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24</w:t>
            </w:r>
          </w:p>
        </w:tc>
        <w:tc>
          <w:tcPr>
            <w:tcW w:w="1276" w:type="dxa"/>
            <w:tcBorders>
              <w:top w:val="single" w:sz="4" w:space="0" w:color="auto"/>
              <w:bottom w:val="single" w:sz="4" w:space="0" w:color="auto"/>
            </w:tcBorders>
            <w:shd w:val="clear" w:color="auto" w:fill="FFFFFF"/>
            <w:vAlign w:val="center"/>
          </w:tcPr>
          <w:p w14:paraId="333D8F05" w14:textId="77777777" w:rsidR="00661EB4" w:rsidRPr="002D4502" w:rsidRDefault="00661EB4" w:rsidP="00BA086A">
            <w:pPr>
              <w:autoSpaceDE w:val="0"/>
              <w:autoSpaceDN w:val="0"/>
              <w:adjustRightInd w:val="0"/>
              <w:spacing w:after="0" w:line="240" w:lineRule="auto"/>
              <w:ind w:left="60" w:right="60"/>
              <w:jc w:val="center"/>
              <w:rPr>
                <w:rFonts w:ascii="Arial" w:hAnsi="Arial" w:cs="Arial"/>
                <w:color w:val="000000"/>
                <w:sz w:val="20"/>
                <w:szCs w:val="20"/>
                <w:lang/>
              </w:rPr>
            </w:pPr>
            <w:bookmarkStart w:id="52" w:name="_Hlk170206315"/>
            <w:r w:rsidRPr="002D4502">
              <w:rPr>
                <w:rFonts w:ascii="Arial" w:hAnsi="Arial" w:cs="Arial"/>
                <w:color w:val="000000"/>
                <w:sz w:val="20"/>
                <w:szCs w:val="20"/>
                <w:lang/>
              </w:rPr>
              <w:t>26.7</w:t>
            </w:r>
            <w:bookmarkEnd w:id="52"/>
          </w:p>
        </w:tc>
      </w:tr>
      <w:tr w:rsidR="00661EB4" w:rsidRPr="002D4502" w14:paraId="6EA3C317" w14:textId="77777777" w:rsidTr="00585095">
        <w:trPr>
          <w:cantSplit/>
          <w:trHeight w:val="70"/>
        </w:trPr>
        <w:tc>
          <w:tcPr>
            <w:tcW w:w="6237" w:type="dxa"/>
            <w:tcBorders>
              <w:top w:val="single" w:sz="4" w:space="0" w:color="auto"/>
              <w:left w:val="single" w:sz="16" w:space="0" w:color="000000"/>
              <w:bottom w:val="single" w:sz="4" w:space="0" w:color="auto"/>
              <w:right w:val="single" w:sz="16" w:space="0" w:color="000000"/>
            </w:tcBorders>
            <w:shd w:val="clear" w:color="auto" w:fill="FFFFFF"/>
          </w:tcPr>
          <w:p w14:paraId="5028580F" w14:textId="5BDCA400" w:rsidR="00661EB4" w:rsidRPr="002D4502" w:rsidRDefault="00661EB4" w:rsidP="00BA086A">
            <w:pPr>
              <w:autoSpaceDE w:val="0"/>
              <w:autoSpaceDN w:val="0"/>
              <w:adjustRightInd w:val="0"/>
              <w:spacing w:after="0" w:line="240" w:lineRule="auto"/>
              <w:ind w:left="60" w:right="60"/>
              <w:jc w:val="both"/>
              <w:rPr>
                <w:rFonts w:ascii="Arial" w:hAnsi="Arial" w:cs="Arial"/>
                <w:color w:val="000000"/>
                <w:sz w:val="20"/>
                <w:szCs w:val="20"/>
                <w:lang w:val="en-US"/>
              </w:rPr>
            </w:pPr>
            <w:bookmarkStart w:id="53" w:name="_Hlk170206359"/>
            <w:r w:rsidRPr="002D4502">
              <w:rPr>
                <w:rFonts w:ascii="Arial" w:hAnsi="Arial" w:cs="Arial"/>
                <w:color w:val="000000"/>
                <w:sz w:val="20"/>
                <w:szCs w:val="20"/>
                <w:lang w:val="en-US"/>
              </w:rPr>
              <w:lastRenderedPageBreak/>
              <w:t xml:space="preserve">Villagers see </w:t>
            </w:r>
            <w:bookmarkStart w:id="54" w:name="_Hlk170208142"/>
            <w:r w:rsidRPr="002D4502">
              <w:rPr>
                <w:rFonts w:ascii="Arial" w:hAnsi="Arial" w:cs="Arial"/>
                <w:color w:val="000000"/>
                <w:sz w:val="20"/>
                <w:szCs w:val="20"/>
                <w:lang w:val="en-US"/>
              </w:rPr>
              <w:t>conservation as beneficial to them, which motivates them to participate in CBFM</w:t>
            </w:r>
            <w:r w:rsidR="00015373" w:rsidRPr="002D4502">
              <w:rPr>
                <w:rFonts w:ascii="Arial" w:hAnsi="Arial" w:cs="Arial"/>
                <w:color w:val="000000"/>
                <w:sz w:val="20"/>
                <w:szCs w:val="20"/>
                <w:lang w:val="en-US"/>
              </w:rPr>
              <w:t xml:space="preserve"> activities</w:t>
            </w:r>
            <w:bookmarkEnd w:id="54"/>
            <w:r w:rsidRPr="002D4502">
              <w:rPr>
                <w:rFonts w:ascii="Arial" w:hAnsi="Arial" w:cs="Arial"/>
                <w:color w:val="000000"/>
                <w:sz w:val="20"/>
                <w:szCs w:val="20"/>
                <w:lang w:val="en-US"/>
              </w:rPr>
              <w:t>.</w:t>
            </w:r>
            <w:bookmarkEnd w:id="53"/>
          </w:p>
        </w:tc>
        <w:tc>
          <w:tcPr>
            <w:tcW w:w="1418" w:type="dxa"/>
            <w:tcBorders>
              <w:top w:val="single" w:sz="4" w:space="0" w:color="auto"/>
              <w:left w:val="single" w:sz="16" w:space="0" w:color="000000"/>
              <w:bottom w:val="single" w:sz="4" w:space="0" w:color="auto"/>
            </w:tcBorders>
            <w:shd w:val="clear" w:color="auto" w:fill="FFFFFF"/>
            <w:vAlign w:val="center"/>
          </w:tcPr>
          <w:p w14:paraId="36C71F9A" w14:textId="203DB09C" w:rsidR="00661EB4" w:rsidRPr="002D4502" w:rsidRDefault="00F4037A" w:rsidP="00BA086A">
            <w:pPr>
              <w:autoSpaceDE w:val="0"/>
              <w:autoSpaceDN w:val="0"/>
              <w:adjustRightInd w:val="0"/>
              <w:spacing w:after="0" w:line="240" w:lineRule="auto"/>
              <w:ind w:left="60" w:right="60"/>
              <w:jc w:val="center"/>
              <w:rPr>
                <w:rFonts w:ascii="Arial" w:hAnsi="Arial" w:cs="Arial"/>
                <w:color w:val="000000"/>
                <w:sz w:val="20"/>
                <w:szCs w:val="20"/>
                <w:lang w:val="en-US"/>
              </w:rPr>
            </w:pPr>
            <w:r w:rsidRPr="002D4502">
              <w:rPr>
                <w:rFonts w:ascii="Arial" w:hAnsi="Arial" w:cs="Arial"/>
                <w:color w:val="000000"/>
                <w:sz w:val="20"/>
                <w:szCs w:val="20"/>
                <w:lang w:val="en-US"/>
              </w:rPr>
              <w:t>18</w:t>
            </w:r>
          </w:p>
        </w:tc>
        <w:tc>
          <w:tcPr>
            <w:tcW w:w="1276" w:type="dxa"/>
            <w:tcBorders>
              <w:top w:val="single" w:sz="4" w:space="0" w:color="auto"/>
              <w:bottom w:val="single" w:sz="4" w:space="0" w:color="auto"/>
            </w:tcBorders>
            <w:shd w:val="clear" w:color="auto" w:fill="FFFFFF"/>
            <w:vAlign w:val="center"/>
          </w:tcPr>
          <w:p w14:paraId="10141CDB" w14:textId="019B4868" w:rsidR="00661EB4" w:rsidRPr="002D4502" w:rsidRDefault="00F4037A" w:rsidP="00BA086A">
            <w:pPr>
              <w:autoSpaceDE w:val="0"/>
              <w:autoSpaceDN w:val="0"/>
              <w:adjustRightInd w:val="0"/>
              <w:spacing w:after="0" w:line="240" w:lineRule="auto"/>
              <w:ind w:left="60" w:right="60"/>
              <w:jc w:val="center"/>
              <w:rPr>
                <w:rFonts w:ascii="Arial" w:hAnsi="Arial" w:cs="Arial"/>
                <w:color w:val="000000"/>
                <w:sz w:val="20"/>
                <w:szCs w:val="20"/>
                <w:lang/>
              </w:rPr>
            </w:pPr>
            <w:bookmarkStart w:id="55" w:name="_Hlk170206387"/>
            <w:r w:rsidRPr="002D4502">
              <w:rPr>
                <w:rFonts w:ascii="Arial" w:hAnsi="Arial" w:cs="Arial"/>
                <w:color w:val="000000"/>
                <w:sz w:val="20"/>
                <w:szCs w:val="20"/>
                <w:lang w:val="en-US"/>
              </w:rPr>
              <w:t>2</w:t>
            </w:r>
            <w:r w:rsidR="00661EB4" w:rsidRPr="002D4502">
              <w:rPr>
                <w:rFonts w:ascii="Arial" w:hAnsi="Arial" w:cs="Arial"/>
                <w:color w:val="000000"/>
                <w:sz w:val="20"/>
                <w:szCs w:val="20"/>
                <w:lang w:val="en-US"/>
              </w:rPr>
              <w:t>0</w:t>
            </w:r>
            <w:r w:rsidR="00661EB4" w:rsidRPr="002D4502">
              <w:rPr>
                <w:rFonts w:ascii="Arial" w:hAnsi="Arial" w:cs="Arial"/>
                <w:color w:val="000000"/>
                <w:sz w:val="20"/>
                <w:szCs w:val="20"/>
                <w:lang/>
              </w:rPr>
              <w:t>.0</w:t>
            </w:r>
            <w:bookmarkEnd w:id="55"/>
          </w:p>
        </w:tc>
      </w:tr>
      <w:tr w:rsidR="00661EB4" w:rsidRPr="002D4502" w14:paraId="79839FDC" w14:textId="77777777" w:rsidTr="00585095">
        <w:trPr>
          <w:cantSplit/>
        </w:trPr>
        <w:tc>
          <w:tcPr>
            <w:tcW w:w="6237" w:type="dxa"/>
            <w:tcBorders>
              <w:top w:val="single" w:sz="4" w:space="0" w:color="auto"/>
              <w:left w:val="single" w:sz="16" w:space="0" w:color="000000"/>
              <w:bottom w:val="single" w:sz="16" w:space="0" w:color="000000"/>
              <w:right w:val="single" w:sz="16" w:space="0" w:color="000000"/>
            </w:tcBorders>
            <w:shd w:val="clear" w:color="auto" w:fill="FFFFFF"/>
          </w:tcPr>
          <w:p w14:paraId="1B8038C7" w14:textId="77777777" w:rsidR="00661EB4" w:rsidRPr="002D4502" w:rsidRDefault="00661EB4" w:rsidP="00BA086A">
            <w:pPr>
              <w:autoSpaceDE w:val="0"/>
              <w:autoSpaceDN w:val="0"/>
              <w:adjustRightInd w:val="0"/>
              <w:spacing w:after="0" w:line="240" w:lineRule="auto"/>
              <w:ind w:left="60" w:right="60"/>
              <w:rPr>
                <w:rFonts w:ascii="Arial" w:hAnsi="Arial" w:cs="Arial"/>
                <w:color w:val="000000"/>
                <w:sz w:val="20"/>
                <w:szCs w:val="20"/>
                <w:lang/>
              </w:rPr>
            </w:pPr>
            <w:r w:rsidRPr="002D4502">
              <w:rPr>
                <w:rFonts w:ascii="Arial" w:hAnsi="Arial" w:cs="Arial"/>
                <w:color w:val="000000"/>
                <w:sz w:val="20"/>
                <w:szCs w:val="20"/>
                <w:lang/>
              </w:rPr>
              <w:t>Total</w:t>
            </w:r>
          </w:p>
        </w:tc>
        <w:tc>
          <w:tcPr>
            <w:tcW w:w="1418" w:type="dxa"/>
            <w:tcBorders>
              <w:top w:val="single" w:sz="4" w:space="0" w:color="auto"/>
              <w:left w:val="single" w:sz="16" w:space="0" w:color="000000"/>
              <w:bottom w:val="single" w:sz="16" w:space="0" w:color="000000"/>
            </w:tcBorders>
            <w:shd w:val="clear" w:color="auto" w:fill="FFFFFF"/>
            <w:vAlign w:val="center"/>
          </w:tcPr>
          <w:p w14:paraId="210EE1AB" w14:textId="77777777" w:rsidR="00661EB4" w:rsidRPr="002D4502" w:rsidRDefault="00661EB4"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90</w:t>
            </w:r>
          </w:p>
        </w:tc>
        <w:tc>
          <w:tcPr>
            <w:tcW w:w="1276" w:type="dxa"/>
            <w:tcBorders>
              <w:top w:val="single" w:sz="4" w:space="0" w:color="auto"/>
              <w:bottom w:val="single" w:sz="16" w:space="0" w:color="000000"/>
            </w:tcBorders>
            <w:shd w:val="clear" w:color="auto" w:fill="FFFFFF"/>
            <w:vAlign w:val="center"/>
          </w:tcPr>
          <w:p w14:paraId="52F41983" w14:textId="77777777" w:rsidR="00661EB4" w:rsidRPr="002D4502" w:rsidRDefault="00661EB4" w:rsidP="00BA086A">
            <w:pPr>
              <w:autoSpaceDE w:val="0"/>
              <w:autoSpaceDN w:val="0"/>
              <w:adjustRightInd w:val="0"/>
              <w:spacing w:after="0" w:line="240" w:lineRule="auto"/>
              <w:ind w:left="60" w:right="60"/>
              <w:jc w:val="center"/>
              <w:rPr>
                <w:rFonts w:ascii="Arial" w:hAnsi="Arial" w:cs="Arial"/>
                <w:color w:val="000000"/>
                <w:sz w:val="20"/>
                <w:szCs w:val="20"/>
                <w:lang/>
              </w:rPr>
            </w:pPr>
            <w:r w:rsidRPr="002D4502">
              <w:rPr>
                <w:rFonts w:ascii="Arial" w:hAnsi="Arial" w:cs="Arial"/>
                <w:color w:val="000000"/>
                <w:sz w:val="20"/>
                <w:szCs w:val="20"/>
                <w:lang/>
              </w:rPr>
              <w:t>100.0</w:t>
            </w:r>
          </w:p>
        </w:tc>
      </w:tr>
    </w:tbl>
    <w:p w14:paraId="02B58E70" w14:textId="77777777" w:rsidR="00972C5F" w:rsidRPr="002D4502" w:rsidRDefault="00972C5F" w:rsidP="00BA086A">
      <w:pPr>
        <w:autoSpaceDE w:val="0"/>
        <w:autoSpaceDN w:val="0"/>
        <w:adjustRightInd w:val="0"/>
        <w:spacing w:after="0" w:line="240" w:lineRule="auto"/>
        <w:jc w:val="both"/>
        <w:rPr>
          <w:rFonts w:ascii="Arial" w:hAnsi="Arial" w:cs="Arial"/>
          <w:sz w:val="20"/>
          <w:szCs w:val="20"/>
          <w:lang/>
        </w:rPr>
      </w:pPr>
    </w:p>
    <w:p w14:paraId="0C8D9227" w14:textId="756771BE" w:rsidR="00795D6F" w:rsidRPr="002D4502" w:rsidRDefault="00D402FB" w:rsidP="00BA086A">
      <w:pPr>
        <w:autoSpaceDE w:val="0"/>
        <w:autoSpaceDN w:val="0"/>
        <w:adjustRightInd w:val="0"/>
        <w:spacing w:after="0" w:line="240" w:lineRule="auto"/>
        <w:jc w:val="both"/>
        <w:rPr>
          <w:rFonts w:ascii="Arial" w:hAnsi="Arial" w:cs="Arial"/>
          <w:sz w:val="20"/>
          <w:szCs w:val="20"/>
          <w:lang w:val="en-US"/>
        </w:rPr>
      </w:pPr>
      <w:r w:rsidRPr="002D4502">
        <w:rPr>
          <w:rFonts w:ascii="Arial" w:hAnsi="Arial" w:cs="Arial"/>
          <w:sz w:val="20"/>
          <w:szCs w:val="20"/>
          <w:lang/>
        </w:rPr>
        <w:t xml:space="preserve">Correspondingly, interview and discussion accounts revealed that the response to conservation efforts was positive from the villagers. For example, over the </w:t>
      </w:r>
      <w:r w:rsidR="00D36F87" w:rsidRPr="002D4502">
        <w:rPr>
          <w:rFonts w:ascii="Arial" w:hAnsi="Arial" w:cs="Arial"/>
          <w:sz w:val="20"/>
          <w:szCs w:val="20"/>
          <w:lang w:val="en-US"/>
        </w:rPr>
        <w:t xml:space="preserve">past </w:t>
      </w:r>
      <w:r w:rsidRPr="002D4502">
        <w:rPr>
          <w:rFonts w:ascii="Arial" w:hAnsi="Arial" w:cs="Arial"/>
          <w:sz w:val="20"/>
          <w:szCs w:val="20"/>
          <w:lang/>
        </w:rPr>
        <w:t>20 years, there was only one</w:t>
      </w:r>
      <w:r w:rsidR="00D36F87" w:rsidRPr="002D4502">
        <w:rPr>
          <w:rFonts w:ascii="Arial" w:hAnsi="Arial" w:cs="Arial"/>
          <w:sz w:val="20"/>
          <w:szCs w:val="20"/>
          <w:lang w:val="en-US"/>
        </w:rPr>
        <w:t xml:space="preserve"> </w:t>
      </w:r>
      <w:r w:rsidRPr="002D4502">
        <w:rPr>
          <w:rFonts w:ascii="Arial" w:hAnsi="Arial" w:cs="Arial"/>
          <w:sz w:val="20"/>
          <w:szCs w:val="20"/>
          <w:lang/>
        </w:rPr>
        <w:t>incident</w:t>
      </w:r>
      <w:r w:rsidR="00D36F87" w:rsidRPr="002D4502">
        <w:rPr>
          <w:rFonts w:ascii="Arial" w:hAnsi="Arial" w:cs="Arial"/>
          <w:sz w:val="20"/>
          <w:szCs w:val="20"/>
          <w:lang w:val="en-US"/>
        </w:rPr>
        <w:t xml:space="preserve"> of fire</w:t>
      </w:r>
      <w:r w:rsidRPr="002D4502">
        <w:rPr>
          <w:rFonts w:ascii="Arial" w:hAnsi="Arial" w:cs="Arial"/>
          <w:sz w:val="20"/>
          <w:szCs w:val="20"/>
          <w:lang/>
        </w:rPr>
        <w:t xml:space="preserve">, which occurred in 2023. A madman who lived adjacent to the forest in the village is believed to have set the fire in the forest reserve. This implies that people were abiding by the rules and regulations governing the management of Kilongo Forest Reserve. Additionally, the presence of two major water springs in the forest reserve, which drained water downstream, benefited lowland irrigation and livestock in the villages of Masaulwa and Itambo, which shared the Mbukwa River valley. This in turn motivated the villagers to manage the Kilongo Forest Reserve. Furthermore, the conservation appeared to be beneficial to the villagers because </w:t>
      </w:r>
      <w:r w:rsidR="00792DC3" w:rsidRPr="002D4502">
        <w:rPr>
          <w:rFonts w:ascii="Arial" w:hAnsi="Arial" w:cs="Arial"/>
          <w:sz w:val="20"/>
          <w:szCs w:val="20"/>
          <w:lang w:val="en-US"/>
        </w:rPr>
        <w:t>sale</w:t>
      </w:r>
      <w:r w:rsidRPr="002D4502">
        <w:rPr>
          <w:rFonts w:ascii="Arial" w:hAnsi="Arial" w:cs="Arial"/>
          <w:sz w:val="20"/>
          <w:szCs w:val="20"/>
          <w:lang/>
        </w:rPr>
        <w:t xml:space="preserve">s from honey </w:t>
      </w:r>
      <w:r w:rsidR="00792DC3" w:rsidRPr="002D4502">
        <w:rPr>
          <w:rFonts w:ascii="Arial" w:hAnsi="Arial" w:cs="Arial"/>
          <w:sz w:val="20"/>
          <w:szCs w:val="20"/>
          <w:lang w:val="en-US"/>
        </w:rPr>
        <w:t xml:space="preserve">harvested from the forest reserve </w:t>
      </w:r>
      <w:r w:rsidRPr="002D4502">
        <w:rPr>
          <w:rFonts w:ascii="Arial" w:hAnsi="Arial" w:cs="Arial"/>
          <w:sz w:val="20"/>
          <w:szCs w:val="20"/>
          <w:lang/>
        </w:rPr>
        <w:t>helped renovate one of the classrooms in the village.</w:t>
      </w:r>
      <w:r w:rsidR="00792DC3" w:rsidRPr="002D4502">
        <w:rPr>
          <w:rFonts w:ascii="Arial" w:hAnsi="Arial" w:cs="Arial"/>
          <w:sz w:val="20"/>
          <w:szCs w:val="20"/>
          <w:lang w:val="en-US"/>
        </w:rPr>
        <w:t xml:space="preserve"> </w:t>
      </w:r>
      <w:r w:rsidRPr="002D4502">
        <w:rPr>
          <w:rFonts w:ascii="Arial" w:hAnsi="Arial" w:cs="Arial"/>
          <w:sz w:val="20"/>
          <w:szCs w:val="20"/>
          <w:lang/>
        </w:rPr>
        <w:t>The study established that the beekeeping project was among the CBFM projects operated by the village environmental management committee (VE</w:t>
      </w:r>
      <w:r w:rsidR="005E083F" w:rsidRPr="002D4502">
        <w:rPr>
          <w:rFonts w:ascii="Arial" w:hAnsi="Arial" w:cs="Arial"/>
          <w:sz w:val="20"/>
          <w:szCs w:val="20"/>
          <w:lang w:val="en-US"/>
        </w:rPr>
        <w:t>M</w:t>
      </w:r>
      <w:r w:rsidRPr="002D4502">
        <w:rPr>
          <w:rFonts w:ascii="Arial" w:hAnsi="Arial" w:cs="Arial"/>
          <w:sz w:val="20"/>
          <w:szCs w:val="20"/>
          <w:lang/>
        </w:rPr>
        <w:t>C).</w:t>
      </w:r>
      <w:r w:rsidR="00DB3CA1" w:rsidRPr="002D4502">
        <w:rPr>
          <w:rFonts w:ascii="Arial" w:hAnsi="Arial" w:cs="Arial"/>
          <w:sz w:val="20"/>
          <w:szCs w:val="20"/>
        </w:rPr>
        <w:t xml:space="preserve"> </w:t>
      </w:r>
      <w:r w:rsidR="00DB3CA1" w:rsidRPr="002D4502">
        <w:rPr>
          <w:rFonts w:ascii="Arial" w:hAnsi="Arial" w:cs="Arial"/>
          <w:sz w:val="20"/>
          <w:szCs w:val="20"/>
          <w:lang/>
        </w:rPr>
        <w:t xml:space="preserve">Other studies in developing countries have reported success stories of community-based forest management improving forest conditions </w:t>
      </w:r>
      <w:r w:rsidR="00EE6C0B" w:rsidRPr="002D4502">
        <w:rPr>
          <w:rFonts w:ascii="Arial" w:hAnsi="Arial" w:cs="Arial"/>
          <w:sz w:val="20"/>
          <w:szCs w:val="20"/>
          <w:lang w:val="en-US"/>
        </w:rPr>
        <w:t>[</w:t>
      </w:r>
      <w:bookmarkStart w:id="56" w:name="_Hlk170844156"/>
      <w:r w:rsidR="00EE6C0B" w:rsidRPr="002D4502">
        <w:rPr>
          <w:rFonts w:ascii="Arial" w:hAnsi="Arial" w:cs="Arial"/>
          <w:sz w:val="20"/>
          <w:szCs w:val="20"/>
          <w:lang w:val="en-US"/>
        </w:rPr>
        <w:t>4</w:t>
      </w:r>
      <w:r w:rsidR="00992AB6" w:rsidRPr="002D4502">
        <w:rPr>
          <w:rFonts w:ascii="Arial" w:hAnsi="Arial" w:cs="Arial"/>
          <w:sz w:val="20"/>
          <w:szCs w:val="20"/>
          <w:lang w:val="en-US"/>
        </w:rPr>
        <w:t>2</w:t>
      </w:r>
      <w:bookmarkEnd w:id="56"/>
      <w:r w:rsidR="00433F2E">
        <w:rPr>
          <w:rFonts w:ascii="Arial" w:hAnsi="Arial" w:cs="Arial"/>
          <w:sz w:val="20"/>
          <w:szCs w:val="20"/>
          <w:lang w:val="en-US"/>
        </w:rPr>
        <w:t>,</w:t>
      </w:r>
      <w:r w:rsidR="00EE6C0B" w:rsidRPr="002D4502">
        <w:rPr>
          <w:rFonts w:ascii="Arial" w:hAnsi="Arial" w:cs="Arial"/>
          <w:sz w:val="20"/>
          <w:szCs w:val="20"/>
          <w:lang w:val="en-US"/>
        </w:rPr>
        <w:t>15]</w:t>
      </w:r>
      <w:r w:rsidR="00DB3CA1" w:rsidRPr="002D4502">
        <w:rPr>
          <w:rFonts w:ascii="Arial" w:hAnsi="Arial" w:cs="Arial"/>
          <w:sz w:val="20"/>
          <w:szCs w:val="20"/>
          <w:lang/>
        </w:rPr>
        <w:t>. </w:t>
      </w:r>
      <w:r w:rsidR="001A1FCB" w:rsidRPr="002D4502">
        <w:rPr>
          <w:rFonts w:ascii="Arial" w:hAnsi="Arial" w:cs="Arial"/>
          <w:sz w:val="20"/>
          <w:szCs w:val="20"/>
          <w:lang w:val="en-US"/>
        </w:rPr>
        <w:t xml:space="preserve"> </w:t>
      </w:r>
    </w:p>
    <w:p w14:paraId="4D14B67E" w14:textId="2EA9DCB0" w:rsidR="00C711BF" w:rsidRPr="002D4502" w:rsidRDefault="00C711BF" w:rsidP="00BA086A">
      <w:pPr>
        <w:autoSpaceDE w:val="0"/>
        <w:autoSpaceDN w:val="0"/>
        <w:adjustRightInd w:val="0"/>
        <w:spacing w:after="0" w:line="240" w:lineRule="auto"/>
        <w:jc w:val="both"/>
        <w:rPr>
          <w:rFonts w:ascii="Arial" w:hAnsi="Arial" w:cs="Arial"/>
          <w:sz w:val="20"/>
          <w:szCs w:val="20"/>
          <w:lang/>
        </w:rPr>
      </w:pPr>
    </w:p>
    <w:p w14:paraId="64302A3E" w14:textId="77777777" w:rsidR="00DC3B5C" w:rsidRPr="002D4502" w:rsidRDefault="004F0D66" w:rsidP="00BA086A">
      <w:pPr>
        <w:autoSpaceDE w:val="0"/>
        <w:autoSpaceDN w:val="0"/>
        <w:adjustRightInd w:val="0"/>
        <w:spacing w:after="0" w:line="240" w:lineRule="auto"/>
        <w:jc w:val="both"/>
        <w:rPr>
          <w:rFonts w:ascii="Arial" w:hAnsi="Arial" w:cs="Arial"/>
          <w:i/>
          <w:iCs/>
          <w:color w:val="000000" w:themeColor="text1"/>
          <w:lang w:val="en-US"/>
        </w:rPr>
      </w:pPr>
      <w:r w:rsidRPr="002D4502">
        <w:rPr>
          <w:rFonts w:ascii="Arial" w:hAnsi="Arial" w:cs="Arial"/>
          <w:i/>
          <w:iCs/>
          <w:color w:val="000000" w:themeColor="text1"/>
          <w:lang w:val="en-US"/>
        </w:rPr>
        <w:t xml:space="preserve">b. </w:t>
      </w:r>
      <w:r w:rsidR="003E2935" w:rsidRPr="002D4502">
        <w:rPr>
          <w:rFonts w:ascii="Arial" w:hAnsi="Arial" w:cs="Arial"/>
          <w:i/>
          <w:iCs/>
          <w:color w:val="000000" w:themeColor="text1"/>
          <w:lang w:val="en-US"/>
        </w:rPr>
        <w:t xml:space="preserve">Improvement of </w:t>
      </w:r>
      <w:r w:rsidRPr="002D4502">
        <w:rPr>
          <w:rFonts w:ascii="Arial" w:hAnsi="Arial" w:cs="Arial"/>
          <w:i/>
          <w:iCs/>
          <w:color w:val="000000" w:themeColor="text1"/>
          <w:lang w:val="en-US"/>
        </w:rPr>
        <w:t>L</w:t>
      </w:r>
      <w:r w:rsidR="003E2935" w:rsidRPr="002D4502">
        <w:rPr>
          <w:rFonts w:ascii="Arial" w:hAnsi="Arial" w:cs="Arial"/>
          <w:i/>
          <w:iCs/>
          <w:color w:val="000000" w:themeColor="text1"/>
          <w:lang w:val="en-US"/>
        </w:rPr>
        <w:t>ivelihoods</w:t>
      </w:r>
      <w:bookmarkStart w:id="57" w:name="_Hlk170645366"/>
    </w:p>
    <w:p w14:paraId="0F726C66" w14:textId="369D2716" w:rsidR="004F0D66" w:rsidRPr="002D4502" w:rsidRDefault="00C2618F" w:rsidP="00BA086A">
      <w:pPr>
        <w:autoSpaceDE w:val="0"/>
        <w:autoSpaceDN w:val="0"/>
        <w:adjustRightInd w:val="0"/>
        <w:spacing w:after="0" w:line="240" w:lineRule="auto"/>
        <w:jc w:val="both"/>
        <w:rPr>
          <w:rFonts w:ascii="Arial" w:hAnsi="Arial" w:cs="Arial"/>
          <w:sz w:val="20"/>
          <w:szCs w:val="20"/>
          <w:lang/>
        </w:rPr>
      </w:pPr>
      <w:r w:rsidRPr="002D4502">
        <w:rPr>
          <w:rFonts w:ascii="Arial" w:hAnsi="Arial" w:cs="Arial"/>
          <w:sz w:val="20"/>
          <w:szCs w:val="20"/>
          <w:lang w:val="en-US"/>
        </w:rPr>
        <w:t xml:space="preserve">Despite notable improvements in the </w:t>
      </w:r>
      <w:proofErr w:type="spellStart"/>
      <w:r w:rsidRPr="002D4502">
        <w:rPr>
          <w:rFonts w:ascii="Arial" w:hAnsi="Arial" w:cs="Arial"/>
          <w:sz w:val="20"/>
          <w:szCs w:val="20"/>
          <w:lang w:val="en-US"/>
        </w:rPr>
        <w:t>Kilongo</w:t>
      </w:r>
      <w:proofErr w:type="spellEnd"/>
      <w:r w:rsidRPr="002D4502">
        <w:rPr>
          <w:rFonts w:ascii="Arial" w:hAnsi="Arial" w:cs="Arial"/>
          <w:sz w:val="20"/>
          <w:szCs w:val="20"/>
          <w:lang w:val="en-US"/>
        </w:rPr>
        <w:t xml:space="preserve"> Forest Reserve condition over the past 20 years under CBFM, the findings from the analysis show that the local community's livelihoods did not improve with an increased supply of forest products (timber and non-timber). </w:t>
      </w:r>
      <w:r w:rsidR="00DC3B5C" w:rsidRPr="002D4502">
        <w:rPr>
          <w:rFonts w:ascii="Arial" w:hAnsi="Arial" w:cs="Arial"/>
          <w:sz w:val="20"/>
          <w:szCs w:val="20"/>
          <w:lang w:val="en-US"/>
        </w:rPr>
        <w:t>Figure 3 indicates that the majority of the respondents (73%) perceived no improvement in livelihoods associated with improved forest conditions. 18% of the respondents perceived improvement in livelihoods with improved forest conditions; they associated improved livelihoods with increased harvests of honey, mushrooms, and herbs from the forest reserve. Others highlighted the year-round flow of water springs as a benefit of forest service, especially those respondents who engaged in dry-season lowland irrigation and those who owned livestock.</w:t>
      </w:r>
      <w:bookmarkEnd w:id="57"/>
    </w:p>
    <w:p w14:paraId="4DCD2278" w14:textId="51B03953" w:rsidR="004F0D66" w:rsidRPr="002D4502" w:rsidRDefault="004F0D66" w:rsidP="00BA086A">
      <w:pPr>
        <w:autoSpaceDE w:val="0"/>
        <w:autoSpaceDN w:val="0"/>
        <w:adjustRightInd w:val="0"/>
        <w:spacing w:after="0" w:line="240" w:lineRule="auto"/>
        <w:jc w:val="both"/>
        <w:rPr>
          <w:rFonts w:ascii="Arial" w:hAnsi="Arial" w:cs="Arial"/>
          <w:sz w:val="20"/>
          <w:szCs w:val="20"/>
          <w:lang/>
        </w:rPr>
      </w:pPr>
    </w:p>
    <w:p w14:paraId="7AC21F84" w14:textId="77777777" w:rsidR="007704D4" w:rsidRPr="002D4502" w:rsidRDefault="007704D4" w:rsidP="00BA086A">
      <w:pPr>
        <w:keepNext/>
        <w:autoSpaceDE w:val="0"/>
        <w:autoSpaceDN w:val="0"/>
        <w:adjustRightInd w:val="0"/>
        <w:spacing w:after="0" w:line="240" w:lineRule="auto"/>
        <w:rPr>
          <w:rFonts w:ascii="Arial" w:hAnsi="Arial" w:cs="Arial"/>
          <w:sz w:val="20"/>
          <w:szCs w:val="20"/>
        </w:rPr>
      </w:pPr>
      <w:r w:rsidRPr="002D4502">
        <w:rPr>
          <w:rFonts w:ascii="Arial" w:hAnsi="Arial" w:cs="Arial"/>
          <w:noProof/>
          <w:sz w:val="20"/>
          <w:szCs w:val="20"/>
          <w:bdr w:val="single" w:sz="8" w:space="0" w:color="auto"/>
        </w:rPr>
        <w:drawing>
          <wp:inline distT="0" distB="0" distL="0" distR="0" wp14:anchorId="064B2D74" wp14:editId="217EE61B">
            <wp:extent cx="5591175" cy="2743200"/>
            <wp:effectExtent l="0" t="0" r="9525" b="0"/>
            <wp:docPr id="1839280338" name="Chart 3">
              <a:extLst xmlns:a="http://schemas.openxmlformats.org/drawingml/2006/main">
                <a:ext uri="{FF2B5EF4-FFF2-40B4-BE49-F238E27FC236}">
                  <a16:creationId xmlns:a16="http://schemas.microsoft.com/office/drawing/2014/main" id="{6F710FF8-6368-A00C-76B9-D8F7643C82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CBE15B" w14:textId="4123EADD" w:rsidR="00EA0FE1" w:rsidRPr="002D4502" w:rsidRDefault="007704D4" w:rsidP="00BA086A">
      <w:pPr>
        <w:pStyle w:val="Caption"/>
        <w:jc w:val="center"/>
        <w:rPr>
          <w:rFonts w:ascii="Arial" w:hAnsi="Arial" w:cs="Arial"/>
          <w:b/>
          <w:bCs/>
          <w:i w:val="0"/>
          <w:iCs w:val="0"/>
          <w:color w:val="000000" w:themeColor="text1"/>
          <w:sz w:val="20"/>
          <w:szCs w:val="20"/>
          <w:lang/>
        </w:rPr>
      </w:pPr>
      <w:r w:rsidRPr="002D4502">
        <w:rPr>
          <w:rFonts w:ascii="Arial" w:hAnsi="Arial" w:cs="Arial"/>
          <w:b/>
          <w:bCs/>
          <w:i w:val="0"/>
          <w:iCs w:val="0"/>
          <w:color w:val="000000" w:themeColor="text1"/>
          <w:sz w:val="20"/>
          <w:szCs w:val="20"/>
        </w:rPr>
        <w:t xml:space="preserve">Figure </w:t>
      </w:r>
      <w:r w:rsidRPr="002D4502">
        <w:rPr>
          <w:rFonts w:ascii="Arial" w:hAnsi="Arial" w:cs="Arial"/>
          <w:b/>
          <w:bCs/>
          <w:i w:val="0"/>
          <w:iCs w:val="0"/>
          <w:color w:val="000000" w:themeColor="text1"/>
          <w:sz w:val="20"/>
          <w:szCs w:val="20"/>
        </w:rPr>
        <w:fldChar w:fldCharType="begin"/>
      </w:r>
      <w:r w:rsidRPr="002D4502">
        <w:rPr>
          <w:rFonts w:ascii="Arial" w:hAnsi="Arial" w:cs="Arial"/>
          <w:b/>
          <w:bCs/>
          <w:i w:val="0"/>
          <w:iCs w:val="0"/>
          <w:color w:val="000000" w:themeColor="text1"/>
          <w:sz w:val="20"/>
          <w:szCs w:val="20"/>
        </w:rPr>
        <w:instrText xml:space="preserve"> SEQ Figure \* ARABIC </w:instrText>
      </w:r>
      <w:r w:rsidRPr="002D4502">
        <w:rPr>
          <w:rFonts w:ascii="Arial" w:hAnsi="Arial" w:cs="Arial"/>
          <w:b/>
          <w:bCs/>
          <w:i w:val="0"/>
          <w:iCs w:val="0"/>
          <w:color w:val="000000" w:themeColor="text1"/>
          <w:sz w:val="20"/>
          <w:szCs w:val="20"/>
        </w:rPr>
        <w:fldChar w:fldCharType="separate"/>
      </w:r>
      <w:r w:rsidRPr="002D4502">
        <w:rPr>
          <w:rFonts w:ascii="Arial" w:hAnsi="Arial" w:cs="Arial"/>
          <w:b/>
          <w:bCs/>
          <w:i w:val="0"/>
          <w:iCs w:val="0"/>
          <w:noProof/>
          <w:color w:val="000000" w:themeColor="text1"/>
          <w:sz w:val="20"/>
          <w:szCs w:val="20"/>
        </w:rPr>
        <w:t>3</w:t>
      </w:r>
      <w:r w:rsidRPr="002D4502">
        <w:rPr>
          <w:rFonts w:ascii="Arial" w:hAnsi="Arial" w:cs="Arial"/>
          <w:b/>
          <w:bCs/>
          <w:i w:val="0"/>
          <w:iCs w:val="0"/>
          <w:color w:val="000000" w:themeColor="text1"/>
          <w:sz w:val="20"/>
          <w:szCs w:val="20"/>
        </w:rPr>
        <w:fldChar w:fldCharType="end"/>
      </w:r>
      <w:r w:rsidRPr="002D4502">
        <w:rPr>
          <w:rFonts w:ascii="Arial" w:hAnsi="Arial" w:cs="Arial"/>
          <w:b/>
          <w:bCs/>
          <w:i w:val="0"/>
          <w:iCs w:val="0"/>
          <w:color w:val="000000" w:themeColor="text1"/>
          <w:sz w:val="20"/>
          <w:szCs w:val="20"/>
        </w:rPr>
        <w:t>: Response to the question “Has the livelihood improved due to the increased supply of forest products (timber and non-timber)?”</w:t>
      </w:r>
    </w:p>
    <w:p w14:paraId="26CAF91C" w14:textId="7B8EF123" w:rsidR="00182CE4" w:rsidRPr="002D4502" w:rsidRDefault="00505CC4" w:rsidP="00BA086A">
      <w:pPr>
        <w:autoSpaceDE w:val="0"/>
        <w:autoSpaceDN w:val="0"/>
        <w:adjustRightInd w:val="0"/>
        <w:spacing w:after="0" w:line="240" w:lineRule="auto"/>
        <w:jc w:val="both"/>
        <w:rPr>
          <w:rFonts w:ascii="Arial" w:hAnsi="Arial" w:cs="Arial"/>
          <w:sz w:val="20"/>
          <w:szCs w:val="20"/>
          <w:lang w:val="en-US"/>
        </w:rPr>
      </w:pPr>
      <w:r w:rsidRPr="002D4502">
        <w:rPr>
          <w:rFonts w:ascii="Arial" w:hAnsi="Arial" w:cs="Arial"/>
          <w:sz w:val="20"/>
          <w:szCs w:val="20"/>
          <w:lang w:val="en-US"/>
        </w:rPr>
        <w:t xml:space="preserve">On the other hand, the result indicates that the </w:t>
      </w:r>
      <w:proofErr w:type="spellStart"/>
      <w:r w:rsidRPr="002D4502">
        <w:rPr>
          <w:rFonts w:ascii="Arial" w:hAnsi="Arial" w:cs="Arial"/>
          <w:sz w:val="20"/>
          <w:szCs w:val="20"/>
          <w:lang w:val="en-US"/>
        </w:rPr>
        <w:t>Kilongo</w:t>
      </w:r>
      <w:proofErr w:type="spellEnd"/>
      <w:r w:rsidRPr="002D4502">
        <w:rPr>
          <w:rFonts w:ascii="Arial" w:hAnsi="Arial" w:cs="Arial"/>
          <w:sz w:val="20"/>
          <w:szCs w:val="20"/>
          <w:lang w:val="en-US"/>
        </w:rPr>
        <w:t xml:space="preserve"> Forest Reserve was facing some challenges. </w:t>
      </w:r>
      <w:bookmarkStart w:id="58" w:name="_Hlk170379500"/>
      <w:r w:rsidR="00260534" w:rsidRPr="002D4502">
        <w:rPr>
          <w:rFonts w:ascii="Arial" w:hAnsi="Arial" w:cs="Arial"/>
          <w:sz w:val="20"/>
          <w:szCs w:val="20"/>
          <w:lang w:val="en-US"/>
        </w:rPr>
        <w:t xml:space="preserve">Figure 3 reveals that 81% of the respondents mentioned the challenge of animals passing through or grazing in the forest reserve. There were some serious cases of animals degrading the forest reserve. The members of the forest patrol team revealed that the situation was more serious during the dry season, as normally there is a scarcity of pasture in the village's general land. Also, 13% of respondents mentioned illegal harvesting of forest resources and products as another challenge facing the forest reserve. </w:t>
      </w:r>
      <w:bookmarkEnd w:id="58"/>
      <w:r w:rsidR="00B9018D" w:rsidRPr="002D4502">
        <w:rPr>
          <w:rFonts w:ascii="Arial" w:hAnsi="Arial" w:cs="Arial"/>
          <w:sz w:val="20"/>
          <w:szCs w:val="20"/>
          <w:lang w:val="en-US"/>
        </w:rPr>
        <w:t xml:space="preserve">The illegal harvesting of forest resources, especially dry wood, for energy appeared to be a common phenomenon. This involves entering the forest reserve without permission. And a small </w:t>
      </w:r>
      <w:r w:rsidR="00B9018D" w:rsidRPr="002D4502">
        <w:rPr>
          <w:rFonts w:ascii="Arial" w:hAnsi="Arial" w:cs="Arial"/>
          <w:sz w:val="20"/>
          <w:szCs w:val="20"/>
          <w:lang w:val="en-US"/>
        </w:rPr>
        <w:lastRenderedPageBreak/>
        <w:t xml:space="preserve">proportion of the respondents (13%) mentioned the fire incident as one of the challenges facing </w:t>
      </w:r>
      <w:proofErr w:type="spellStart"/>
      <w:r w:rsidR="00B9018D" w:rsidRPr="002D4502">
        <w:rPr>
          <w:rFonts w:ascii="Arial" w:hAnsi="Arial" w:cs="Arial"/>
          <w:sz w:val="20"/>
          <w:szCs w:val="20"/>
          <w:lang w:val="en-US"/>
        </w:rPr>
        <w:t>Kilongo</w:t>
      </w:r>
      <w:proofErr w:type="spellEnd"/>
      <w:r w:rsidR="00B9018D" w:rsidRPr="002D4502">
        <w:rPr>
          <w:rFonts w:ascii="Arial" w:hAnsi="Arial" w:cs="Arial"/>
          <w:sz w:val="20"/>
          <w:szCs w:val="20"/>
          <w:lang w:val="en-US"/>
        </w:rPr>
        <w:t xml:space="preserve"> Forest Reserve management (Figure 3).</w:t>
      </w:r>
    </w:p>
    <w:p w14:paraId="535EB0FA" w14:textId="77777777" w:rsidR="006A2373" w:rsidRPr="002D4502" w:rsidRDefault="006A2373" w:rsidP="00BA086A">
      <w:pPr>
        <w:autoSpaceDE w:val="0"/>
        <w:autoSpaceDN w:val="0"/>
        <w:adjustRightInd w:val="0"/>
        <w:spacing w:after="0" w:line="240" w:lineRule="auto"/>
        <w:jc w:val="both"/>
        <w:rPr>
          <w:rFonts w:ascii="Arial" w:hAnsi="Arial" w:cs="Arial"/>
          <w:sz w:val="20"/>
          <w:szCs w:val="20"/>
          <w:lang w:val="en-US"/>
        </w:rPr>
      </w:pPr>
    </w:p>
    <w:p w14:paraId="3D68EDD6" w14:textId="77777777" w:rsidR="006A2373" w:rsidRPr="002D4502" w:rsidRDefault="006A2373" w:rsidP="00BA086A">
      <w:pPr>
        <w:keepNext/>
        <w:autoSpaceDE w:val="0"/>
        <w:autoSpaceDN w:val="0"/>
        <w:adjustRightInd w:val="0"/>
        <w:spacing w:after="0" w:line="240" w:lineRule="auto"/>
        <w:jc w:val="both"/>
        <w:rPr>
          <w:rFonts w:ascii="Arial" w:hAnsi="Arial" w:cs="Arial"/>
          <w:sz w:val="20"/>
          <w:szCs w:val="20"/>
        </w:rPr>
      </w:pPr>
      <w:r w:rsidRPr="002D4502">
        <w:rPr>
          <w:rFonts w:ascii="Arial" w:hAnsi="Arial" w:cs="Arial"/>
          <w:noProof/>
          <w:sz w:val="20"/>
          <w:szCs w:val="20"/>
          <w:bdr w:val="single" w:sz="8" w:space="0" w:color="auto"/>
        </w:rPr>
        <w:drawing>
          <wp:inline distT="0" distB="0" distL="0" distR="0" wp14:anchorId="35B7C6C9" wp14:editId="76DE9C94">
            <wp:extent cx="5686425" cy="2543175"/>
            <wp:effectExtent l="0" t="0" r="9525" b="9525"/>
            <wp:docPr id="25876705" name="Chart 4">
              <a:extLst xmlns:a="http://schemas.openxmlformats.org/drawingml/2006/main">
                <a:ext uri="{FF2B5EF4-FFF2-40B4-BE49-F238E27FC236}">
                  <a16:creationId xmlns:a16="http://schemas.microsoft.com/office/drawing/2014/main" id="{1BC8B23D-FFFE-494F-F4CD-9AEC76658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6565B6" w14:textId="0BB1E0E1" w:rsidR="00227091" w:rsidRPr="002D4502" w:rsidRDefault="006A2373" w:rsidP="00BA086A">
      <w:pPr>
        <w:pStyle w:val="Caption"/>
        <w:jc w:val="center"/>
        <w:rPr>
          <w:rFonts w:ascii="Arial" w:hAnsi="Arial" w:cs="Arial"/>
          <w:b/>
          <w:bCs/>
          <w:i w:val="0"/>
          <w:iCs w:val="0"/>
          <w:color w:val="auto"/>
          <w:sz w:val="20"/>
          <w:szCs w:val="20"/>
        </w:rPr>
      </w:pPr>
      <w:r w:rsidRPr="002D4502">
        <w:rPr>
          <w:rFonts w:ascii="Arial" w:hAnsi="Arial" w:cs="Arial"/>
          <w:b/>
          <w:bCs/>
          <w:i w:val="0"/>
          <w:iCs w:val="0"/>
          <w:color w:val="auto"/>
          <w:sz w:val="20"/>
          <w:szCs w:val="20"/>
        </w:rPr>
        <w:t xml:space="preserve">Figure </w:t>
      </w:r>
      <w:r w:rsidRPr="002D4502">
        <w:rPr>
          <w:rFonts w:ascii="Arial" w:hAnsi="Arial" w:cs="Arial"/>
          <w:b/>
          <w:bCs/>
          <w:i w:val="0"/>
          <w:iCs w:val="0"/>
          <w:color w:val="auto"/>
          <w:sz w:val="20"/>
          <w:szCs w:val="20"/>
        </w:rPr>
        <w:fldChar w:fldCharType="begin"/>
      </w:r>
      <w:r w:rsidRPr="002D4502">
        <w:rPr>
          <w:rFonts w:ascii="Arial" w:hAnsi="Arial" w:cs="Arial"/>
          <w:b/>
          <w:bCs/>
          <w:i w:val="0"/>
          <w:iCs w:val="0"/>
          <w:color w:val="auto"/>
          <w:sz w:val="20"/>
          <w:szCs w:val="20"/>
        </w:rPr>
        <w:instrText xml:space="preserve"> SEQ Figure \* ARABIC </w:instrText>
      </w:r>
      <w:r w:rsidRPr="002D4502">
        <w:rPr>
          <w:rFonts w:ascii="Arial" w:hAnsi="Arial" w:cs="Arial"/>
          <w:b/>
          <w:bCs/>
          <w:i w:val="0"/>
          <w:iCs w:val="0"/>
          <w:color w:val="auto"/>
          <w:sz w:val="20"/>
          <w:szCs w:val="20"/>
        </w:rPr>
        <w:fldChar w:fldCharType="separate"/>
      </w:r>
      <w:r w:rsidR="007704D4" w:rsidRPr="002D4502">
        <w:rPr>
          <w:rFonts w:ascii="Arial" w:hAnsi="Arial" w:cs="Arial"/>
          <w:b/>
          <w:bCs/>
          <w:i w:val="0"/>
          <w:iCs w:val="0"/>
          <w:noProof/>
          <w:color w:val="auto"/>
          <w:sz w:val="20"/>
          <w:szCs w:val="20"/>
        </w:rPr>
        <w:t>4</w:t>
      </w:r>
      <w:r w:rsidRPr="002D4502">
        <w:rPr>
          <w:rFonts w:ascii="Arial" w:hAnsi="Arial" w:cs="Arial"/>
          <w:b/>
          <w:bCs/>
          <w:i w:val="0"/>
          <w:iCs w:val="0"/>
          <w:color w:val="auto"/>
          <w:sz w:val="20"/>
          <w:szCs w:val="20"/>
        </w:rPr>
        <w:fldChar w:fldCharType="end"/>
      </w:r>
      <w:r w:rsidRPr="002D4502">
        <w:rPr>
          <w:rFonts w:ascii="Arial" w:hAnsi="Arial" w:cs="Arial"/>
          <w:b/>
          <w:bCs/>
          <w:i w:val="0"/>
          <w:iCs w:val="0"/>
          <w:color w:val="auto"/>
          <w:sz w:val="20"/>
          <w:szCs w:val="20"/>
        </w:rPr>
        <w:t xml:space="preserve">: Challenges facing </w:t>
      </w:r>
      <w:proofErr w:type="spellStart"/>
      <w:r w:rsidRPr="002D4502">
        <w:rPr>
          <w:rFonts w:ascii="Arial" w:hAnsi="Arial" w:cs="Arial"/>
          <w:b/>
          <w:bCs/>
          <w:i w:val="0"/>
          <w:iCs w:val="0"/>
          <w:color w:val="auto"/>
          <w:sz w:val="20"/>
          <w:szCs w:val="20"/>
        </w:rPr>
        <w:t>Kilongo</w:t>
      </w:r>
      <w:proofErr w:type="spellEnd"/>
      <w:r w:rsidRPr="002D4502">
        <w:rPr>
          <w:rFonts w:ascii="Arial" w:hAnsi="Arial" w:cs="Arial"/>
          <w:b/>
          <w:bCs/>
          <w:i w:val="0"/>
          <w:iCs w:val="0"/>
          <w:color w:val="auto"/>
          <w:sz w:val="20"/>
          <w:szCs w:val="20"/>
        </w:rPr>
        <w:t xml:space="preserve"> Forest Reserve</w:t>
      </w:r>
    </w:p>
    <w:p w14:paraId="50F859CF" w14:textId="3E14C1E4" w:rsidR="003930FF" w:rsidRPr="002D4502" w:rsidRDefault="003930FF" w:rsidP="00BA086A">
      <w:pPr>
        <w:spacing w:line="240" w:lineRule="auto"/>
        <w:jc w:val="both"/>
        <w:rPr>
          <w:rFonts w:ascii="Arial" w:hAnsi="Arial" w:cs="Arial"/>
          <w:sz w:val="20"/>
          <w:szCs w:val="20"/>
          <w:lang w:val="en-US"/>
        </w:rPr>
      </w:pPr>
      <w:r w:rsidRPr="002D4502">
        <w:rPr>
          <w:rFonts w:ascii="Arial" w:hAnsi="Arial" w:cs="Arial"/>
          <w:sz w:val="20"/>
          <w:szCs w:val="20"/>
          <w:lang w:val="en-US"/>
        </w:rPr>
        <w:t xml:space="preserve">Interviews and discussion accounts revealed that, apart from the increased frequency of illegal entry into the forest reserve following the fire incident in 2023 as people wanted to collect dead wood for energy, the growing population in the village has also been associated with increased demand for wood for energy, </w:t>
      </w:r>
      <w:r w:rsidR="00AC2D3A" w:rsidRPr="002D4502">
        <w:rPr>
          <w:rFonts w:ascii="Arial" w:hAnsi="Arial" w:cs="Arial"/>
          <w:sz w:val="20"/>
          <w:szCs w:val="20"/>
          <w:lang w:val="en-US"/>
        </w:rPr>
        <w:t xml:space="preserve">eventually, </w:t>
      </w:r>
      <w:r w:rsidRPr="002D4502">
        <w:rPr>
          <w:rFonts w:ascii="Arial" w:hAnsi="Arial" w:cs="Arial"/>
          <w:sz w:val="20"/>
          <w:szCs w:val="20"/>
          <w:lang w:val="en-US"/>
        </w:rPr>
        <w:t>increas</w:t>
      </w:r>
      <w:r w:rsidR="00AC2D3A" w:rsidRPr="002D4502">
        <w:rPr>
          <w:rFonts w:ascii="Arial" w:hAnsi="Arial" w:cs="Arial"/>
          <w:sz w:val="20"/>
          <w:szCs w:val="20"/>
          <w:lang w:val="en-US"/>
        </w:rPr>
        <w:t>ing</w:t>
      </w:r>
      <w:r w:rsidRPr="002D4502">
        <w:rPr>
          <w:rFonts w:ascii="Arial" w:hAnsi="Arial" w:cs="Arial"/>
          <w:sz w:val="20"/>
          <w:szCs w:val="20"/>
          <w:lang w:val="en-US"/>
        </w:rPr>
        <w:t xml:space="preserve"> cases of illegal entry into the forest reserve. They believed that only an alternative energy source for the villagers could prevent illegal wood harvesting in the </w:t>
      </w:r>
      <w:proofErr w:type="spellStart"/>
      <w:r w:rsidRPr="002D4502">
        <w:rPr>
          <w:rFonts w:ascii="Arial" w:hAnsi="Arial" w:cs="Arial"/>
          <w:sz w:val="20"/>
          <w:szCs w:val="20"/>
          <w:lang w:val="en-US"/>
        </w:rPr>
        <w:t>Kilongo</w:t>
      </w:r>
      <w:proofErr w:type="spellEnd"/>
      <w:r w:rsidRPr="002D4502">
        <w:rPr>
          <w:rFonts w:ascii="Arial" w:hAnsi="Arial" w:cs="Arial"/>
          <w:sz w:val="20"/>
          <w:szCs w:val="20"/>
          <w:lang w:val="en-US"/>
        </w:rPr>
        <w:t xml:space="preserve"> Forest Reserve.</w:t>
      </w:r>
      <w:r w:rsidR="00A6344F" w:rsidRPr="002D4502">
        <w:rPr>
          <w:rFonts w:ascii="Arial" w:hAnsi="Arial" w:cs="Arial"/>
          <w:sz w:val="20"/>
          <w:szCs w:val="20"/>
        </w:rPr>
        <w:t xml:space="preserve"> As t</w:t>
      </w:r>
      <w:r w:rsidR="00A6344F" w:rsidRPr="002D4502">
        <w:rPr>
          <w:rFonts w:ascii="Arial" w:hAnsi="Arial" w:cs="Arial"/>
          <w:sz w:val="20"/>
          <w:szCs w:val="20"/>
          <w:lang w:val="en-US"/>
        </w:rPr>
        <w:t xml:space="preserve">he majority of households in rural developing nations lack access to contemporary energy sources </w:t>
      </w:r>
      <w:r w:rsidR="00EE6C0B" w:rsidRPr="002D4502">
        <w:rPr>
          <w:rFonts w:ascii="Arial" w:hAnsi="Arial" w:cs="Arial"/>
          <w:sz w:val="20"/>
          <w:szCs w:val="20"/>
          <w:lang w:val="en-US"/>
        </w:rPr>
        <w:t>[</w:t>
      </w:r>
      <w:bookmarkStart w:id="59" w:name="_Hlk170844194"/>
      <w:r w:rsidR="00EE6C0B" w:rsidRPr="002D4502">
        <w:rPr>
          <w:rFonts w:ascii="Arial" w:hAnsi="Arial" w:cs="Arial"/>
          <w:sz w:val="20"/>
          <w:szCs w:val="20"/>
          <w:lang w:val="en-US"/>
        </w:rPr>
        <w:t>4</w:t>
      </w:r>
      <w:r w:rsidR="00992AB6" w:rsidRPr="002D4502">
        <w:rPr>
          <w:rFonts w:ascii="Arial" w:hAnsi="Arial" w:cs="Arial"/>
          <w:sz w:val="20"/>
          <w:szCs w:val="20"/>
          <w:lang w:val="en-US"/>
        </w:rPr>
        <w:t>3</w:t>
      </w:r>
      <w:r w:rsidR="00EE6C0B" w:rsidRPr="002D4502">
        <w:rPr>
          <w:rFonts w:ascii="Arial" w:hAnsi="Arial" w:cs="Arial"/>
          <w:sz w:val="20"/>
          <w:szCs w:val="20"/>
          <w:lang w:val="en-US"/>
        </w:rPr>
        <w:t>]</w:t>
      </w:r>
      <w:r w:rsidR="00A6344F" w:rsidRPr="002D4502">
        <w:rPr>
          <w:rFonts w:ascii="Arial" w:hAnsi="Arial" w:cs="Arial"/>
          <w:sz w:val="20"/>
          <w:szCs w:val="20"/>
          <w:lang w:val="en-US"/>
        </w:rPr>
        <w:t>.</w:t>
      </w:r>
      <w:r w:rsidR="00A6344F" w:rsidRPr="002D4502">
        <w:rPr>
          <w:rFonts w:ascii="Arial" w:hAnsi="Arial" w:cs="Arial"/>
          <w:sz w:val="20"/>
          <w:szCs w:val="20"/>
        </w:rPr>
        <w:t xml:space="preserve"> </w:t>
      </w:r>
      <w:bookmarkEnd w:id="59"/>
    </w:p>
    <w:p w14:paraId="14ABD1EA" w14:textId="1390673A" w:rsidR="00807C54" w:rsidRPr="002D4502" w:rsidRDefault="00807C54" w:rsidP="00BA086A">
      <w:pPr>
        <w:spacing w:line="240" w:lineRule="auto"/>
        <w:jc w:val="both"/>
        <w:rPr>
          <w:rFonts w:ascii="Arial" w:hAnsi="Arial" w:cs="Arial"/>
          <w:sz w:val="20"/>
          <w:szCs w:val="20"/>
          <w:lang w:val="en-US"/>
        </w:rPr>
      </w:pPr>
      <w:bookmarkStart w:id="60" w:name="_Hlk169993070"/>
      <w:r w:rsidRPr="002D4502">
        <w:rPr>
          <w:rFonts w:ascii="Arial" w:hAnsi="Arial" w:cs="Arial"/>
          <w:sz w:val="20"/>
          <w:szCs w:val="20"/>
          <w:lang w:val="en-US"/>
        </w:rPr>
        <w:t xml:space="preserve">Additionally, the results of the interviews and a discussion show that, as a short-term strategy for overcoming the problem of animals passing through or grazing in the forest reserve, they installed more beehives along the animal corridor. The beehives had been donated to the village government by MBUMTILU. The exercise served as a deterrent, as bees have the potential to bite animals. </w:t>
      </w:r>
      <w:r w:rsidRPr="002D4502">
        <w:rPr>
          <w:rFonts w:ascii="Arial" w:hAnsi="Arial" w:cs="Arial"/>
          <w:i/>
          <w:iCs/>
          <w:sz w:val="20"/>
          <w:szCs w:val="20"/>
          <w:lang w:val="en-US"/>
        </w:rPr>
        <w:t>"You know, bees are animals' biggest enemies. In order to address this issue, we have installed additional beehives in the forest reserve, strategically placed along the established animal corridors that pastoralists previously used to pass through</w:t>
      </w:r>
      <w:r w:rsidR="00A85D62" w:rsidRPr="002D4502">
        <w:rPr>
          <w:rFonts w:ascii="Arial" w:hAnsi="Arial" w:cs="Arial"/>
          <w:i/>
          <w:iCs/>
          <w:sz w:val="20"/>
          <w:szCs w:val="20"/>
          <w:lang w:val="en-US"/>
        </w:rPr>
        <w:t>”.</w:t>
      </w:r>
      <w:r w:rsidRPr="002D4502">
        <w:rPr>
          <w:rFonts w:ascii="Arial" w:hAnsi="Arial" w:cs="Arial"/>
          <w:sz w:val="20"/>
          <w:szCs w:val="20"/>
          <w:lang w:val="en-US"/>
        </w:rPr>
        <w:t xml:space="preserve"> (Explanations from a VEMC member).</w:t>
      </w:r>
    </w:p>
    <w:p w14:paraId="5AF1805E" w14:textId="6C7D0EC0" w:rsidR="00BF7329" w:rsidRPr="002D4502" w:rsidRDefault="00702E30" w:rsidP="00BA086A">
      <w:pPr>
        <w:spacing w:line="240" w:lineRule="auto"/>
        <w:jc w:val="both"/>
        <w:rPr>
          <w:rFonts w:ascii="Arial" w:hAnsi="Arial" w:cs="Arial"/>
          <w:b/>
          <w:bCs/>
        </w:rPr>
      </w:pPr>
      <w:r w:rsidRPr="002D4502">
        <w:rPr>
          <w:rFonts w:ascii="Arial" w:hAnsi="Arial" w:cs="Arial"/>
          <w:b/>
          <w:bCs/>
          <w:lang w:val="en-US"/>
        </w:rPr>
        <w:t xml:space="preserve">3.2 </w:t>
      </w:r>
      <w:r w:rsidRPr="002D4502">
        <w:rPr>
          <w:rFonts w:ascii="Arial" w:hAnsi="Arial" w:cs="Arial"/>
          <w:b/>
          <w:bCs/>
        </w:rPr>
        <w:t>The</w:t>
      </w:r>
      <w:r w:rsidR="00E134A5" w:rsidRPr="002D4502">
        <w:rPr>
          <w:rFonts w:ascii="Arial" w:hAnsi="Arial" w:cs="Arial"/>
          <w:b/>
          <w:bCs/>
        </w:rPr>
        <w:t xml:space="preserve"> </w:t>
      </w:r>
      <w:r w:rsidR="00BF7329" w:rsidRPr="002D4502">
        <w:rPr>
          <w:rFonts w:ascii="Arial" w:hAnsi="Arial" w:cs="Arial"/>
          <w:b/>
          <w:bCs/>
        </w:rPr>
        <w:t>E</w:t>
      </w:r>
      <w:r w:rsidR="00E134A5" w:rsidRPr="002D4502">
        <w:rPr>
          <w:rFonts w:ascii="Arial" w:hAnsi="Arial" w:cs="Arial"/>
          <w:b/>
          <w:bCs/>
        </w:rPr>
        <w:t xml:space="preserve">ffectiveness of </w:t>
      </w:r>
      <w:r w:rsidR="00BF7329" w:rsidRPr="002D4502">
        <w:rPr>
          <w:rFonts w:ascii="Arial" w:hAnsi="Arial" w:cs="Arial"/>
          <w:b/>
          <w:bCs/>
        </w:rPr>
        <w:t>C</w:t>
      </w:r>
      <w:r w:rsidR="00E134A5" w:rsidRPr="002D4502">
        <w:rPr>
          <w:rFonts w:ascii="Arial" w:hAnsi="Arial" w:cs="Arial"/>
          <w:b/>
          <w:bCs/>
        </w:rPr>
        <w:t xml:space="preserve">ommunity-based </w:t>
      </w:r>
      <w:r w:rsidR="00BF7329" w:rsidRPr="002D4502">
        <w:rPr>
          <w:rFonts w:ascii="Arial" w:hAnsi="Arial" w:cs="Arial"/>
          <w:b/>
          <w:bCs/>
        </w:rPr>
        <w:t>F</w:t>
      </w:r>
      <w:r w:rsidR="00E134A5" w:rsidRPr="002D4502">
        <w:rPr>
          <w:rFonts w:ascii="Arial" w:hAnsi="Arial" w:cs="Arial"/>
          <w:b/>
          <w:bCs/>
        </w:rPr>
        <w:t xml:space="preserve">orest </w:t>
      </w:r>
      <w:r w:rsidR="00BF7329" w:rsidRPr="002D4502">
        <w:rPr>
          <w:rFonts w:ascii="Arial" w:hAnsi="Arial" w:cs="Arial"/>
          <w:b/>
          <w:bCs/>
        </w:rPr>
        <w:t>M</w:t>
      </w:r>
      <w:r w:rsidR="00E134A5" w:rsidRPr="002D4502">
        <w:rPr>
          <w:rFonts w:ascii="Arial" w:hAnsi="Arial" w:cs="Arial"/>
          <w:b/>
          <w:bCs/>
        </w:rPr>
        <w:t>anagement</w:t>
      </w:r>
      <w:r w:rsidR="00E0466A" w:rsidRPr="002D4502">
        <w:rPr>
          <w:rFonts w:ascii="Arial" w:hAnsi="Arial" w:cs="Arial"/>
          <w:b/>
          <w:bCs/>
        </w:rPr>
        <w:t xml:space="preserve"> in the Study Village</w:t>
      </w:r>
      <w:bookmarkEnd w:id="60"/>
    </w:p>
    <w:p w14:paraId="642D0E33" w14:textId="20B86D8F" w:rsidR="00AD299A" w:rsidRPr="002D4502" w:rsidRDefault="00AD299A" w:rsidP="00BA086A">
      <w:pPr>
        <w:spacing w:line="240" w:lineRule="auto"/>
        <w:jc w:val="both"/>
        <w:rPr>
          <w:rFonts w:ascii="Arial" w:hAnsi="Arial" w:cs="Arial"/>
          <w:sz w:val="20"/>
          <w:szCs w:val="20"/>
        </w:rPr>
      </w:pPr>
      <w:r w:rsidRPr="002D4502">
        <w:rPr>
          <w:rFonts w:ascii="Arial" w:hAnsi="Arial" w:cs="Arial"/>
          <w:sz w:val="20"/>
          <w:szCs w:val="20"/>
        </w:rPr>
        <w:t xml:space="preserve">Based on the three dimensions of actors, powers, and accountability that usher in effective decentralisation </w:t>
      </w:r>
      <w:r w:rsidR="00EE6C0B" w:rsidRPr="002D4502">
        <w:rPr>
          <w:rFonts w:ascii="Arial" w:hAnsi="Arial" w:cs="Arial"/>
          <w:sz w:val="20"/>
          <w:szCs w:val="20"/>
        </w:rPr>
        <w:t>[</w:t>
      </w:r>
      <w:r w:rsidR="00992AB6" w:rsidRPr="002D4502">
        <w:rPr>
          <w:rFonts w:ascii="Arial" w:hAnsi="Arial" w:cs="Arial"/>
          <w:sz w:val="20"/>
          <w:szCs w:val="20"/>
        </w:rPr>
        <w:t>39</w:t>
      </w:r>
      <w:r w:rsidR="00EE6C0B" w:rsidRPr="002D4502">
        <w:rPr>
          <w:rFonts w:ascii="Arial" w:hAnsi="Arial" w:cs="Arial"/>
          <w:sz w:val="20"/>
          <w:szCs w:val="20"/>
        </w:rPr>
        <w:t>]</w:t>
      </w:r>
      <w:r w:rsidRPr="002D4502">
        <w:rPr>
          <w:rFonts w:ascii="Arial" w:hAnsi="Arial" w:cs="Arial"/>
          <w:sz w:val="20"/>
          <w:szCs w:val="20"/>
        </w:rPr>
        <w:t xml:space="preserve">, analyses of interviews and discussion accounts indicate that community-based forest management at </w:t>
      </w:r>
      <w:proofErr w:type="spellStart"/>
      <w:r w:rsidRPr="002D4502">
        <w:rPr>
          <w:rFonts w:ascii="Arial" w:hAnsi="Arial" w:cs="Arial"/>
          <w:sz w:val="20"/>
          <w:szCs w:val="20"/>
        </w:rPr>
        <w:t>Kilongo</w:t>
      </w:r>
      <w:proofErr w:type="spellEnd"/>
      <w:r w:rsidRPr="002D4502">
        <w:rPr>
          <w:rFonts w:ascii="Arial" w:hAnsi="Arial" w:cs="Arial"/>
          <w:sz w:val="20"/>
          <w:szCs w:val="20"/>
        </w:rPr>
        <w:t xml:space="preserve"> Forest Reserve was effective, though not sustainable. The forest reserve was not sustainable, as explained in the subsequent paragraphs.</w:t>
      </w:r>
    </w:p>
    <w:p w14:paraId="256E6930" w14:textId="0511E2F8" w:rsidR="002F2FFB" w:rsidRPr="002D4502" w:rsidRDefault="00EA3A09" w:rsidP="00BA086A">
      <w:pPr>
        <w:spacing w:line="240" w:lineRule="auto"/>
        <w:jc w:val="both"/>
        <w:rPr>
          <w:rFonts w:ascii="Arial" w:hAnsi="Arial" w:cs="Arial"/>
          <w:sz w:val="20"/>
          <w:szCs w:val="20"/>
        </w:rPr>
      </w:pPr>
      <w:r w:rsidRPr="002D4502">
        <w:rPr>
          <w:rFonts w:ascii="Arial" w:hAnsi="Arial" w:cs="Arial"/>
          <w:i/>
          <w:iCs/>
          <w:sz w:val="20"/>
          <w:szCs w:val="20"/>
        </w:rPr>
        <w:t>Actors</w:t>
      </w:r>
      <w:r w:rsidRPr="002D4502">
        <w:rPr>
          <w:rFonts w:ascii="Arial" w:hAnsi="Arial" w:cs="Arial"/>
          <w:sz w:val="20"/>
          <w:szCs w:val="20"/>
        </w:rPr>
        <w:t xml:space="preserve">: </w:t>
      </w:r>
      <w:r w:rsidR="00023348" w:rsidRPr="002D4502">
        <w:rPr>
          <w:rFonts w:ascii="Arial" w:hAnsi="Arial" w:cs="Arial"/>
          <w:sz w:val="20"/>
          <w:szCs w:val="20"/>
        </w:rPr>
        <w:t xml:space="preserve">Two actors concurrently managed the </w:t>
      </w:r>
      <w:proofErr w:type="spellStart"/>
      <w:r w:rsidR="00023348" w:rsidRPr="002D4502">
        <w:rPr>
          <w:rFonts w:ascii="Arial" w:hAnsi="Arial" w:cs="Arial"/>
          <w:sz w:val="20"/>
          <w:szCs w:val="20"/>
        </w:rPr>
        <w:t>Kilongo</w:t>
      </w:r>
      <w:proofErr w:type="spellEnd"/>
      <w:r w:rsidR="00023348" w:rsidRPr="002D4502">
        <w:rPr>
          <w:rFonts w:ascii="Arial" w:hAnsi="Arial" w:cs="Arial"/>
          <w:sz w:val="20"/>
          <w:szCs w:val="20"/>
        </w:rPr>
        <w:t xml:space="preserve"> Forest Reserve: the VEMC under the Ministry of Natural Resources and Tourism (MNRT) and the MBUMTILU under the Ministry of Water. Interviews and discussion revealed that both ministries performed their duties through VEMC. The VEMC members simultaneously served as virtual members of MBUMTILU. The VEMC had to report to the </w:t>
      </w:r>
      <w:proofErr w:type="spellStart"/>
      <w:r w:rsidR="00023348" w:rsidRPr="002D4502">
        <w:rPr>
          <w:rFonts w:ascii="Arial" w:hAnsi="Arial" w:cs="Arial"/>
          <w:sz w:val="20"/>
          <w:szCs w:val="20"/>
        </w:rPr>
        <w:t>Wangingómbe</w:t>
      </w:r>
      <w:proofErr w:type="spellEnd"/>
      <w:r w:rsidR="00023348" w:rsidRPr="002D4502">
        <w:rPr>
          <w:rFonts w:ascii="Arial" w:hAnsi="Arial" w:cs="Arial"/>
          <w:sz w:val="20"/>
          <w:szCs w:val="20"/>
        </w:rPr>
        <w:t xml:space="preserve"> District Forestry and Beekeeping Department </w:t>
      </w:r>
      <w:proofErr w:type="spellStart"/>
      <w:r w:rsidR="00023348" w:rsidRPr="002D4502">
        <w:rPr>
          <w:rFonts w:ascii="Arial" w:hAnsi="Arial" w:cs="Arial"/>
          <w:sz w:val="20"/>
          <w:szCs w:val="20"/>
        </w:rPr>
        <w:t>on</w:t>
      </w:r>
      <w:proofErr w:type="spellEnd"/>
      <w:r w:rsidR="00023348" w:rsidRPr="002D4502">
        <w:rPr>
          <w:rFonts w:ascii="Arial" w:hAnsi="Arial" w:cs="Arial"/>
          <w:sz w:val="20"/>
          <w:szCs w:val="20"/>
        </w:rPr>
        <w:t xml:space="preserve"> forestry management issues and to River Basin Water Boards (RBWB) through MBUMTILU on issues of water resources management. The MBUMTILU Sub-Catchment Water Users' Association's role was to manage water, allocate water, and spread information on water-related issues within communities </w:t>
      </w:r>
      <w:bookmarkStart w:id="61" w:name="_Hlk170844231"/>
      <w:r w:rsidR="00EE6C0B" w:rsidRPr="002D4502">
        <w:rPr>
          <w:rFonts w:ascii="Arial" w:hAnsi="Arial" w:cs="Arial"/>
          <w:sz w:val="20"/>
          <w:szCs w:val="20"/>
        </w:rPr>
        <w:t>[4</w:t>
      </w:r>
      <w:r w:rsidR="00992AB6" w:rsidRPr="002D4502">
        <w:rPr>
          <w:rFonts w:ascii="Arial" w:hAnsi="Arial" w:cs="Arial"/>
          <w:sz w:val="20"/>
          <w:szCs w:val="20"/>
        </w:rPr>
        <w:t>4</w:t>
      </w:r>
      <w:bookmarkEnd w:id="61"/>
      <w:r w:rsidR="00EE6C0B" w:rsidRPr="002D4502">
        <w:rPr>
          <w:rFonts w:ascii="Arial" w:hAnsi="Arial" w:cs="Arial"/>
          <w:sz w:val="20"/>
          <w:szCs w:val="20"/>
        </w:rPr>
        <w:t>]</w:t>
      </w:r>
      <w:r w:rsidR="00023348" w:rsidRPr="002D4502">
        <w:rPr>
          <w:rFonts w:ascii="Arial" w:hAnsi="Arial" w:cs="Arial"/>
          <w:sz w:val="20"/>
          <w:szCs w:val="20"/>
        </w:rPr>
        <w:t xml:space="preserve">. Both organs are statutory: the VEMC, formed under the Forest Act No. 14 of 2002 </w:t>
      </w:r>
      <w:r w:rsidR="00EE6C0B" w:rsidRPr="002D4502">
        <w:rPr>
          <w:rFonts w:ascii="Arial" w:hAnsi="Arial" w:cs="Arial"/>
          <w:sz w:val="20"/>
          <w:szCs w:val="20"/>
        </w:rPr>
        <w:t>[2</w:t>
      </w:r>
      <w:r w:rsidR="0008476A" w:rsidRPr="002D4502">
        <w:rPr>
          <w:rFonts w:ascii="Arial" w:hAnsi="Arial" w:cs="Arial"/>
          <w:sz w:val="20"/>
          <w:szCs w:val="20"/>
        </w:rPr>
        <w:t>8</w:t>
      </w:r>
      <w:r w:rsidR="00EE6C0B" w:rsidRPr="002D4502">
        <w:rPr>
          <w:rFonts w:ascii="Arial" w:hAnsi="Arial" w:cs="Arial"/>
          <w:sz w:val="20"/>
          <w:szCs w:val="20"/>
        </w:rPr>
        <w:t>]</w:t>
      </w:r>
      <w:r w:rsidR="00023348" w:rsidRPr="002D4502">
        <w:rPr>
          <w:rFonts w:ascii="Arial" w:hAnsi="Arial" w:cs="Arial"/>
          <w:sz w:val="20"/>
          <w:szCs w:val="20"/>
        </w:rPr>
        <w:t xml:space="preserve">, and the MBUMTILU Sub-Catchment Water Users’ Association (WUAs) under the National Water Policy of 2002 </w:t>
      </w:r>
      <w:bookmarkStart w:id="62" w:name="_Hlk170844274"/>
      <w:r w:rsidR="00D947FA" w:rsidRPr="002D4502">
        <w:rPr>
          <w:rFonts w:ascii="Arial" w:hAnsi="Arial" w:cs="Arial"/>
          <w:sz w:val="20"/>
          <w:szCs w:val="20"/>
        </w:rPr>
        <w:t>[4</w:t>
      </w:r>
      <w:r w:rsidR="00992AB6" w:rsidRPr="002D4502">
        <w:rPr>
          <w:rFonts w:ascii="Arial" w:hAnsi="Arial" w:cs="Arial"/>
          <w:sz w:val="20"/>
          <w:szCs w:val="20"/>
        </w:rPr>
        <w:t>5</w:t>
      </w:r>
      <w:r w:rsidR="00D947FA" w:rsidRPr="002D4502">
        <w:rPr>
          <w:rFonts w:ascii="Arial" w:hAnsi="Arial" w:cs="Arial"/>
          <w:sz w:val="20"/>
          <w:szCs w:val="20"/>
        </w:rPr>
        <w:t>]</w:t>
      </w:r>
      <w:r w:rsidR="00023348" w:rsidRPr="002D4502">
        <w:rPr>
          <w:rFonts w:ascii="Arial" w:hAnsi="Arial" w:cs="Arial"/>
          <w:sz w:val="20"/>
          <w:szCs w:val="20"/>
        </w:rPr>
        <w:t>.</w:t>
      </w:r>
    </w:p>
    <w:bookmarkEnd w:id="62"/>
    <w:p w14:paraId="0CFB5354" w14:textId="2EF853F8" w:rsidR="0008358E" w:rsidRPr="002D4502" w:rsidRDefault="0008358E" w:rsidP="00BA086A">
      <w:pPr>
        <w:spacing w:line="240" w:lineRule="auto"/>
        <w:jc w:val="both"/>
        <w:rPr>
          <w:rFonts w:ascii="Arial" w:hAnsi="Arial" w:cs="Arial"/>
          <w:sz w:val="20"/>
          <w:szCs w:val="20"/>
        </w:rPr>
      </w:pPr>
      <w:r w:rsidRPr="002D4502">
        <w:rPr>
          <w:rFonts w:ascii="Arial" w:hAnsi="Arial" w:cs="Arial"/>
          <w:sz w:val="20"/>
          <w:szCs w:val="20"/>
        </w:rPr>
        <w:t xml:space="preserve">This study established that there were competing interests in the management of the </w:t>
      </w:r>
      <w:proofErr w:type="spellStart"/>
      <w:r w:rsidRPr="002D4502">
        <w:rPr>
          <w:rFonts w:ascii="Arial" w:hAnsi="Arial" w:cs="Arial"/>
          <w:sz w:val="20"/>
          <w:szCs w:val="20"/>
        </w:rPr>
        <w:t>Kilongo</w:t>
      </w:r>
      <w:proofErr w:type="spellEnd"/>
      <w:r w:rsidRPr="002D4502">
        <w:rPr>
          <w:rFonts w:ascii="Arial" w:hAnsi="Arial" w:cs="Arial"/>
          <w:sz w:val="20"/>
          <w:szCs w:val="20"/>
        </w:rPr>
        <w:t xml:space="preserve"> Forest Reserve, as different authorities had different objectives. According to the study survey, the VEMC faced administrative challenges in executing orders from various authorities during the implementation stage. For example, the District Forestry and Beekeeping Department provided 10 beehives to the VEMC, while the MBUMTILU provided the remaining 10 beehives, necessitating the beehive </w:t>
      </w:r>
      <w:r w:rsidRPr="002D4502">
        <w:rPr>
          <w:rFonts w:ascii="Arial" w:hAnsi="Arial" w:cs="Arial"/>
          <w:sz w:val="20"/>
          <w:szCs w:val="20"/>
        </w:rPr>
        <w:lastRenderedPageBreak/>
        <w:t xml:space="preserve">management to adhere to directives from two distinct entities with the potential to jeopardise the management of the </w:t>
      </w:r>
      <w:proofErr w:type="spellStart"/>
      <w:r w:rsidRPr="002D4502">
        <w:rPr>
          <w:rFonts w:ascii="Arial" w:hAnsi="Arial" w:cs="Arial"/>
          <w:sz w:val="20"/>
          <w:szCs w:val="20"/>
        </w:rPr>
        <w:t>Kilongo</w:t>
      </w:r>
      <w:proofErr w:type="spellEnd"/>
      <w:r w:rsidRPr="002D4502">
        <w:rPr>
          <w:rFonts w:ascii="Arial" w:hAnsi="Arial" w:cs="Arial"/>
          <w:sz w:val="20"/>
          <w:szCs w:val="20"/>
        </w:rPr>
        <w:t xml:space="preserve"> Forest Reserve.</w:t>
      </w:r>
    </w:p>
    <w:p w14:paraId="18008FE8" w14:textId="38321719" w:rsidR="00A86DE7" w:rsidRPr="002D4502" w:rsidRDefault="00E22BCE" w:rsidP="00BA086A">
      <w:pPr>
        <w:spacing w:line="240" w:lineRule="auto"/>
        <w:jc w:val="both"/>
        <w:rPr>
          <w:rFonts w:ascii="Arial" w:hAnsi="Arial" w:cs="Arial"/>
          <w:i/>
          <w:iCs/>
          <w:sz w:val="20"/>
          <w:szCs w:val="20"/>
        </w:rPr>
      </w:pPr>
      <w:r w:rsidRPr="002D4502">
        <w:rPr>
          <w:rStyle w:val="Emphasis"/>
          <w:rFonts w:ascii="Arial" w:hAnsi="Arial" w:cs="Arial"/>
          <w:sz w:val="20"/>
          <w:szCs w:val="20"/>
        </w:rPr>
        <w:t>Powers:</w:t>
      </w:r>
      <w:r w:rsidRPr="002D4502">
        <w:rPr>
          <w:rFonts w:ascii="Arial" w:hAnsi="Arial" w:cs="Arial"/>
          <w:sz w:val="20"/>
          <w:szCs w:val="20"/>
        </w:rPr>
        <w:t xml:space="preserve"> Interviews and discussion accounts reveal that decentralisation failed to empower VEMC through village council to have a say on all matters pertaining to resource management, allocation, and distribution in the village. This is because the VEMC did not have the ability to determine the use of forest products (honey) or the capacity to enforce regulations. The study established that there were two power centres acting in the management of </w:t>
      </w:r>
      <w:proofErr w:type="spellStart"/>
      <w:r w:rsidRPr="002D4502">
        <w:rPr>
          <w:rFonts w:ascii="Arial" w:hAnsi="Arial" w:cs="Arial"/>
          <w:sz w:val="20"/>
          <w:szCs w:val="20"/>
        </w:rPr>
        <w:t>Kilongo</w:t>
      </w:r>
      <w:proofErr w:type="spellEnd"/>
      <w:r w:rsidRPr="002D4502">
        <w:rPr>
          <w:rFonts w:ascii="Arial" w:hAnsi="Arial" w:cs="Arial"/>
          <w:sz w:val="20"/>
          <w:szCs w:val="20"/>
        </w:rPr>
        <w:t xml:space="preserve"> Forest Reserve: the VEMC and Mzee </w:t>
      </w:r>
      <w:proofErr w:type="spellStart"/>
      <w:r w:rsidRPr="002D4502">
        <w:rPr>
          <w:rFonts w:ascii="Arial" w:hAnsi="Arial" w:cs="Arial"/>
          <w:sz w:val="20"/>
          <w:szCs w:val="20"/>
        </w:rPr>
        <w:t>Msigala</w:t>
      </w:r>
      <w:proofErr w:type="spellEnd"/>
      <w:r w:rsidRPr="002D4502">
        <w:rPr>
          <w:rFonts w:ascii="Arial" w:hAnsi="Arial" w:cs="Arial"/>
          <w:sz w:val="20"/>
          <w:szCs w:val="20"/>
        </w:rPr>
        <w:t xml:space="preserve"> (pseudo name), who was also a member of the VEMC and a conservationist by nature. The village council vested the VEMC with the power to develop bylaws on behalf of the village assembly and enforce regulations </w:t>
      </w:r>
      <w:r w:rsidR="00EE6C0B" w:rsidRPr="002D4502">
        <w:rPr>
          <w:rFonts w:ascii="Arial" w:hAnsi="Arial" w:cs="Arial"/>
          <w:sz w:val="20"/>
          <w:szCs w:val="20"/>
        </w:rPr>
        <w:t>[2</w:t>
      </w:r>
      <w:r w:rsidR="00992AB6" w:rsidRPr="002D4502">
        <w:rPr>
          <w:rFonts w:ascii="Arial" w:hAnsi="Arial" w:cs="Arial"/>
          <w:sz w:val="20"/>
          <w:szCs w:val="20"/>
        </w:rPr>
        <w:t>8</w:t>
      </w:r>
      <w:r w:rsidR="00EE6C0B" w:rsidRPr="002D4502">
        <w:rPr>
          <w:rFonts w:ascii="Arial" w:hAnsi="Arial" w:cs="Arial"/>
          <w:sz w:val="20"/>
          <w:szCs w:val="20"/>
        </w:rPr>
        <w:t>]</w:t>
      </w:r>
      <w:r w:rsidRPr="002D4502">
        <w:rPr>
          <w:rFonts w:ascii="Arial" w:hAnsi="Arial" w:cs="Arial"/>
          <w:sz w:val="20"/>
          <w:szCs w:val="20"/>
        </w:rPr>
        <w:t xml:space="preserve">. However, the study established that, despite </w:t>
      </w:r>
      <w:proofErr w:type="spellStart"/>
      <w:r w:rsidRPr="002D4502">
        <w:rPr>
          <w:rFonts w:ascii="Arial" w:hAnsi="Arial" w:cs="Arial"/>
          <w:sz w:val="20"/>
          <w:szCs w:val="20"/>
        </w:rPr>
        <w:t>Kilongo</w:t>
      </w:r>
      <w:proofErr w:type="spellEnd"/>
      <w:r w:rsidRPr="002D4502">
        <w:rPr>
          <w:rFonts w:ascii="Arial" w:hAnsi="Arial" w:cs="Arial"/>
          <w:sz w:val="20"/>
          <w:szCs w:val="20"/>
        </w:rPr>
        <w:t xml:space="preserve"> Forest Reserve management having formulated the VEMC, it was powerless and not functioning.</w:t>
      </w:r>
    </w:p>
    <w:p w14:paraId="32685E10" w14:textId="166CE0A9" w:rsidR="00E22BCE" w:rsidRPr="002D4502" w:rsidRDefault="00347235" w:rsidP="00BA086A">
      <w:pPr>
        <w:spacing w:line="240" w:lineRule="auto"/>
        <w:jc w:val="both"/>
        <w:rPr>
          <w:rFonts w:ascii="Arial" w:hAnsi="Arial" w:cs="Arial"/>
          <w:sz w:val="20"/>
          <w:szCs w:val="20"/>
        </w:rPr>
      </w:pPr>
      <w:r w:rsidRPr="002D4502">
        <w:rPr>
          <w:rFonts w:ascii="Arial" w:hAnsi="Arial" w:cs="Arial"/>
          <w:sz w:val="20"/>
          <w:szCs w:val="20"/>
        </w:rPr>
        <w:t xml:space="preserve">Instead, Mzee </w:t>
      </w:r>
      <w:proofErr w:type="spellStart"/>
      <w:r w:rsidRPr="002D4502">
        <w:rPr>
          <w:rFonts w:ascii="Arial" w:hAnsi="Arial" w:cs="Arial"/>
          <w:sz w:val="20"/>
          <w:szCs w:val="20"/>
        </w:rPr>
        <w:t>Msigala</w:t>
      </w:r>
      <w:proofErr w:type="spellEnd"/>
      <w:r w:rsidRPr="002D4502">
        <w:rPr>
          <w:rFonts w:ascii="Arial" w:hAnsi="Arial" w:cs="Arial"/>
          <w:sz w:val="20"/>
          <w:szCs w:val="20"/>
        </w:rPr>
        <w:t xml:space="preserve"> took on the role of managing the </w:t>
      </w:r>
      <w:proofErr w:type="spellStart"/>
      <w:r w:rsidRPr="002D4502">
        <w:rPr>
          <w:rFonts w:ascii="Arial" w:hAnsi="Arial" w:cs="Arial"/>
          <w:sz w:val="20"/>
          <w:szCs w:val="20"/>
        </w:rPr>
        <w:t>Kilongo</w:t>
      </w:r>
      <w:proofErr w:type="spellEnd"/>
      <w:r w:rsidRPr="002D4502">
        <w:rPr>
          <w:rFonts w:ascii="Arial" w:hAnsi="Arial" w:cs="Arial"/>
          <w:sz w:val="20"/>
          <w:szCs w:val="20"/>
        </w:rPr>
        <w:t xml:space="preserve"> Forest Reserve. This is because other members of the VEMC decided to step aside after realising that Mzee </w:t>
      </w:r>
      <w:proofErr w:type="spellStart"/>
      <w:r w:rsidRPr="002D4502">
        <w:rPr>
          <w:rFonts w:ascii="Arial" w:hAnsi="Arial" w:cs="Arial"/>
          <w:sz w:val="20"/>
          <w:szCs w:val="20"/>
        </w:rPr>
        <w:t>Msigala</w:t>
      </w:r>
      <w:proofErr w:type="spellEnd"/>
      <w:r w:rsidRPr="002D4502">
        <w:rPr>
          <w:rFonts w:ascii="Arial" w:hAnsi="Arial" w:cs="Arial"/>
          <w:sz w:val="20"/>
          <w:szCs w:val="20"/>
        </w:rPr>
        <w:t xml:space="preserve"> was too vocal and centralised the VEMC's decisions. It reached a point where Mzee </w:t>
      </w:r>
      <w:proofErr w:type="spellStart"/>
      <w:r w:rsidRPr="002D4502">
        <w:rPr>
          <w:rFonts w:ascii="Arial" w:hAnsi="Arial" w:cs="Arial"/>
          <w:sz w:val="20"/>
          <w:szCs w:val="20"/>
        </w:rPr>
        <w:t>Msigala</w:t>
      </w:r>
      <w:proofErr w:type="spellEnd"/>
      <w:r w:rsidRPr="002D4502">
        <w:rPr>
          <w:rFonts w:ascii="Arial" w:hAnsi="Arial" w:cs="Arial"/>
          <w:sz w:val="20"/>
          <w:szCs w:val="20"/>
        </w:rPr>
        <w:t xml:space="preserve"> was even harvesting honey from the communal beehives without consulting other VEMC members, as was the tradition.</w:t>
      </w:r>
      <w:r w:rsidR="00832FB7" w:rsidRPr="002D4502">
        <w:rPr>
          <w:rFonts w:ascii="Arial" w:hAnsi="Arial" w:cs="Arial"/>
          <w:sz w:val="20"/>
          <w:szCs w:val="20"/>
        </w:rPr>
        <w:t xml:space="preserve"> It was noted that</w:t>
      </w:r>
      <w:r w:rsidRPr="002D4502">
        <w:rPr>
          <w:rFonts w:ascii="Arial" w:hAnsi="Arial" w:cs="Arial"/>
          <w:sz w:val="20"/>
          <w:szCs w:val="20"/>
        </w:rPr>
        <w:t>, he</w:t>
      </w:r>
      <w:r w:rsidR="00832FB7" w:rsidRPr="002D4502">
        <w:rPr>
          <w:rFonts w:ascii="Arial" w:hAnsi="Arial" w:cs="Arial"/>
          <w:sz w:val="20"/>
          <w:szCs w:val="20"/>
        </w:rPr>
        <w:t xml:space="preserve"> was</w:t>
      </w:r>
      <w:r w:rsidRPr="002D4502">
        <w:rPr>
          <w:rFonts w:ascii="Arial" w:hAnsi="Arial" w:cs="Arial"/>
          <w:sz w:val="20"/>
          <w:szCs w:val="20"/>
        </w:rPr>
        <w:t xml:space="preserve"> not remit</w:t>
      </w:r>
      <w:r w:rsidR="00832FB7" w:rsidRPr="002D4502">
        <w:rPr>
          <w:rFonts w:ascii="Arial" w:hAnsi="Arial" w:cs="Arial"/>
          <w:sz w:val="20"/>
          <w:szCs w:val="20"/>
        </w:rPr>
        <w:t>ting</w:t>
      </w:r>
      <w:r w:rsidRPr="002D4502">
        <w:rPr>
          <w:rFonts w:ascii="Arial" w:hAnsi="Arial" w:cs="Arial"/>
          <w:sz w:val="20"/>
          <w:szCs w:val="20"/>
        </w:rPr>
        <w:t xml:space="preserve"> any dues from honey sales to the village government. Furthermore, VEMC accused Mzee </w:t>
      </w:r>
      <w:proofErr w:type="spellStart"/>
      <w:r w:rsidRPr="002D4502">
        <w:rPr>
          <w:rFonts w:ascii="Arial" w:hAnsi="Arial" w:cs="Arial"/>
          <w:sz w:val="20"/>
          <w:szCs w:val="20"/>
        </w:rPr>
        <w:t>Msigala</w:t>
      </w:r>
      <w:proofErr w:type="spellEnd"/>
      <w:r w:rsidRPr="002D4502">
        <w:rPr>
          <w:rFonts w:ascii="Arial" w:hAnsi="Arial" w:cs="Arial"/>
          <w:sz w:val="20"/>
          <w:szCs w:val="20"/>
        </w:rPr>
        <w:t xml:space="preserve"> of seizing its honey harvesting facilities, which included a special jacket and some containers.</w:t>
      </w:r>
      <w:r w:rsidR="00891680" w:rsidRPr="002D4502">
        <w:rPr>
          <w:rFonts w:ascii="Arial" w:hAnsi="Arial" w:cs="Arial"/>
          <w:sz w:val="20"/>
          <w:szCs w:val="20"/>
        </w:rPr>
        <w:t xml:space="preserve"> Ultimately, there was no collaborative decision-making for the forest resource management.</w:t>
      </w:r>
    </w:p>
    <w:p w14:paraId="62085769" w14:textId="00375DD1" w:rsidR="00673FAB" w:rsidRPr="002D4502" w:rsidRDefault="008D399B" w:rsidP="00BA086A">
      <w:pPr>
        <w:spacing w:line="240" w:lineRule="auto"/>
        <w:jc w:val="both"/>
        <w:rPr>
          <w:rFonts w:ascii="Arial" w:hAnsi="Arial" w:cs="Arial"/>
          <w:sz w:val="20"/>
          <w:szCs w:val="20"/>
        </w:rPr>
      </w:pPr>
      <w:r w:rsidRPr="002D4502">
        <w:rPr>
          <w:rFonts w:ascii="Arial" w:hAnsi="Arial" w:cs="Arial"/>
          <w:i/>
          <w:iCs/>
          <w:sz w:val="20"/>
          <w:szCs w:val="20"/>
        </w:rPr>
        <w:t>Accountability</w:t>
      </w:r>
      <w:r w:rsidRPr="002D4502">
        <w:rPr>
          <w:rFonts w:ascii="Arial" w:hAnsi="Arial" w:cs="Arial"/>
          <w:sz w:val="20"/>
          <w:szCs w:val="20"/>
        </w:rPr>
        <w:t xml:space="preserve">: </w:t>
      </w:r>
      <w:r w:rsidR="00347235" w:rsidRPr="002D4502">
        <w:rPr>
          <w:rFonts w:ascii="Arial" w:hAnsi="Arial" w:cs="Arial"/>
          <w:sz w:val="20"/>
          <w:szCs w:val="20"/>
        </w:rPr>
        <w:t xml:space="preserve">While villagers elected VEMC members in the village assembly meeting, interviews and discussion accounts reveal their inability to hold VEMC members accountable and responsible for their actions. This happened when Mzee </w:t>
      </w:r>
      <w:proofErr w:type="spellStart"/>
      <w:r w:rsidR="00347235" w:rsidRPr="002D4502">
        <w:rPr>
          <w:rFonts w:ascii="Arial" w:hAnsi="Arial" w:cs="Arial"/>
          <w:sz w:val="20"/>
          <w:szCs w:val="20"/>
        </w:rPr>
        <w:t>Msigala</w:t>
      </w:r>
      <w:proofErr w:type="spellEnd"/>
      <w:r w:rsidR="00347235" w:rsidRPr="002D4502">
        <w:rPr>
          <w:rFonts w:ascii="Arial" w:hAnsi="Arial" w:cs="Arial"/>
          <w:sz w:val="20"/>
          <w:szCs w:val="20"/>
        </w:rPr>
        <w:t xml:space="preserve"> was harvesting honey from the communal beehives and contributing nothing to the village government. The situation demotivated conservation efforts, leading the villagers to stop participating in the CBFM activities.</w:t>
      </w:r>
    </w:p>
    <w:p w14:paraId="2C09657F" w14:textId="4270ECF2" w:rsidR="004E251F" w:rsidRPr="002D4502" w:rsidRDefault="00D1399A" w:rsidP="00BA086A">
      <w:pPr>
        <w:spacing w:line="240" w:lineRule="auto"/>
        <w:jc w:val="both"/>
        <w:rPr>
          <w:rFonts w:ascii="Arial" w:hAnsi="Arial" w:cs="Arial"/>
          <w:sz w:val="20"/>
          <w:szCs w:val="20"/>
        </w:rPr>
      </w:pPr>
      <w:r w:rsidRPr="002D4502">
        <w:rPr>
          <w:rFonts w:ascii="Arial" w:hAnsi="Arial" w:cs="Arial"/>
          <w:sz w:val="20"/>
          <w:szCs w:val="20"/>
        </w:rPr>
        <w:t xml:space="preserve">These findings imply that, </w:t>
      </w:r>
      <w:bookmarkStart w:id="63" w:name="_Hlk170651778"/>
      <w:r w:rsidRPr="002D4502">
        <w:rPr>
          <w:rFonts w:ascii="Arial" w:hAnsi="Arial" w:cs="Arial"/>
          <w:sz w:val="20"/>
          <w:szCs w:val="20"/>
        </w:rPr>
        <w:t xml:space="preserve">despite the existence of rules and regulations that govern the management of </w:t>
      </w:r>
      <w:proofErr w:type="spellStart"/>
      <w:r w:rsidRPr="002D4502">
        <w:rPr>
          <w:rFonts w:ascii="Arial" w:hAnsi="Arial" w:cs="Arial"/>
          <w:sz w:val="20"/>
          <w:szCs w:val="20"/>
        </w:rPr>
        <w:t>Kilongo</w:t>
      </w:r>
      <w:proofErr w:type="spellEnd"/>
      <w:r w:rsidRPr="002D4502">
        <w:rPr>
          <w:rFonts w:ascii="Arial" w:hAnsi="Arial" w:cs="Arial"/>
          <w:sz w:val="20"/>
          <w:szCs w:val="20"/>
        </w:rPr>
        <w:t xml:space="preserve"> Forest Reserve under CBFM, its effectiveness remains questionable. This is because of the involvement of numerous actors, the presence of multiple power centres, and a VEMC that was neither accountable to the villagers nor under their control. Similarly, the presence of inequality in cost and benefit sharing was not instrumental in empowering villagers' involvement in </w:t>
      </w:r>
      <w:proofErr w:type="spellStart"/>
      <w:r w:rsidRPr="002D4502">
        <w:rPr>
          <w:rFonts w:ascii="Arial" w:hAnsi="Arial" w:cs="Arial"/>
          <w:sz w:val="20"/>
          <w:szCs w:val="20"/>
        </w:rPr>
        <w:t>Kilongo</w:t>
      </w:r>
      <w:proofErr w:type="spellEnd"/>
      <w:r w:rsidRPr="002D4502">
        <w:rPr>
          <w:rFonts w:ascii="Arial" w:hAnsi="Arial" w:cs="Arial"/>
          <w:sz w:val="20"/>
          <w:szCs w:val="20"/>
        </w:rPr>
        <w:t xml:space="preserve"> Forest Reserve management.</w:t>
      </w:r>
      <w:bookmarkEnd w:id="63"/>
      <w:r w:rsidR="001F3BDF" w:rsidRPr="002D4502">
        <w:rPr>
          <w:rFonts w:ascii="Arial" w:hAnsi="Arial" w:cs="Arial"/>
          <w:sz w:val="20"/>
          <w:szCs w:val="20"/>
        </w:rPr>
        <w:t xml:space="preserve"> Contrary to popular belief, CBFM is well known for its ability to enhance the social and economic circumstances of those who depend on forests, impacting both forest management and governance </w:t>
      </w:r>
      <w:r w:rsidR="00EE6C0B" w:rsidRPr="002D4502">
        <w:rPr>
          <w:rFonts w:ascii="Arial" w:hAnsi="Arial" w:cs="Arial"/>
          <w:sz w:val="20"/>
          <w:szCs w:val="20"/>
        </w:rPr>
        <w:t>[1</w:t>
      </w:r>
      <w:r w:rsidR="0008476A" w:rsidRPr="002D4502">
        <w:rPr>
          <w:rFonts w:ascii="Arial" w:hAnsi="Arial" w:cs="Arial"/>
          <w:sz w:val="20"/>
          <w:szCs w:val="20"/>
        </w:rPr>
        <w:t>8</w:t>
      </w:r>
      <w:r w:rsidR="00FF4E8E">
        <w:rPr>
          <w:rFonts w:ascii="Arial" w:hAnsi="Arial" w:cs="Arial"/>
          <w:sz w:val="20"/>
          <w:szCs w:val="20"/>
        </w:rPr>
        <w:t xml:space="preserve">, </w:t>
      </w:r>
      <w:r w:rsidR="0008476A" w:rsidRPr="002D4502">
        <w:rPr>
          <w:rFonts w:ascii="Arial" w:hAnsi="Arial" w:cs="Arial"/>
          <w:sz w:val="20"/>
          <w:szCs w:val="20"/>
        </w:rPr>
        <w:t>19</w:t>
      </w:r>
      <w:bookmarkStart w:id="64" w:name="_Hlk170844357"/>
      <w:r w:rsidR="00FF4E8E">
        <w:rPr>
          <w:rFonts w:ascii="Arial" w:hAnsi="Arial" w:cs="Arial"/>
          <w:sz w:val="20"/>
          <w:szCs w:val="20"/>
        </w:rPr>
        <w:t xml:space="preserve">, </w:t>
      </w:r>
      <w:r w:rsidR="00EE6C0B" w:rsidRPr="002D4502">
        <w:rPr>
          <w:rFonts w:ascii="Arial" w:hAnsi="Arial" w:cs="Arial"/>
          <w:sz w:val="20"/>
          <w:szCs w:val="20"/>
        </w:rPr>
        <w:t>4</w:t>
      </w:r>
      <w:r w:rsidR="0008476A" w:rsidRPr="002D4502">
        <w:rPr>
          <w:rFonts w:ascii="Arial" w:hAnsi="Arial" w:cs="Arial"/>
          <w:sz w:val="20"/>
          <w:szCs w:val="20"/>
        </w:rPr>
        <w:t>6</w:t>
      </w:r>
      <w:r w:rsidR="00433F2E">
        <w:rPr>
          <w:rFonts w:ascii="Arial" w:hAnsi="Arial" w:cs="Arial"/>
          <w:sz w:val="20"/>
          <w:szCs w:val="20"/>
        </w:rPr>
        <w:t>,</w:t>
      </w:r>
      <w:r w:rsidR="00F06CE5" w:rsidRPr="002D4502">
        <w:rPr>
          <w:rFonts w:ascii="Arial" w:hAnsi="Arial" w:cs="Arial"/>
          <w:sz w:val="20"/>
          <w:szCs w:val="20"/>
        </w:rPr>
        <w:t xml:space="preserve"> </w:t>
      </w:r>
      <w:r w:rsidR="00EE6C0B" w:rsidRPr="002D4502">
        <w:rPr>
          <w:rFonts w:ascii="Arial" w:hAnsi="Arial" w:cs="Arial"/>
          <w:sz w:val="20"/>
          <w:szCs w:val="20"/>
        </w:rPr>
        <w:t>4</w:t>
      </w:r>
      <w:r w:rsidR="0008476A" w:rsidRPr="002D4502">
        <w:rPr>
          <w:rFonts w:ascii="Arial" w:hAnsi="Arial" w:cs="Arial"/>
          <w:sz w:val="20"/>
          <w:szCs w:val="20"/>
        </w:rPr>
        <w:t>7</w:t>
      </w:r>
      <w:bookmarkEnd w:id="64"/>
      <w:r w:rsidR="00D947FA" w:rsidRPr="002D4502">
        <w:rPr>
          <w:rFonts w:ascii="Arial" w:hAnsi="Arial" w:cs="Arial"/>
          <w:sz w:val="20"/>
          <w:szCs w:val="20"/>
        </w:rPr>
        <w:t>]</w:t>
      </w:r>
      <w:r w:rsidR="001F3BDF" w:rsidRPr="002D4502">
        <w:rPr>
          <w:rFonts w:ascii="Arial" w:hAnsi="Arial" w:cs="Arial"/>
          <w:sz w:val="20"/>
          <w:szCs w:val="20"/>
        </w:rPr>
        <w:t xml:space="preserve">. </w:t>
      </w:r>
    </w:p>
    <w:p w14:paraId="1CF7DB9C" w14:textId="65DFFD70" w:rsidR="00455EAE" w:rsidRPr="002D4502" w:rsidRDefault="00455EAE" w:rsidP="00BA086A">
      <w:pPr>
        <w:pStyle w:val="ListParagraph"/>
        <w:numPr>
          <w:ilvl w:val="0"/>
          <w:numId w:val="1"/>
        </w:numPr>
        <w:spacing w:line="240" w:lineRule="auto"/>
        <w:jc w:val="both"/>
        <w:rPr>
          <w:rFonts w:ascii="Arial" w:hAnsi="Arial" w:cs="Arial"/>
          <w:b/>
          <w:bCs/>
          <w:lang w:val="en-US"/>
        </w:rPr>
      </w:pPr>
      <w:r w:rsidRPr="002D4502">
        <w:rPr>
          <w:rFonts w:ascii="Arial" w:hAnsi="Arial" w:cs="Arial"/>
          <w:b/>
          <w:bCs/>
          <w:lang w:val="en-US"/>
        </w:rPr>
        <w:t>CONCLUSION</w:t>
      </w:r>
    </w:p>
    <w:p w14:paraId="0BD4EA05" w14:textId="7F1FEE3C" w:rsidR="003C0976" w:rsidRPr="002D4502" w:rsidRDefault="003C0976" w:rsidP="00BA086A">
      <w:pPr>
        <w:spacing w:line="240" w:lineRule="auto"/>
        <w:jc w:val="both"/>
        <w:rPr>
          <w:rFonts w:ascii="Arial" w:hAnsi="Arial" w:cs="Arial"/>
          <w:sz w:val="20"/>
          <w:szCs w:val="20"/>
          <w:lang w:val="en-US"/>
        </w:rPr>
      </w:pPr>
      <w:r w:rsidRPr="002D4502">
        <w:rPr>
          <w:rFonts w:ascii="Arial" w:hAnsi="Arial" w:cs="Arial"/>
          <w:sz w:val="20"/>
          <w:szCs w:val="20"/>
          <w:lang w:val="en-US"/>
        </w:rPr>
        <w:t xml:space="preserve">This paper aimed to assess </w:t>
      </w:r>
      <w:proofErr w:type="spellStart"/>
      <w:r w:rsidRPr="002D4502">
        <w:rPr>
          <w:rFonts w:ascii="Arial" w:hAnsi="Arial" w:cs="Arial"/>
          <w:sz w:val="20"/>
          <w:szCs w:val="20"/>
          <w:lang w:val="en-US"/>
        </w:rPr>
        <w:t>Kilongo</w:t>
      </w:r>
      <w:proofErr w:type="spellEnd"/>
      <w:r w:rsidRPr="002D4502">
        <w:rPr>
          <w:rFonts w:ascii="Arial" w:hAnsi="Arial" w:cs="Arial"/>
          <w:sz w:val="20"/>
          <w:szCs w:val="20"/>
          <w:lang w:val="en-US"/>
        </w:rPr>
        <w:t xml:space="preserve"> Forest Reserve's sustainability under community-based forest management in </w:t>
      </w:r>
      <w:proofErr w:type="spellStart"/>
      <w:r w:rsidRPr="002D4502">
        <w:rPr>
          <w:rFonts w:ascii="Arial" w:hAnsi="Arial" w:cs="Arial"/>
          <w:sz w:val="20"/>
          <w:szCs w:val="20"/>
          <w:lang w:val="en-US"/>
        </w:rPr>
        <w:t>Wangingómbe</w:t>
      </w:r>
      <w:proofErr w:type="spellEnd"/>
      <w:r w:rsidRPr="002D4502">
        <w:rPr>
          <w:rFonts w:ascii="Arial" w:hAnsi="Arial" w:cs="Arial"/>
          <w:sz w:val="20"/>
          <w:szCs w:val="20"/>
          <w:lang w:val="en-US"/>
        </w:rPr>
        <w:t xml:space="preserve"> District, </w:t>
      </w:r>
      <w:proofErr w:type="spellStart"/>
      <w:r w:rsidRPr="002D4502">
        <w:rPr>
          <w:rFonts w:ascii="Arial" w:hAnsi="Arial" w:cs="Arial"/>
          <w:sz w:val="20"/>
          <w:szCs w:val="20"/>
          <w:lang w:val="en-US"/>
        </w:rPr>
        <w:t>Njombe</w:t>
      </w:r>
      <w:proofErr w:type="spellEnd"/>
      <w:r w:rsidRPr="002D4502">
        <w:rPr>
          <w:rFonts w:ascii="Arial" w:hAnsi="Arial" w:cs="Arial"/>
          <w:sz w:val="20"/>
          <w:szCs w:val="20"/>
          <w:lang w:val="en-US"/>
        </w:rPr>
        <w:t xml:space="preserve"> Region, Tanzania. Both probability and non-probability approaches were used. The paper concluded that CBFM was effective but not sustainable. First, the paper linked the CBFM to improved conditions in the </w:t>
      </w:r>
      <w:proofErr w:type="spellStart"/>
      <w:r w:rsidRPr="002D4502">
        <w:rPr>
          <w:rFonts w:ascii="Arial" w:hAnsi="Arial" w:cs="Arial"/>
          <w:sz w:val="20"/>
          <w:szCs w:val="20"/>
          <w:lang w:val="en-US"/>
        </w:rPr>
        <w:t>Kilongo</w:t>
      </w:r>
      <w:proofErr w:type="spellEnd"/>
      <w:r w:rsidRPr="002D4502">
        <w:rPr>
          <w:rFonts w:ascii="Arial" w:hAnsi="Arial" w:cs="Arial"/>
          <w:sz w:val="20"/>
          <w:szCs w:val="20"/>
          <w:lang w:val="en-US"/>
        </w:rPr>
        <w:t xml:space="preserve"> Forest Reserve. Enforcing rules and regulations and involving villagers in forest management helped achieve this. However, even with improved forest conditions, the livelihoods of the villagers did not improve.</w:t>
      </w:r>
    </w:p>
    <w:p w14:paraId="14CC2990" w14:textId="587F5D33" w:rsidR="008D19B6" w:rsidRPr="002D4502" w:rsidRDefault="008D19B6" w:rsidP="00BA086A">
      <w:pPr>
        <w:spacing w:line="240" w:lineRule="auto"/>
        <w:jc w:val="both"/>
        <w:rPr>
          <w:rFonts w:ascii="Arial" w:hAnsi="Arial" w:cs="Arial"/>
          <w:sz w:val="20"/>
          <w:szCs w:val="20"/>
          <w:lang w:val="en-US"/>
        </w:rPr>
      </w:pPr>
      <w:r w:rsidRPr="002D4502">
        <w:rPr>
          <w:rFonts w:ascii="Arial" w:hAnsi="Arial" w:cs="Arial"/>
          <w:sz w:val="20"/>
          <w:szCs w:val="20"/>
          <w:lang w:val="en-US"/>
        </w:rPr>
        <w:t xml:space="preserve">Second, the management of the </w:t>
      </w:r>
      <w:proofErr w:type="spellStart"/>
      <w:r w:rsidRPr="002D4502">
        <w:rPr>
          <w:rFonts w:ascii="Arial" w:hAnsi="Arial" w:cs="Arial"/>
          <w:sz w:val="20"/>
          <w:szCs w:val="20"/>
          <w:lang w:val="en-US"/>
        </w:rPr>
        <w:t>Kilongo</w:t>
      </w:r>
      <w:proofErr w:type="spellEnd"/>
      <w:r w:rsidRPr="002D4502">
        <w:rPr>
          <w:rFonts w:ascii="Arial" w:hAnsi="Arial" w:cs="Arial"/>
          <w:sz w:val="20"/>
          <w:szCs w:val="20"/>
          <w:lang w:val="en-US"/>
        </w:rPr>
        <w:t xml:space="preserve"> Forest Reserve under CBFM's control was not sustainable due to the involvement of multiple actors, the presence of numerous power </w:t>
      </w:r>
      <w:proofErr w:type="spellStart"/>
      <w:r w:rsidRPr="002D4502">
        <w:rPr>
          <w:rFonts w:ascii="Arial" w:hAnsi="Arial" w:cs="Arial"/>
          <w:sz w:val="20"/>
          <w:szCs w:val="20"/>
          <w:lang w:val="en-US"/>
        </w:rPr>
        <w:t>centres</w:t>
      </w:r>
      <w:proofErr w:type="spellEnd"/>
      <w:r w:rsidRPr="002D4502">
        <w:rPr>
          <w:rFonts w:ascii="Arial" w:hAnsi="Arial" w:cs="Arial"/>
          <w:sz w:val="20"/>
          <w:szCs w:val="20"/>
          <w:lang w:val="en-US"/>
        </w:rPr>
        <w:t xml:space="preserve">, and a village environmental management committee (VEMC) that was neither accountable to the villagers nor under their control. The other setback was the inequitable sharing of benefits among the villagers. Therefore, to ensure the sustainability of the </w:t>
      </w:r>
      <w:proofErr w:type="spellStart"/>
      <w:r w:rsidRPr="002D4502">
        <w:rPr>
          <w:rFonts w:ascii="Arial" w:hAnsi="Arial" w:cs="Arial"/>
          <w:sz w:val="20"/>
          <w:szCs w:val="20"/>
          <w:lang w:val="en-US"/>
        </w:rPr>
        <w:t>Kilongo</w:t>
      </w:r>
      <w:proofErr w:type="spellEnd"/>
      <w:r w:rsidRPr="002D4502">
        <w:rPr>
          <w:rFonts w:ascii="Arial" w:hAnsi="Arial" w:cs="Arial"/>
          <w:sz w:val="20"/>
          <w:szCs w:val="20"/>
          <w:lang w:val="en-US"/>
        </w:rPr>
        <w:t xml:space="preserve"> Forest Reserve under CBFM, the village assembly, through the village environmental management committee (VEMC), should take complete control of the forest reserve's management. </w:t>
      </w:r>
      <w:bookmarkStart w:id="65" w:name="_Hlk170864231"/>
      <w:r w:rsidRPr="002D4502">
        <w:rPr>
          <w:rFonts w:ascii="Arial" w:hAnsi="Arial" w:cs="Arial"/>
          <w:sz w:val="20"/>
          <w:szCs w:val="20"/>
          <w:lang w:val="en-US"/>
        </w:rPr>
        <w:t>Additionally, there is a need for the government to develop alternative sources of energy for the rural population, which depends on wood</w:t>
      </w:r>
      <w:bookmarkEnd w:id="65"/>
      <w:r w:rsidRPr="002D4502">
        <w:rPr>
          <w:rFonts w:ascii="Arial" w:hAnsi="Arial" w:cs="Arial"/>
          <w:sz w:val="20"/>
          <w:szCs w:val="20"/>
          <w:lang w:val="en-US"/>
        </w:rPr>
        <w:t>. Moreover, it is necessary to establish a management boundary between the Ministry of Natural Resources and Tourism and the Ministry of Water, as they have conflicting interests.</w:t>
      </w:r>
    </w:p>
    <w:p w14:paraId="011F96C3" w14:textId="77777777" w:rsidR="00630398" w:rsidRDefault="00630398" w:rsidP="00BA086A">
      <w:pPr>
        <w:spacing w:line="240" w:lineRule="auto"/>
        <w:jc w:val="both"/>
        <w:rPr>
          <w:rFonts w:ascii="Arial" w:hAnsi="Arial" w:cs="Arial"/>
          <w:b/>
          <w:bCs/>
          <w:lang w:val="en-US"/>
        </w:rPr>
      </w:pPr>
    </w:p>
    <w:p w14:paraId="4C2081B0" w14:textId="520E13EF" w:rsidR="001174A1" w:rsidRPr="002D4502" w:rsidRDefault="001174A1" w:rsidP="00BA086A">
      <w:pPr>
        <w:spacing w:line="240" w:lineRule="auto"/>
        <w:jc w:val="both"/>
        <w:rPr>
          <w:rFonts w:ascii="Arial" w:hAnsi="Arial" w:cs="Arial"/>
          <w:b/>
          <w:bCs/>
          <w:lang w:val="en-US"/>
        </w:rPr>
      </w:pPr>
      <w:r w:rsidRPr="002D4502">
        <w:rPr>
          <w:rFonts w:ascii="Arial" w:hAnsi="Arial" w:cs="Arial"/>
          <w:b/>
          <w:bCs/>
          <w:lang w:val="en-US"/>
        </w:rPr>
        <w:t>REFERENCES</w:t>
      </w:r>
    </w:p>
    <w:p w14:paraId="0DB81FCD" w14:textId="3C4726A4" w:rsidR="0008476A" w:rsidRPr="00563FB7" w:rsidRDefault="00812B29" w:rsidP="00BA086A">
      <w:pPr>
        <w:pStyle w:val="ListParagraph"/>
        <w:numPr>
          <w:ilvl w:val="0"/>
          <w:numId w:val="3"/>
        </w:numPr>
        <w:spacing w:line="240" w:lineRule="auto"/>
        <w:jc w:val="both"/>
        <w:rPr>
          <w:rFonts w:ascii="Arial" w:hAnsi="Arial" w:cs="Arial"/>
          <w:sz w:val="20"/>
          <w:szCs w:val="20"/>
          <w:lang w:val="en-US"/>
        </w:rPr>
      </w:pPr>
      <w:proofErr w:type="spellStart"/>
      <w:r w:rsidRPr="00563FB7">
        <w:rPr>
          <w:rFonts w:ascii="Arial" w:hAnsi="Arial" w:cs="Arial"/>
          <w:sz w:val="20"/>
          <w:szCs w:val="20"/>
          <w:lang w:val="en-US"/>
        </w:rPr>
        <w:t>Xofis</w:t>
      </w:r>
      <w:proofErr w:type="spellEnd"/>
      <w:r w:rsidRPr="00563FB7">
        <w:rPr>
          <w:rFonts w:ascii="Arial" w:hAnsi="Arial" w:cs="Arial"/>
          <w:sz w:val="20"/>
          <w:szCs w:val="20"/>
          <w:lang w:val="en-US"/>
        </w:rPr>
        <w:t xml:space="preserve"> P</w:t>
      </w:r>
      <w:r w:rsidR="000E41B1">
        <w:rPr>
          <w:rFonts w:ascii="Arial" w:hAnsi="Arial" w:cs="Arial"/>
          <w:sz w:val="20"/>
          <w:szCs w:val="20"/>
          <w:lang w:val="en-US"/>
        </w:rPr>
        <w:t>,</w:t>
      </w:r>
      <w:r w:rsidRPr="00563FB7">
        <w:rPr>
          <w:rFonts w:ascii="Arial" w:hAnsi="Arial" w:cs="Arial"/>
          <w:sz w:val="20"/>
          <w:szCs w:val="20"/>
          <w:lang w:val="en-US"/>
        </w:rPr>
        <w:t xml:space="preserve"> Kefalas</w:t>
      </w:r>
      <w:r w:rsidR="000E41B1">
        <w:rPr>
          <w:rFonts w:ascii="Arial" w:hAnsi="Arial" w:cs="Arial"/>
          <w:sz w:val="20"/>
          <w:szCs w:val="20"/>
          <w:lang w:val="en-US"/>
        </w:rPr>
        <w:t xml:space="preserve"> </w:t>
      </w:r>
      <w:r w:rsidRPr="00563FB7">
        <w:rPr>
          <w:rFonts w:ascii="Arial" w:hAnsi="Arial" w:cs="Arial"/>
          <w:sz w:val="20"/>
          <w:szCs w:val="20"/>
          <w:lang w:val="en-US"/>
        </w:rPr>
        <w:t>G</w:t>
      </w:r>
      <w:r w:rsidR="000E41B1">
        <w:rPr>
          <w:rFonts w:ascii="Arial" w:hAnsi="Arial" w:cs="Arial"/>
          <w:sz w:val="20"/>
          <w:szCs w:val="20"/>
          <w:lang w:val="en-US"/>
        </w:rPr>
        <w:t>,</w:t>
      </w:r>
      <w:r w:rsidRPr="00563FB7">
        <w:rPr>
          <w:rFonts w:ascii="Arial" w:hAnsi="Arial" w:cs="Arial"/>
          <w:sz w:val="20"/>
          <w:szCs w:val="20"/>
          <w:lang w:val="en-US"/>
        </w:rPr>
        <w:t xml:space="preserve"> </w:t>
      </w:r>
      <w:proofErr w:type="spellStart"/>
      <w:r w:rsidRPr="00563FB7">
        <w:rPr>
          <w:rFonts w:ascii="Arial" w:hAnsi="Arial" w:cs="Arial"/>
          <w:sz w:val="20"/>
          <w:szCs w:val="20"/>
          <w:lang w:val="en-US"/>
        </w:rPr>
        <w:t>Poirazidis</w:t>
      </w:r>
      <w:proofErr w:type="spellEnd"/>
      <w:r w:rsidRPr="00563FB7">
        <w:rPr>
          <w:rFonts w:ascii="Arial" w:hAnsi="Arial" w:cs="Arial"/>
          <w:sz w:val="20"/>
          <w:szCs w:val="20"/>
          <w:lang w:val="en-US"/>
        </w:rPr>
        <w:t xml:space="preserve"> K. Biodiversity and </w:t>
      </w:r>
      <w:r w:rsidR="000E41B1" w:rsidRPr="00563FB7">
        <w:rPr>
          <w:rFonts w:ascii="Arial" w:hAnsi="Arial" w:cs="Arial"/>
          <w:sz w:val="20"/>
          <w:szCs w:val="20"/>
          <w:lang w:val="en-US"/>
        </w:rPr>
        <w:t>conservation of forests</w:t>
      </w:r>
      <w:r w:rsidRPr="00563FB7">
        <w:rPr>
          <w:rFonts w:ascii="Arial" w:hAnsi="Arial" w:cs="Arial"/>
          <w:sz w:val="20"/>
          <w:szCs w:val="20"/>
          <w:lang w:val="en-US"/>
        </w:rPr>
        <w:t>. Forests</w:t>
      </w:r>
      <w:r w:rsidR="000E41B1">
        <w:rPr>
          <w:rFonts w:ascii="Arial" w:hAnsi="Arial" w:cs="Arial"/>
          <w:sz w:val="20"/>
          <w:szCs w:val="20"/>
          <w:lang w:val="en-US"/>
        </w:rPr>
        <w:t>.</w:t>
      </w:r>
      <w:r w:rsidRPr="00563FB7">
        <w:rPr>
          <w:rFonts w:ascii="Arial" w:hAnsi="Arial" w:cs="Arial"/>
          <w:sz w:val="20"/>
          <w:szCs w:val="20"/>
          <w:lang w:val="en-US"/>
        </w:rPr>
        <w:t xml:space="preserve"> 2023</w:t>
      </w:r>
      <w:r w:rsidR="000E41B1">
        <w:rPr>
          <w:rFonts w:ascii="Arial" w:hAnsi="Arial" w:cs="Arial"/>
          <w:sz w:val="20"/>
          <w:szCs w:val="20"/>
          <w:lang w:val="en-US"/>
        </w:rPr>
        <w:t>;</w:t>
      </w:r>
      <w:r w:rsidRPr="00563FB7">
        <w:rPr>
          <w:rFonts w:ascii="Arial" w:hAnsi="Arial" w:cs="Arial"/>
          <w:sz w:val="20"/>
          <w:szCs w:val="20"/>
          <w:lang w:val="en-US"/>
        </w:rPr>
        <w:t xml:space="preserve"> 14</w:t>
      </w:r>
      <w:r w:rsidR="000E41B1">
        <w:rPr>
          <w:rFonts w:ascii="Arial" w:hAnsi="Arial" w:cs="Arial"/>
          <w:sz w:val="20"/>
          <w:szCs w:val="20"/>
          <w:lang w:val="en-US"/>
        </w:rPr>
        <w:t>:</w:t>
      </w:r>
      <w:r w:rsidRPr="00563FB7">
        <w:rPr>
          <w:rFonts w:ascii="Arial" w:hAnsi="Arial" w:cs="Arial"/>
          <w:sz w:val="20"/>
          <w:szCs w:val="20"/>
          <w:lang w:val="en-US"/>
        </w:rPr>
        <w:t>1871. https://doi.org/10.3390/ f14091871</w:t>
      </w:r>
      <w:r w:rsidR="00975F2E">
        <w:rPr>
          <w:rFonts w:ascii="Arial" w:hAnsi="Arial" w:cs="Arial"/>
          <w:sz w:val="20"/>
          <w:szCs w:val="20"/>
          <w:lang w:val="en-US"/>
        </w:rPr>
        <w:t>.</w:t>
      </w:r>
    </w:p>
    <w:p w14:paraId="3A6AED0E" w14:textId="3B580F13" w:rsidR="0008476A" w:rsidRPr="00563FB7" w:rsidRDefault="0095494B"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lastRenderedPageBreak/>
        <w:t>Fichtner</w:t>
      </w:r>
      <w:r w:rsidR="000E41B1">
        <w:rPr>
          <w:rFonts w:ascii="Arial" w:hAnsi="Arial" w:cs="Arial"/>
          <w:sz w:val="20"/>
          <w:szCs w:val="20"/>
          <w:lang w:val="en-US"/>
        </w:rPr>
        <w:t xml:space="preserve"> </w:t>
      </w:r>
      <w:r w:rsidRPr="00563FB7">
        <w:rPr>
          <w:rFonts w:ascii="Arial" w:hAnsi="Arial" w:cs="Arial"/>
          <w:sz w:val="20"/>
          <w:szCs w:val="20"/>
          <w:lang w:val="en-US"/>
        </w:rPr>
        <w:t xml:space="preserve">A, </w:t>
      </w:r>
      <w:proofErr w:type="spellStart"/>
      <w:r w:rsidRPr="00563FB7">
        <w:rPr>
          <w:rFonts w:ascii="Arial" w:hAnsi="Arial" w:cs="Arial"/>
          <w:sz w:val="20"/>
          <w:szCs w:val="20"/>
          <w:lang w:val="en-US"/>
        </w:rPr>
        <w:t>Härdtle</w:t>
      </w:r>
      <w:proofErr w:type="spellEnd"/>
      <w:r w:rsidRPr="00563FB7">
        <w:rPr>
          <w:rFonts w:ascii="Arial" w:hAnsi="Arial" w:cs="Arial"/>
          <w:sz w:val="20"/>
          <w:szCs w:val="20"/>
          <w:lang w:val="en-US"/>
        </w:rPr>
        <w:t xml:space="preserve"> W. Forest Ecosystems: A </w:t>
      </w:r>
      <w:r w:rsidR="000E41B1" w:rsidRPr="00563FB7">
        <w:rPr>
          <w:rFonts w:ascii="Arial" w:hAnsi="Arial" w:cs="Arial"/>
          <w:sz w:val="20"/>
          <w:szCs w:val="20"/>
          <w:lang w:val="en-US"/>
        </w:rPr>
        <w:t>functional and biodiversity perspective</w:t>
      </w:r>
      <w:r w:rsidRPr="00563FB7">
        <w:rPr>
          <w:rFonts w:ascii="Arial" w:hAnsi="Arial" w:cs="Arial"/>
          <w:sz w:val="20"/>
          <w:szCs w:val="20"/>
          <w:lang w:val="en-US"/>
        </w:rPr>
        <w:t xml:space="preserve">. In: </w:t>
      </w:r>
      <w:proofErr w:type="spellStart"/>
      <w:r w:rsidRPr="00563FB7">
        <w:rPr>
          <w:rFonts w:ascii="Arial" w:hAnsi="Arial" w:cs="Arial"/>
          <w:sz w:val="20"/>
          <w:szCs w:val="20"/>
          <w:lang w:val="en-US"/>
        </w:rPr>
        <w:t>Hobohm</w:t>
      </w:r>
      <w:proofErr w:type="spellEnd"/>
      <w:r w:rsidRPr="00563FB7">
        <w:rPr>
          <w:rFonts w:ascii="Arial" w:hAnsi="Arial" w:cs="Arial"/>
          <w:sz w:val="20"/>
          <w:szCs w:val="20"/>
          <w:lang w:val="en-US"/>
        </w:rPr>
        <w:t xml:space="preserve"> C. (eds)</w:t>
      </w:r>
      <w:r w:rsidR="005D6F4F">
        <w:rPr>
          <w:rFonts w:ascii="Arial" w:hAnsi="Arial" w:cs="Arial"/>
          <w:sz w:val="20"/>
          <w:szCs w:val="20"/>
          <w:lang w:val="en-US"/>
        </w:rPr>
        <w:t xml:space="preserve">. </w:t>
      </w:r>
      <w:r w:rsidRPr="00563FB7">
        <w:rPr>
          <w:rFonts w:ascii="Arial" w:hAnsi="Arial" w:cs="Arial"/>
          <w:sz w:val="20"/>
          <w:szCs w:val="20"/>
          <w:lang w:val="en-US"/>
        </w:rPr>
        <w:t xml:space="preserve">Perspectives </w:t>
      </w:r>
      <w:r w:rsidR="005D6F4F" w:rsidRPr="00563FB7">
        <w:rPr>
          <w:rFonts w:ascii="Arial" w:hAnsi="Arial" w:cs="Arial"/>
          <w:sz w:val="20"/>
          <w:szCs w:val="20"/>
          <w:lang w:val="en-US"/>
        </w:rPr>
        <w:t>for biodiversity and ecosystems</w:t>
      </w:r>
      <w:r w:rsidRPr="00563FB7">
        <w:rPr>
          <w:rFonts w:ascii="Arial" w:hAnsi="Arial" w:cs="Arial"/>
          <w:sz w:val="20"/>
          <w:szCs w:val="20"/>
          <w:lang w:val="en-US"/>
        </w:rPr>
        <w:t xml:space="preserve">. Environmental </w:t>
      </w:r>
      <w:r w:rsidR="005D6F4F" w:rsidRPr="00563FB7">
        <w:rPr>
          <w:rFonts w:ascii="Arial" w:hAnsi="Arial" w:cs="Arial"/>
          <w:sz w:val="20"/>
          <w:szCs w:val="20"/>
          <w:lang w:val="en-US"/>
        </w:rPr>
        <w:t>challenges and solutions</w:t>
      </w:r>
      <w:r w:rsidRPr="00563FB7">
        <w:rPr>
          <w:rFonts w:ascii="Arial" w:hAnsi="Arial" w:cs="Arial"/>
          <w:sz w:val="20"/>
          <w:szCs w:val="20"/>
          <w:lang w:val="en-US"/>
        </w:rPr>
        <w:t>. Springer, Cham.</w:t>
      </w:r>
      <w:r w:rsidR="000E41B1" w:rsidRPr="000E41B1">
        <w:t xml:space="preserve"> </w:t>
      </w:r>
      <w:r w:rsidR="000E41B1" w:rsidRPr="000E41B1">
        <w:rPr>
          <w:rFonts w:ascii="Arial" w:hAnsi="Arial" w:cs="Arial"/>
          <w:sz w:val="20"/>
          <w:szCs w:val="20"/>
          <w:lang w:val="en-US"/>
        </w:rPr>
        <w:t>2021</w:t>
      </w:r>
      <w:r w:rsidR="000E41B1">
        <w:rPr>
          <w:rFonts w:ascii="Arial" w:hAnsi="Arial" w:cs="Arial"/>
          <w:sz w:val="20"/>
          <w:szCs w:val="20"/>
          <w:lang w:val="en-US"/>
        </w:rPr>
        <w:t xml:space="preserve">. </w:t>
      </w:r>
      <w:r w:rsidRPr="00563FB7">
        <w:rPr>
          <w:rFonts w:ascii="Arial" w:hAnsi="Arial" w:cs="Arial"/>
          <w:sz w:val="20"/>
          <w:szCs w:val="20"/>
          <w:lang w:val="en-US"/>
        </w:rPr>
        <w:t>https://doi.org/10.1007/978-3-030-57710-0_16</w:t>
      </w:r>
      <w:r w:rsidR="00975F2E">
        <w:rPr>
          <w:rFonts w:ascii="Arial" w:hAnsi="Arial" w:cs="Arial"/>
          <w:sz w:val="20"/>
          <w:szCs w:val="20"/>
          <w:lang w:val="en-US"/>
        </w:rPr>
        <w:t>.</w:t>
      </w:r>
    </w:p>
    <w:p w14:paraId="3B289B47" w14:textId="6B29BD82" w:rsidR="0008476A" w:rsidRPr="00563FB7" w:rsidRDefault="005F5FB6"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Martínez PG, Perera AH, Peterson U, Iverson</w:t>
      </w:r>
      <w:r w:rsidR="005D6F4F">
        <w:rPr>
          <w:rFonts w:ascii="Arial" w:hAnsi="Arial" w:cs="Arial"/>
          <w:sz w:val="20"/>
          <w:szCs w:val="20"/>
          <w:lang w:val="en-US"/>
        </w:rPr>
        <w:t xml:space="preserve"> </w:t>
      </w:r>
      <w:r w:rsidRPr="00563FB7">
        <w:rPr>
          <w:rFonts w:ascii="Arial" w:hAnsi="Arial" w:cs="Arial"/>
          <w:sz w:val="20"/>
          <w:szCs w:val="20"/>
          <w:lang w:val="en-US"/>
        </w:rPr>
        <w:t>LR.</w:t>
      </w:r>
      <w:r w:rsidR="005D6F4F">
        <w:rPr>
          <w:rFonts w:ascii="Arial" w:hAnsi="Arial" w:cs="Arial"/>
          <w:sz w:val="20"/>
          <w:szCs w:val="20"/>
          <w:lang w:val="en-US"/>
        </w:rPr>
        <w:t xml:space="preserve"> </w:t>
      </w:r>
      <w:r w:rsidRPr="00563FB7">
        <w:rPr>
          <w:rFonts w:ascii="Arial" w:hAnsi="Arial" w:cs="Arial"/>
          <w:sz w:val="20"/>
          <w:szCs w:val="20"/>
          <w:lang w:val="en-US"/>
        </w:rPr>
        <w:t xml:space="preserve">Ecosystem </w:t>
      </w:r>
      <w:r w:rsidR="005D6F4F" w:rsidRPr="00563FB7">
        <w:rPr>
          <w:rFonts w:ascii="Arial" w:hAnsi="Arial" w:cs="Arial"/>
          <w:sz w:val="20"/>
          <w:szCs w:val="20"/>
          <w:lang w:val="en-US"/>
        </w:rPr>
        <w:t>services from forest landscapes:</w:t>
      </w:r>
      <w:r w:rsidRPr="00563FB7">
        <w:rPr>
          <w:rFonts w:ascii="Arial" w:hAnsi="Arial" w:cs="Arial"/>
          <w:sz w:val="20"/>
          <w:szCs w:val="20"/>
          <w:lang w:val="en-US"/>
        </w:rPr>
        <w:t xml:space="preserve"> </w:t>
      </w:r>
      <w:r w:rsidR="005D6F4F" w:rsidRPr="00563FB7">
        <w:rPr>
          <w:rFonts w:ascii="Arial" w:hAnsi="Arial" w:cs="Arial"/>
          <w:sz w:val="20"/>
          <w:szCs w:val="20"/>
          <w:lang w:val="en-US"/>
        </w:rPr>
        <w:t>an overview</w:t>
      </w:r>
      <w:r w:rsidRPr="00563FB7">
        <w:rPr>
          <w:rFonts w:ascii="Arial" w:hAnsi="Arial" w:cs="Arial"/>
          <w:sz w:val="20"/>
          <w:szCs w:val="20"/>
          <w:lang w:val="en-US"/>
        </w:rPr>
        <w:t>. In: Perera</w:t>
      </w:r>
      <w:r w:rsidR="005D6F4F">
        <w:rPr>
          <w:rFonts w:ascii="Arial" w:hAnsi="Arial" w:cs="Arial"/>
          <w:sz w:val="20"/>
          <w:szCs w:val="20"/>
          <w:lang w:val="en-US"/>
        </w:rPr>
        <w:t xml:space="preserve"> </w:t>
      </w:r>
      <w:r w:rsidRPr="00563FB7">
        <w:rPr>
          <w:rFonts w:ascii="Arial" w:hAnsi="Arial" w:cs="Arial"/>
          <w:sz w:val="20"/>
          <w:szCs w:val="20"/>
          <w:lang w:val="en-US"/>
        </w:rPr>
        <w:t>A, Peterson</w:t>
      </w:r>
      <w:r w:rsidR="005D6F4F">
        <w:rPr>
          <w:rFonts w:ascii="Arial" w:hAnsi="Arial" w:cs="Arial"/>
          <w:sz w:val="20"/>
          <w:szCs w:val="20"/>
          <w:lang w:val="en-US"/>
        </w:rPr>
        <w:t xml:space="preserve"> </w:t>
      </w:r>
      <w:r w:rsidRPr="00563FB7">
        <w:rPr>
          <w:rFonts w:ascii="Arial" w:hAnsi="Arial" w:cs="Arial"/>
          <w:sz w:val="20"/>
          <w:szCs w:val="20"/>
          <w:lang w:val="en-US"/>
        </w:rPr>
        <w:t xml:space="preserve">U, </w:t>
      </w:r>
      <w:proofErr w:type="spellStart"/>
      <w:r w:rsidRPr="00563FB7">
        <w:rPr>
          <w:rFonts w:ascii="Arial" w:hAnsi="Arial" w:cs="Arial"/>
          <w:sz w:val="20"/>
          <w:szCs w:val="20"/>
          <w:lang w:val="en-US"/>
        </w:rPr>
        <w:t>Pastur</w:t>
      </w:r>
      <w:proofErr w:type="spellEnd"/>
      <w:r w:rsidRPr="00563FB7">
        <w:rPr>
          <w:rFonts w:ascii="Arial" w:hAnsi="Arial" w:cs="Arial"/>
          <w:sz w:val="20"/>
          <w:szCs w:val="20"/>
          <w:lang w:val="en-US"/>
        </w:rPr>
        <w:t xml:space="preserve"> G, Iverson L (eds)</w:t>
      </w:r>
      <w:r w:rsidR="005D6F4F">
        <w:rPr>
          <w:rFonts w:ascii="Arial" w:hAnsi="Arial" w:cs="Arial"/>
          <w:sz w:val="20"/>
          <w:szCs w:val="20"/>
          <w:lang w:val="en-US"/>
        </w:rPr>
        <w:t>.</w:t>
      </w:r>
      <w:r w:rsidRPr="00563FB7">
        <w:rPr>
          <w:rFonts w:ascii="Arial" w:hAnsi="Arial" w:cs="Arial"/>
          <w:sz w:val="20"/>
          <w:szCs w:val="20"/>
          <w:lang w:val="en-US"/>
        </w:rPr>
        <w:t xml:space="preserve"> Ecosystem </w:t>
      </w:r>
      <w:r w:rsidR="005D6F4F" w:rsidRPr="00563FB7">
        <w:rPr>
          <w:rFonts w:ascii="Arial" w:hAnsi="Arial" w:cs="Arial"/>
          <w:sz w:val="20"/>
          <w:szCs w:val="20"/>
          <w:lang w:val="en-US"/>
        </w:rPr>
        <w:t xml:space="preserve">services from forest landscapes. </w:t>
      </w:r>
      <w:r w:rsidRPr="00563FB7">
        <w:rPr>
          <w:rFonts w:ascii="Arial" w:hAnsi="Arial" w:cs="Arial"/>
          <w:sz w:val="20"/>
          <w:szCs w:val="20"/>
          <w:lang w:val="en-US"/>
        </w:rPr>
        <w:t>Springer, Cham.</w:t>
      </w:r>
      <w:r w:rsidR="005D6F4F" w:rsidRPr="005D6F4F">
        <w:t xml:space="preserve"> </w:t>
      </w:r>
      <w:r w:rsidR="005D6F4F" w:rsidRPr="005D6F4F">
        <w:rPr>
          <w:rFonts w:ascii="Arial" w:hAnsi="Arial" w:cs="Arial"/>
          <w:sz w:val="20"/>
          <w:szCs w:val="20"/>
          <w:lang w:val="en-US"/>
        </w:rPr>
        <w:t xml:space="preserve">2018. </w:t>
      </w:r>
      <w:r w:rsidRPr="00563FB7">
        <w:rPr>
          <w:rFonts w:ascii="Arial" w:hAnsi="Arial" w:cs="Arial"/>
          <w:sz w:val="20"/>
          <w:szCs w:val="20"/>
          <w:lang w:val="en-US"/>
        </w:rPr>
        <w:t xml:space="preserve"> https://doi.org/10.1007/978-3-319-74515-2_1</w:t>
      </w:r>
      <w:r w:rsidR="00975F2E">
        <w:rPr>
          <w:rFonts w:ascii="Arial" w:hAnsi="Arial" w:cs="Arial"/>
          <w:sz w:val="20"/>
          <w:szCs w:val="20"/>
          <w:lang w:val="en-US"/>
        </w:rPr>
        <w:t>.</w:t>
      </w:r>
    </w:p>
    <w:p w14:paraId="0099C204" w14:textId="4D87BB50" w:rsidR="00824882" w:rsidRPr="00563FB7" w:rsidRDefault="0095494B"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 xml:space="preserve">Eckehard </w:t>
      </w:r>
      <w:r w:rsidR="00975F2E" w:rsidRPr="00563FB7">
        <w:rPr>
          <w:rFonts w:ascii="Arial" w:hAnsi="Arial" w:cs="Arial"/>
          <w:sz w:val="20"/>
          <w:szCs w:val="20"/>
          <w:lang w:val="en-US"/>
        </w:rPr>
        <w:t>GB</w:t>
      </w:r>
      <w:r w:rsidR="00975F2E">
        <w:rPr>
          <w:rFonts w:ascii="Arial" w:hAnsi="Arial" w:cs="Arial"/>
          <w:sz w:val="20"/>
          <w:szCs w:val="20"/>
          <w:lang w:val="en-US"/>
        </w:rPr>
        <w:t xml:space="preserve">, </w:t>
      </w:r>
      <w:r w:rsidR="00975F2E" w:rsidRPr="00563FB7">
        <w:rPr>
          <w:rFonts w:ascii="Arial" w:hAnsi="Arial" w:cs="Arial"/>
          <w:sz w:val="20"/>
          <w:szCs w:val="20"/>
          <w:lang w:val="en-US"/>
        </w:rPr>
        <w:t>Luc</w:t>
      </w:r>
      <w:r w:rsidRPr="00563FB7">
        <w:rPr>
          <w:rFonts w:ascii="Arial" w:hAnsi="Arial" w:cs="Arial"/>
          <w:sz w:val="20"/>
          <w:szCs w:val="20"/>
          <w:lang w:val="en-US"/>
        </w:rPr>
        <w:t xml:space="preserve"> B</w:t>
      </w:r>
      <w:r w:rsidR="005D6F4F">
        <w:rPr>
          <w:rFonts w:ascii="Arial" w:hAnsi="Arial" w:cs="Arial"/>
          <w:sz w:val="20"/>
          <w:szCs w:val="20"/>
          <w:lang w:val="en-US"/>
        </w:rPr>
        <w:t>,</w:t>
      </w:r>
      <w:r w:rsidRPr="00563FB7">
        <w:rPr>
          <w:rFonts w:ascii="Arial" w:hAnsi="Arial" w:cs="Arial"/>
          <w:sz w:val="20"/>
          <w:szCs w:val="20"/>
          <w:lang w:val="en-US"/>
        </w:rPr>
        <w:t xml:space="preserve"> Bastien </w:t>
      </w:r>
      <w:r w:rsidR="00975F2E" w:rsidRPr="00563FB7">
        <w:rPr>
          <w:rFonts w:ascii="Arial" w:hAnsi="Arial" w:cs="Arial"/>
          <w:sz w:val="20"/>
          <w:szCs w:val="20"/>
          <w:lang w:val="en-US"/>
        </w:rPr>
        <w:t>C</w:t>
      </w:r>
      <w:r w:rsidR="00975F2E">
        <w:rPr>
          <w:rFonts w:ascii="Arial" w:hAnsi="Arial" w:cs="Arial"/>
          <w:sz w:val="20"/>
          <w:szCs w:val="20"/>
          <w:lang w:val="en-US"/>
        </w:rPr>
        <w:t xml:space="preserve">, </w:t>
      </w:r>
      <w:r w:rsidR="00975F2E" w:rsidRPr="00563FB7">
        <w:rPr>
          <w:rFonts w:ascii="Arial" w:hAnsi="Arial" w:cs="Arial"/>
          <w:sz w:val="20"/>
          <w:szCs w:val="20"/>
          <w:lang w:val="en-US"/>
        </w:rPr>
        <w:t>David</w:t>
      </w:r>
      <w:r w:rsidRPr="00563FB7">
        <w:rPr>
          <w:rFonts w:ascii="Arial" w:hAnsi="Arial" w:cs="Arial"/>
          <w:sz w:val="20"/>
          <w:szCs w:val="20"/>
          <w:lang w:val="en-US"/>
        </w:rPr>
        <w:t xml:space="preserve"> IF</w:t>
      </w:r>
      <w:r w:rsidR="005D6F4F">
        <w:rPr>
          <w:rFonts w:ascii="Arial" w:hAnsi="Arial" w:cs="Arial"/>
          <w:sz w:val="20"/>
          <w:szCs w:val="20"/>
          <w:lang w:val="en-US"/>
        </w:rPr>
        <w:t xml:space="preserve">, </w:t>
      </w:r>
      <w:r w:rsidRPr="00563FB7">
        <w:rPr>
          <w:rFonts w:ascii="Arial" w:hAnsi="Arial" w:cs="Arial"/>
          <w:sz w:val="20"/>
          <w:szCs w:val="20"/>
          <w:lang w:val="en-US"/>
        </w:rPr>
        <w:t>Barry G</w:t>
      </w:r>
      <w:r w:rsidR="005D6F4F">
        <w:rPr>
          <w:rFonts w:ascii="Arial" w:hAnsi="Arial" w:cs="Arial"/>
          <w:sz w:val="20"/>
          <w:szCs w:val="20"/>
          <w:lang w:val="en-US"/>
        </w:rPr>
        <w:t>,</w:t>
      </w:r>
      <w:r w:rsidRPr="00563FB7">
        <w:rPr>
          <w:rFonts w:ascii="Arial" w:hAnsi="Arial" w:cs="Arial"/>
          <w:sz w:val="20"/>
          <w:szCs w:val="20"/>
          <w:lang w:val="en-US"/>
        </w:rPr>
        <w:t xml:space="preserve"> Jose´ RGO</w:t>
      </w:r>
      <w:r w:rsidR="005D6F4F">
        <w:rPr>
          <w:rFonts w:ascii="Arial" w:hAnsi="Arial" w:cs="Arial"/>
          <w:sz w:val="20"/>
          <w:szCs w:val="20"/>
          <w:lang w:val="en-US"/>
        </w:rPr>
        <w:t xml:space="preserve">, </w:t>
      </w:r>
      <w:r w:rsidR="00975F2E">
        <w:rPr>
          <w:rFonts w:ascii="Arial" w:hAnsi="Arial" w:cs="Arial"/>
          <w:sz w:val="20"/>
          <w:szCs w:val="20"/>
          <w:lang w:val="en-US"/>
        </w:rPr>
        <w:t>et al</w:t>
      </w:r>
      <w:r w:rsidRPr="00563FB7">
        <w:rPr>
          <w:rFonts w:ascii="Arial" w:hAnsi="Arial" w:cs="Arial"/>
          <w:sz w:val="20"/>
          <w:szCs w:val="20"/>
          <w:lang w:val="en-US"/>
        </w:rPr>
        <w:t xml:space="preserve">. Forest biodiversity, ecosystem functioning and the provision of ecosystem services. </w:t>
      </w:r>
      <w:proofErr w:type="spellStart"/>
      <w:r w:rsidRPr="00563FB7">
        <w:rPr>
          <w:rFonts w:ascii="Arial" w:hAnsi="Arial" w:cs="Arial"/>
          <w:sz w:val="20"/>
          <w:szCs w:val="20"/>
          <w:lang w:val="en-US"/>
        </w:rPr>
        <w:t>Biodivers</w:t>
      </w:r>
      <w:proofErr w:type="spellEnd"/>
      <w:r w:rsidRPr="00563FB7">
        <w:rPr>
          <w:rFonts w:ascii="Arial" w:hAnsi="Arial" w:cs="Arial"/>
          <w:sz w:val="20"/>
          <w:szCs w:val="20"/>
          <w:lang w:val="en-US"/>
        </w:rPr>
        <w:t xml:space="preserve"> </w:t>
      </w:r>
      <w:proofErr w:type="spellStart"/>
      <w:r w:rsidRPr="00563FB7">
        <w:rPr>
          <w:rFonts w:ascii="Arial" w:hAnsi="Arial" w:cs="Arial"/>
          <w:sz w:val="20"/>
          <w:szCs w:val="20"/>
          <w:lang w:val="en-US"/>
        </w:rPr>
        <w:t>Conserv</w:t>
      </w:r>
      <w:proofErr w:type="spellEnd"/>
      <w:r w:rsidR="00975F2E">
        <w:rPr>
          <w:rFonts w:ascii="Arial" w:hAnsi="Arial" w:cs="Arial"/>
          <w:sz w:val="20"/>
          <w:szCs w:val="20"/>
          <w:lang w:val="en-US"/>
        </w:rPr>
        <w:t xml:space="preserve">. 2017; </w:t>
      </w:r>
      <w:r w:rsidR="00975F2E" w:rsidRPr="00563FB7">
        <w:rPr>
          <w:rFonts w:ascii="Arial" w:hAnsi="Arial" w:cs="Arial"/>
          <w:sz w:val="20"/>
          <w:szCs w:val="20"/>
          <w:lang w:val="en-US"/>
        </w:rPr>
        <w:t>26:3005</w:t>
      </w:r>
      <w:r w:rsidRPr="00563FB7">
        <w:rPr>
          <w:rFonts w:ascii="Arial" w:hAnsi="Arial" w:cs="Arial"/>
          <w:sz w:val="20"/>
          <w:szCs w:val="20"/>
          <w:lang w:val="en-US"/>
        </w:rPr>
        <w:t>–3035.doi:10.1007/s10531-017-1453-2</w:t>
      </w:r>
      <w:r w:rsidR="00975F2E">
        <w:rPr>
          <w:rFonts w:ascii="Arial" w:hAnsi="Arial" w:cs="Arial"/>
          <w:sz w:val="20"/>
          <w:szCs w:val="20"/>
          <w:lang w:val="en-US"/>
        </w:rPr>
        <w:t>.</w:t>
      </w:r>
    </w:p>
    <w:p w14:paraId="6E9AAA16" w14:textId="13C6F5C6" w:rsidR="0008476A" w:rsidRPr="00563FB7" w:rsidRDefault="00F717C8"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 xml:space="preserve">United Nations Department of Economic and Social Affairs (UN DESA), United Nations Forum on Forests Secretariat. The </w:t>
      </w:r>
      <w:r w:rsidR="00975F2E" w:rsidRPr="00563FB7">
        <w:rPr>
          <w:rFonts w:ascii="Arial" w:hAnsi="Arial" w:cs="Arial"/>
          <w:sz w:val="20"/>
          <w:szCs w:val="20"/>
          <w:lang w:val="en-US"/>
        </w:rPr>
        <w:t>global forest goals report 2021</w:t>
      </w:r>
      <w:r w:rsidRPr="00563FB7">
        <w:rPr>
          <w:rFonts w:ascii="Arial" w:hAnsi="Arial" w:cs="Arial"/>
          <w:sz w:val="20"/>
          <w:szCs w:val="20"/>
          <w:lang w:val="en-US"/>
        </w:rPr>
        <w:t>.</w:t>
      </w:r>
      <w:r w:rsidR="00975F2E">
        <w:t xml:space="preserve"> </w:t>
      </w:r>
      <w:r w:rsidR="00975F2E" w:rsidRPr="00975F2E">
        <w:rPr>
          <w:rFonts w:ascii="Arial" w:hAnsi="Arial" w:cs="Arial"/>
          <w:sz w:val="20"/>
          <w:szCs w:val="20"/>
          <w:lang w:val="en-US"/>
        </w:rPr>
        <w:t>2021</w:t>
      </w:r>
      <w:r w:rsidR="00975F2E">
        <w:rPr>
          <w:rFonts w:ascii="Arial" w:hAnsi="Arial" w:cs="Arial"/>
          <w:sz w:val="20"/>
          <w:szCs w:val="20"/>
          <w:lang w:val="en-US"/>
        </w:rPr>
        <w:t>.</w:t>
      </w:r>
      <w:r w:rsidRPr="00563FB7">
        <w:rPr>
          <w:rFonts w:ascii="Arial" w:hAnsi="Arial" w:cs="Arial"/>
          <w:sz w:val="20"/>
          <w:szCs w:val="20"/>
          <w:lang w:val="en-US"/>
        </w:rPr>
        <w:t xml:space="preserve"> www.un.org/esa/forests.</w:t>
      </w:r>
    </w:p>
    <w:p w14:paraId="53CD264D" w14:textId="611A6B00" w:rsidR="0008476A" w:rsidRPr="00563FB7" w:rsidRDefault="002D7A93"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International Union for Conservation of Nature</w:t>
      </w:r>
      <w:r w:rsidR="00975F2E">
        <w:rPr>
          <w:rFonts w:ascii="Arial" w:hAnsi="Arial" w:cs="Arial"/>
          <w:sz w:val="20"/>
          <w:szCs w:val="20"/>
          <w:lang w:val="en-US"/>
        </w:rPr>
        <w:t xml:space="preserve"> (IUCN)</w:t>
      </w:r>
      <w:r w:rsidRPr="00563FB7">
        <w:rPr>
          <w:rFonts w:ascii="Arial" w:hAnsi="Arial" w:cs="Arial"/>
          <w:sz w:val="20"/>
          <w:szCs w:val="20"/>
          <w:lang w:val="en-US"/>
        </w:rPr>
        <w:t xml:space="preserve">. Issues brief. IUCN’s Forest </w:t>
      </w:r>
      <w:proofErr w:type="spellStart"/>
      <w:r w:rsidRPr="00563FB7">
        <w:rPr>
          <w:rFonts w:ascii="Arial" w:hAnsi="Arial" w:cs="Arial"/>
          <w:sz w:val="20"/>
          <w:szCs w:val="20"/>
          <w:lang w:val="en-US"/>
        </w:rPr>
        <w:t>Programme</w:t>
      </w:r>
      <w:proofErr w:type="spellEnd"/>
      <w:r w:rsidRPr="00563FB7">
        <w:rPr>
          <w:rFonts w:ascii="Arial" w:hAnsi="Arial" w:cs="Arial"/>
          <w:sz w:val="20"/>
          <w:szCs w:val="20"/>
          <w:lang w:val="en-US"/>
        </w:rPr>
        <w:t>.</w:t>
      </w:r>
      <w:r w:rsidR="00975F2E">
        <w:rPr>
          <w:rFonts w:ascii="Arial" w:hAnsi="Arial" w:cs="Arial"/>
          <w:sz w:val="20"/>
          <w:szCs w:val="20"/>
          <w:lang w:val="en-US"/>
        </w:rPr>
        <w:t xml:space="preserve"> 2021.</w:t>
      </w:r>
      <w:r w:rsidRPr="00563FB7">
        <w:rPr>
          <w:rFonts w:ascii="Arial" w:hAnsi="Arial" w:cs="Arial"/>
          <w:sz w:val="20"/>
          <w:szCs w:val="20"/>
          <w:lang w:val="en-US"/>
        </w:rPr>
        <w:t xml:space="preserve"> iucn.org/forest</w:t>
      </w:r>
      <w:r w:rsidR="00975F2E">
        <w:rPr>
          <w:rFonts w:ascii="Arial" w:hAnsi="Arial" w:cs="Arial"/>
          <w:sz w:val="20"/>
          <w:szCs w:val="20"/>
          <w:lang w:val="en-US"/>
        </w:rPr>
        <w:t>.</w:t>
      </w:r>
    </w:p>
    <w:p w14:paraId="59718DA1" w14:textId="131B4272" w:rsidR="0008476A" w:rsidRPr="00563FB7" w:rsidRDefault="0095494B"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Baumgartner</w:t>
      </w:r>
      <w:r w:rsidR="00975F2E">
        <w:rPr>
          <w:rFonts w:ascii="Arial" w:hAnsi="Arial" w:cs="Arial"/>
          <w:sz w:val="20"/>
          <w:szCs w:val="20"/>
          <w:lang w:val="en-US"/>
        </w:rPr>
        <w:t xml:space="preserve"> </w:t>
      </w:r>
      <w:r w:rsidRPr="00563FB7">
        <w:rPr>
          <w:rFonts w:ascii="Arial" w:hAnsi="Arial" w:cs="Arial"/>
          <w:sz w:val="20"/>
          <w:szCs w:val="20"/>
          <w:lang w:val="en-US"/>
        </w:rPr>
        <w:t>R</w:t>
      </w:r>
      <w:r w:rsidR="00975F2E">
        <w:rPr>
          <w:rFonts w:ascii="Arial" w:hAnsi="Arial" w:cs="Arial"/>
          <w:sz w:val="20"/>
          <w:szCs w:val="20"/>
          <w:lang w:val="en-US"/>
        </w:rPr>
        <w:t>J</w:t>
      </w:r>
      <w:r w:rsidRPr="00563FB7">
        <w:rPr>
          <w:rFonts w:ascii="Arial" w:hAnsi="Arial" w:cs="Arial"/>
          <w:sz w:val="20"/>
          <w:szCs w:val="20"/>
          <w:lang w:val="en-US"/>
        </w:rPr>
        <w:t>.</w:t>
      </w:r>
      <w:r w:rsidR="00975F2E">
        <w:rPr>
          <w:rFonts w:ascii="Arial" w:hAnsi="Arial" w:cs="Arial"/>
          <w:sz w:val="20"/>
          <w:szCs w:val="20"/>
          <w:lang w:val="en-US"/>
        </w:rPr>
        <w:t xml:space="preserve"> </w:t>
      </w:r>
      <w:r w:rsidRPr="00563FB7">
        <w:rPr>
          <w:rFonts w:ascii="Arial" w:hAnsi="Arial" w:cs="Arial"/>
          <w:sz w:val="20"/>
          <w:szCs w:val="20"/>
          <w:lang w:val="en-US"/>
        </w:rPr>
        <w:t xml:space="preserve">Sustainable </w:t>
      </w:r>
      <w:r w:rsidR="00975F2E" w:rsidRPr="00563FB7">
        <w:rPr>
          <w:rFonts w:ascii="Arial" w:hAnsi="Arial" w:cs="Arial"/>
          <w:sz w:val="20"/>
          <w:szCs w:val="20"/>
          <w:lang w:val="en-US"/>
        </w:rPr>
        <w:t>development goals and the forest sector-a complex relationship</w:t>
      </w:r>
      <w:r w:rsidRPr="00563FB7">
        <w:rPr>
          <w:rFonts w:ascii="Arial" w:hAnsi="Arial" w:cs="Arial"/>
          <w:sz w:val="20"/>
          <w:szCs w:val="20"/>
          <w:lang w:val="en-US"/>
        </w:rPr>
        <w:t>. Forests</w:t>
      </w:r>
      <w:r w:rsidR="00975F2E">
        <w:rPr>
          <w:rFonts w:ascii="Arial" w:hAnsi="Arial" w:cs="Arial"/>
          <w:sz w:val="20"/>
          <w:szCs w:val="20"/>
          <w:lang w:val="en-US"/>
        </w:rPr>
        <w:t>. 2019;</w:t>
      </w:r>
      <w:r w:rsidRPr="00563FB7">
        <w:rPr>
          <w:rFonts w:ascii="Arial" w:hAnsi="Arial" w:cs="Arial"/>
          <w:sz w:val="20"/>
          <w:szCs w:val="20"/>
          <w:lang w:val="en-US"/>
        </w:rPr>
        <w:t>10</w:t>
      </w:r>
      <w:r w:rsidR="00975F2E">
        <w:rPr>
          <w:rFonts w:ascii="Arial" w:hAnsi="Arial" w:cs="Arial"/>
          <w:sz w:val="20"/>
          <w:szCs w:val="20"/>
          <w:lang w:val="en-US"/>
        </w:rPr>
        <w:t xml:space="preserve"> (</w:t>
      </w:r>
      <w:r w:rsidRPr="00563FB7">
        <w:rPr>
          <w:rFonts w:ascii="Arial" w:hAnsi="Arial" w:cs="Arial"/>
          <w:sz w:val="20"/>
          <w:szCs w:val="20"/>
          <w:lang w:val="en-US"/>
        </w:rPr>
        <w:t>152</w:t>
      </w:r>
      <w:r w:rsidR="00975F2E">
        <w:rPr>
          <w:rFonts w:ascii="Arial" w:hAnsi="Arial" w:cs="Arial"/>
          <w:sz w:val="20"/>
          <w:szCs w:val="20"/>
          <w:lang w:val="en-US"/>
        </w:rPr>
        <w:t>)</w:t>
      </w:r>
      <w:r w:rsidRPr="00563FB7">
        <w:rPr>
          <w:rFonts w:ascii="Arial" w:hAnsi="Arial" w:cs="Arial"/>
          <w:sz w:val="20"/>
          <w:szCs w:val="20"/>
          <w:lang w:val="en-US"/>
        </w:rPr>
        <w:t>; doi:10.3390/f10020152</w:t>
      </w:r>
      <w:r w:rsidR="00975F2E">
        <w:rPr>
          <w:rFonts w:ascii="Arial" w:hAnsi="Arial" w:cs="Arial"/>
          <w:sz w:val="20"/>
          <w:szCs w:val="20"/>
          <w:lang w:val="en-US"/>
        </w:rPr>
        <w:t>.</w:t>
      </w:r>
    </w:p>
    <w:p w14:paraId="3E4F00BB" w14:textId="38459B14" w:rsidR="0008476A" w:rsidRPr="00563FB7" w:rsidRDefault="00F717C8"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United Nations (UN).</w:t>
      </w:r>
      <w:r w:rsidR="006743FE">
        <w:rPr>
          <w:rFonts w:ascii="Arial" w:hAnsi="Arial" w:cs="Arial"/>
          <w:sz w:val="20"/>
          <w:szCs w:val="20"/>
          <w:lang w:val="en-US"/>
        </w:rPr>
        <w:t xml:space="preserve"> </w:t>
      </w:r>
      <w:r w:rsidRPr="00563FB7">
        <w:rPr>
          <w:rFonts w:ascii="Arial" w:hAnsi="Arial" w:cs="Arial"/>
          <w:sz w:val="20"/>
          <w:szCs w:val="20"/>
          <w:lang w:val="en-US"/>
        </w:rPr>
        <w:t xml:space="preserve">15 Life </w:t>
      </w:r>
      <w:r w:rsidR="006743FE" w:rsidRPr="00563FB7">
        <w:rPr>
          <w:rFonts w:ascii="Arial" w:hAnsi="Arial" w:cs="Arial"/>
          <w:sz w:val="20"/>
          <w:szCs w:val="20"/>
          <w:lang w:val="en-US"/>
        </w:rPr>
        <w:t>on land</w:t>
      </w:r>
      <w:r w:rsidRPr="00563FB7">
        <w:rPr>
          <w:rFonts w:ascii="Arial" w:hAnsi="Arial" w:cs="Arial"/>
          <w:sz w:val="20"/>
          <w:szCs w:val="20"/>
          <w:lang w:val="en-US"/>
        </w:rPr>
        <w:t xml:space="preserve">. The </w:t>
      </w:r>
      <w:r w:rsidR="006743FE" w:rsidRPr="00563FB7">
        <w:rPr>
          <w:rFonts w:ascii="Arial" w:hAnsi="Arial" w:cs="Arial"/>
          <w:sz w:val="20"/>
          <w:szCs w:val="20"/>
          <w:lang w:val="en-US"/>
        </w:rPr>
        <w:t>sustainable development goals extended report 2022</w:t>
      </w:r>
      <w:r w:rsidRPr="00563FB7">
        <w:rPr>
          <w:rFonts w:ascii="Arial" w:hAnsi="Arial" w:cs="Arial"/>
          <w:sz w:val="20"/>
          <w:szCs w:val="20"/>
          <w:lang w:val="en-US"/>
        </w:rPr>
        <w:t>. UN Statistics Division Sustainable Development Goals.</w:t>
      </w:r>
      <w:r w:rsidR="006743FE">
        <w:rPr>
          <w:rFonts w:ascii="Arial" w:hAnsi="Arial" w:cs="Arial"/>
          <w:sz w:val="20"/>
          <w:szCs w:val="20"/>
          <w:lang w:val="en-US"/>
        </w:rPr>
        <w:t>2022.</w:t>
      </w:r>
      <w:r w:rsidRPr="00563FB7">
        <w:rPr>
          <w:rFonts w:ascii="Arial" w:hAnsi="Arial" w:cs="Arial"/>
          <w:sz w:val="20"/>
          <w:szCs w:val="20"/>
          <w:lang w:val="en-US"/>
        </w:rPr>
        <w:t xml:space="preserve"> https://unstats.un.org/sdgs/report/2022/extended-report/Extended-Report_Goal-15.pdf</w:t>
      </w:r>
      <w:r w:rsidR="00975F2E">
        <w:rPr>
          <w:rFonts w:ascii="Arial" w:hAnsi="Arial" w:cs="Arial"/>
          <w:sz w:val="20"/>
          <w:szCs w:val="20"/>
          <w:lang w:val="en-US"/>
        </w:rPr>
        <w:t>.</w:t>
      </w:r>
    </w:p>
    <w:p w14:paraId="587CD118" w14:textId="05A56F40" w:rsidR="0008476A" w:rsidRPr="00563FB7" w:rsidRDefault="00417AFB"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Souza</w:t>
      </w:r>
      <w:r w:rsidR="006743FE">
        <w:rPr>
          <w:rFonts w:ascii="Arial" w:hAnsi="Arial" w:cs="Arial"/>
          <w:sz w:val="20"/>
          <w:szCs w:val="20"/>
          <w:lang w:val="en-US"/>
        </w:rPr>
        <w:t xml:space="preserve"> </w:t>
      </w:r>
      <w:r w:rsidRPr="00563FB7">
        <w:rPr>
          <w:rFonts w:ascii="Arial" w:hAnsi="Arial" w:cs="Arial"/>
          <w:sz w:val="20"/>
          <w:szCs w:val="20"/>
          <w:lang w:val="en-US"/>
        </w:rPr>
        <w:t xml:space="preserve">C, Tenneson K, Dilger J, </w:t>
      </w:r>
      <w:proofErr w:type="spellStart"/>
      <w:r w:rsidRPr="00563FB7">
        <w:rPr>
          <w:rFonts w:ascii="Arial" w:hAnsi="Arial" w:cs="Arial"/>
          <w:sz w:val="20"/>
          <w:szCs w:val="20"/>
          <w:lang w:val="en-US"/>
        </w:rPr>
        <w:t>Wespestad</w:t>
      </w:r>
      <w:proofErr w:type="spellEnd"/>
      <w:r w:rsidRPr="00563FB7">
        <w:rPr>
          <w:rFonts w:ascii="Arial" w:hAnsi="Arial" w:cs="Arial"/>
          <w:sz w:val="20"/>
          <w:szCs w:val="20"/>
          <w:lang w:val="en-US"/>
        </w:rPr>
        <w:t xml:space="preserve"> C, Bullock E. Forest </w:t>
      </w:r>
      <w:r w:rsidR="0043652F" w:rsidRPr="00563FB7">
        <w:rPr>
          <w:rFonts w:ascii="Arial" w:hAnsi="Arial" w:cs="Arial"/>
          <w:sz w:val="20"/>
          <w:szCs w:val="20"/>
          <w:lang w:val="en-US"/>
        </w:rPr>
        <w:t>degradation and deforestation</w:t>
      </w:r>
      <w:r w:rsidRPr="00563FB7">
        <w:rPr>
          <w:rFonts w:ascii="Arial" w:hAnsi="Arial" w:cs="Arial"/>
          <w:sz w:val="20"/>
          <w:szCs w:val="20"/>
          <w:lang w:val="en-US"/>
        </w:rPr>
        <w:t xml:space="preserve">. In: </w:t>
      </w:r>
      <w:proofErr w:type="spellStart"/>
      <w:r w:rsidRPr="00563FB7">
        <w:rPr>
          <w:rFonts w:ascii="Arial" w:hAnsi="Arial" w:cs="Arial"/>
          <w:sz w:val="20"/>
          <w:szCs w:val="20"/>
          <w:lang w:val="en-US"/>
        </w:rPr>
        <w:t>Cardille</w:t>
      </w:r>
      <w:proofErr w:type="spellEnd"/>
      <w:r w:rsidR="0043652F">
        <w:rPr>
          <w:rFonts w:ascii="Arial" w:hAnsi="Arial" w:cs="Arial"/>
          <w:sz w:val="20"/>
          <w:szCs w:val="20"/>
          <w:lang w:val="en-US"/>
        </w:rPr>
        <w:t xml:space="preserve"> </w:t>
      </w:r>
      <w:r w:rsidRPr="00563FB7">
        <w:rPr>
          <w:rFonts w:ascii="Arial" w:hAnsi="Arial" w:cs="Arial"/>
          <w:sz w:val="20"/>
          <w:szCs w:val="20"/>
          <w:lang w:val="en-US"/>
        </w:rPr>
        <w:t>JA, Crowley MA, Saah D, Clinton NE. (eds)</w:t>
      </w:r>
      <w:r w:rsidR="0043652F">
        <w:rPr>
          <w:rFonts w:ascii="Arial" w:hAnsi="Arial" w:cs="Arial"/>
          <w:sz w:val="20"/>
          <w:szCs w:val="20"/>
          <w:lang w:val="en-US"/>
        </w:rPr>
        <w:t>.</w:t>
      </w:r>
      <w:r w:rsidRPr="00563FB7">
        <w:rPr>
          <w:rFonts w:ascii="Arial" w:hAnsi="Arial" w:cs="Arial"/>
          <w:sz w:val="20"/>
          <w:szCs w:val="20"/>
          <w:lang w:val="en-US"/>
        </w:rPr>
        <w:t xml:space="preserve"> Cloud-</w:t>
      </w:r>
      <w:r w:rsidR="0043652F" w:rsidRPr="00563FB7">
        <w:rPr>
          <w:rFonts w:ascii="Arial" w:hAnsi="Arial" w:cs="Arial"/>
          <w:sz w:val="20"/>
          <w:szCs w:val="20"/>
          <w:lang w:val="en-US"/>
        </w:rPr>
        <w:t xml:space="preserve">based remote sensing with </w:t>
      </w:r>
      <w:r w:rsidRPr="00563FB7">
        <w:rPr>
          <w:rFonts w:ascii="Arial" w:hAnsi="Arial" w:cs="Arial"/>
          <w:sz w:val="20"/>
          <w:szCs w:val="20"/>
          <w:lang w:val="en-US"/>
        </w:rPr>
        <w:t xml:space="preserve">Google Earth Engine. Springer, Cham. </w:t>
      </w:r>
      <w:r w:rsidR="0043652F">
        <w:rPr>
          <w:rFonts w:ascii="Arial" w:hAnsi="Arial" w:cs="Arial"/>
          <w:sz w:val="20"/>
          <w:szCs w:val="20"/>
          <w:lang w:val="en-US"/>
        </w:rPr>
        <w:t xml:space="preserve">2024. </w:t>
      </w:r>
      <w:r w:rsidRPr="00563FB7">
        <w:rPr>
          <w:rFonts w:ascii="Arial" w:hAnsi="Arial" w:cs="Arial"/>
          <w:sz w:val="20"/>
          <w:szCs w:val="20"/>
          <w:lang w:val="en-US"/>
        </w:rPr>
        <w:t>https://doi.org/10.1007/978-3-031-26588-4_49</w:t>
      </w:r>
      <w:r w:rsidR="00975F2E">
        <w:rPr>
          <w:rFonts w:ascii="Arial" w:hAnsi="Arial" w:cs="Arial"/>
          <w:sz w:val="20"/>
          <w:szCs w:val="20"/>
          <w:lang w:val="en-US"/>
        </w:rPr>
        <w:t>.</w:t>
      </w:r>
    </w:p>
    <w:p w14:paraId="466EDEF1" w14:textId="02789915" w:rsidR="0008476A" w:rsidRPr="00563FB7" w:rsidRDefault="00F717C8"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 xml:space="preserve">Ritchie </w:t>
      </w:r>
      <w:r w:rsidR="0043652F">
        <w:rPr>
          <w:rFonts w:ascii="Arial" w:hAnsi="Arial" w:cs="Arial"/>
          <w:sz w:val="20"/>
          <w:szCs w:val="20"/>
          <w:lang w:val="en-US"/>
        </w:rPr>
        <w:t>H. “</w:t>
      </w:r>
      <w:r w:rsidRPr="00563FB7">
        <w:rPr>
          <w:rFonts w:ascii="Arial" w:hAnsi="Arial" w:cs="Arial"/>
          <w:sz w:val="20"/>
          <w:szCs w:val="20"/>
          <w:lang w:val="en-US"/>
        </w:rPr>
        <w:t>Global deforestation peaked in the 1980s. Can we bring it to an end?” Published online at OurWorldInData.org.</w:t>
      </w:r>
      <w:r w:rsidR="0043652F" w:rsidRPr="0043652F">
        <w:t xml:space="preserve"> </w:t>
      </w:r>
      <w:r w:rsidR="0043652F" w:rsidRPr="0043652F">
        <w:rPr>
          <w:rFonts w:ascii="Arial" w:hAnsi="Arial" w:cs="Arial"/>
          <w:sz w:val="20"/>
          <w:szCs w:val="20"/>
          <w:lang w:val="en-US"/>
        </w:rPr>
        <w:t>2021</w:t>
      </w:r>
      <w:r w:rsidR="0043652F">
        <w:rPr>
          <w:rFonts w:ascii="Arial" w:hAnsi="Arial" w:cs="Arial"/>
          <w:sz w:val="20"/>
          <w:szCs w:val="20"/>
          <w:lang w:val="en-US"/>
        </w:rPr>
        <w:t>. Accessed 24 April 2024.</w:t>
      </w:r>
      <w:r w:rsidRPr="00563FB7">
        <w:rPr>
          <w:rFonts w:ascii="Arial" w:hAnsi="Arial" w:cs="Arial"/>
          <w:sz w:val="20"/>
          <w:szCs w:val="20"/>
          <w:lang w:val="en-US"/>
        </w:rPr>
        <w:t xml:space="preserve"> </w:t>
      </w:r>
      <w:r w:rsidR="0043652F">
        <w:rPr>
          <w:rFonts w:ascii="Arial" w:hAnsi="Arial" w:cs="Arial"/>
          <w:sz w:val="20"/>
          <w:szCs w:val="20"/>
          <w:lang w:val="en-US"/>
        </w:rPr>
        <w:t>Available</w:t>
      </w:r>
      <w:r w:rsidRPr="00563FB7">
        <w:rPr>
          <w:rFonts w:ascii="Arial" w:hAnsi="Arial" w:cs="Arial"/>
          <w:sz w:val="20"/>
          <w:szCs w:val="20"/>
          <w:lang w:val="en-US"/>
        </w:rPr>
        <w:t>: https://ourworldindata.org/global-deforestation-peak. Our World in Data</w:t>
      </w:r>
      <w:r w:rsidR="00975F2E">
        <w:rPr>
          <w:rFonts w:ascii="Arial" w:hAnsi="Arial" w:cs="Arial"/>
          <w:sz w:val="20"/>
          <w:szCs w:val="20"/>
          <w:lang w:val="en-US"/>
        </w:rPr>
        <w:t>.</w:t>
      </w:r>
    </w:p>
    <w:p w14:paraId="437C2E79" w14:textId="3A08D9C6" w:rsidR="0008476A" w:rsidRPr="00563FB7" w:rsidRDefault="00F717C8"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Palo M.</w:t>
      </w:r>
      <w:r w:rsidR="0043652F">
        <w:rPr>
          <w:rFonts w:ascii="Arial" w:hAnsi="Arial" w:cs="Arial"/>
          <w:sz w:val="20"/>
          <w:szCs w:val="20"/>
          <w:lang w:val="en-US"/>
        </w:rPr>
        <w:t xml:space="preserve"> </w:t>
      </w:r>
      <w:r w:rsidRPr="00563FB7">
        <w:rPr>
          <w:rFonts w:ascii="Arial" w:hAnsi="Arial" w:cs="Arial"/>
          <w:sz w:val="20"/>
          <w:szCs w:val="20"/>
          <w:lang w:val="en-US"/>
        </w:rPr>
        <w:t xml:space="preserve">Global </w:t>
      </w:r>
      <w:r w:rsidR="0043652F" w:rsidRPr="00563FB7">
        <w:rPr>
          <w:rFonts w:ascii="Arial" w:hAnsi="Arial" w:cs="Arial"/>
          <w:sz w:val="20"/>
          <w:szCs w:val="20"/>
          <w:lang w:val="en-US"/>
        </w:rPr>
        <w:t>prospects on deforestation and forest transition</w:t>
      </w:r>
      <w:r w:rsidRPr="00563FB7">
        <w:rPr>
          <w:rFonts w:ascii="Arial" w:hAnsi="Arial" w:cs="Arial"/>
          <w:sz w:val="20"/>
          <w:szCs w:val="20"/>
          <w:lang w:val="en-US"/>
        </w:rPr>
        <w:t>. In: Palo M, Vanhanen H. (eds)</w:t>
      </w:r>
      <w:r w:rsidR="0043652F">
        <w:rPr>
          <w:rFonts w:ascii="Arial" w:hAnsi="Arial" w:cs="Arial"/>
          <w:sz w:val="20"/>
          <w:szCs w:val="20"/>
          <w:lang w:val="en-US"/>
        </w:rPr>
        <w:t>.</w:t>
      </w:r>
      <w:r w:rsidRPr="00563FB7">
        <w:rPr>
          <w:rFonts w:ascii="Arial" w:hAnsi="Arial" w:cs="Arial"/>
          <w:sz w:val="20"/>
          <w:szCs w:val="20"/>
          <w:lang w:val="en-US"/>
        </w:rPr>
        <w:t xml:space="preserve"> World </w:t>
      </w:r>
      <w:r w:rsidR="0043652F" w:rsidRPr="00563FB7">
        <w:rPr>
          <w:rFonts w:ascii="Arial" w:hAnsi="Arial" w:cs="Arial"/>
          <w:sz w:val="20"/>
          <w:szCs w:val="20"/>
          <w:lang w:val="en-US"/>
        </w:rPr>
        <w:t>forests from deforestation to transition</w:t>
      </w:r>
      <w:r w:rsidR="00B71C75" w:rsidRPr="00563FB7">
        <w:rPr>
          <w:rFonts w:ascii="Arial" w:hAnsi="Arial" w:cs="Arial"/>
          <w:sz w:val="20"/>
          <w:szCs w:val="20"/>
          <w:lang w:val="en-US"/>
        </w:rPr>
        <w:t>?</w:t>
      </w:r>
      <w:r w:rsidRPr="00563FB7">
        <w:rPr>
          <w:rFonts w:ascii="Arial" w:hAnsi="Arial" w:cs="Arial"/>
          <w:sz w:val="20"/>
          <w:szCs w:val="20"/>
          <w:lang w:val="en-US"/>
        </w:rPr>
        <w:t xml:space="preserve"> World Forests</w:t>
      </w:r>
      <w:r w:rsidR="0043652F">
        <w:rPr>
          <w:rFonts w:ascii="Arial" w:hAnsi="Arial" w:cs="Arial"/>
          <w:sz w:val="20"/>
          <w:szCs w:val="20"/>
          <w:lang w:val="en-US"/>
        </w:rPr>
        <w:t xml:space="preserve">. 2000; </w:t>
      </w:r>
      <w:r w:rsidRPr="00563FB7">
        <w:rPr>
          <w:rFonts w:ascii="Arial" w:hAnsi="Arial" w:cs="Arial"/>
          <w:sz w:val="20"/>
          <w:szCs w:val="20"/>
          <w:lang w:val="en-US"/>
        </w:rPr>
        <w:t>2. Springer, Dordrecht. https://doi.org/10.1007/978-94-010-0942-3_1</w:t>
      </w:r>
      <w:r w:rsidR="00975F2E">
        <w:rPr>
          <w:rFonts w:ascii="Arial" w:hAnsi="Arial" w:cs="Arial"/>
          <w:sz w:val="20"/>
          <w:szCs w:val="20"/>
          <w:lang w:val="en-US"/>
        </w:rPr>
        <w:t>.</w:t>
      </w:r>
    </w:p>
    <w:p w14:paraId="011A3BBB" w14:textId="21904020" w:rsidR="00824882" w:rsidRPr="00563FB7" w:rsidRDefault="00812B29"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Holmberg</w:t>
      </w:r>
      <w:r w:rsidR="0043652F">
        <w:rPr>
          <w:rFonts w:ascii="Arial" w:hAnsi="Arial" w:cs="Arial"/>
          <w:sz w:val="20"/>
          <w:szCs w:val="20"/>
          <w:lang w:val="en-US"/>
        </w:rPr>
        <w:t xml:space="preserve"> </w:t>
      </w:r>
      <w:r w:rsidRPr="00563FB7">
        <w:rPr>
          <w:rFonts w:ascii="Arial" w:hAnsi="Arial" w:cs="Arial"/>
          <w:sz w:val="20"/>
          <w:szCs w:val="20"/>
          <w:lang w:val="en-US"/>
        </w:rPr>
        <w:t>J, Bass</w:t>
      </w:r>
      <w:r w:rsidR="0043652F">
        <w:rPr>
          <w:rFonts w:ascii="Arial" w:hAnsi="Arial" w:cs="Arial"/>
          <w:sz w:val="20"/>
          <w:szCs w:val="20"/>
          <w:lang w:val="en-US"/>
        </w:rPr>
        <w:t xml:space="preserve"> S, </w:t>
      </w:r>
      <w:r w:rsidRPr="00563FB7">
        <w:rPr>
          <w:rFonts w:ascii="Arial" w:hAnsi="Arial" w:cs="Arial"/>
          <w:sz w:val="20"/>
          <w:szCs w:val="20"/>
          <w:lang w:val="en-US"/>
        </w:rPr>
        <w:t>Timberlake</w:t>
      </w:r>
      <w:r w:rsidR="0043652F">
        <w:rPr>
          <w:rFonts w:ascii="Arial" w:hAnsi="Arial" w:cs="Arial"/>
          <w:sz w:val="20"/>
          <w:szCs w:val="20"/>
          <w:lang w:val="en-US"/>
        </w:rPr>
        <w:t xml:space="preserve"> L</w:t>
      </w:r>
      <w:r w:rsidRPr="00563FB7">
        <w:rPr>
          <w:rFonts w:ascii="Arial" w:hAnsi="Arial" w:cs="Arial"/>
          <w:sz w:val="20"/>
          <w:szCs w:val="20"/>
          <w:lang w:val="en-US"/>
        </w:rPr>
        <w:t xml:space="preserve">. Defending </w:t>
      </w:r>
      <w:r w:rsidR="0043652F" w:rsidRPr="00563FB7">
        <w:rPr>
          <w:rFonts w:ascii="Arial" w:hAnsi="Arial" w:cs="Arial"/>
          <w:sz w:val="20"/>
          <w:szCs w:val="20"/>
          <w:lang w:val="en-US"/>
        </w:rPr>
        <w:t>the future</w:t>
      </w:r>
      <w:r w:rsidRPr="00563FB7">
        <w:rPr>
          <w:rFonts w:ascii="Arial" w:hAnsi="Arial" w:cs="Arial"/>
          <w:sz w:val="20"/>
          <w:szCs w:val="20"/>
          <w:lang w:val="en-US"/>
        </w:rPr>
        <w:t>. London: Earthscan</w:t>
      </w:r>
      <w:r w:rsidR="0043652F">
        <w:rPr>
          <w:rFonts w:ascii="Arial" w:hAnsi="Arial" w:cs="Arial"/>
          <w:sz w:val="20"/>
          <w:szCs w:val="20"/>
          <w:lang w:val="en-US"/>
        </w:rPr>
        <w:t>;1991.</w:t>
      </w:r>
    </w:p>
    <w:p w14:paraId="19348471" w14:textId="77777777" w:rsidR="00D947FA" w:rsidRPr="00563FB7" w:rsidRDefault="00D947FA" w:rsidP="00BA086A">
      <w:pPr>
        <w:pStyle w:val="ListParagraph"/>
        <w:spacing w:line="240" w:lineRule="auto"/>
        <w:jc w:val="both"/>
        <w:rPr>
          <w:rFonts w:ascii="Arial" w:hAnsi="Arial" w:cs="Arial"/>
          <w:sz w:val="20"/>
          <w:szCs w:val="20"/>
          <w:lang w:val="en-US"/>
        </w:rPr>
      </w:pPr>
    </w:p>
    <w:p w14:paraId="6C23515C" w14:textId="38F5836D" w:rsidR="0008476A" w:rsidRPr="00563FB7" w:rsidRDefault="00F717C8"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Khurram</w:t>
      </w:r>
      <w:r w:rsidR="0043652F">
        <w:rPr>
          <w:rFonts w:ascii="Arial" w:hAnsi="Arial" w:cs="Arial"/>
          <w:sz w:val="20"/>
          <w:szCs w:val="20"/>
          <w:lang w:val="en-US"/>
        </w:rPr>
        <w:t xml:space="preserve"> S</w:t>
      </w:r>
      <w:r w:rsidRPr="00563FB7">
        <w:rPr>
          <w:rFonts w:ascii="Arial" w:hAnsi="Arial" w:cs="Arial"/>
          <w:sz w:val="20"/>
          <w:szCs w:val="20"/>
          <w:lang w:val="en-US"/>
        </w:rPr>
        <w:t>, Shalizi</w:t>
      </w:r>
      <w:r w:rsidR="0043652F">
        <w:rPr>
          <w:rFonts w:ascii="Arial" w:hAnsi="Arial" w:cs="Arial"/>
          <w:sz w:val="20"/>
          <w:szCs w:val="20"/>
          <w:lang w:val="en-US"/>
        </w:rPr>
        <w:t xml:space="preserve"> MN</w:t>
      </w:r>
      <w:r w:rsidRPr="00563FB7">
        <w:rPr>
          <w:rFonts w:ascii="Arial" w:hAnsi="Arial" w:cs="Arial"/>
          <w:sz w:val="20"/>
          <w:szCs w:val="20"/>
          <w:lang w:val="en-US"/>
        </w:rPr>
        <w:t>, Bashari</w:t>
      </w:r>
      <w:r w:rsidR="008D49A1">
        <w:rPr>
          <w:rFonts w:ascii="Arial" w:hAnsi="Arial" w:cs="Arial"/>
          <w:sz w:val="20"/>
          <w:szCs w:val="20"/>
          <w:lang w:val="en-US"/>
        </w:rPr>
        <w:t xml:space="preserve"> M</w:t>
      </w:r>
      <w:r w:rsidRPr="00563FB7">
        <w:rPr>
          <w:rFonts w:ascii="Arial" w:hAnsi="Arial" w:cs="Arial"/>
          <w:sz w:val="20"/>
          <w:szCs w:val="20"/>
          <w:lang w:val="en-US"/>
        </w:rPr>
        <w:t xml:space="preserve">, </w:t>
      </w:r>
      <w:proofErr w:type="spellStart"/>
      <w:r w:rsidRPr="00563FB7">
        <w:rPr>
          <w:rFonts w:ascii="Arial" w:hAnsi="Arial" w:cs="Arial"/>
          <w:sz w:val="20"/>
          <w:szCs w:val="20"/>
          <w:lang w:val="en-US"/>
        </w:rPr>
        <w:t>Akamani</w:t>
      </w:r>
      <w:proofErr w:type="spellEnd"/>
      <w:r w:rsidR="008D49A1">
        <w:rPr>
          <w:rFonts w:ascii="Arial" w:hAnsi="Arial" w:cs="Arial"/>
          <w:sz w:val="20"/>
          <w:szCs w:val="20"/>
          <w:lang w:val="en-US"/>
        </w:rPr>
        <w:t xml:space="preserve"> K, </w:t>
      </w:r>
      <w:r w:rsidRPr="00563FB7">
        <w:rPr>
          <w:rFonts w:ascii="Arial" w:hAnsi="Arial" w:cs="Arial"/>
          <w:sz w:val="20"/>
          <w:szCs w:val="20"/>
          <w:lang w:val="en-US"/>
        </w:rPr>
        <w:t>Groninger</w:t>
      </w:r>
      <w:r w:rsidR="008D49A1">
        <w:rPr>
          <w:rFonts w:ascii="Arial" w:hAnsi="Arial" w:cs="Arial"/>
          <w:sz w:val="20"/>
          <w:szCs w:val="20"/>
          <w:lang w:val="en-US"/>
        </w:rPr>
        <w:t xml:space="preserve"> JW</w:t>
      </w:r>
      <w:r w:rsidRPr="00563FB7">
        <w:rPr>
          <w:rFonts w:ascii="Arial" w:hAnsi="Arial" w:cs="Arial"/>
          <w:sz w:val="20"/>
          <w:szCs w:val="20"/>
          <w:lang w:val="en-US"/>
        </w:rPr>
        <w:t>. Barriers and opportunities regarding community-based forest management in Afghanistan: considerations for fragile states. Environmental Conservation</w:t>
      </w:r>
      <w:r w:rsidR="008D49A1">
        <w:rPr>
          <w:rFonts w:ascii="Arial" w:hAnsi="Arial" w:cs="Arial"/>
          <w:sz w:val="20"/>
          <w:szCs w:val="20"/>
          <w:lang w:val="en-US"/>
        </w:rPr>
        <w:t>.</w:t>
      </w:r>
      <w:r w:rsidR="008D49A1" w:rsidRPr="008D49A1">
        <w:t xml:space="preserve"> </w:t>
      </w:r>
      <w:r w:rsidR="008D49A1" w:rsidRPr="008D49A1">
        <w:rPr>
          <w:rFonts w:ascii="Arial" w:hAnsi="Arial" w:cs="Arial"/>
          <w:sz w:val="20"/>
          <w:szCs w:val="20"/>
          <w:lang w:val="en-US"/>
        </w:rPr>
        <w:t>2024</w:t>
      </w:r>
      <w:r w:rsidR="008D49A1">
        <w:rPr>
          <w:rFonts w:ascii="Arial" w:hAnsi="Arial" w:cs="Arial"/>
          <w:sz w:val="20"/>
          <w:szCs w:val="20"/>
          <w:lang w:val="en-US"/>
        </w:rPr>
        <w:t>;</w:t>
      </w:r>
      <w:r w:rsidRPr="00563FB7">
        <w:rPr>
          <w:rFonts w:ascii="Arial" w:hAnsi="Arial" w:cs="Arial"/>
          <w:sz w:val="20"/>
          <w:szCs w:val="20"/>
          <w:lang w:val="en-US"/>
        </w:rPr>
        <w:t xml:space="preserve"> 51: 6–16. </w:t>
      </w:r>
      <w:proofErr w:type="spellStart"/>
      <w:r w:rsidRPr="00563FB7">
        <w:rPr>
          <w:rFonts w:ascii="Arial" w:hAnsi="Arial" w:cs="Arial"/>
          <w:sz w:val="20"/>
          <w:szCs w:val="20"/>
          <w:lang w:val="en-US"/>
        </w:rPr>
        <w:t>doi</w:t>
      </w:r>
      <w:proofErr w:type="spellEnd"/>
      <w:r w:rsidRPr="00563FB7">
        <w:rPr>
          <w:rFonts w:ascii="Arial" w:hAnsi="Arial" w:cs="Arial"/>
          <w:sz w:val="20"/>
          <w:szCs w:val="20"/>
          <w:lang w:val="en-US"/>
        </w:rPr>
        <w:t>: 10.1017/S0376892923000280.</w:t>
      </w:r>
    </w:p>
    <w:p w14:paraId="41507B2E" w14:textId="774E9547" w:rsidR="0008476A" w:rsidRPr="00563FB7" w:rsidRDefault="0095494B"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Ghimire</w:t>
      </w:r>
      <w:r w:rsidR="008D49A1">
        <w:rPr>
          <w:rFonts w:ascii="Arial" w:hAnsi="Arial" w:cs="Arial"/>
          <w:sz w:val="20"/>
          <w:szCs w:val="20"/>
          <w:lang w:val="en-US"/>
        </w:rPr>
        <w:t xml:space="preserve"> </w:t>
      </w:r>
      <w:r w:rsidRPr="00563FB7">
        <w:rPr>
          <w:rFonts w:ascii="Arial" w:hAnsi="Arial" w:cs="Arial"/>
          <w:sz w:val="20"/>
          <w:szCs w:val="20"/>
          <w:lang w:val="en-US"/>
        </w:rPr>
        <w:t>P</w:t>
      </w:r>
      <w:r w:rsidR="008D49A1">
        <w:rPr>
          <w:rFonts w:ascii="Arial" w:hAnsi="Arial" w:cs="Arial"/>
          <w:sz w:val="20"/>
          <w:szCs w:val="20"/>
          <w:lang w:val="en-US"/>
        </w:rPr>
        <w:t xml:space="preserve">, </w:t>
      </w:r>
      <w:r w:rsidRPr="00563FB7">
        <w:rPr>
          <w:rFonts w:ascii="Arial" w:hAnsi="Arial" w:cs="Arial"/>
          <w:sz w:val="20"/>
          <w:szCs w:val="20"/>
          <w:lang w:val="en-US"/>
        </w:rPr>
        <w:t xml:space="preserve">Lamichhane U. Community </w:t>
      </w:r>
      <w:r w:rsidR="008D49A1" w:rsidRPr="00563FB7">
        <w:rPr>
          <w:rFonts w:ascii="Arial" w:hAnsi="Arial" w:cs="Arial"/>
          <w:sz w:val="20"/>
          <w:szCs w:val="20"/>
          <w:lang w:val="en-US"/>
        </w:rPr>
        <w:t>based forest management in Nepal: current status, successes and challenges</w:t>
      </w:r>
      <w:r w:rsidRPr="00563FB7">
        <w:rPr>
          <w:rFonts w:ascii="Arial" w:hAnsi="Arial" w:cs="Arial"/>
          <w:sz w:val="20"/>
          <w:szCs w:val="20"/>
          <w:lang w:val="en-US"/>
        </w:rPr>
        <w:t>. Grassroots Journal of Natural Resources</w:t>
      </w:r>
      <w:r w:rsidR="008D49A1">
        <w:rPr>
          <w:rFonts w:ascii="Arial" w:hAnsi="Arial" w:cs="Arial"/>
          <w:sz w:val="20"/>
          <w:szCs w:val="20"/>
          <w:lang w:val="en-US"/>
        </w:rPr>
        <w:t>.</w:t>
      </w:r>
      <w:r w:rsidR="008D49A1" w:rsidRPr="008D49A1">
        <w:t xml:space="preserve"> </w:t>
      </w:r>
      <w:r w:rsidR="008D49A1" w:rsidRPr="008D49A1">
        <w:rPr>
          <w:rFonts w:ascii="Arial" w:hAnsi="Arial" w:cs="Arial"/>
          <w:sz w:val="20"/>
          <w:szCs w:val="20"/>
          <w:lang w:val="en-US"/>
        </w:rPr>
        <w:t>2020</w:t>
      </w:r>
      <w:r w:rsidR="008D49A1">
        <w:rPr>
          <w:rFonts w:ascii="Arial" w:hAnsi="Arial" w:cs="Arial"/>
          <w:sz w:val="20"/>
          <w:szCs w:val="20"/>
          <w:lang w:val="en-US"/>
        </w:rPr>
        <w:t>;</w:t>
      </w:r>
      <w:r w:rsidRPr="00563FB7">
        <w:rPr>
          <w:rFonts w:ascii="Arial" w:hAnsi="Arial" w:cs="Arial"/>
          <w:sz w:val="20"/>
          <w:szCs w:val="20"/>
          <w:lang w:val="en-US"/>
        </w:rPr>
        <w:t xml:space="preserve"> 3</w:t>
      </w:r>
      <w:r w:rsidR="008D49A1">
        <w:rPr>
          <w:rFonts w:ascii="Arial" w:hAnsi="Arial" w:cs="Arial"/>
          <w:sz w:val="20"/>
          <w:szCs w:val="20"/>
          <w:lang w:val="en-US"/>
        </w:rPr>
        <w:t xml:space="preserve"> </w:t>
      </w:r>
      <w:r w:rsidRPr="00563FB7">
        <w:rPr>
          <w:rFonts w:ascii="Arial" w:hAnsi="Arial" w:cs="Arial"/>
          <w:sz w:val="20"/>
          <w:szCs w:val="20"/>
          <w:lang w:val="en-US"/>
        </w:rPr>
        <w:t>(2): 16-29. Doi: https://doi.org/10.33002/nr2581.6853.03022</w:t>
      </w:r>
      <w:r w:rsidR="00975F2E">
        <w:rPr>
          <w:rFonts w:ascii="Arial" w:hAnsi="Arial" w:cs="Arial"/>
          <w:sz w:val="20"/>
          <w:szCs w:val="20"/>
          <w:lang w:val="en-US"/>
        </w:rPr>
        <w:t>.</w:t>
      </w:r>
    </w:p>
    <w:p w14:paraId="5D73FEA6" w14:textId="6B9D11B1" w:rsidR="0008476A" w:rsidRPr="00563FB7" w:rsidRDefault="0095494B" w:rsidP="00BA086A">
      <w:pPr>
        <w:pStyle w:val="ListParagraph"/>
        <w:numPr>
          <w:ilvl w:val="0"/>
          <w:numId w:val="3"/>
        </w:numPr>
        <w:spacing w:line="240" w:lineRule="auto"/>
        <w:jc w:val="both"/>
        <w:rPr>
          <w:rFonts w:ascii="Arial" w:hAnsi="Arial" w:cs="Arial"/>
          <w:sz w:val="20"/>
          <w:szCs w:val="20"/>
          <w:lang w:val="en-US"/>
        </w:rPr>
      </w:pPr>
      <w:proofErr w:type="spellStart"/>
      <w:r w:rsidRPr="00563FB7">
        <w:rPr>
          <w:rFonts w:ascii="Arial" w:hAnsi="Arial" w:cs="Arial"/>
          <w:sz w:val="20"/>
          <w:szCs w:val="20"/>
          <w:lang w:val="en-US"/>
        </w:rPr>
        <w:t>Bwagalilo</w:t>
      </w:r>
      <w:proofErr w:type="spellEnd"/>
      <w:r w:rsidRPr="00563FB7">
        <w:rPr>
          <w:rFonts w:ascii="Arial" w:hAnsi="Arial" w:cs="Arial"/>
          <w:sz w:val="20"/>
          <w:szCs w:val="20"/>
          <w:lang w:val="en-US"/>
        </w:rPr>
        <w:t xml:space="preserve"> F</w:t>
      </w:r>
      <w:r w:rsidR="008D49A1">
        <w:rPr>
          <w:rFonts w:ascii="Arial" w:hAnsi="Arial" w:cs="Arial"/>
          <w:sz w:val="20"/>
          <w:szCs w:val="20"/>
          <w:lang w:val="en-US"/>
        </w:rPr>
        <w:t>,</w:t>
      </w:r>
      <w:r w:rsidRPr="00563FB7">
        <w:rPr>
          <w:rFonts w:ascii="Arial" w:hAnsi="Arial" w:cs="Arial"/>
          <w:sz w:val="20"/>
          <w:szCs w:val="20"/>
          <w:lang w:val="en-US"/>
        </w:rPr>
        <w:t xml:space="preserve"> </w:t>
      </w:r>
      <w:proofErr w:type="spellStart"/>
      <w:r w:rsidRPr="00563FB7">
        <w:rPr>
          <w:rFonts w:ascii="Arial" w:hAnsi="Arial" w:cs="Arial"/>
          <w:sz w:val="20"/>
          <w:szCs w:val="20"/>
          <w:lang w:val="en-US"/>
        </w:rPr>
        <w:t>Mwamfupe</w:t>
      </w:r>
      <w:proofErr w:type="spellEnd"/>
      <w:r w:rsidRPr="00563FB7">
        <w:rPr>
          <w:rFonts w:ascii="Arial" w:hAnsi="Arial" w:cs="Arial"/>
          <w:sz w:val="20"/>
          <w:szCs w:val="20"/>
          <w:lang w:val="en-US"/>
        </w:rPr>
        <w:t xml:space="preserve"> A</w:t>
      </w:r>
      <w:r w:rsidR="008D49A1">
        <w:rPr>
          <w:rFonts w:ascii="Arial" w:hAnsi="Arial" w:cs="Arial"/>
          <w:sz w:val="20"/>
          <w:szCs w:val="20"/>
          <w:lang w:val="en-US"/>
        </w:rPr>
        <w:t xml:space="preserve">, </w:t>
      </w:r>
      <w:proofErr w:type="spellStart"/>
      <w:r w:rsidRPr="00563FB7">
        <w:rPr>
          <w:rFonts w:ascii="Arial" w:hAnsi="Arial" w:cs="Arial"/>
          <w:sz w:val="20"/>
          <w:szCs w:val="20"/>
          <w:lang w:val="en-US"/>
        </w:rPr>
        <w:t>Olwig</w:t>
      </w:r>
      <w:proofErr w:type="spellEnd"/>
      <w:r w:rsidRPr="00563FB7">
        <w:rPr>
          <w:rFonts w:ascii="Arial" w:hAnsi="Arial" w:cs="Arial"/>
          <w:sz w:val="20"/>
          <w:szCs w:val="20"/>
          <w:lang w:val="en-US"/>
        </w:rPr>
        <w:t xml:space="preserve"> MF. Forestry </w:t>
      </w:r>
      <w:proofErr w:type="spellStart"/>
      <w:r w:rsidR="008D49A1">
        <w:rPr>
          <w:rFonts w:ascii="Arial" w:hAnsi="Arial" w:cs="Arial"/>
          <w:sz w:val="20"/>
          <w:szCs w:val="20"/>
          <w:lang w:val="en-US"/>
        </w:rPr>
        <w:t>decentralisation</w:t>
      </w:r>
      <w:proofErr w:type="spellEnd"/>
      <w:r w:rsidR="008D49A1" w:rsidRPr="00563FB7">
        <w:rPr>
          <w:rFonts w:ascii="Arial" w:hAnsi="Arial" w:cs="Arial"/>
          <w:sz w:val="20"/>
          <w:szCs w:val="20"/>
          <w:lang w:val="en-US"/>
        </w:rPr>
        <w:t xml:space="preserve"> policies and community-based forest enterprises in </w:t>
      </w:r>
      <w:r w:rsidRPr="00563FB7">
        <w:rPr>
          <w:rFonts w:ascii="Arial" w:hAnsi="Arial" w:cs="Arial"/>
          <w:sz w:val="20"/>
          <w:szCs w:val="20"/>
          <w:lang w:val="en-US"/>
        </w:rPr>
        <w:t xml:space="preserve">Tanzania: A </w:t>
      </w:r>
      <w:r w:rsidR="008D49A1" w:rsidRPr="00563FB7">
        <w:rPr>
          <w:rFonts w:ascii="Arial" w:hAnsi="Arial" w:cs="Arial"/>
          <w:sz w:val="20"/>
          <w:szCs w:val="20"/>
          <w:lang w:val="en-US"/>
        </w:rPr>
        <w:t>literature review</w:t>
      </w:r>
      <w:r w:rsidRPr="00563FB7">
        <w:rPr>
          <w:rFonts w:ascii="Arial" w:hAnsi="Arial" w:cs="Arial"/>
          <w:sz w:val="20"/>
          <w:szCs w:val="20"/>
          <w:lang w:val="en-US"/>
        </w:rPr>
        <w:t xml:space="preserve">. NEPSUS </w:t>
      </w:r>
      <w:r w:rsidR="008D49A1" w:rsidRPr="00563FB7">
        <w:rPr>
          <w:rFonts w:ascii="Arial" w:hAnsi="Arial" w:cs="Arial"/>
          <w:sz w:val="20"/>
          <w:szCs w:val="20"/>
          <w:lang w:val="en-US"/>
        </w:rPr>
        <w:t>working paper</w:t>
      </w:r>
      <w:r w:rsidRPr="00563FB7">
        <w:rPr>
          <w:rFonts w:ascii="Arial" w:hAnsi="Arial" w:cs="Arial"/>
          <w:sz w:val="20"/>
          <w:szCs w:val="20"/>
          <w:lang w:val="en-US"/>
        </w:rPr>
        <w:t xml:space="preserve"> 2019/1.</w:t>
      </w:r>
      <w:r w:rsidR="008D49A1" w:rsidRPr="008D49A1">
        <w:t xml:space="preserve"> </w:t>
      </w:r>
      <w:r w:rsidR="008D49A1" w:rsidRPr="008D49A1">
        <w:rPr>
          <w:rFonts w:ascii="Arial" w:hAnsi="Arial" w:cs="Arial"/>
          <w:sz w:val="20"/>
          <w:szCs w:val="20"/>
          <w:lang w:val="en-US"/>
        </w:rPr>
        <w:t>2019</w:t>
      </w:r>
      <w:r w:rsidR="008D49A1">
        <w:rPr>
          <w:rFonts w:ascii="Arial" w:hAnsi="Arial" w:cs="Arial"/>
          <w:sz w:val="20"/>
          <w:szCs w:val="20"/>
          <w:lang w:val="en-US"/>
        </w:rPr>
        <w:t>.</w:t>
      </w:r>
      <w:r w:rsidRPr="00563FB7">
        <w:rPr>
          <w:rFonts w:ascii="Arial" w:hAnsi="Arial" w:cs="Arial"/>
          <w:sz w:val="20"/>
          <w:szCs w:val="20"/>
          <w:lang w:val="en-US"/>
        </w:rPr>
        <w:t xml:space="preserve"> https://www.cbs.dk/en/research/departments-and-centres/department-of-managementsociety-and-communication/centre-business-and-development-studies-cbds</w:t>
      </w:r>
      <w:r w:rsidR="00975F2E">
        <w:rPr>
          <w:rFonts w:ascii="Arial" w:hAnsi="Arial" w:cs="Arial"/>
          <w:sz w:val="20"/>
          <w:szCs w:val="20"/>
          <w:lang w:val="en-US"/>
        </w:rPr>
        <w:t>.</w:t>
      </w:r>
    </w:p>
    <w:p w14:paraId="645C479F" w14:textId="6B61B617" w:rsidR="0008476A" w:rsidRPr="00563FB7" w:rsidRDefault="00F717C8" w:rsidP="00BA086A">
      <w:pPr>
        <w:pStyle w:val="ListParagraph"/>
        <w:numPr>
          <w:ilvl w:val="0"/>
          <w:numId w:val="3"/>
        </w:numPr>
        <w:spacing w:line="240" w:lineRule="auto"/>
        <w:jc w:val="both"/>
        <w:rPr>
          <w:rFonts w:ascii="Arial" w:hAnsi="Arial" w:cs="Arial"/>
          <w:sz w:val="20"/>
          <w:szCs w:val="20"/>
          <w:lang w:val="en-US"/>
        </w:rPr>
      </w:pPr>
      <w:proofErr w:type="spellStart"/>
      <w:r w:rsidRPr="00563FB7">
        <w:rPr>
          <w:rFonts w:ascii="Arial" w:hAnsi="Arial" w:cs="Arial"/>
          <w:sz w:val="20"/>
          <w:szCs w:val="20"/>
          <w:lang w:val="en-US"/>
        </w:rPr>
        <w:t>Laudari</w:t>
      </w:r>
      <w:proofErr w:type="spellEnd"/>
      <w:r w:rsidR="008D49A1">
        <w:rPr>
          <w:rFonts w:ascii="Arial" w:hAnsi="Arial" w:cs="Arial"/>
          <w:sz w:val="20"/>
          <w:szCs w:val="20"/>
          <w:lang w:val="en-US"/>
        </w:rPr>
        <w:t xml:space="preserve"> HK</w:t>
      </w:r>
      <w:r w:rsidRPr="00563FB7">
        <w:rPr>
          <w:rFonts w:ascii="Arial" w:hAnsi="Arial" w:cs="Arial"/>
          <w:sz w:val="20"/>
          <w:szCs w:val="20"/>
          <w:lang w:val="en-US"/>
        </w:rPr>
        <w:t>, Sapkota</w:t>
      </w:r>
      <w:r w:rsidR="008D49A1">
        <w:rPr>
          <w:rFonts w:ascii="Arial" w:hAnsi="Arial" w:cs="Arial"/>
          <w:sz w:val="20"/>
          <w:szCs w:val="20"/>
          <w:lang w:val="en-US"/>
        </w:rPr>
        <w:t xml:space="preserve"> LM</w:t>
      </w:r>
      <w:r w:rsidRPr="00563FB7">
        <w:rPr>
          <w:rFonts w:ascii="Arial" w:hAnsi="Arial" w:cs="Arial"/>
          <w:sz w:val="20"/>
          <w:szCs w:val="20"/>
          <w:lang w:val="en-US"/>
        </w:rPr>
        <w:t xml:space="preserve">, </w:t>
      </w:r>
      <w:proofErr w:type="spellStart"/>
      <w:r w:rsidRPr="00563FB7">
        <w:rPr>
          <w:rFonts w:ascii="Arial" w:hAnsi="Arial" w:cs="Arial"/>
          <w:sz w:val="20"/>
          <w:szCs w:val="20"/>
          <w:lang w:val="en-US"/>
        </w:rPr>
        <w:t>Maraseni</w:t>
      </w:r>
      <w:proofErr w:type="spellEnd"/>
      <w:r w:rsidR="008D49A1">
        <w:rPr>
          <w:rFonts w:ascii="Arial" w:hAnsi="Arial" w:cs="Arial"/>
          <w:sz w:val="20"/>
          <w:szCs w:val="20"/>
          <w:lang w:val="en-US"/>
        </w:rPr>
        <w:t xml:space="preserve"> T</w:t>
      </w:r>
      <w:r w:rsidRPr="00563FB7">
        <w:rPr>
          <w:rFonts w:ascii="Arial" w:hAnsi="Arial" w:cs="Arial"/>
          <w:sz w:val="20"/>
          <w:szCs w:val="20"/>
          <w:lang w:val="en-US"/>
        </w:rPr>
        <w:t>, Subedi</w:t>
      </w:r>
      <w:r w:rsidR="008D49A1">
        <w:rPr>
          <w:rFonts w:ascii="Arial" w:hAnsi="Arial" w:cs="Arial"/>
          <w:sz w:val="20"/>
          <w:szCs w:val="20"/>
          <w:lang w:val="en-US"/>
        </w:rPr>
        <w:t xml:space="preserve"> P</w:t>
      </w:r>
      <w:r w:rsidRPr="00563FB7">
        <w:rPr>
          <w:rFonts w:ascii="Arial" w:hAnsi="Arial" w:cs="Arial"/>
          <w:sz w:val="20"/>
          <w:szCs w:val="20"/>
          <w:lang w:val="en-US"/>
        </w:rPr>
        <w:t>,</w:t>
      </w:r>
      <w:r w:rsidR="008D49A1">
        <w:rPr>
          <w:rFonts w:ascii="Arial" w:hAnsi="Arial" w:cs="Arial"/>
          <w:sz w:val="20"/>
          <w:szCs w:val="20"/>
          <w:lang w:val="en-US"/>
        </w:rPr>
        <w:t xml:space="preserve"> </w:t>
      </w:r>
      <w:r w:rsidRPr="00563FB7">
        <w:rPr>
          <w:rFonts w:ascii="Arial" w:hAnsi="Arial" w:cs="Arial"/>
          <w:sz w:val="20"/>
          <w:szCs w:val="20"/>
          <w:lang w:val="en-US"/>
        </w:rPr>
        <w:t>Pariyar</w:t>
      </w:r>
      <w:r w:rsidR="008D49A1">
        <w:rPr>
          <w:rFonts w:ascii="Arial" w:hAnsi="Arial" w:cs="Arial"/>
          <w:sz w:val="20"/>
          <w:szCs w:val="20"/>
          <w:lang w:val="en-US"/>
        </w:rPr>
        <w:t xml:space="preserve"> S</w:t>
      </w:r>
      <w:r w:rsidRPr="00563FB7">
        <w:rPr>
          <w:rFonts w:ascii="Arial" w:hAnsi="Arial" w:cs="Arial"/>
          <w:sz w:val="20"/>
          <w:szCs w:val="20"/>
          <w:lang w:val="en-US"/>
        </w:rPr>
        <w:t>, Kaini</w:t>
      </w:r>
      <w:r w:rsidR="008D49A1">
        <w:rPr>
          <w:rFonts w:ascii="Arial" w:hAnsi="Arial" w:cs="Arial"/>
          <w:sz w:val="20"/>
          <w:szCs w:val="20"/>
          <w:lang w:val="en-US"/>
        </w:rPr>
        <w:t xml:space="preserve"> TR</w:t>
      </w:r>
      <w:r w:rsidRPr="00563FB7">
        <w:rPr>
          <w:rFonts w:ascii="Arial" w:hAnsi="Arial" w:cs="Arial"/>
          <w:sz w:val="20"/>
          <w:szCs w:val="20"/>
          <w:lang w:val="en-US"/>
        </w:rPr>
        <w:t xml:space="preserve">, </w:t>
      </w:r>
      <w:r w:rsidR="008D49A1">
        <w:rPr>
          <w:rFonts w:ascii="Arial" w:hAnsi="Arial" w:cs="Arial"/>
          <w:sz w:val="20"/>
          <w:szCs w:val="20"/>
          <w:lang w:val="en-US"/>
        </w:rPr>
        <w:t>et al</w:t>
      </w:r>
      <w:r w:rsidRPr="00563FB7">
        <w:rPr>
          <w:rFonts w:ascii="Arial" w:hAnsi="Arial" w:cs="Arial"/>
          <w:sz w:val="20"/>
          <w:szCs w:val="20"/>
          <w:lang w:val="en-US"/>
        </w:rPr>
        <w:t xml:space="preserve">. Community forestry in a changing context: A perspective from Nepal’s mid-hill. Land Use Policy. </w:t>
      </w:r>
      <w:r w:rsidR="008D49A1">
        <w:rPr>
          <w:rFonts w:ascii="Arial" w:hAnsi="Arial" w:cs="Arial"/>
          <w:sz w:val="20"/>
          <w:szCs w:val="20"/>
          <w:lang w:val="en-US"/>
        </w:rPr>
        <w:t>2024;</w:t>
      </w:r>
      <w:r w:rsidRPr="00563FB7">
        <w:rPr>
          <w:rFonts w:ascii="Arial" w:hAnsi="Arial" w:cs="Arial"/>
          <w:sz w:val="20"/>
          <w:szCs w:val="20"/>
          <w:lang w:val="en-US"/>
        </w:rPr>
        <w:t xml:space="preserve"> 138. https://doi.org/10.1016/j.landusepol.2023.107018</w:t>
      </w:r>
      <w:r w:rsidR="00975F2E">
        <w:rPr>
          <w:rFonts w:ascii="Arial" w:hAnsi="Arial" w:cs="Arial"/>
          <w:sz w:val="20"/>
          <w:szCs w:val="20"/>
          <w:lang w:val="en-US"/>
        </w:rPr>
        <w:t>.</w:t>
      </w:r>
    </w:p>
    <w:p w14:paraId="0985B1F3" w14:textId="355AD9D1" w:rsidR="0008476A" w:rsidRPr="00563FB7" w:rsidRDefault="0095494B"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FAO</w:t>
      </w:r>
      <w:r w:rsidR="008D49A1">
        <w:rPr>
          <w:rFonts w:ascii="Arial" w:hAnsi="Arial" w:cs="Arial"/>
          <w:sz w:val="20"/>
          <w:szCs w:val="20"/>
          <w:lang w:val="en-US"/>
        </w:rPr>
        <w:t>.</w:t>
      </w:r>
      <w:r w:rsidR="00A7349C">
        <w:rPr>
          <w:rFonts w:ascii="Arial" w:hAnsi="Arial" w:cs="Arial"/>
          <w:sz w:val="20"/>
          <w:szCs w:val="20"/>
          <w:lang w:val="en-US"/>
        </w:rPr>
        <w:t xml:space="preserve"> </w:t>
      </w:r>
      <w:r w:rsidRPr="00563FB7">
        <w:rPr>
          <w:rFonts w:ascii="Arial" w:hAnsi="Arial" w:cs="Arial"/>
          <w:sz w:val="20"/>
          <w:szCs w:val="20"/>
          <w:lang w:val="en-US"/>
        </w:rPr>
        <w:t xml:space="preserve">Global </w:t>
      </w:r>
      <w:r w:rsidR="00A7349C" w:rsidRPr="00563FB7">
        <w:rPr>
          <w:rFonts w:ascii="Arial" w:hAnsi="Arial" w:cs="Arial"/>
          <w:sz w:val="20"/>
          <w:szCs w:val="20"/>
          <w:lang w:val="en-US"/>
        </w:rPr>
        <w:t xml:space="preserve">forest resources assessment </w:t>
      </w:r>
      <w:r w:rsidRPr="00563FB7">
        <w:rPr>
          <w:rFonts w:ascii="Arial" w:hAnsi="Arial" w:cs="Arial"/>
          <w:sz w:val="20"/>
          <w:szCs w:val="20"/>
          <w:lang w:val="en-US"/>
        </w:rPr>
        <w:t>2020</w:t>
      </w:r>
      <w:r w:rsidR="008D49A1">
        <w:rPr>
          <w:rFonts w:ascii="Arial" w:hAnsi="Arial" w:cs="Arial"/>
          <w:sz w:val="20"/>
          <w:szCs w:val="20"/>
          <w:lang w:val="en-US"/>
        </w:rPr>
        <w:t>-</w:t>
      </w:r>
      <w:r w:rsidRPr="00563FB7">
        <w:rPr>
          <w:rFonts w:ascii="Arial" w:hAnsi="Arial" w:cs="Arial"/>
          <w:sz w:val="20"/>
          <w:szCs w:val="20"/>
          <w:lang w:val="en-US"/>
        </w:rPr>
        <w:t xml:space="preserve">Key </w:t>
      </w:r>
      <w:r w:rsidR="00A7349C" w:rsidRPr="00563FB7">
        <w:rPr>
          <w:rFonts w:ascii="Arial" w:hAnsi="Arial" w:cs="Arial"/>
          <w:sz w:val="20"/>
          <w:szCs w:val="20"/>
          <w:lang w:val="en-US"/>
        </w:rPr>
        <w:t>f</w:t>
      </w:r>
      <w:r w:rsidR="00A7349C">
        <w:rPr>
          <w:rFonts w:ascii="Arial" w:hAnsi="Arial" w:cs="Arial"/>
          <w:sz w:val="20"/>
          <w:szCs w:val="20"/>
          <w:lang w:val="en-US"/>
        </w:rPr>
        <w:t>i</w:t>
      </w:r>
      <w:r w:rsidR="00A7349C" w:rsidRPr="00563FB7">
        <w:rPr>
          <w:rFonts w:ascii="Arial" w:hAnsi="Arial" w:cs="Arial"/>
          <w:sz w:val="20"/>
          <w:szCs w:val="20"/>
          <w:lang w:val="en-US"/>
        </w:rPr>
        <w:t>ndings.</w:t>
      </w:r>
      <w:r w:rsidRPr="00563FB7">
        <w:rPr>
          <w:rFonts w:ascii="Arial" w:hAnsi="Arial" w:cs="Arial"/>
          <w:sz w:val="20"/>
          <w:szCs w:val="20"/>
          <w:lang w:val="en-US"/>
        </w:rPr>
        <w:t xml:space="preserve"> Rome. </w:t>
      </w:r>
      <w:r w:rsidR="00A7349C">
        <w:rPr>
          <w:rFonts w:ascii="Arial" w:hAnsi="Arial" w:cs="Arial"/>
          <w:sz w:val="20"/>
          <w:szCs w:val="20"/>
          <w:lang w:val="en-US"/>
        </w:rPr>
        <w:t xml:space="preserve">2020. </w:t>
      </w:r>
      <w:r w:rsidRPr="00563FB7">
        <w:rPr>
          <w:rFonts w:ascii="Arial" w:hAnsi="Arial" w:cs="Arial"/>
          <w:sz w:val="20"/>
          <w:szCs w:val="20"/>
          <w:lang w:val="en-US"/>
        </w:rPr>
        <w:t>https://doi.org/10.4060/ca8753en</w:t>
      </w:r>
      <w:r w:rsidR="00975F2E">
        <w:rPr>
          <w:rFonts w:ascii="Arial" w:hAnsi="Arial" w:cs="Arial"/>
          <w:sz w:val="20"/>
          <w:szCs w:val="20"/>
          <w:lang w:val="en-US"/>
        </w:rPr>
        <w:t>.</w:t>
      </w:r>
    </w:p>
    <w:p w14:paraId="54A1A631" w14:textId="0E2B5EA6" w:rsidR="0008476A" w:rsidRPr="00563FB7" w:rsidRDefault="0008476A"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 xml:space="preserve"> </w:t>
      </w:r>
      <w:proofErr w:type="spellStart"/>
      <w:r w:rsidR="0095494B" w:rsidRPr="00563FB7">
        <w:rPr>
          <w:rFonts w:ascii="Arial" w:hAnsi="Arial" w:cs="Arial"/>
          <w:sz w:val="20"/>
          <w:szCs w:val="20"/>
          <w:lang w:val="en-US"/>
        </w:rPr>
        <w:t>Nzunda</w:t>
      </w:r>
      <w:proofErr w:type="spellEnd"/>
      <w:r w:rsidR="00A7349C">
        <w:rPr>
          <w:rFonts w:ascii="Arial" w:hAnsi="Arial" w:cs="Arial"/>
          <w:sz w:val="20"/>
          <w:szCs w:val="20"/>
          <w:lang w:val="en-US"/>
        </w:rPr>
        <w:t xml:space="preserve"> EF, </w:t>
      </w:r>
      <w:proofErr w:type="spellStart"/>
      <w:r w:rsidR="0095494B" w:rsidRPr="00563FB7">
        <w:rPr>
          <w:rFonts w:ascii="Arial" w:hAnsi="Arial" w:cs="Arial"/>
          <w:sz w:val="20"/>
          <w:szCs w:val="20"/>
          <w:lang w:val="en-US"/>
        </w:rPr>
        <w:t>Manyanda</w:t>
      </w:r>
      <w:proofErr w:type="spellEnd"/>
      <w:r w:rsidR="00A7349C">
        <w:rPr>
          <w:rFonts w:ascii="Arial" w:hAnsi="Arial" w:cs="Arial"/>
          <w:sz w:val="20"/>
          <w:szCs w:val="20"/>
          <w:lang w:val="en-US"/>
        </w:rPr>
        <w:t xml:space="preserve"> BJ. </w:t>
      </w:r>
      <w:r w:rsidR="0095494B" w:rsidRPr="00563FB7">
        <w:rPr>
          <w:rFonts w:ascii="Arial" w:hAnsi="Arial" w:cs="Arial"/>
          <w:sz w:val="20"/>
          <w:szCs w:val="20"/>
          <w:lang w:val="en-US"/>
        </w:rPr>
        <w:t>A SWOT analysis of community-based forest management policy as a basis for REDD+ in Tanzania. GSC Advanced Research and Reviews</w:t>
      </w:r>
      <w:r w:rsidR="00A7349C">
        <w:rPr>
          <w:rFonts w:ascii="Arial" w:hAnsi="Arial" w:cs="Arial"/>
          <w:sz w:val="20"/>
          <w:szCs w:val="20"/>
          <w:lang w:val="en-US"/>
        </w:rPr>
        <w:t xml:space="preserve">. </w:t>
      </w:r>
      <w:r w:rsidR="00A7349C" w:rsidRPr="00A7349C">
        <w:rPr>
          <w:rFonts w:ascii="Arial" w:hAnsi="Arial" w:cs="Arial"/>
          <w:sz w:val="20"/>
          <w:szCs w:val="20"/>
          <w:lang w:val="en-US"/>
        </w:rPr>
        <w:t>2023</w:t>
      </w:r>
      <w:r w:rsidR="00A7349C">
        <w:rPr>
          <w:rFonts w:ascii="Arial" w:hAnsi="Arial" w:cs="Arial"/>
          <w:sz w:val="20"/>
          <w:szCs w:val="20"/>
          <w:lang w:val="en-US"/>
        </w:rPr>
        <w:t>;</w:t>
      </w:r>
      <w:r w:rsidR="0095494B" w:rsidRPr="00563FB7">
        <w:rPr>
          <w:rFonts w:ascii="Arial" w:hAnsi="Arial" w:cs="Arial"/>
          <w:sz w:val="20"/>
          <w:szCs w:val="20"/>
          <w:lang w:val="en-US"/>
        </w:rPr>
        <w:t>15(3)</w:t>
      </w:r>
      <w:r w:rsidR="00A7349C">
        <w:rPr>
          <w:rFonts w:ascii="Arial" w:hAnsi="Arial" w:cs="Arial"/>
          <w:sz w:val="20"/>
          <w:szCs w:val="20"/>
          <w:lang w:val="en-US"/>
        </w:rPr>
        <w:t>:</w:t>
      </w:r>
      <w:r w:rsidR="0095494B" w:rsidRPr="00563FB7">
        <w:rPr>
          <w:rFonts w:ascii="Arial" w:hAnsi="Arial" w:cs="Arial"/>
          <w:sz w:val="20"/>
          <w:szCs w:val="20"/>
          <w:lang w:val="en-US"/>
        </w:rPr>
        <w:t xml:space="preserve">022–037. </w:t>
      </w:r>
      <w:proofErr w:type="spellStart"/>
      <w:r w:rsidR="00A7349C" w:rsidRPr="00563FB7">
        <w:rPr>
          <w:rFonts w:ascii="Arial" w:hAnsi="Arial" w:cs="Arial"/>
          <w:sz w:val="20"/>
          <w:szCs w:val="20"/>
          <w:lang w:val="en-US"/>
        </w:rPr>
        <w:t>doi</w:t>
      </w:r>
      <w:proofErr w:type="spellEnd"/>
      <w:r w:rsidR="00A7349C" w:rsidRPr="00563FB7">
        <w:rPr>
          <w:rFonts w:ascii="Arial" w:hAnsi="Arial" w:cs="Arial"/>
          <w:sz w:val="20"/>
          <w:szCs w:val="20"/>
          <w:lang w:val="en-US"/>
        </w:rPr>
        <w:t>:</w:t>
      </w:r>
      <w:r w:rsidR="0095494B" w:rsidRPr="00563FB7">
        <w:rPr>
          <w:rFonts w:ascii="Arial" w:hAnsi="Arial" w:cs="Arial"/>
          <w:sz w:val="20"/>
          <w:szCs w:val="20"/>
          <w:lang w:val="en-US"/>
        </w:rPr>
        <w:t xml:space="preserve"> https://doi.org/10.30574/gscarr.2023.15.3.0157</w:t>
      </w:r>
      <w:r w:rsidR="00A7349C">
        <w:rPr>
          <w:rFonts w:ascii="Arial" w:hAnsi="Arial" w:cs="Arial"/>
          <w:sz w:val="20"/>
          <w:szCs w:val="20"/>
          <w:lang w:val="en-US"/>
        </w:rPr>
        <w:t>.</w:t>
      </w:r>
    </w:p>
    <w:p w14:paraId="5BDE2644" w14:textId="3A5947EF" w:rsidR="0008476A" w:rsidRPr="00563FB7" w:rsidRDefault="001969F9" w:rsidP="00BA086A">
      <w:pPr>
        <w:pStyle w:val="ListParagraph"/>
        <w:numPr>
          <w:ilvl w:val="0"/>
          <w:numId w:val="3"/>
        </w:numPr>
        <w:spacing w:line="240" w:lineRule="auto"/>
        <w:jc w:val="both"/>
        <w:rPr>
          <w:rFonts w:ascii="Arial" w:hAnsi="Arial" w:cs="Arial"/>
          <w:sz w:val="20"/>
          <w:szCs w:val="20"/>
          <w:lang w:val="en-US"/>
        </w:rPr>
      </w:pPr>
      <w:proofErr w:type="spellStart"/>
      <w:r w:rsidRPr="00563FB7">
        <w:rPr>
          <w:rFonts w:ascii="Arial" w:hAnsi="Arial" w:cs="Arial"/>
          <w:sz w:val="20"/>
          <w:szCs w:val="20"/>
          <w:lang w:val="en-US"/>
        </w:rPr>
        <w:t>Duguma</w:t>
      </w:r>
      <w:proofErr w:type="spellEnd"/>
      <w:r w:rsidR="00A7349C">
        <w:rPr>
          <w:rFonts w:ascii="Arial" w:hAnsi="Arial" w:cs="Arial"/>
          <w:sz w:val="20"/>
          <w:szCs w:val="20"/>
          <w:lang w:val="en-US"/>
        </w:rPr>
        <w:t xml:space="preserve"> </w:t>
      </w:r>
      <w:r w:rsidRPr="00563FB7">
        <w:rPr>
          <w:rFonts w:ascii="Arial" w:hAnsi="Arial" w:cs="Arial"/>
          <w:sz w:val="20"/>
          <w:szCs w:val="20"/>
          <w:lang w:val="en-US"/>
        </w:rPr>
        <w:t xml:space="preserve">LA, </w:t>
      </w:r>
      <w:proofErr w:type="spellStart"/>
      <w:r w:rsidRPr="00563FB7">
        <w:rPr>
          <w:rFonts w:ascii="Arial" w:hAnsi="Arial" w:cs="Arial"/>
          <w:sz w:val="20"/>
          <w:szCs w:val="20"/>
          <w:lang w:val="en-US"/>
        </w:rPr>
        <w:t>Atela</w:t>
      </w:r>
      <w:proofErr w:type="spellEnd"/>
      <w:r w:rsidR="00A7349C">
        <w:rPr>
          <w:rFonts w:ascii="Arial" w:hAnsi="Arial" w:cs="Arial"/>
          <w:sz w:val="20"/>
          <w:szCs w:val="20"/>
          <w:lang w:val="en-US"/>
        </w:rPr>
        <w:t xml:space="preserve"> J</w:t>
      </w:r>
      <w:r w:rsidRPr="00563FB7">
        <w:rPr>
          <w:rFonts w:ascii="Arial" w:hAnsi="Arial" w:cs="Arial"/>
          <w:sz w:val="20"/>
          <w:szCs w:val="20"/>
          <w:lang w:val="en-US"/>
        </w:rPr>
        <w:t xml:space="preserve">, </w:t>
      </w:r>
      <w:proofErr w:type="spellStart"/>
      <w:r w:rsidRPr="00563FB7">
        <w:rPr>
          <w:rFonts w:ascii="Arial" w:hAnsi="Arial" w:cs="Arial"/>
          <w:sz w:val="20"/>
          <w:szCs w:val="20"/>
          <w:lang w:val="en-US"/>
        </w:rPr>
        <w:t>Negassa</w:t>
      </w:r>
      <w:proofErr w:type="spellEnd"/>
      <w:r w:rsidRPr="00563FB7">
        <w:rPr>
          <w:rFonts w:ascii="Arial" w:hAnsi="Arial" w:cs="Arial"/>
          <w:sz w:val="20"/>
          <w:szCs w:val="20"/>
          <w:lang w:val="en-US"/>
        </w:rPr>
        <w:t xml:space="preserve"> Ayana</w:t>
      </w:r>
      <w:r w:rsidR="00A7349C">
        <w:rPr>
          <w:rFonts w:ascii="Arial" w:hAnsi="Arial" w:cs="Arial"/>
          <w:sz w:val="20"/>
          <w:szCs w:val="20"/>
          <w:lang w:val="en-US"/>
        </w:rPr>
        <w:t xml:space="preserve"> A</w:t>
      </w:r>
      <w:r w:rsidRPr="00563FB7">
        <w:rPr>
          <w:rFonts w:ascii="Arial" w:hAnsi="Arial" w:cs="Arial"/>
          <w:sz w:val="20"/>
          <w:szCs w:val="20"/>
          <w:lang w:val="en-US"/>
        </w:rPr>
        <w:t xml:space="preserve">, </w:t>
      </w:r>
      <w:proofErr w:type="spellStart"/>
      <w:r w:rsidRPr="00563FB7">
        <w:rPr>
          <w:rFonts w:ascii="Arial" w:hAnsi="Arial" w:cs="Arial"/>
          <w:sz w:val="20"/>
          <w:szCs w:val="20"/>
          <w:lang w:val="en-US"/>
        </w:rPr>
        <w:t>Alemagi</w:t>
      </w:r>
      <w:proofErr w:type="spellEnd"/>
      <w:r w:rsidR="00A7349C">
        <w:rPr>
          <w:rFonts w:ascii="Arial" w:hAnsi="Arial" w:cs="Arial"/>
          <w:sz w:val="20"/>
          <w:szCs w:val="20"/>
          <w:lang w:val="en-US"/>
        </w:rPr>
        <w:t xml:space="preserve"> D, </w:t>
      </w:r>
      <w:r w:rsidRPr="00563FB7">
        <w:rPr>
          <w:rFonts w:ascii="Arial" w:hAnsi="Arial" w:cs="Arial"/>
          <w:sz w:val="20"/>
          <w:szCs w:val="20"/>
          <w:lang w:val="en-US"/>
        </w:rPr>
        <w:t>Mpanda</w:t>
      </w:r>
      <w:r w:rsidR="00A7349C">
        <w:rPr>
          <w:rFonts w:ascii="Arial" w:hAnsi="Arial" w:cs="Arial"/>
          <w:sz w:val="20"/>
          <w:szCs w:val="20"/>
          <w:lang w:val="en-US"/>
        </w:rPr>
        <w:t xml:space="preserve"> M</w:t>
      </w:r>
      <w:r w:rsidRPr="00563FB7">
        <w:rPr>
          <w:rFonts w:ascii="Arial" w:hAnsi="Arial" w:cs="Arial"/>
          <w:sz w:val="20"/>
          <w:szCs w:val="20"/>
          <w:lang w:val="en-US"/>
        </w:rPr>
        <w:t>,</w:t>
      </w:r>
      <w:r w:rsidR="00A7349C">
        <w:rPr>
          <w:rFonts w:ascii="Arial" w:hAnsi="Arial" w:cs="Arial"/>
          <w:sz w:val="20"/>
          <w:szCs w:val="20"/>
          <w:lang w:val="en-US"/>
        </w:rPr>
        <w:t xml:space="preserve"> </w:t>
      </w:r>
      <w:proofErr w:type="spellStart"/>
      <w:r w:rsidRPr="00563FB7">
        <w:rPr>
          <w:rFonts w:ascii="Arial" w:hAnsi="Arial" w:cs="Arial"/>
          <w:sz w:val="20"/>
          <w:szCs w:val="20"/>
          <w:lang w:val="en-US"/>
        </w:rPr>
        <w:t>Nyago</w:t>
      </w:r>
      <w:proofErr w:type="spellEnd"/>
      <w:r w:rsidR="00A7349C">
        <w:rPr>
          <w:rFonts w:ascii="Arial" w:hAnsi="Arial" w:cs="Arial"/>
          <w:sz w:val="20"/>
          <w:szCs w:val="20"/>
          <w:lang w:val="en-US"/>
        </w:rPr>
        <w:t xml:space="preserve"> M</w:t>
      </w:r>
      <w:r w:rsidRPr="00563FB7">
        <w:rPr>
          <w:rFonts w:ascii="Arial" w:hAnsi="Arial" w:cs="Arial"/>
          <w:sz w:val="20"/>
          <w:szCs w:val="20"/>
          <w:lang w:val="en-US"/>
        </w:rPr>
        <w:t xml:space="preserve">, </w:t>
      </w:r>
      <w:r w:rsidR="00A7349C">
        <w:rPr>
          <w:rFonts w:ascii="Arial" w:hAnsi="Arial" w:cs="Arial"/>
          <w:sz w:val="20"/>
          <w:szCs w:val="20"/>
          <w:lang w:val="en-US"/>
        </w:rPr>
        <w:t>et al.</w:t>
      </w:r>
      <w:r w:rsidRPr="00563FB7">
        <w:rPr>
          <w:rFonts w:ascii="Arial" w:hAnsi="Arial" w:cs="Arial"/>
          <w:sz w:val="20"/>
          <w:szCs w:val="20"/>
          <w:lang w:val="en-US"/>
        </w:rPr>
        <w:t xml:space="preserve"> Community forestry frameworks in sub-Saharan Africa and the impact on sustainable development. Ecology and Society</w:t>
      </w:r>
      <w:r w:rsidR="00A7349C">
        <w:rPr>
          <w:rFonts w:ascii="Arial" w:hAnsi="Arial" w:cs="Arial"/>
          <w:sz w:val="20"/>
          <w:szCs w:val="20"/>
          <w:lang w:val="en-US"/>
        </w:rPr>
        <w:t xml:space="preserve">. </w:t>
      </w:r>
      <w:r w:rsidR="00A7349C" w:rsidRPr="00A7349C">
        <w:rPr>
          <w:rFonts w:ascii="Arial" w:hAnsi="Arial" w:cs="Arial"/>
          <w:sz w:val="20"/>
          <w:szCs w:val="20"/>
          <w:lang w:val="en-US"/>
        </w:rPr>
        <w:t>2018</w:t>
      </w:r>
      <w:r w:rsidR="00A7349C">
        <w:rPr>
          <w:rFonts w:ascii="Arial" w:hAnsi="Arial" w:cs="Arial"/>
          <w:sz w:val="20"/>
          <w:szCs w:val="20"/>
          <w:lang w:val="en-US"/>
        </w:rPr>
        <w:t xml:space="preserve">; </w:t>
      </w:r>
      <w:r w:rsidRPr="00563FB7">
        <w:rPr>
          <w:rFonts w:ascii="Arial" w:hAnsi="Arial" w:cs="Arial"/>
          <w:sz w:val="20"/>
          <w:szCs w:val="20"/>
          <w:lang w:val="en-US"/>
        </w:rPr>
        <w:t>23(4):21. https://doi.org/10.5751/ES-10514-230421</w:t>
      </w:r>
      <w:r w:rsidR="00975F2E">
        <w:rPr>
          <w:rFonts w:ascii="Arial" w:hAnsi="Arial" w:cs="Arial"/>
          <w:sz w:val="20"/>
          <w:szCs w:val="20"/>
          <w:lang w:val="en-US"/>
        </w:rPr>
        <w:t>.</w:t>
      </w:r>
    </w:p>
    <w:p w14:paraId="4E48E0CF" w14:textId="244416A2" w:rsidR="0008476A" w:rsidRPr="00563FB7" w:rsidRDefault="00F83F07" w:rsidP="00BA086A">
      <w:pPr>
        <w:pStyle w:val="ListParagraph"/>
        <w:numPr>
          <w:ilvl w:val="0"/>
          <w:numId w:val="3"/>
        </w:numPr>
        <w:spacing w:line="240" w:lineRule="auto"/>
        <w:jc w:val="both"/>
        <w:rPr>
          <w:rFonts w:ascii="Arial" w:hAnsi="Arial" w:cs="Arial"/>
          <w:sz w:val="20"/>
          <w:szCs w:val="20"/>
          <w:lang w:val="en-US"/>
        </w:rPr>
      </w:pPr>
      <w:r w:rsidRPr="00F83F07">
        <w:rPr>
          <w:rFonts w:ascii="Arial" w:hAnsi="Arial" w:cs="Arial"/>
          <w:sz w:val="20"/>
          <w:szCs w:val="20"/>
        </w:rPr>
        <w:t>Arts</w:t>
      </w:r>
      <w:r w:rsidR="00A7349C">
        <w:rPr>
          <w:rFonts w:ascii="Arial" w:hAnsi="Arial" w:cs="Arial"/>
          <w:sz w:val="20"/>
          <w:szCs w:val="20"/>
        </w:rPr>
        <w:t xml:space="preserve"> B</w:t>
      </w:r>
      <w:r w:rsidRPr="00F83F07">
        <w:rPr>
          <w:rFonts w:ascii="Arial" w:hAnsi="Arial" w:cs="Arial"/>
          <w:sz w:val="20"/>
          <w:szCs w:val="20"/>
        </w:rPr>
        <w:t>, de Koning</w:t>
      </w:r>
      <w:r w:rsidR="00A7349C">
        <w:rPr>
          <w:rFonts w:ascii="Arial" w:hAnsi="Arial" w:cs="Arial"/>
          <w:sz w:val="20"/>
          <w:szCs w:val="20"/>
        </w:rPr>
        <w:t xml:space="preserve"> </w:t>
      </w:r>
      <w:proofErr w:type="gramStart"/>
      <w:r w:rsidR="00A7349C">
        <w:rPr>
          <w:rFonts w:ascii="Arial" w:hAnsi="Arial" w:cs="Arial"/>
          <w:sz w:val="20"/>
          <w:szCs w:val="20"/>
        </w:rPr>
        <w:t xml:space="preserve">J. </w:t>
      </w:r>
      <w:r w:rsidR="00A7349C" w:rsidRPr="00F83F07">
        <w:rPr>
          <w:rFonts w:ascii="Arial" w:hAnsi="Arial" w:cs="Arial"/>
          <w:sz w:val="20"/>
          <w:szCs w:val="20"/>
        </w:rPr>
        <w:t xml:space="preserve">Community </w:t>
      </w:r>
      <w:r w:rsidR="00A7349C">
        <w:rPr>
          <w:rFonts w:ascii="Arial" w:hAnsi="Arial" w:cs="Arial"/>
          <w:sz w:val="20"/>
          <w:szCs w:val="20"/>
        </w:rPr>
        <w:t>f</w:t>
      </w:r>
      <w:r w:rsidR="00A7349C" w:rsidRPr="00F83F07">
        <w:rPr>
          <w:rFonts w:ascii="Arial" w:hAnsi="Arial" w:cs="Arial"/>
          <w:sz w:val="20"/>
          <w:szCs w:val="20"/>
        </w:rPr>
        <w:t>orest</w:t>
      </w:r>
      <w:proofErr w:type="gramEnd"/>
      <w:r w:rsidR="00A7349C" w:rsidRPr="00F83F07">
        <w:rPr>
          <w:rFonts w:ascii="Arial" w:hAnsi="Arial" w:cs="Arial"/>
          <w:sz w:val="20"/>
          <w:szCs w:val="20"/>
        </w:rPr>
        <w:t xml:space="preserve"> management: an assessment and explanation of its performance through </w:t>
      </w:r>
      <w:r w:rsidRPr="00F83F07">
        <w:rPr>
          <w:rFonts w:ascii="Arial" w:hAnsi="Arial" w:cs="Arial"/>
          <w:sz w:val="20"/>
          <w:szCs w:val="20"/>
        </w:rPr>
        <w:t>QCA</w:t>
      </w:r>
      <w:r w:rsidR="00A7349C">
        <w:rPr>
          <w:rFonts w:ascii="Arial" w:hAnsi="Arial" w:cs="Arial"/>
          <w:sz w:val="20"/>
          <w:szCs w:val="20"/>
        </w:rPr>
        <w:t>.</w:t>
      </w:r>
      <w:r w:rsidRPr="00F83F07">
        <w:rPr>
          <w:rFonts w:ascii="Arial" w:hAnsi="Arial" w:cs="Arial"/>
          <w:sz w:val="20"/>
          <w:szCs w:val="20"/>
        </w:rPr>
        <w:t xml:space="preserve"> </w:t>
      </w:r>
      <w:r w:rsidR="00A7349C">
        <w:rPr>
          <w:rFonts w:ascii="Arial" w:hAnsi="Arial" w:cs="Arial"/>
          <w:sz w:val="20"/>
          <w:szCs w:val="20"/>
        </w:rPr>
        <w:t>W</w:t>
      </w:r>
      <w:r w:rsidR="00A7349C" w:rsidRPr="00F83F07">
        <w:rPr>
          <w:rFonts w:ascii="Arial" w:hAnsi="Arial" w:cs="Arial"/>
          <w:sz w:val="20"/>
          <w:szCs w:val="20"/>
        </w:rPr>
        <w:t xml:space="preserve">orld </w:t>
      </w:r>
      <w:r w:rsidR="00A7349C">
        <w:rPr>
          <w:rFonts w:ascii="Arial" w:hAnsi="Arial" w:cs="Arial"/>
          <w:sz w:val="20"/>
          <w:szCs w:val="20"/>
        </w:rPr>
        <w:t>D</w:t>
      </w:r>
      <w:r w:rsidR="00A7349C" w:rsidRPr="00F83F07">
        <w:rPr>
          <w:rFonts w:ascii="Arial" w:hAnsi="Arial" w:cs="Arial"/>
          <w:sz w:val="20"/>
          <w:szCs w:val="20"/>
        </w:rPr>
        <w:t>evelopment</w:t>
      </w:r>
      <w:r w:rsidR="00A7349C">
        <w:rPr>
          <w:rFonts w:ascii="Arial" w:hAnsi="Arial" w:cs="Arial"/>
          <w:sz w:val="20"/>
          <w:szCs w:val="20"/>
        </w:rPr>
        <w:t xml:space="preserve">. 2017; </w:t>
      </w:r>
      <w:r w:rsidRPr="00F83F07">
        <w:rPr>
          <w:rFonts w:ascii="Arial" w:hAnsi="Arial" w:cs="Arial"/>
          <w:sz w:val="20"/>
          <w:szCs w:val="20"/>
        </w:rPr>
        <w:t>96</w:t>
      </w:r>
      <w:r w:rsidR="00A7349C">
        <w:rPr>
          <w:rFonts w:ascii="Arial" w:hAnsi="Arial" w:cs="Arial"/>
          <w:sz w:val="20"/>
          <w:szCs w:val="20"/>
        </w:rPr>
        <w:t xml:space="preserve">: </w:t>
      </w:r>
      <w:r w:rsidRPr="00F83F07">
        <w:rPr>
          <w:rFonts w:ascii="Arial" w:hAnsi="Arial" w:cs="Arial"/>
          <w:sz w:val="20"/>
          <w:szCs w:val="20"/>
        </w:rPr>
        <w:t>315-325</w:t>
      </w:r>
      <w:r w:rsidR="00A7349C">
        <w:rPr>
          <w:rFonts w:ascii="Arial" w:hAnsi="Arial" w:cs="Arial"/>
          <w:sz w:val="20"/>
          <w:szCs w:val="20"/>
        </w:rPr>
        <w:t xml:space="preserve">. </w:t>
      </w:r>
      <w:r w:rsidRPr="00F83F07">
        <w:rPr>
          <w:rFonts w:ascii="Arial" w:hAnsi="Arial" w:cs="Arial"/>
          <w:sz w:val="20"/>
          <w:szCs w:val="20"/>
        </w:rPr>
        <w:t>https://doi.org/10.1016/j.worlddev.2017.03.014.</w:t>
      </w:r>
    </w:p>
    <w:p w14:paraId="3594EFAA" w14:textId="0999C8CD" w:rsidR="0008476A" w:rsidRPr="00563FB7" w:rsidRDefault="00812B29"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Gilmour</w:t>
      </w:r>
      <w:r w:rsidR="00A7349C">
        <w:rPr>
          <w:rFonts w:ascii="Arial" w:hAnsi="Arial" w:cs="Arial"/>
          <w:sz w:val="20"/>
          <w:szCs w:val="20"/>
          <w:lang w:val="en-US"/>
        </w:rPr>
        <w:t xml:space="preserve"> </w:t>
      </w:r>
      <w:r w:rsidRPr="00563FB7">
        <w:rPr>
          <w:rFonts w:ascii="Arial" w:hAnsi="Arial" w:cs="Arial"/>
          <w:sz w:val="20"/>
          <w:szCs w:val="20"/>
          <w:lang w:val="en-US"/>
        </w:rPr>
        <w:t xml:space="preserve">D. Forty years of community-based forestry: A review of its extent and effectiveness. Rome, Italy. Food and Agriculture </w:t>
      </w:r>
      <w:proofErr w:type="spellStart"/>
      <w:r w:rsidR="00C7656F">
        <w:rPr>
          <w:rFonts w:ascii="Arial" w:hAnsi="Arial" w:cs="Arial"/>
          <w:sz w:val="20"/>
          <w:szCs w:val="20"/>
          <w:lang w:val="en-US"/>
        </w:rPr>
        <w:t>Organisation</w:t>
      </w:r>
      <w:proofErr w:type="spellEnd"/>
      <w:r w:rsidRPr="00563FB7">
        <w:rPr>
          <w:rFonts w:ascii="Arial" w:hAnsi="Arial" w:cs="Arial"/>
          <w:sz w:val="20"/>
          <w:szCs w:val="20"/>
          <w:lang w:val="en-US"/>
        </w:rPr>
        <w:t xml:space="preserve"> of the United Nations.</w:t>
      </w:r>
      <w:r w:rsidR="00A7349C" w:rsidRPr="00A7349C">
        <w:t xml:space="preserve"> </w:t>
      </w:r>
      <w:r w:rsidR="00A7349C" w:rsidRPr="00A7349C">
        <w:rPr>
          <w:rFonts w:ascii="Arial" w:hAnsi="Arial" w:cs="Arial"/>
          <w:sz w:val="20"/>
          <w:szCs w:val="20"/>
          <w:lang w:val="en-US"/>
        </w:rPr>
        <w:t xml:space="preserve">2016. </w:t>
      </w:r>
      <w:r w:rsidRPr="00563FB7">
        <w:rPr>
          <w:rFonts w:ascii="Arial" w:hAnsi="Arial" w:cs="Arial"/>
          <w:sz w:val="20"/>
          <w:szCs w:val="20"/>
          <w:lang w:val="en-US"/>
        </w:rPr>
        <w:t xml:space="preserve"> www.fao.org/publications</w:t>
      </w:r>
      <w:r w:rsidR="00975F2E">
        <w:rPr>
          <w:rFonts w:ascii="Arial" w:hAnsi="Arial" w:cs="Arial"/>
          <w:sz w:val="20"/>
          <w:szCs w:val="20"/>
          <w:lang w:val="en-US"/>
        </w:rPr>
        <w:t>.</w:t>
      </w:r>
    </w:p>
    <w:p w14:paraId="06BFC9E2" w14:textId="4A638115" w:rsidR="0008476A" w:rsidRPr="00563FB7" w:rsidRDefault="00F717C8"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Ota</w:t>
      </w:r>
      <w:r w:rsidR="00886190">
        <w:rPr>
          <w:rFonts w:ascii="Arial" w:hAnsi="Arial" w:cs="Arial"/>
          <w:sz w:val="20"/>
          <w:szCs w:val="20"/>
          <w:lang w:val="en-US"/>
        </w:rPr>
        <w:t xml:space="preserve"> L,</w:t>
      </w:r>
      <w:r w:rsidRPr="00563FB7">
        <w:rPr>
          <w:rFonts w:ascii="Arial" w:hAnsi="Arial" w:cs="Arial"/>
          <w:sz w:val="20"/>
          <w:szCs w:val="20"/>
          <w:lang w:val="en-US"/>
        </w:rPr>
        <w:t xml:space="preserve"> Mukul</w:t>
      </w:r>
      <w:r w:rsidR="00886190">
        <w:rPr>
          <w:rFonts w:ascii="Arial" w:hAnsi="Arial" w:cs="Arial"/>
          <w:sz w:val="20"/>
          <w:szCs w:val="20"/>
          <w:lang w:val="en-US"/>
        </w:rPr>
        <w:t xml:space="preserve"> SA</w:t>
      </w:r>
      <w:r w:rsidRPr="00563FB7">
        <w:rPr>
          <w:rFonts w:ascii="Arial" w:hAnsi="Arial" w:cs="Arial"/>
          <w:sz w:val="20"/>
          <w:szCs w:val="20"/>
          <w:lang w:val="en-US"/>
        </w:rPr>
        <w:t>, Gregorio</w:t>
      </w:r>
      <w:r w:rsidR="00886190">
        <w:rPr>
          <w:rFonts w:ascii="Arial" w:hAnsi="Arial" w:cs="Arial"/>
          <w:sz w:val="20"/>
          <w:szCs w:val="20"/>
          <w:lang w:val="en-US"/>
        </w:rPr>
        <w:t xml:space="preserve"> N,</w:t>
      </w:r>
      <w:r w:rsidRPr="00563FB7">
        <w:rPr>
          <w:rFonts w:ascii="Arial" w:hAnsi="Arial" w:cs="Arial"/>
          <w:sz w:val="20"/>
          <w:szCs w:val="20"/>
          <w:lang w:val="en-US"/>
        </w:rPr>
        <w:t xml:space="preserve"> </w:t>
      </w:r>
      <w:proofErr w:type="spellStart"/>
      <w:r w:rsidRPr="00563FB7">
        <w:rPr>
          <w:rFonts w:ascii="Arial" w:hAnsi="Arial" w:cs="Arial"/>
          <w:sz w:val="20"/>
          <w:szCs w:val="20"/>
          <w:lang w:val="en-US"/>
        </w:rPr>
        <w:t>Herbohn</w:t>
      </w:r>
      <w:proofErr w:type="spellEnd"/>
      <w:r w:rsidR="00886190">
        <w:rPr>
          <w:rFonts w:ascii="Arial" w:hAnsi="Arial" w:cs="Arial"/>
          <w:sz w:val="20"/>
          <w:szCs w:val="20"/>
          <w:lang w:val="en-US"/>
        </w:rPr>
        <w:t xml:space="preserve"> J.</w:t>
      </w:r>
      <w:r w:rsidRPr="00563FB7">
        <w:rPr>
          <w:rFonts w:ascii="Arial" w:hAnsi="Arial" w:cs="Arial"/>
          <w:sz w:val="20"/>
          <w:szCs w:val="20"/>
          <w:lang w:val="en-US"/>
        </w:rPr>
        <w:t xml:space="preserve"> Community-based management of tropical forests: lessons learned and implications for sustainable forest management. Tropical Forests and People Research Centre</w:t>
      </w:r>
      <w:r w:rsidR="00886190">
        <w:rPr>
          <w:rFonts w:ascii="Arial" w:hAnsi="Arial" w:cs="Arial"/>
          <w:sz w:val="20"/>
          <w:szCs w:val="20"/>
          <w:lang w:val="en-US"/>
        </w:rPr>
        <w:t>-</w:t>
      </w:r>
      <w:r w:rsidRPr="00563FB7">
        <w:rPr>
          <w:rFonts w:ascii="Arial" w:hAnsi="Arial" w:cs="Arial"/>
          <w:sz w:val="20"/>
          <w:szCs w:val="20"/>
          <w:lang w:val="en-US"/>
        </w:rPr>
        <w:t xml:space="preserve">University of the Sunshine Coast, </w:t>
      </w:r>
      <w:r w:rsidR="00886190" w:rsidRPr="00563FB7">
        <w:rPr>
          <w:rFonts w:ascii="Arial" w:hAnsi="Arial" w:cs="Arial"/>
          <w:sz w:val="20"/>
          <w:szCs w:val="20"/>
          <w:lang w:val="en-US"/>
        </w:rPr>
        <w:t>Australia.</w:t>
      </w:r>
      <w:r w:rsidR="00886190" w:rsidRPr="00886190">
        <w:t xml:space="preserve"> </w:t>
      </w:r>
      <w:r w:rsidR="00886190" w:rsidRPr="00886190">
        <w:rPr>
          <w:rFonts w:ascii="Arial" w:hAnsi="Arial" w:cs="Arial"/>
          <w:sz w:val="20"/>
          <w:szCs w:val="20"/>
          <w:lang w:val="en-US"/>
        </w:rPr>
        <w:t xml:space="preserve">2021. </w:t>
      </w:r>
      <w:r w:rsidR="00886190">
        <w:rPr>
          <w:rFonts w:ascii="Arial" w:hAnsi="Arial" w:cs="Arial"/>
          <w:sz w:val="20"/>
          <w:szCs w:val="20"/>
          <w:lang w:val="en-US"/>
        </w:rPr>
        <w:t xml:space="preserve"> </w:t>
      </w:r>
      <w:hyperlink r:id="rId11" w:history="1">
        <w:r w:rsidR="00886190" w:rsidRPr="00D0626B">
          <w:rPr>
            <w:rStyle w:val="Hyperlink"/>
            <w:rFonts w:ascii="Arial" w:hAnsi="Arial" w:cs="Arial"/>
            <w:sz w:val="20"/>
            <w:szCs w:val="20"/>
            <w:lang w:val="en-US"/>
          </w:rPr>
          <w:t>http://dx.doi.org/10.19103/AS.2020.0074.24</w:t>
        </w:r>
      </w:hyperlink>
      <w:r w:rsidR="00975F2E">
        <w:rPr>
          <w:rStyle w:val="Hyperlink"/>
          <w:rFonts w:ascii="Arial" w:hAnsi="Arial" w:cs="Arial"/>
          <w:sz w:val="20"/>
          <w:szCs w:val="20"/>
          <w:lang w:val="en-US"/>
        </w:rPr>
        <w:t>.</w:t>
      </w:r>
    </w:p>
    <w:p w14:paraId="15BF8084" w14:textId="6C0543ED" w:rsidR="0027356D" w:rsidRPr="00563FB7" w:rsidRDefault="0095494B"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lastRenderedPageBreak/>
        <w:t>FAO</w:t>
      </w:r>
      <w:r w:rsidR="00886190">
        <w:rPr>
          <w:rFonts w:ascii="Arial" w:hAnsi="Arial" w:cs="Arial"/>
          <w:sz w:val="20"/>
          <w:szCs w:val="20"/>
          <w:lang w:val="en-US"/>
        </w:rPr>
        <w:t xml:space="preserve">. </w:t>
      </w:r>
      <w:r w:rsidRPr="00563FB7">
        <w:rPr>
          <w:rFonts w:ascii="Arial" w:hAnsi="Arial" w:cs="Arial"/>
          <w:sz w:val="20"/>
          <w:szCs w:val="20"/>
          <w:lang w:val="en-US"/>
        </w:rPr>
        <w:t xml:space="preserve">Community-based forestry. Extent, effectiveness and potential. </w:t>
      </w:r>
      <w:r w:rsidR="00886190" w:rsidRPr="00886190">
        <w:rPr>
          <w:rFonts w:ascii="Arial" w:hAnsi="Arial" w:cs="Arial"/>
          <w:sz w:val="20"/>
          <w:szCs w:val="20"/>
          <w:lang w:val="en-US"/>
        </w:rPr>
        <w:t xml:space="preserve">2017. </w:t>
      </w:r>
      <w:r w:rsidRPr="00563FB7">
        <w:rPr>
          <w:rFonts w:ascii="Arial" w:hAnsi="Arial" w:cs="Arial"/>
          <w:sz w:val="20"/>
          <w:szCs w:val="20"/>
          <w:lang w:val="en-US"/>
        </w:rPr>
        <w:t>www.fao.org/forestry/participatory</w:t>
      </w:r>
      <w:r w:rsidR="00975F2E">
        <w:rPr>
          <w:rFonts w:ascii="Arial" w:hAnsi="Arial" w:cs="Arial"/>
          <w:sz w:val="20"/>
          <w:szCs w:val="20"/>
          <w:lang w:val="en-US"/>
        </w:rPr>
        <w:t>.</w:t>
      </w:r>
    </w:p>
    <w:p w14:paraId="24297F59" w14:textId="43777EEF" w:rsidR="0027356D" w:rsidRPr="00563FB7" w:rsidRDefault="0095494B"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FAO, Forestry Division</w:t>
      </w:r>
      <w:r w:rsidR="00886190">
        <w:rPr>
          <w:rFonts w:ascii="Arial" w:hAnsi="Arial" w:cs="Arial"/>
          <w:sz w:val="20"/>
          <w:szCs w:val="20"/>
          <w:lang w:val="en-US"/>
        </w:rPr>
        <w:t>.</w:t>
      </w:r>
      <w:r w:rsidRPr="00563FB7">
        <w:rPr>
          <w:rFonts w:ascii="Arial" w:hAnsi="Arial" w:cs="Arial"/>
          <w:sz w:val="20"/>
          <w:szCs w:val="20"/>
          <w:lang w:val="en-US"/>
        </w:rPr>
        <w:t xml:space="preserve"> The State of the </w:t>
      </w:r>
      <w:r w:rsidR="00886190" w:rsidRPr="00563FB7">
        <w:rPr>
          <w:rFonts w:ascii="Arial" w:hAnsi="Arial" w:cs="Arial"/>
          <w:sz w:val="20"/>
          <w:szCs w:val="20"/>
          <w:lang w:val="en-US"/>
        </w:rPr>
        <w:t>world’s forests report 2022</w:t>
      </w:r>
      <w:r w:rsidR="00886190">
        <w:rPr>
          <w:rFonts w:ascii="Arial" w:hAnsi="Arial" w:cs="Arial"/>
          <w:sz w:val="20"/>
          <w:szCs w:val="20"/>
          <w:lang w:val="en-US"/>
        </w:rPr>
        <w:t>-</w:t>
      </w:r>
      <w:r w:rsidR="00886190" w:rsidRPr="00563FB7">
        <w:rPr>
          <w:rFonts w:ascii="Arial" w:hAnsi="Arial" w:cs="Arial"/>
          <w:sz w:val="20"/>
          <w:szCs w:val="20"/>
          <w:lang w:val="en-US"/>
        </w:rPr>
        <w:t xml:space="preserve">forest </w:t>
      </w:r>
      <w:r w:rsidRPr="00563FB7">
        <w:rPr>
          <w:rFonts w:ascii="Arial" w:hAnsi="Arial" w:cs="Arial"/>
          <w:sz w:val="20"/>
          <w:szCs w:val="20"/>
          <w:lang w:val="en-US"/>
        </w:rPr>
        <w:t xml:space="preserve">pathways for green recovery and building inclusive, resilient and sustainable economies. </w:t>
      </w:r>
      <w:r w:rsidR="00886190">
        <w:rPr>
          <w:rFonts w:ascii="Arial" w:hAnsi="Arial" w:cs="Arial"/>
          <w:sz w:val="20"/>
          <w:szCs w:val="20"/>
          <w:lang w:val="en-US"/>
        </w:rPr>
        <w:t xml:space="preserve">2022. </w:t>
      </w:r>
      <w:r w:rsidRPr="00563FB7">
        <w:rPr>
          <w:rFonts w:ascii="Arial" w:hAnsi="Arial" w:cs="Arial"/>
          <w:sz w:val="20"/>
          <w:szCs w:val="20"/>
          <w:lang w:val="en-US"/>
        </w:rPr>
        <w:t>https://www.fao.org</w:t>
      </w:r>
      <w:r w:rsidR="00975F2E">
        <w:rPr>
          <w:rFonts w:ascii="Arial" w:hAnsi="Arial" w:cs="Arial"/>
          <w:sz w:val="20"/>
          <w:szCs w:val="20"/>
          <w:lang w:val="en-US"/>
        </w:rPr>
        <w:t>.</w:t>
      </w:r>
    </w:p>
    <w:p w14:paraId="3BABBA78" w14:textId="58C02A7C" w:rsidR="0027356D" w:rsidRPr="00563FB7" w:rsidRDefault="00812B29"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Xiao H, Liu J, He G, Zhang X, Wang H,</w:t>
      </w:r>
      <w:r w:rsidR="00886190">
        <w:rPr>
          <w:rFonts w:ascii="Arial" w:hAnsi="Arial" w:cs="Arial"/>
          <w:sz w:val="20"/>
          <w:szCs w:val="20"/>
          <w:lang w:val="en-US"/>
        </w:rPr>
        <w:t xml:space="preserve"> </w:t>
      </w:r>
      <w:r w:rsidRPr="00563FB7">
        <w:rPr>
          <w:rFonts w:ascii="Arial" w:hAnsi="Arial" w:cs="Arial"/>
          <w:sz w:val="20"/>
          <w:szCs w:val="20"/>
          <w:lang w:val="en-US"/>
        </w:rPr>
        <w:t xml:space="preserve">Long T, </w:t>
      </w:r>
      <w:r w:rsidR="00886190">
        <w:rPr>
          <w:rFonts w:ascii="Arial" w:hAnsi="Arial" w:cs="Arial"/>
          <w:sz w:val="20"/>
          <w:szCs w:val="20"/>
          <w:lang w:val="en-US"/>
        </w:rPr>
        <w:t>et al.</w:t>
      </w:r>
      <w:r w:rsidRPr="00563FB7">
        <w:rPr>
          <w:rFonts w:ascii="Arial" w:hAnsi="Arial" w:cs="Arial"/>
          <w:sz w:val="20"/>
          <w:szCs w:val="20"/>
          <w:lang w:val="en-US"/>
        </w:rPr>
        <w:t xml:space="preserve"> Data-Driven Forest Cover Change and Its Driving Factors Analysis in Africa. Frontiers in Environmental Science. </w:t>
      </w:r>
      <w:r w:rsidR="00886190">
        <w:rPr>
          <w:rFonts w:ascii="Arial" w:hAnsi="Arial" w:cs="Arial"/>
          <w:sz w:val="20"/>
          <w:szCs w:val="20"/>
          <w:lang w:val="en-US"/>
        </w:rPr>
        <w:t xml:space="preserve">2022; </w:t>
      </w:r>
      <w:r w:rsidRPr="00563FB7">
        <w:rPr>
          <w:rFonts w:ascii="Arial" w:hAnsi="Arial" w:cs="Arial"/>
          <w:sz w:val="20"/>
          <w:szCs w:val="20"/>
          <w:lang w:val="en-US"/>
        </w:rPr>
        <w:t>9</w:t>
      </w:r>
      <w:r w:rsidR="00886190">
        <w:rPr>
          <w:rFonts w:ascii="Arial" w:hAnsi="Arial" w:cs="Arial"/>
          <w:sz w:val="20"/>
          <w:szCs w:val="20"/>
          <w:lang w:val="en-US"/>
        </w:rPr>
        <w:t>:</w:t>
      </w:r>
      <w:r w:rsidRPr="00563FB7">
        <w:rPr>
          <w:rFonts w:ascii="Arial" w:hAnsi="Arial" w:cs="Arial"/>
          <w:sz w:val="20"/>
          <w:szCs w:val="20"/>
          <w:lang w:val="en-US"/>
        </w:rPr>
        <w:t xml:space="preserve"> doi:10.3389/fenvs.2021.780069</w:t>
      </w:r>
      <w:r w:rsidR="00975F2E">
        <w:rPr>
          <w:rFonts w:ascii="Arial" w:hAnsi="Arial" w:cs="Arial"/>
          <w:sz w:val="20"/>
          <w:szCs w:val="20"/>
          <w:lang w:val="en-US"/>
        </w:rPr>
        <w:t>.</w:t>
      </w:r>
    </w:p>
    <w:p w14:paraId="1F14BA23" w14:textId="179672E6" w:rsidR="0027356D" w:rsidRPr="00563FB7" w:rsidRDefault="00F717C8" w:rsidP="00BA086A">
      <w:pPr>
        <w:pStyle w:val="ListParagraph"/>
        <w:numPr>
          <w:ilvl w:val="0"/>
          <w:numId w:val="3"/>
        </w:numPr>
        <w:spacing w:line="240" w:lineRule="auto"/>
        <w:jc w:val="both"/>
        <w:rPr>
          <w:rFonts w:ascii="Arial" w:hAnsi="Arial" w:cs="Arial"/>
          <w:sz w:val="20"/>
          <w:szCs w:val="20"/>
          <w:lang w:val="en-US"/>
        </w:rPr>
      </w:pPr>
      <w:proofErr w:type="spellStart"/>
      <w:r w:rsidRPr="00563FB7">
        <w:rPr>
          <w:rFonts w:ascii="Arial" w:hAnsi="Arial" w:cs="Arial"/>
          <w:sz w:val="20"/>
          <w:szCs w:val="20"/>
          <w:lang w:val="en-US"/>
        </w:rPr>
        <w:t>Nzunda</w:t>
      </w:r>
      <w:proofErr w:type="spellEnd"/>
      <w:r w:rsidRPr="00563FB7">
        <w:rPr>
          <w:rFonts w:ascii="Arial" w:hAnsi="Arial" w:cs="Arial"/>
          <w:sz w:val="20"/>
          <w:szCs w:val="20"/>
          <w:lang w:val="en-US"/>
        </w:rPr>
        <w:t xml:space="preserve"> EF, </w:t>
      </w:r>
      <w:proofErr w:type="spellStart"/>
      <w:r w:rsidRPr="00563FB7">
        <w:rPr>
          <w:rFonts w:ascii="Arial" w:hAnsi="Arial" w:cs="Arial"/>
          <w:sz w:val="20"/>
          <w:szCs w:val="20"/>
          <w:lang w:val="en-US"/>
        </w:rPr>
        <w:t>Yusuph</w:t>
      </w:r>
      <w:proofErr w:type="spellEnd"/>
      <w:r w:rsidRPr="00563FB7">
        <w:rPr>
          <w:rFonts w:ascii="Arial" w:hAnsi="Arial" w:cs="Arial"/>
          <w:sz w:val="20"/>
          <w:szCs w:val="20"/>
          <w:lang w:val="en-US"/>
        </w:rPr>
        <w:t xml:space="preserve"> AS. Forest degradation in Tanzania: A systematic literature review. Intech open; 2022. </w:t>
      </w:r>
      <w:r w:rsidR="00975F2E" w:rsidRPr="00563FB7">
        <w:rPr>
          <w:rFonts w:ascii="Arial" w:hAnsi="Arial" w:cs="Arial"/>
          <w:sz w:val="20"/>
          <w:szCs w:val="20"/>
          <w:lang w:val="en-US"/>
        </w:rPr>
        <w:t>doi</w:t>
      </w:r>
      <w:r w:rsidRPr="00563FB7">
        <w:rPr>
          <w:rFonts w:ascii="Arial" w:hAnsi="Arial" w:cs="Arial"/>
          <w:sz w:val="20"/>
          <w:szCs w:val="20"/>
          <w:lang w:val="en-US"/>
        </w:rPr>
        <w:t>:10.5772/intechopen.107157</w:t>
      </w:r>
      <w:r w:rsidR="00975F2E">
        <w:rPr>
          <w:rFonts w:ascii="Arial" w:hAnsi="Arial" w:cs="Arial"/>
          <w:sz w:val="20"/>
          <w:szCs w:val="20"/>
          <w:lang w:val="en-US"/>
        </w:rPr>
        <w:t>.</w:t>
      </w:r>
    </w:p>
    <w:p w14:paraId="749F6CE7" w14:textId="1B3AAF27" w:rsidR="0027356D" w:rsidRPr="00563FB7" w:rsidRDefault="00F717C8"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MNRT</w:t>
      </w:r>
      <w:r w:rsidR="00886190">
        <w:rPr>
          <w:rFonts w:ascii="Arial" w:hAnsi="Arial" w:cs="Arial"/>
          <w:sz w:val="20"/>
          <w:szCs w:val="20"/>
          <w:lang w:val="en-US"/>
        </w:rPr>
        <w:t xml:space="preserve">. </w:t>
      </w:r>
      <w:r w:rsidRPr="00563FB7">
        <w:rPr>
          <w:rFonts w:ascii="Arial" w:hAnsi="Arial" w:cs="Arial"/>
          <w:sz w:val="20"/>
          <w:szCs w:val="20"/>
          <w:lang w:val="en-US"/>
        </w:rPr>
        <w:t xml:space="preserve">PFM </w:t>
      </w:r>
      <w:r w:rsidR="00886190" w:rsidRPr="00563FB7">
        <w:rPr>
          <w:rFonts w:ascii="Arial" w:hAnsi="Arial" w:cs="Arial"/>
          <w:sz w:val="20"/>
          <w:szCs w:val="20"/>
          <w:lang w:val="en-US"/>
        </w:rPr>
        <w:t xml:space="preserve">facts and figures. </w:t>
      </w:r>
      <w:r w:rsidR="00886190">
        <w:rPr>
          <w:rFonts w:ascii="Arial" w:hAnsi="Arial" w:cs="Arial"/>
          <w:sz w:val="20"/>
          <w:szCs w:val="20"/>
          <w:lang w:val="en-US"/>
        </w:rPr>
        <w:t>F</w:t>
      </w:r>
      <w:r w:rsidR="00886190" w:rsidRPr="00563FB7">
        <w:rPr>
          <w:rFonts w:ascii="Arial" w:hAnsi="Arial" w:cs="Arial"/>
          <w:sz w:val="20"/>
          <w:szCs w:val="20"/>
          <w:lang w:val="en-US"/>
        </w:rPr>
        <w:t xml:space="preserve">orestry and beekeeping division. </w:t>
      </w:r>
      <w:r w:rsidRPr="00563FB7">
        <w:rPr>
          <w:rFonts w:ascii="Arial" w:hAnsi="Arial" w:cs="Arial"/>
          <w:sz w:val="20"/>
          <w:szCs w:val="20"/>
          <w:lang w:val="en-US"/>
        </w:rPr>
        <w:t>Ministry of Natural Resource and Tourism, Dodoma.</w:t>
      </w:r>
      <w:r w:rsidR="00886190">
        <w:rPr>
          <w:rFonts w:ascii="Arial" w:hAnsi="Arial" w:cs="Arial"/>
          <w:sz w:val="20"/>
          <w:szCs w:val="20"/>
          <w:lang w:val="en-US"/>
        </w:rPr>
        <w:t>2022.</w:t>
      </w:r>
    </w:p>
    <w:p w14:paraId="2EAB5C1F" w14:textId="71E79982" w:rsidR="0027356D" w:rsidRPr="00563FB7" w:rsidRDefault="0095494B"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United Republic of Tanzania (URT), Ministry of Natural Resources and Tourism (MNRT), Forestry and Beekeeping Division, The national community-based forest management (</w:t>
      </w:r>
      <w:r w:rsidR="00886190" w:rsidRPr="00563FB7">
        <w:rPr>
          <w:rFonts w:ascii="Arial" w:hAnsi="Arial" w:cs="Arial"/>
          <w:sz w:val="20"/>
          <w:szCs w:val="20"/>
          <w:lang w:val="en-US"/>
        </w:rPr>
        <w:t>CBFM)</w:t>
      </w:r>
      <w:r w:rsidRPr="00563FB7">
        <w:rPr>
          <w:rFonts w:ascii="Arial" w:hAnsi="Arial" w:cs="Arial"/>
          <w:sz w:val="20"/>
          <w:szCs w:val="20"/>
          <w:lang w:val="en-US"/>
        </w:rPr>
        <w:t xml:space="preserve"> action plan 2021 – 2031.</w:t>
      </w:r>
      <w:r w:rsidR="00886190">
        <w:rPr>
          <w:rFonts w:ascii="Arial" w:hAnsi="Arial" w:cs="Arial"/>
          <w:sz w:val="20"/>
          <w:szCs w:val="20"/>
          <w:lang w:val="en-US"/>
        </w:rPr>
        <w:t>2022.</w:t>
      </w:r>
    </w:p>
    <w:p w14:paraId="39A40C98" w14:textId="329E878C" w:rsidR="0027356D" w:rsidRPr="00563FB7" w:rsidRDefault="00F717C8" w:rsidP="00BA086A">
      <w:pPr>
        <w:pStyle w:val="ListParagraph"/>
        <w:numPr>
          <w:ilvl w:val="0"/>
          <w:numId w:val="3"/>
        </w:numPr>
        <w:spacing w:line="240" w:lineRule="auto"/>
        <w:jc w:val="both"/>
        <w:rPr>
          <w:rFonts w:ascii="Arial" w:hAnsi="Arial" w:cs="Arial"/>
          <w:sz w:val="20"/>
          <w:szCs w:val="20"/>
          <w:lang w:val="en-US"/>
        </w:rPr>
      </w:pPr>
      <w:proofErr w:type="spellStart"/>
      <w:r w:rsidRPr="00563FB7">
        <w:rPr>
          <w:rFonts w:ascii="Arial" w:hAnsi="Arial" w:cs="Arial"/>
          <w:sz w:val="20"/>
          <w:szCs w:val="20"/>
          <w:lang w:val="en-US"/>
        </w:rPr>
        <w:t>Kaganga</w:t>
      </w:r>
      <w:proofErr w:type="spellEnd"/>
      <w:r w:rsidR="00886190">
        <w:rPr>
          <w:rFonts w:ascii="Arial" w:hAnsi="Arial" w:cs="Arial"/>
          <w:sz w:val="20"/>
          <w:szCs w:val="20"/>
          <w:lang w:val="en-US"/>
        </w:rPr>
        <w:t xml:space="preserve"> </w:t>
      </w:r>
      <w:r w:rsidRPr="00563FB7">
        <w:rPr>
          <w:rFonts w:ascii="Arial" w:hAnsi="Arial" w:cs="Arial"/>
          <w:sz w:val="20"/>
          <w:szCs w:val="20"/>
          <w:lang w:val="en-US"/>
        </w:rPr>
        <w:t>L</w:t>
      </w:r>
      <w:r w:rsidR="00886190">
        <w:rPr>
          <w:rFonts w:ascii="Arial" w:hAnsi="Arial" w:cs="Arial"/>
          <w:sz w:val="20"/>
          <w:szCs w:val="20"/>
          <w:lang w:val="en-US"/>
        </w:rPr>
        <w:t>,</w:t>
      </w:r>
      <w:r w:rsidRPr="00563FB7">
        <w:rPr>
          <w:rFonts w:ascii="Arial" w:hAnsi="Arial" w:cs="Arial"/>
          <w:sz w:val="20"/>
          <w:szCs w:val="20"/>
          <w:lang w:val="en-US"/>
        </w:rPr>
        <w:t xml:space="preserve"> </w:t>
      </w:r>
      <w:proofErr w:type="spellStart"/>
      <w:r w:rsidRPr="00563FB7">
        <w:rPr>
          <w:rFonts w:ascii="Arial" w:hAnsi="Arial" w:cs="Arial"/>
          <w:sz w:val="20"/>
          <w:szCs w:val="20"/>
          <w:lang w:val="en-US"/>
        </w:rPr>
        <w:t>Ndumbaro</w:t>
      </w:r>
      <w:proofErr w:type="spellEnd"/>
      <w:r w:rsidR="00886190">
        <w:rPr>
          <w:rFonts w:ascii="Arial" w:hAnsi="Arial" w:cs="Arial"/>
          <w:sz w:val="20"/>
          <w:szCs w:val="20"/>
          <w:lang w:val="en-US"/>
        </w:rPr>
        <w:t xml:space="preserve"> </w:t>
      </w:r>
      <w:r w:rsidRPr="00563FB7">
        <w:rPr>
          <w:rFonts w:ascii="Arial" w:hAnsi="Arial" w:cs="Arial"/>
          <w:sz w:val="20"/>
          <w:szCs w:val="20"/>
          <w:lang w:val="en-US"/>
        </w:rPr>
        <w:t>FGJ.</w:t>
      </w:r>
      <w:r w:rsidR="00886190">
        <w:rPr>
          <w:rFonts w:ascii="Arial" w:hAnsi="Arial" w:cs="Arial"/>
          <w:sz w:val="20"/>
          <w:szCs w:val="20"/>
          <w:lang w:val="en-US"/>
        </w:rPr>
        <w:t xml:space="preserve"> </w:t>
      </w:r>
      <w:r w:rsidRPr="00563FB7">
        <w:rPr>
          <w:rFonts w:ascii="Arial" w:hAnsi="Arial" w:cs="Arial"/>
          <w:sz w:val="20"/>
          <w:szCs w:val="20"/>
          <w:lang w:val="en-US"/>
        </w:rPr>
        <w:t xml:space="preserve">People’s </w:t>
      </w:r>
      <w:r w:rsidR="00886190" w:rsidRPr="00563FB7">
        <w:rPr>
          <w:rFonts w:ascii="Arial" w:hAnsi="Arial" w:cs="Arial"/>
          <w:sz w:val="20"/>
          <w:szCs w:val="20"/>
          <w:lang w:val="en-US"/>
        </w:rPr>
        <w:t xml:space="preserve">perception on community-based forest management: </w:t>
      </w:r>
      <w:r w:rsidRPr="00563FB7">
        <w:rPr>
          <w:rFonts w:ascii="Arial" w:hAnsi="Arial" w:cs="Arial"/>
          <w:sz w:val="20"/>
          <w:szCs w:val="20"/>
          <w:lang w:val="en-US"/>
        </w:rPr>
        <w:t xml:space="preserve">The </w:t>
      </w:r>
      <w:r w:rsidR="00886190" w:rsidRPr="00563FB7">
        <w:rPr>
          <w:rFonts w:ascii="Arial" w:hAnsi="Arial" w:cs="Arial"/>
          <w:sz w:val="20"/>
          <w:szCs w:val="20"/>
          <w:lang w:val="en-US"/>
        </w:rPr>
        <w:t xml:space="preserve">case study of </w:t>
      </w:r>
      <w:proofErr w:type="spellStart"/>
      <w:r w:rsidRPr="00563FB7">
        <w:rPr>
          <w:rFonts w:ascii="Arial" w:hAnsi="Arial" w:cs="Arial"/>
          <w:sz w:val="20"/>
          <w:szCs w:val="20"/>
          <w:lang w:val="en-US"/>
        </w:rPr>
        <w:t>Njombe</w:t>
      </w:r>
      <w:proofErr w:type="spellEnd"/>
      <w:r w:rsidRPr="00563FB7">
        <w:rPr>
          <w:rFonts w:ascii="Arial" w:hAnsi="Arial" w:cs="Arial"/>
          <w:sz w:val="20"/>
          <w:szCs w:val="20"/>
          <w:lang w:val="en-US"/>
        </w:rPr>
        <w:t xml:space="preserve"> District, Tanzania. Journal of the Geographical Association of Tanzania.</w:t>
      </w:r>
      <w:r w:rsidR="00886190" w:rsidRPr="00886190">
        <w:t xml:space="preserve"> </w:t>
      </w:r>
      <w:r w:rsidR="00886190" w:rsidRPr="00886190">
        <w:rPr>
          <w:rFonts w:ascii="Arial" w:hAnsi="Arial" w:cs="Arial"/>
          <w:sz w:val="20"/>
          <w:szCs w:val="20"/>
          <w:lang w:val="en-US"/>
        </w:rPr>
        <w:t>2021</w:t>
      </w:r>
      <w:r w:rsidR="00886190">
        <w:rPr>
          <w:rFonts w:ascii="Arial" w:hAnsi="Arial" w:cs="Arial"/>
          <w:sz w:val="20"/>
          <w:szCs w:val="20"/>
          <w:lang w:val="en-US"/>
        </w:rPr>
        <w:t>;</w:t>
      </w:r>
      <w:r w:rsidRPr="00563FB7">
        <w:rPr>
          <w:rFonts w:ascii="Arial" w:hAnsi="Arial" w:cs="Arial"/>
          <w:sz w:val="20"/>
          <w:szCs w:val="20"/>
          <w:lang w:val="en-US"/>
        </w:rPr>
        <w:t xml:space="preserve"> 36(1):1-15. </w:t>
      </w:r>
      <w:proofErr w:type="spellStart"/>
      <w:r w:rsidR="00886190" w:rsidRPr="00563FB7">
        <w:rPr>
          <w:rFonts w:ascii="Arial" w:hAnsi="Arial" w:cs="Arial"/>
          <w:sz w:val="20"/>
          <w:szCs w:val="20"/>
          <w:lang w:val="en-US"/>
        </w:rPr>
        <w:t>doi</w:t>
      </w:r>
      <w:proofErr w:type="spellEnd"/>
      <w:r w:rsidRPr="00563FB7">
        <w:rPr>
          <w:rFonts w:ascii="Arial" w:hAnsi="Arial" w:cs="Arial"/>
          <w:sz w:val="20"/>
          <w:szCs w:val="20"/>
          <w:lang w:val="en-US"/>
        </w:rPr>
        <w:t>: 10.56279/</w:t>
      </w:r>
      <w:proofErr w:type="gramStart"/>
      <w:r w:rsidRPr="00563FB7">
        <w:rPr>
          <w:rFonts w:ascii="Arial" w:hAnsi="Arial" w:cs="Arial"/>
          <w:sz w:val="20"/>
          <w:szCs w:val="20"/>
          <w:lang w:val="en-US"/>
        </w:rPr>
        <w:t>jgat.v</w:t>
      </w:r>
      <w:proofErr w:type="gramEnd"/>
      <w:r w:rsidRPr="00563FB7">
        <w:rPr>
          <w:rFonts w:ascii="Arial" w:hAnsi="Arial" w:cs="Arial"/>
          <w:sz w:val="20"/>
          <w:szCs w:val="20"/>
          <w:lang w:val="en-US"/>
        </w:rPr>
        <w:t>36i1.134. https://journals.udsm.ac.tz</w:t>
      </w:r>
      <w:r w:rsidR="00693AB7">
        <w:rPr>
          <w:rFonts w:ascii="Arial" w:hAnsi="Arial" w:cs="Arial"/>
          <w:sz w:val="20"/>
          <w:szCs w:val="20"/>
          <w:lang w:val="en-US"/>
        </w:rPr>
        <w:t>.</w:t>
      </w:r>
    </w:p>
    <w:p w14:paraId="3F36920A" w14:textId="5E713530" w:rsidR="0027356D" w:rsidRPr="00563FB7" w:rsidRDefault="00F717C8"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Gibbs</w:t>
      </w:r>
      <w:r w:rsidR="00B131B7">
        <w:rPr>
          <w:rFonts w:ascii="Arial" w:hAnsi="Arial" w:cs="Arial"/>
          <w:sz w:val="20"/>
          <w:szCs w:val="20"/>
          <w:lang w:val="en-US"/>
        </w:rPr>
        <w:t xml:space="preserve"> </w:t>
      </w:r>
      <w:r w:rsidRPr="00563FB7">
        <w:rPr>
          <w:rFonts w:ascii="Arial" w:hAnsi="Arial" w:cs="Arial"/>
          <w:sz w:val="20"/>
          <w:szCs w:val="20"/>
          <w:lang w:val="en-US"/>
        </w:rPr>
        <w:t>DA, Harris</w:t>
      </w:r>
      <w:r w:rsidR="00B131B7">
        <w:rPr>
          <w:rFonts w:ascii="Arial" w:hAnsi="Arial" w:cs="Arial"/>
          <w:sz w:val="20"/>
          <w:szCs w:val="20"/>
          <w:lang w:val="en-US"/>
        </w:rPr>
        <w:t xml:space="preserve"> N, </w:t>
      </w:r>
      <w:proofErr w:type="gramStart"/>
      <w:r w:rsidR="00B131B7" w:rsidRPr="00563FB7">
        <w:rPr>
          <w:rFonts w:ascii="Arial" w:hAnsi="Arial" w:cs="Arial"/>
          <w:sz w:val="20"/>
          <w:szCs w:val="20"/>
          <w:lang w:val="en-US"/>
        </w:rPr>
        <w:t xml:space="preserve">Global </w:t>
      </w:r>
      <w:r w:rsidR="00B131B7">
        <w:rPr>
          <w:rFonts w:ascii="Arial" w:hAnsi="Arial" w:cs="Arial"/>
          <w:sz w:val="20"/>
          <w:szCs w:val="20"/>
          <w:lang w:val="en-US"/>
        </w:rPr>
        <w:t>f</w:t>
      </w:r>
      <w:r w:rsidR="00B131B7" w:rsidRPr="00563FB7">
        <w:rPr>
          <w:rFonts w:ascii="Arial" w:hAnsi="Arial" w:cs="Arial"/>
          <w:sz w:val="20"/>
          <w:szCs w:val="20"/>
          <w:lang w:val="en-US"/>
        </w:rPr>
        <w:t>orest</w:t>
      </w:r>
      <w:proofErr w:type="gramEnd"/>
      <w:r w:rsidR="00B131B7" w:rsidRPr="00563FB7">
        <w:rPr>
          <w:rFonts w:ascii="Arial" w:hAnsi="Arial" w:cs="Arial"/>
          <w:sz w:val="20"/>
          <w:szCs w:val="20"/>
          <w:lang w:val="en-US"/>
        </w:rPr>
        <w:t xml:space="preserve"> watch</w:t>
      </w:r>
      <w:r w:rsidR="00B131B7">
        <w:rPr>
          <w:rFonts w:ascii="Arial" w:hAnsi="Arial" w:cs="Arial"/>
          <w:sz w:val="20"/>
          <w:szCs w:val="20"/>
          <w:lang w:val="en-US"/>
        </w:rPr>
        <w:t>:</w:t>
      </w:r>
      <w:r w:rsidR="00B131B7" w:rsidRPr="00563FB7">
        <w:rPr>
          <w:rFonts w:ascii="Arial" w:hAnsi="Arial" w:cs="Arial"/>
          <w:sz w:val="20"/>
          <w:szCs w:val="20"/>
          <w:lang w:val="en-US"/>
        </w:rPr>
        <w:t xml:space="preserve"> world resources institute</w:t>
      </w:r>
      <w:r w:rsidR="000E41B1">
        <w:rPr>
          <w:rFonts w:ascii="Arial" w:hAnsi="Arial" w:cs="Arial"/>
          <w:sz w:val="20"/>
          <w:szCs w:val="20"/>
          <w:lang w:val="en-US"/>
        </w:rPr>
        <w:t xml:space="preserve">. </w:t>
      </w:r>
      <w:r w:rsidR="00B131B7" w:rsidRPr="00B131B7">
        <w:rPr>
          <w:rFonts w:ascii="Arial" w:hAnsi="Arial" w:cs="Arial"/>
          <w:sz w:val="20"/>
          <w:szCs w:val="20"/>
          <w:lang w:val="en-US"/>
        </w:rPr>
        <w:t>2024</w:t>
      </w:r>
      <w:r w:rsidR="00B131B7">
        <w:rPr>
          <w:rFonts w:ascii="Arial" w:hAnsi="Arial" w:cs="Arial"/>
          <w:sz w:val="20"/>
          <w:szCs w:val="20"/>
          <w:lang w:val="en-US"/>
        </w:rPr>
        <w:t>.</w:t>
      </w:r>
      <w:r w:rsidRPr="00563FB7">
        <w:rPr>
          <w:rFonts w:ascii="Arial" w:hAnsi="Arial" w:cs="Arial"/>
          <w:sz w:val="20"/>
          <w:szCs w:val="20"/>
          <w:lang w:val="en-US"/>
        </w:rPr>
        <w:t xml:space="preserve"> </w:t>
      </w:r>
      <w:r w:rsidR="00B131B7">
        <w:rPr>
          <w:rFonts w:ascii="Arial" w:hAnsi="Arial" w:cs="Arial"/>
          <w:sz w:val="20"/>
          <w:szCs w:val="20"/>
          <w:lang w:val="en-US"/>
        </w:rPr>
        <w:t>Accessed 10 June 2024.</w:t>
      </w:r>
      <w:r w:rsidR="000E41B1">
        <w:rPr>
          <w:rFonts w:ascii="Arial" w:hAnsi="Arial" w:cs="Arial"/>
          <w:sz w:val="20"/>
          <w:szCs w:val="20"/>
          <w:lang w:val="en-US"/>
        </w:rPr>
        <w:t xml:space="preserve"> </w:t>
      </w:r>
      <w:r w:rsidR="00B131B7">
        <w:rPr>
          <w:rFonts w:ascii="Arial" w:hAnsi="Arial" w:cs="Arial"/>
          <w:sz w:val="20"/>
          <w:szCs w:val="20"/>
          <w:lang w:val="en-US"/>
        </w:rPr>
        <w:t>Available</w:t>
      </w:r>
      <w:r w:rsidR="000E41B1">
        <w:rPr>
          <w:rFonts w:ascii="Arial" w:hAnsi="Arial" w:cs="Arial"/>
          <w:sz w:val="20"/>
          <w:szCs w:val="20"/>
          <w:lang w:val="en-US"/>
        </w:rPr>
        <w:t>:</w:t>
      </w:r>
      <w:hyperlink r:id="rId12" w:history="1">
        <w:r w:rsidR="00B131B7" w:rsidRPr="004338E3">
          <w:rPr>
            <w:rStyle w:val="Hyperlink"/>
            <w:rFonts w:ascii="Arial" w:hAnsi="Arial" w:cs="Arial"/>
            <w:sz w:val="20"/>
            <w:szCs w:val="20"/>
            <w:lang w:val="en-US"/>
          </w:rPr>
          <w:t>https://www.globalforestwatch.org/blog/data/whats-new-carbon-flux-monitoring/</w:t>
        </w:r>
      </w:hyperlink>
      <w:r w:rsidR="00693AB7">
        <w:rPr>
          <w:rStyle w:val="Hyperlink"/>
          <w:rFonts w:ascii="Arial" w:hAnsi="Arial" w:cs="Arial"/>
          <w:sz w:val="20"/>
          <w:szCs w:val="20"/>
          <w:lang w:val="en-US"/>
        </w:rPr>
        <w:t>.</w:t>
      </w:r>
    </w:p>
    <w:p w14:paraId="6D916363" w14:textId="58E23EEE" w:rsidR="0027356D" w:rsidRPr="00563FB7" w:rsidRDefault="00F717C8" w:rsidP="00BA086A">
      <w:pPr>
        <w:pStyle w:val="ListParagraph"/>
        <w:numPr>
          <w:ilvl w:val="0"/>
          <w:numId w:val="3"/>
        </w:numPr>
        <w:spacing w:line="240" w:lineRule="auto"/>
        <w:jc w:val="both"/>
        <w:rPr>
          <w:rFonts w:ascii="Arial" w:hAnsi="Arial" w:cs="Arial"/>
          <w:sz w:val="20"/>
          <w:szCs w:val="20"/>
          <w:lang w:val="en-US"/>
        </w:rPr>
      </w:pPr>
      <w:proofErr w:type="spellStart"/>
      <w:r w:rsidRPr="00563FB7">
        <w:rPr>
          <w:rFonts w:ascii="Arial" w:hAnsi="Arial" w:cs="Arial"/>
          <w:sz w:val="20"/>
          <w:szCs w:val="20"/>
          <w:lang w:val="en-US"/>
        </w:rPr>
        <w:t>Sungusia</w:t>
      </w:r>
      <w:proofErr w:type="spellEnd"/>
      <w:r w:rsidRPr="00563FB7">
        <w:rPr>
          <w:rFonts w:ascii="Arial" w:hAnsi="Arial" w:cs="Arial"/>
          <w:sz w:val="20"/>
          <w:szCs w:val="20"/>
          <w:lang w:val="en-US"/>
        </w:rPr>
        <w:t xml:space="preserve"> E</w:t>
      </w:r>
      <w:r w:rsidR="003E6E8E">
        <w:rPr>
          <w:rFonts w:ascii="Arial" w:hAnsi="Arial" w:cs="Arial"/>
          <w:sz w:val="20"/>
          <w:szCs w:val="20"/>
          <w:lang w:val="en-US"/>
        </w:rPr>
        <w:t>,</w:t>
      </w:r>
      <w:r w:rsidRPr="00563FB7">
        <w:rPr>
          <w:rFonts w:ascii="Arial" w:hAnsi="Arial" w:cs="Arial"/>
          <w:sz w:val="20"/>
          <w:szCs w:val="20"/>
          <w:lang w:val="en-US"/>
        </w:rPr>
        <w:t xml:space="preserve"> Lund JF, Hansen CP, </w:t>
      </w:r>
      <w:proofErr w:type="spellStart"/>
      <w:r w:rsidRPr="00563FB7">
        <w:rPr>
          <w:rFonts w:ascii="Arial" w:hAnsi="Arial" w:cs="Arial"/>
          <w:sz w:val="20"/>
          <w:szCs w:val="20"/>
          <w:lang w:val="en-US"/>
        </w:rPr>
        <w:t>Amanzi</w:t>
      </w:r>
      <w:proofErr w:type="spellEnd"/>
      <w:r w:rsidRPr="00563FB7">
        <w:rPr>
          <w:rFonts w:ascii="Arial" w:hAnsi="Arial" w:cs="Arial"/>
          <w:sz w:val="20"/>
          <w:szCs w:val="20"/>
          <w:lang w:val="en-US"/>
        </w:rPr>
        <w:t xml:space="preserve"> N, </w:t>
      </w:r>
      <w:proofErr w:type="spellStart"/>
      <w:r w:rsidRPr="00563FB7">
        <w:rPr>
          <w:rFonts w:ascii="Arial" w:hAnsi="Arial" w:cs="Arial"/>
          <w:sz w:val="20"/>
          <w:szCs w:val="20"/>
          <w:lang w:val="en-US"/>
        </w:rPr>
        <w:t>Ngaga</w:t>
      </w:r>
      <w:proofErr w:type="spellEnd"/>
      <w:r w:rsidRPr="00563FB7">
        <w:rPr>
          <w:rFonts w:ascii="Arial" w:hAnsi="Arial" w:cs="Arial"/>
          <w:sz w:val="20"/>
          <w:szCs w:val="20"/>
          <w:lang w:val="en-US"/>
        </w:rPr>
        <w:t xml:space="preserve"> YM, </w:t>
      </w:r>
      <w:proofErr w:type="spellStart"/>
      <w:r w:rsidRPr="00563FB7">
        <w:rPr>
          <w:rFonts w:ascii="Arial" w:hAnsi="Arial" w:cs="Arial"/>
          <w:sz w:val="20"/>
          <w:szCs w:val="20"/>
          <w:lang w:val="en-US"/>
        </w:rPr>
        <w:t>Mbeyale</w:t>
      </w:r>
      <w:proofErr w:type="spellEnd"/>
      <w:r w:rsidRPr="00563FB7">
        <w:rPr>
          <w:rFonts w:ascii="Arial" w:hAnsi="Arial" w:cs="Arial"/>
          <w:sz w:val="20"/>
          <w:szCs w:val="20"/>
          <w:lang w:val="en-US"/>
        </w:rPr>
        <w:t xml:space="preserve"> G. Rethinking </w:t>
      </w:r>
      <w:r w:rsidR="003E6E8E" w:rsidRPr="00563FB7">
        <w:rPr>
          <w:rFonts w:ascii="Arial" w:hAnsi="Arial" w:cs="Arial"/>
          <w:sz w:val="20"/>
          <w:szCs w:val="20"/>
          <w:lang w:val="en-US"/>
        </w:rPr>
        <w:t>participatory forest management in</w:t>
      </w:r>
      <w:r w:rsidRPr="00563FB7">
        <w:rPr>
          <w:rFonts w:ascii="Arial" w:hAnsi="Arial" w:cs="Arial"/>
          <w:sz w:val="20"/>
          <w:szCs w:val="20"/>
          <w:lang w:val="en-US"/>
        </w:rPr>
        <w:t xml:space="preserve"> Tanzania, IFRO </w:t>
      </w:r>
      <w:r w:rsidR="003E6E8E" w:rsidRPr="00563FB7">
        <w:rPr>
          <w:rFonts w:ascii="Arial" w:hAnsi="Arial" w:cs="Arial"/>
          <w:sz w:val="20"/>
          <w:szCs w:val="20"/>
          <w:lang w:val="en-US"/>
        </w:rPr>
        <w:t xml:space="preserve">working paper, </w:t>
      </w:r>
      <w:r w:rsidRPr="00563FB7">
        <w:rPr>
          <w:rFonts w:ascii="Arial" w:hAnsi="Arial" w:cs="Arial"/>
          <w:sz w:val="20"/>
          <w:szCs w:val="20"/>
          <w:lang w:val="en-US"/>
        </w:rPr>
        <w:t>No. 2020/02</w:t>
      </w:r>
      <w:r w:rsidR="003E6E8E">
        <w:rPr>
          <w:rFonts w:ascii="Arial" w:hAnsi="Arial" w:cs="Arial"/>
          <w:sz w:val="20"/>
          <w:szCs w:val="20"/>
          <w:lang w:val="en-US"/>
        </w:rPr>
        <w:t xml:space="preserve">. </w:t>
      </w:r>
      <w:r w:rsidRPr="00563FB7">
        <w:rPr>
          <w:rFonts w:ascii="Arial" w:hAnsi="Arial" w:cs="Arial"/>
          <w:sz w:val="20"/>
          <w:szCs w:val="20"/>
          <w:lang w:val="en-US"/>
        </w:rPr>
        <w:t>University of Copenhagen, Department of Food and Resource Economics (IFRO), Copenhagen.</w:t>
      </w:r>
      <w:r w:rsidR="003E6E8E" w:rsidRPr="003E6E8E">
        <w:t xml:space="preserve"> </w:t>
      </w:r>
      <w:r w:rsidR="003E6E8E" w:rsidRPr="003E6E8E">
        <w:rPr>
          <w:rFonts w:ascii="Arial" w:hAnsi="Arial" w:cs="Arial"/>
          <w:sz w:val="20"/>
          <w:szCs w:val="20"/>
          <w:lang w:val="en-US"/>
        </w:rPr>
        <w:t xml:space="preserve">2020. </w:t>
      </w:r>
      <w:r w:rsidRPr="00563FB7">
        <w:rPr>
          <w:rFonts w:ascii="Arial" w:hAnsi="Arial" w:cs="Arial"/>
          <w:sz w:val="20"/>
          <w:szCs w:val="20"/>
          <w:lang w:val="en-US"/>
        </w:rPr>
        <w:t xml:space="preserve"> </w:t>
      </w:r>
      <w:hyperlink r:id="rId13" w:history="1">
        <w:r w:rsidR="00AC67E9" w:rsidRPr="00563FB7">
          <w:rPr>
            <w:rStyle w:val="Hyperlink"/>
            <w:rFonts w:ascii="Arial" w:hAnsi="Arial" w:cs="Arial"/>
            <w:sz w:val="20"/>
            <w:szCs w:val="20"/>
            <w:lang w:val="en-US"/>
          </w:rPr>
          <w:t>https://hdl.handle.net/10419/214834</w:t>
        </w:r>
      </w:hyperlink>
      <w:r w:rsidR="00693AB7">
        <w:rPr>
          <w:rStyle w:val="Hyperlink"/>
          <w:rFonts w:ascii="Arial" w:hAnsi="Arial" w:cs="Arial"/>
          <w:sz w:val="20"/>
          <w:szCs w:val="20"/>
          <w:lang w:val="en-US"/>
        </w:rPr>
        <w:t>.</w:t>
      </w:r>
    </w:p>
    <w:p w14:paraId="45E2CC1D" w14:textId="272AE21C" w:rsidR="0027356D" w:rsidRPr="00563FB7" w:rsidRDefault="0027356D" w:rsidP="00BA086A">
      <w:pPr>
        <w:pStyle w:val="ListParagraph"/>
        <w:numPr>
          <w:ilvl w:val="0"/>
          <w:numId w:val="3"/>
        </w:numPr>
        <w:spacing w:line="240" w:lineRule="auto"/>
        <w:jc w:val="both"/>
        <w:rPr>
          <w:rFonts w:ascii="Arial" w:hAnsi="Arial" w:cs="Arial"/>
          <w:sz w:val="20"/>
          <w:szCs w:val="20"/>
          <w:lang w:val="en-US"/>
        </w:rPr>
      </w:pPr>
      <w:proofErr w:type="spellStart"/>
      <w:r w:rsidRPr="00563FB7">
        <w:rPr>
          <w:rFonts w:ascii="Arial" w:hAnsi="Arial" w:cs="Arial"/>
          <w:sz w:val="20"/>
          <w:szCs w:val="20"/>
          <w:lang w:val="en-US"/>
        </w:rPr>
        <w:t>Masaulwa</w:t>
      </w:r>
      <w:proofErr w:type="spellEnd"/>
      <w:r w:rsidRPr="00563FB7">
        <w:rPr>
          <w:rFonts w:ascii="Arial" w:hAnsi="Arial" w:cs="Arial"/>
          <w:sz w:val="20"/>
          <w:szCs w:val="20"/>
          <w:lang w:val="en-US"/>
        </w:rPr>
        <w:t xml:space="preserve"> Village Government Record</w:t>
      </w:r>
      <w:r w:rsidR="00693AB7">
        <w:rPr>
          <w:rFonts w:ascii="Arial" w:hAnsi="Arial" w:cs="Arial"/>
          <w:sz w:val="20"/>
          <w:szCs w:val="20"/>
          <w:lang w:val="en-US"/>
        </w:rPr>
        <w:t xml:space="preserve">s. </w:t>
      </w:r>
      <w:r w:rsidR="003E6E8E">
        <w:rPr>
          <w:rFonts w:ascii="Arial" w:hAnsi="Arial" w:cs="Arial"/>
          <w:sz w:val="20"/>
          <w:szCs w:val="20"/>
          <w:lang w:val="en-US"/>
        </w:rPr>
        <w:t>F</w:t>
      </w:r>
      <w:r w:rsidR="00693AB7">
        <w:rPr>
          <w:rFonts w:ascii="Arial" w:hAnsi="Arial" w:cs="Arial"/>
          <w:sz w:val="20"/>
          <w:szCs w:val="20"/>
          <w:lang w:val="en-US"/>
        </w:rPr>
        <w:t>ield survey</w:t>
      </w:r>
      <w:r w:rsidRPr="00563FB7">
        <w:rPr>
          <w:rFonts w:ascii="Arial" w:hAnsi="Arial" w:cs="Arial"/>
          <w:sz w:val="20"/>
          <w:szCs w:val="20"/>
          <w:lang w:val="en-US"/>
        </w:rPr>
        <w:t>, 2024</w:t>
      </w:r>
      <w:r w:rsidR="00693AB7">
        <w:rPr>
          <w:rFonts w:ascii="Arial" w:hAnsi="Arial" w:cs="Arial"/>
          <w:sz w:val="20"/>
          <w:szCs w:val="20"/>
          <w:lang w:val="en-US"/>
        </w:rPr>
        <w:t>.</w:t>
      </w:r>
    </w:p>
    <w:p w14:paraId="2A83A515" w14:textId="77777777" w:rsidR="00AC67E9" w:rsidRPr="00563FB7" w:rsidRDefault="00AC67E9" w:rsidP="00BA086A">
      <w:pPr>
        <w:pStyle w:val="ListParagraph"/>
        <w:spacing w:line="240" w:lineRule="auto"/>
        <w:jc w:val="both"/>
        <w:rPr>
          <w:rFonts w:ascii="Arial" w:hAnsi="Arial" w:cs="Arial"/>
          <w:sz w:val="20"/>
          <w:szCs w:val="20"/>
          <w:lang w:val="en-US"/>
        </w:rPr>
      </w:pPr>
    </w:p>
    <w:p w14:paraId="040780A7" w14:textId="5AC25CC8" w:rsidR="0027356D" w:rsidRPr="00563FB7" w:rsidRDefault="0027356D"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 xml:space="preserve"> </w:t>
      </w:r>
      <w:r w:rsidR="00AA5BAD" w:rsidRPr="00563FB7">
        <w:rPr>
          <w:rFonts w:ascii="Arial" w:hAnsi="Arial" w:cs="Arial"/>
          <w:sz w:val="20"/>
          <w:szCs w:val="20"/>
          <w:lang w:val="en-US"/>
        </w:rPr>
        <w:t xml:space="preserve">United Republic of Tanzania (URT), President’s Office Regional Administration and Local Government (PO-RALG). </w:t>
      </w:r>
      <w:proofErr w:type="spellStart"/>
      <w:r w:rsidR="00AA5BAD" w:rsidRPr="00563FB7">
        <w:rPr>
          <w:rFonts w:ascii="Arial" w:hAnsi="Arial" w:cs="Arial"/>
          <w:sz w:val="20"/>
          <w:szCs w:val="20"/>
          <w:lang w:val="en-US"/>
        </w:rPr>
        <w:t>Wanging’ombe</w:t>
      </w:r>
      <w:proofErr w:type="spellEnd"/>
      <w:r w:rsidR="00AA5BAD" w:rsidRPr="00563FB7">
        <w:rPr>
          <w:rFonts w:ascii="Arial" w:hAnsi="Arial" w:cs="Arial"/>
          <w:sz w:val="20"/>
          <w:szCs w:val="20"/>
          <w:lang w:val="en-US"/>
        </w:rPr>
        <w:t xml:space="preserve"> district council strategic plan for the year 2015/16 –2019/2020.</w:t>
      </w:r>
      <w:r w:rsidR="003E6E8E">
        <w:rPr>
          <w:rFonts w:ascii="Arial" w:hAnsi="Arial" w:cs="Arial"/>
          <w:sz w:val="20"/>
          <w:szCs w:val="20"/>
          <w:lang w:val="en-US"/>
        </w:rPr>
        <w:t xml:space="preserve"> 2020.</w:t>
      </w:r>
    </w:p>
    <w:p w14:paraId="68EF4DC0" w14:textId="63E31933" w:rsidR="0027356D" w:rsidRPr="00563FB7" w:rsidRDefault="0027356D"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 xml:space="preserve"> </w:t>
      </w:r>
      <w:proofErr w:type="spellStart"/>
      <w:r w:rsidR="002C5256" w:rsidRPr="00563FB7">
        <w:rPr>
          <w:rFonts w:ascii="Arial" w:hAnsi="Arial" w:cs="Arial"/>
          <w:sz w:val="20"/>
          <w:szCs w:val="20"/>
          <w:lang w:val="en-US"/>
        </w:rPr>
        <w:t>Kayunze</w:t>
      </w:r>
      <w:proofErr w:type="spellEnd"/>
      <w:r w:rsidR="003E6E8E">
        <w:rPr>
          <w:rFonts w:ascii="Arial" w:hAnsi="Arial" w:cs="Arial"/>
          <w:sz w:val="20"/>
          <w:szCs w:val="20"/>
          <w:lang w:val="en-US"/>
        </w:rPr>
        <w:t xml:space="preserve"> K.</w:t>
      </w:r>
      <w:r w:rsidR="002C5256" w:rsidRPr="00563FB7">
        <w:rPr>
          <w:rFonts w:ascii="Arial" w:hAnsi="Arial" w:cs="Arial"/>
          <w:sz w:val="20"/>
          <w:szCs w:val="20"/>
          <w:lang w:val="en-US"/>
        </w:rPr>
        <w:t xml:space="preserve"> </w:t>
      </w:r>
      <w:r w:rsidR="00693AB7" w:rsidRPr="00563FB7">
        <w:rPr>
          <w:rFonts w:ascii="Arial" w:hAnsi="Arial" w:cs="Arial"/>
          <w:sz w:val="20"/>
          <w:szCs w:val="20"/>
          <w:lang w:val="en-US"/>
        </w:rPr>
        <w:t>Processes</w:t>
      </w:r>
      <w:r w:rsidR="002C5256" w:rsidRPr="00563FB7">
        <w:rPr>
          <w:rFonts w:ascii="Arial" w:hAnsi="Arial" w:cs="Arial"/>
          <w:sz w:val="20"/>
          <w:szCs w:val="20"/>
          <w:lang w:val="en-US"/>
        </w:rPr>
        <w:t xml:space="preserve">, </w:t>
      </w:r>
      <w:r w:rsidR="003E6E8E" w:rsidRPr="00563FB7">
        <w:rPr>
          <w:rFonts w:ascii="Arial" w:hAnsi="Arial" w:cs="Arial"/>
          <w:sz w:val="20"/>
          <w:szCs w:val="20"/>
          <w:lang w:val="en-US"/>
        </w:rPr>
        <w:t xml:space="preserve">experiences and guidelines for the formation of sub-catchment water users’ associations in the </w:t>
      </w:r>
      <w:r w:rsidR="002C5256" w:rsidRPr="00563FB7">
        <w:rPr>
          <w:rFonts w:ascii="Arial" w:hAnsi="Arial" w:cs="Arial"/>
          <w:sz w:val="20"/>
          <w:szCs w:val="20"/>
          <w:lang w:val="en-US"/>
        </w:rPr>
        <w:t xml:space="preserve">Great </w:t>
      </w:r>
      <w:proofErr w:type="spellStart"/>
      <w:r w:rsidR="002C5256" w:rsidRPr="00563FB7">
        <w:rPr>
          <w:rFonts w:ascii="Arial" w:hAnsi="Arial" w:cs="Arial"/>
          <w:sz w:val="20"/>
          <w:szCs w:val="20"/>
          <w:lang w:val="en-US"/>
        </w:rPr>
        <w:t>Ruaha</w:t>
      </w:r>
      <w:proofErr w:type="spellEnd"/>
      <w:r w:rsidR="002C5256" w:rsidRPr="00563FB7">
        <w:rPr>
          <w:rFonts w:ascii="Arial" w:hAnsi="Arial" w:cs="Arial"/>
          <w:sz w:val="20"/>
          <w:szCs w:val="20"/>
          <w:lang w:val="en-US"/>
        </w:rPr>
        <w:t xml:space="preserve"> River Catchment Area – Iringa and Mbeya Regions, Tanzania. WWF Tanzania Country Office</w:t>
      </w:r>
      <w:r w:rsidR="003E6E8E">
        <w:rPr>
          <w:rFonts w:ascii="Arial" w:hAnsi="Arial" w:cs="Arial"/>
          <w:sz w:val="20"/>
          <w:szCs w:val="20"/>
          <w:lang w:val="en-US"/>
        </w:rPr>
        <w:t>-</w:t>
      </w:r>
      <w:proofErr w:type="spellStart"/>
      <w:r w:rsidR="002C5256" w:rsidRPr="00563FB7">
        <w:rPr>
          <w:rFonts w:ascii="Arial" w:hAnsi="Arial" w:cs="Arial"/>
          <w:sz w:val="20"/>
          <w:szCs w:val="20"/>
          <w:lang w:val="en-US"/>
        </w:rPr>
        <w:t>Ruaha</w:t>
      </w:r>
      <w:proofErr w:type="spellEnd"/>
      <w:r w:rsidR="002C5256" w:rsidRPr="00563FB7">
        <w:rPr>
          <w:rFonts w:ascii="Arial" w:hAnsi="Arial" w:cs="Arial"/>
          <w:sz w:val="20"/>
          <w:szCs w:val="20"/>
          <w:lang w:val="en-US"/>
        </w:rPr>
        <w:t xml:space="preserve"> Water </w:t>
      </w:r>
      <w:proofErr w:type="spellStart"/>
      <w:r w:rsidR="002C5256" w:rsidRPr="00563FB7">
        <w:rPr>
          <w:rFonts w:ascii="Arial" w:hAnsi="Arial" w:cs="Arial"/>
          <w:sz w:val="20"/>
          <w:szCs w:val="20"/>
          <w:lang w:val="en-US"/>
        </w:rPr>
        <w:t>Programme</w:t>
      </w:r>
      <w:proofErr w:type="spellEnd"/>
      <w:r w:rsidR="003E6E8E">
        <w:rPr>
          <w:rFonts w:ascii="Arial" w:hAnsi="Arial" w:cs="Arial"/>
          <w:sz w:val="20"/>
          <w:szCs w:val="20"/>
          <w:lang w:val="en-US"/>
        </w:rPr>
        <w:t xml:space="preserve">; </w:t>
      </w:r>
      <w:r w:rsidR="003E6E8E" w:rsidRPr="003E6E8E">
        <w:rPr>
          <w:rFonts w:ascii="Arial" w:hAnsi="Arial" w:cs="Arial"/>
          <w:sz w:val="20"/>
          <w:szCs w:val="20"/>
          <w:lang w:val="en-US"/>
        </w:rPr>
        <w:t>2009.</w:t>
      </w:r>
    </w:p>
    <w:p w14:paraId="090A7594" w14:textId="0EA3B6AD" w:rsidR="0027356D" w:rsidRPr="00563FB7" w:rsidRDefault="00812B29"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 xml:space="preserve">van </w:t>
      </w:r>
      <w:proofErr w:type="spellStart"/>
      <w:r w:rsidRPr="00563FB7">
        <w:rPr>
          <w:rFonts w:ascii="Arial" w:hAnsi="Arial" w:cs="Arial"/>
          <w:sz w:val="20"/>
          <w:szCs w:val="20"/>
          <w:lang w:val="en-US"/>
        </w:rPr>
        <w:t>Hensbergen</w:t>
      </w:r>
      <w:proofErr w:type="spellEnd"/>
      <w:r w:rsidRPr="00563FB7">
        <w:rPr>
          <w:rFonts w:ascii="Arial" w:hAnsi="Arial" w:cs="Arial"/>
          <w:sz w:val="20"/>
          <w:szCs w:val="20"/>
          <w:lang w:val="en-US"/>
        </w:rPr>
        <w:t xml:space="preserve"> H, Shono K</w:t>
      </w:r>
      <w:r w:rsidR="003E6E8E">
        <w:rPr>
          <w:rFonts w:ascii="Arial" w:hAnsi="Arial" w:cs="Arial"/>
          <w:sz w:val="20"/>
          <w:szCs w:val="20"/>
          <w:lang w:val="en-US"/>
        </w:rPr>
        <w:t xml:space="preserve">, </w:t>
      </w:r>
      <w:r w:rsidRPr="00563FB7">
        <w:rPr>
          <w:rFonts w:ascii="Arial" w:hAnsi="Arial" w:cs="Arial"/>
          <w:sz w:val="20"/>
          <w:szCs w:val="20"/>
          <w:lang w:val="en-US"/>
        </w:rPr>
        <w:t xml:space="preserve">Cedergren J. A guide to multiple-use forest management planning for small and medium forest enterprises. Forestry </w:t>
      </w:r>
      <w:r w:rsidR="003E6E8E" w:rsidRPr="00563FB7">
        <w:rPr>
          <w:rFonts w:ascii="Arial" w:hAnsi="Arial" w:cs="Arial"/>
          <w:sz w:val="20"/>
          <w:szCs w:val="20"/>
          <w:lang w:val="en-US"/>
        </w:rPr>
        <w:t>working paper</w:t>
      </w:r>
      <w:r w:rsidRPr="00563FB7">
        <w:rPr>
          <w:rFonts w:ascii="Arial" w:hAnsi="Arial" w:cs="Arial"/>
          <w:sz w:val="20"/>
          <w:szCs w:val="20"/>
          <w:lang w:val="en-US"/>
        </w:rPr>
        <w:t>, No. 39. Rome, FAO</w:t>
      </w:r>
      <w:r w:rsidR="003E6E8E">
        <w:rPr>
          <w:rFonts w:ascii="Arial" w:hAnsi="Arial" w:cs="Arial"/>
          <w:sz w:val="20"/>
          <w:szCs w:val="20"/>
          <w:lang w:val="en-US"/>
        </w:rPr>
        <w:t xml:space="preserve">. </w:t>
      </w:r>
      <w:r w:rsidR="003E6E8E" w:rsidRPr="003E6E8E">
        <w:rPr>
          <w:rFonts w:ascii="Arial" w:hAnsi="Arial" w:cs="Arial"/>
          <w:sz w:val="20"/>
          <w:szCs w:val="20"/>
          <w:lang w:val="en-US"/>
        </w:rPr>
        <w:t>2023</w:t>
      </w:r>
      <w:r w:rsidR="003E6E8E">
        <w:rPr>
          <w:rFonts w:ascii="Arial" w:hAnsi="Arial" w:cs="Arial"/>
          <w:sz w:val="20"/>
          <w:szCs w:val="20"/>
          <w:lang w:val="en-US"/>
        </w:rPr>
        <w:t>.</w:t>
      </w:r>
      <w:r w:rsidRPr="00563FB7">
        <w:rPr>
          <w:rFonts w:ascii="Arial" w:hAnsi="Arial" w:cs="Arial"/>
          <w:sz w:val="20"/>
          <w:szCs w:val="20"/>
          <w:lang w:val="en-US"/>
        </w:rPr>
        <w:t xml:space="preserve"> </w:t>
      </w:r>
      <w:hyperlink r:id="rId14" w:history="1">
        <w:r w:rsidR="002D4502" w:rsidRPr="00563FB7">
          <w:rPr>
            <w:rStyle w:val="Hyperlink"/>
            <w:rFonts w:ascii="Arial" w:hAnsi="Arial" w:cs="Arial"/>
            <w:sz w:val="20"/>
            <w:szCs w:val="20"/>
            <w:lang w:val="en-US"/>
          </w:rPr>
          <w:t>https://doi.org/10.4060/cc6780en</w:t>
        </w:r>
      </w:hyperlink>
      <w:r w:rsidR="00693AB7">
        <w:rPr>
          <w:rStyle w:val="Hyperlink"/>
          <w:rFonts w:ascii="Arial" w:hAnsi="Arial" w:cs="Arial"/>
          <w:sz w:val="20"/>
          <w:szCs w:val="20"/>
          <w:lang w:val="en-US"/>
        </w:rPr>
        <w:t>.</w:t>
      </w:r>
    </w:p>
    <w:p w14:paraId="22046578" w14:textId="4AED6B9D" w:rsidR="00F171BE" w:rsidRPr="00563FB7" w:rsidRDefault="00812B29"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Raj</w:t>
      </w:r>
      <w:r w:rsidR="003E6E8E">
        <w:rPr>
          <w:rFonts w:ascii="Arial" w:hAnsi="Arial" w:cs="Arial"/>
          <w:sz w:val="20"/>
          <w:szCs w:val="20"/>
          <w:lang w:val="en-US"/>
        </w:rPr>
        <w:t xml:space="preserve"> C</w:t>
      </w:r>
      <w:r w:rsidRPr="00563FB7">
        <w:rPr>
          <w:rFonts w:ascii="Arial" w:hAnsi="Arial" w:cs="Arial"/>
          <w:sz w:val="20"/>
          <w:szCs w:val="20"/>
          <w:lang w:val="en-US"/>
        </w:rPr>
        <w:t xml:space="preserve">, Arunkumar B, Sam Deva Asir RM, Shalini </w:t>
      </w:r>
      <w:r w:rsidR="003E6E8E">
        <w:rPr>
          <w:rFonts w:ascii="Arial" w:hAnsi="Arial" w:cs="Arial"/>
          <w:sz w:val="20"/>
          <w:szCs w:val="20"/>
          <w:lang w:val="en-US"/>
        </w:rPr>
        <w:t>F</w:t>
      </w:r>
      <w:r w:rsidRPr="00563FB7">
        <w:rPr>
          <w:rFonts w:ascii="Arial" w:hAnsi="Arial" w:cs="Arial"/>
          <w:sz w:val="20"/>
          <w:szCs w:val="20"/>
          <w:lang w:val="en-US"/>
        </w:rPr>
        <w:t>J, Ravi R</w:t>
      </w:r>
      <w:r w:rsidR="003E6E8E">
        <w:rPr>
          <w:rFonts w:ascii="Arial" w:hAnsi="Arial" w:cs="Arial"/>
          <w:sz w:val="20"/>
          <w:szCs w:val="20"/>
          <w:lang w:val="en-US"/>
        </w:rPr>
        <w:t xml:space="preserve">. </w:t>
      </w:r>
      <w:r w:rsidR="00693AB7">
        <w:rPr>
          <w:rFonts w:ascii="Arial" w:hAnsi="Arial" w:cs="Arial"/>
          <w:sz w:val="20"/>
          <w:szCs w:val="20"/>
          <w:lang w:val="en-US"/>
        </w:rPr>
        <w:t>A</w:t>
      </w:r>
      <w:r w:rsidR="00693AB7" w:rsidRPr="00563FB7">
        <w:rPr>
          <w:rFonts w:ascii="Arial" w:hAnsi="Arial" w:cs="Arial"/>
          <w:sz w:val="20"/>
          <w:szCs w:val="20"/>
          <w:lang w:val="en-US"/>
        </w:rPr>
        <w:t xml:space="preserve"> study on the application of </w:t>
      </w:r>
      <w:r w:rsidR="00384944" w:rsidRPr="00563FB7">
        <w:rPr>
          <w:rFonts w:ascii="Arial" w:hAnsi="Arial" w:cs="Arial"/>
          <w:sz w:val="20"/>
          <w:szCs w:val="20"/>
          <w:lang w:val="en-US"/>
        </w:rPr>
        <w:t xml:space="preserve">PRA </w:t>
      </w:r>
      <w:r w:rsidR="00693AB7" w:rsidRPr="00563FB7">
        <w:rPr>
          <w:rFonts w:ascii="Arial" w:hAnsi="Arial" w:cs="Arial"/>
          <w:sz w:val="20"/>
          <w:szCs w:val="20"/>
          <w:lang w:val="en-US"/>
        </w:rPr>
        <w:t>in the process of community development</w:t>
      </w:r>
      <w:r w:rsidRPr="00563FB7">
        <w:rPr>
          <w:rFonts w:ascii="Arial" w:hAnsi="Arial" w:cs="Arial"/>
          <w:sz w:val="20"/>
          <w:szCs w:val="20"/>
          <w:lang w:val="en-US"/>
        </w:rPr>
        <w:t xml:space="preserve">.  International Journal of Research in Humanities, Arts and Science. </w:t>
      </w:r>
      <w:r w:rsidR="00384944" w:rsidRPr="003E6E8E">
        <w:rPr>
          <w:rFonts w:ascii="Arial" w:hAnsi="Arial" w:cs="Arial"/>
          <w:sz w:val="20"/>
          <w:szCs w:val="20"/>
          <w:lang w:val="en-US"/>
        </w:rPr>
        <w:t>2022</w:t>
      </w:r>
      <w:r w:rsidR="00384944">
        <w:rPr>
          <w:rFonts w:ascii="Arial" w:hAnsi="Arial" w:cs="Arial"/>
          <w:sz w:val="20"/>
          <w:szCs w:val="20"/>
          <w:lang w:val="en-US"/>
        </w:rPr>
        <w:t xml:space="preserve">; </w:t>
      </w:r>
      <w:r w:rsidR="00384944" w:rsidRPr="00563FB7">
        <w:rPr>
          <w:rFonts w:ascii="Arial" w:hAnsi="Arial" w:cs="Arial"/>
          <w:sz w:val="20"/>
          <w:szCs w:val="20"/>
          <w:lang w:val="en-US"/>
        </w:rPr>
        <w:t>7</w:t>
      </w:r>
      <w:r w:rsidRPr="00563FB7">
        <w:rPr>
          <w:rFonts w:ascii="Arial" w:hAnsi="Arial" w:cs="Arial"/>
          <w:sz w:val="20"/>
          <w:szCs w:val="20"/>
          <w:lang w:val="en-US"/>
        </w:rPr>
        <w:t xml:space="preserve"> </w:t>
      </w:r>
      <w:r w:rsidR="003E6E8E">
        <w:rPr>
          <w:rFonts w:ascii="Arial" w:hAnsi="Arial" w:cs="Arial"/>
          <w:sz w:val="20"/>
          <w:szCs w:val="20"/>
          <w:lang w:val="en-US"/>
        </w:rPr>
        <w:t>(</w:t>
      </w:r>
      <w:r w:rsidRPr="00563FB7">
        <w:rPr>
          <w:rFonts w:ascii="Arial" w:hAnsi="Arial" w:cs="Arial"/>
          <w:sz w:val="20"/>
          <w:szCs w:val="20"/>
          <w:lang w:val="en-US"/>
        </w:rPr>
        <w:t>5</w:t>
      </w:r>
      <w:r w:rsidR="003E6E8E">
        <w:rPr>
          <w:rFonts w:ascii="Arial" w:hAnsi="Arial" w:cs="Arial"/>
          <w:sz w:val="20"/>
          <w:szCs w:val="20"/>
          <w:lang w:val="en-US"/>
        </w:rPr>
        <w:t>):</w:t>
      </w:r>
      <w:r w:rsidRPr="00563FB7">
        <w:rPr>
          <w:rFonts w:ascii="Arial" w:hAnsi="Arial" w:cs="Arial"/>
          <w:sz w:val="20"/>
          <w:szCs w:val="20"/>
          <w:lang w:val="en-US"/>
        </w:rPr>
        <w:t>2456-5571</w:t>
      </w:r>
      <w:r w:rsidR="00693AB7">
        <w:rPr>
          <w:rFonts w:ascii="Arial" w:hAnsi="Arial" w:cs="Arial"/>
          <w:sz w:val="20"/>
          <w:szCs w:val="20"/>
          <w:lang w:val="en-US"/>
        </w:rPr>
        <w:t>.</w:t>
      </w:r>
    </w:p>
    <w:p w14:paraId="4F28E7F1" w14:textId="3F8662AB" w:rsidR="00F171BE" w:rsidRPr="00563FB7" w:rsidRDefault="00812B29" w:rsidP="00BA086A">
      <w:pPr>
        <w:pStyle w:val="ListParagraph"/>
        <w:numPr>
          <w:ilvl w:val="0"/>
          <w:numId w:val="3"/>
        </w:numPr>
        <w:spacing w:line="240" w:lineRule="auto"/>
        <w:jc w:val="both"/>
        <w:rPr>
          <w:rFonts w:ascii="Arial" w:hAnsi="Arial" w:cs="Arial"/>
          <w:sz w:val="20"/>
          <w:szCs w:val="20"/>
          <w:lang w:val="en-US"/>
        </w:rPr>
      </w:pPr>
      <w:r w:rsidRPr="00630398">
        <w:rPr>
          <w:rFonts w:ascii="Arial" w:hAnsi="Arial" w:cs="Arial"/>
          <w:sz w:val="20"/>
          <w:szCs w:val="20"/>
          <w:lang w:val="de-DE"/>
        </w:rPr>
        <w:t>Sontakki</w:t>
      </w:r>
      <w:r w:rsidR="00384944" w:rsidRPr="00630398">
        <w:rPr>
          <w:rFonts w:ascii="Arial" w:hAnsi="Arial" w:cs="Arial"/>
          <w:sz w:val="20"/>
          <w:szCs w:val="20"/>
          <w:lang w:val="de-DE"/>
        </w:rPr>
        <w:t xml:space="preserve"> B</w:t>
      </w:r>
      <w:r w:rsidRPr="00630398">
        <w:rPr>
          <w:rFonts w:ascii="Arial" w:hAnsi="Arial" w:cs="Arial"/>
          <w:sz w:val="20"/>
          <w:szCs w:val="20"/>
          <w:lang w:val="de-DE"/>
        </w:rPr>
        <w:t>, Venkatesan</w:t>
      </w:r>
      <w:r w:rsidR="00384944" w:rsidRPr="00630398">
        <w:rPr>
          <w:rFonts w:ascii="Arial" w:hAnsi="Arial" w:cs="Arial"/>
          <w:sz w:val="20"/>
          <w:szCs w:val="20"/>
          <w:lang w:val="de-DE"/>
        </w:rPr>
        <w:t xml:space="preserve"> P, </w:t>
      </w:r>
      <w:r w:rsidRPr="00630398">
        <w:rPr>
          <w:rFonts w:ascii="Arial" w:hAnsi="Arial" w:cs="Arial"/>
          <w:sz w:val="20"/>
          <w:szCs w:val="20"/>
          <w:lang w:val="de-DE"/>
        </w:rPr>
        <w:t>Rao</w:t>
      </w:r>
      <w:r w:rsidR="00384944" w:rsidRPr="00630398">
        <w:rPr>
          <w:rFonts w:ascii="Arial" w:hAnsi="Arial" w:cs="Arial"/>
          <w:sz w:val="20"/>
          <w:szCs w:val="20"/>
          <w:lang w:val="de-DE"/>
        </w:rPr>
        <w:t xml:space="preserve"> VKJ.</w:t>
      </w:r>
      <w:r w:rsidRPr="00630398">
        <w:rPr>
          <w:rFonts w:ascii="Arial" w:hAnsi="Arial" w:cs="Arial"/>
          <w:sz w:val="20"/>
          <w:szCs w:val="20"/>
          <w:lang w:val="de-DE"/>
        </w:rPr>
        <w:t xml:space="preserve"> </w:t>
      </w:r>
      <w:r w:rsidRPr="00563FB7">
        <w:rPr>
          <w:rFonts w:ascii="Arial" w:hAnsi="Arial" w:cs="Arial"/>
          <w:sz w:val="20"/>
          <w:szCs w:val="20"/>
          <w:lang w:val="en-US"/>
        </w:rPr>
        <w:t>Participatory Rural Appraisal (PRA): Tools</w:t>
      </w:r>
      <w:r w:rsidR="00384944">
        <w:rPr>
          <w:rFonts w:ascii="Arial" w:hAnsi="Arial" w:cs="Arial"/>
          <w:sz w:val="20"/>
          <w:szCs w:val="20"/>
          <w:lang w:val="en-US"/>
        </w:rPr>
        <w:t xml:space="preserve"> and</w:t>
      </w:r>
      <w:r w:rsidRPr="00563FB7">
        <w:rPr>
          <w:rFonts w:ascii="Arial" w:hAnsi="Arial" w:cs="Arial"/>
          <w:sz w:val="20"/>
          <w:szCs w:val="20"/>
          <w:lang w:val="en-US"/>
        </w:rPr>
        <w:t xml:space="preserve"> Techniques. ICAR-National Academy of Agricultural Research Management. Hyderabad, India</w:t>
      </w:r>
      <w:r w:rsidR="00384944">
        <w:rPr>
          <w:rFonts w:ascii="Arial" w:hAnsi="Arial" w:cs="Arial"/>
          <w:sz w:val="20"/>
          <w:szCs w:val="20"/>
          <w:lang w:val="en-US"/>
        </w:rPr>
        <w:t>;</w:t>
      </w:r>
      <w:r w:rsidR="00384944" w:rsidRPr="00384944">
        <w:rPr>
          <w:rFonts w:ascii="Arial" w:hAnsi="Arial" w:cs="Arial"/>
          <w:sz w:val="20"/>
          <w:szCs w:val="20"/>
          <w:lang w:val="en-US"/>
        </w:rPr>
        <w:t>2019</w:t>
      </w:r>
      <w:r w:rsidR="00384944">
        <w:rPr>
          <w:rFonts w:ascii="Arial" w:hAnsi="Arial" w:cs="Arial"/>
          <w:sz w:val="20"/>
          <w:szCs w:val="20"/>
          <w:lang w:val="en-US"/>
        </w:rPr>
        <w:t>.</w:t>
      </w:r>
      <w:r w:rsidR="00384944" w:rsidRPr="00384944">
        <w:rPr>
          <w:rFonts w:ascii="Arial" w:hAnsi="Arial" w:cs="Arial"/>
          <w:sz w:val="20"/>
          <w:szCs w:val="20"/>
          <w:lang w:val="en-US"/>
        </w:rPr>
        <w:t xml:space="preserve"> </w:t>
      </w:r>
      <w:r w:rsidRPr="00563FB7">
        <w:rPr>
          <w:rFonts w:ascii="Arial" w:hAnsi="Arial" w:cs="Arial"/>
          <w:sz w:val="20"/>
          <w:szCs w:val="20"/>
          <w:lang w:val="en-US"/>
        </w:rPr>
        <w:t xml:space="preserve"> https://naarm.org.in</w:t>
      </w:r>
    </w:p>
    <w:p w14:paraId="58414022" w14:textId="59C23D95" w:rsidR="00AC67E9" w:rsidRPr="00384944" w:rsidRDefault="00384944" w:rsidP="00933B53">
      <w:pPr>
        <w:pStyle w:val="ListParagraph"/>
        <w:numPr>
          <w:ilvl w:val="0"/>
          <w:numId w:val="3"/>
        </w:numPr>
        <w:spacing w:line="240" w:lineRule="auto"/>
        <w:jc w:val="both"/>
        <w:rPr>
          <w:rFonts w:ascii="Arial" w:hAnsi="Arial" w:cs="Arial"/>
          <w:sz w:val="20"/>
          <w:szCs w:val="20"/>
          <w:lang w:val="en-US"/>
        </w:rPr>
      </w:pPr>
      <w:proofErr w:type="spellStart"/>
      <w:r>
        <w:rPr>
          <w:rFonts w:ascii="Arial" w:hAnsi="Arial" w:cs="Arial"/>
          <w:sz w:val="20"/>
          <w:szCs w:val="20"/>
          <w:lang w:val="en-US"/>
        </w:rPr>
        <w:t>M</w:t>
      </w:r>
      <w:r w:rsidRPr="00384944">
        <w:rPr>
          <w:rFonts w:ascii="Arial" w:hAnsi="Arial" w:cs="Arial"/>
          <w:sz w:val="20"/>
          <w:szCs w:val="20"/>
          <w:lang w:val="en-US"/>
        </w:rPr>
        <w:t>konda</w:t>
      </w:r>
      <w:proofErr w:type="spellEnd"/>
      <w:r>
        <w:rPr>
          <w:rFonts w:ascii="Arial" w:hAnsi="Arial" w:cs="Arial"/>
          <w:sz w:val="20"/>
          <w:szCs w:val="20"/>
          <w:lang w:val="en-US"/>
        </w:rPr>
        <w:t xml:space="preserve"> MY</w:t>
      </w:r>
      <w:r w:rsidRPr="00384944">
        <w:rPr>
          <w:rFonts w:ascii="Arial" w:hAnsi="Arial" w:cs="Arial"/>
          <w:sz w:val="20"/>
          <w:szCs w:val="20"/>
          <w:lang w:val="en-US"/>
        </w:rPr>
        <w:t>,</w:t>
      </w:r>
      <w:r>
        <w:rPr>
          <w:rFonts w:ascii="Arial" w:hAnsi="Arial" w:cs="Arial"/>
          <w:sz w:val="20"/>
          <w:szCs w:val="20"/>
          <w:lang w:val="en-US"/>
        </w:rPr>
        <w:t xml:space="preserve"> H</w:t>
      </w:r>
      <w:r w:rsidRPr="00384944">
        <w:rPr>
          <w:rFonts w:ascii="Arial" w:hAnsi="Arial" w:cs="Arial"/>
          <w:sz w:val="20"/>
          <w:szCs w:val="20"/>
          <w:lang w:val="en-US"/>
        </w:rPr>
        <w:t>e</w:t>
      </w:r>
      <w:r>
        <w:rPr>
          <w:rFonts w:ascii="Arial" w:hAnsi="Arial" w:cs="Arial"/>
          <w:sz w:val="20"/>
          <w:szCs w:val="20"/>
          <w:lang w:val="en-US"/>
        </w:rPr>
        <w:t xml:space="preserve"> X, </w:t>
      </w:r>
      <w:r w:rsidRPr="00384944">
        <w:rPr>
          <w:rFonts w:ascii="Arial" w:hAnsi="Arial" w:cs="Arial"/>
          <w:sz w:val="20"/>
          <w:szCs w:val="20"/>
          <w:lang w:val="en-US"/>
        </w:rPr>
        <w:t>Festin</w:t>
      </w:r>
      <w:r>
        <w:rPr>
          <w:rFonts w:ascii="Arial" w:hAnsi="Arial" w:cs="Arial"/>
          <w:sz w:val="20"/>
          <w:szCs w:val="20"/>
          <w:lang w:val="en-US"/>
        </w:rPr>
        <w:t xml:space="preserve"> SE</w:t>
      </w:r>
      <w:r w:rsidRPr="00384944">
        <w:rPr>
          <w:rFonts w:ascii="Arial" w:hAnsi="Arial" w:cs="Arial"/>
          <w:sz w:val="20"/>
          <w:szCs w:val="20"/>
          <w:lang w:val="en-US"/>
        </w:rPr>
        <w:t xml:space="preserve">. </w:t>
      </w:r>
      <w:r w:rsidR="00812B29" w:rsidRPr="00384944">
        <w:rPr>
          <w:rFonts w:ascii="Arial" w:hAnsi="Arial" w:cs="Arial"/>
          <w:sz w:val="20"/>
          <w:szCs w:val="20"/>
          <w:lang w:val="en-US"/>
        </w:rPr>
        <w:t xml:space="preserve">Comparing </w:t>
      </w:r>
      <w:r w:rsidRPr="00384944">
        <w:rPr>
          <w:rFonts w:ascii="Arial" w:hAnsi="Arial" w:cs="Arial"/>
          <w:sz w:val="20"/>
          <w:szCs w:val="20"/>
          <w:lang w:val="en-US"/>
        </w:rPr>
        <w:t>smallholder farmers’ perception of climate change with meteorological data</w:t>
      </w:r>
      <w:r w:rsidR="00812B29" w:rsidRPr="00384944">
        <w:rPr>
          <w:rFonts w:ascii="Arial" w:hAnsi="Arial" w:cs="Arial"/>
          <w:sz w:val="20"/>
          <w:szCs w:val="20"/>
          <w:lang w:val="en-US"/>
        </w:rPr>
        <w:t xml:space="preserve">: </w:t>
      </w:r>
      <w:r w:rsidRPr="00384944">
        <w:rPr>
          <w:rFonts w:ascii="Arial" w:hAnsi="Arial" w:cs="Arial"/>
          <w:sz w:val="20"/>
          <w:szCs w:val="20"/>
          <w:lang w:val="en-US"/>
        </w:rPr>
        <w:t xml:space="preserve">experience from seven agroecological zones of </w:t>
      </w:r>
      <w:r w:rsidR="00812B29" w:rsidRPr="00384944">
        <w:rPr>
          <w:rFonts w:ascii="Arial" w:hAnsi="Arial" w:cs="Arial"/>
          <w:sz w:val="20"/>
          <w:szCs w:val="20"/>
          <w:lang w:val="en-US"/>
        </w:rPr>
        <w:t>Tanzania</w:t>
      </w:r>
      <w:r w:rsidRPr="00384944">
        <w:rPr>
          <w:rFonts w:ascii="Arial" w:hAnsi="Arial" w:cs="Arial"/>
          <w:sz w:val="20"/>
          <w:szCs w:val="20"/>
          <w:lang w:val="en-US"/>
        </w:rPr>
        <w:t>.</w:t>
      </w:r>
      <w:r w:rsidRPr="00384944">
        <w:t xml:space="preserve"> </w:t>
      </w:r>
      <w:r w:rsidRPr="00384944">
        <w:rPr>
          <w:rFonts w:ascii="Arial" w:hAnsi="Arial" w:cs="Arial"/>
          <w:sz w:val="20"/>
          <w:szCs w:val="20"/>
          <w:lang w:val="en-US"/>
        </w:rPr>
        <w:t>American Meteorological Society.</w:t>
      </w:r>
      <w:r>
        <w:rPr>
          <w:rFonts w:ascii="Arial" w:hAnsi="Arial" w:cs="Arial"/>
          <w:sz w:val="20"/>
          <w:szCs w:val="20"/>
          <w:lang w:val="en-US"/>
        </w:rPr>
        <w:t xml:space="preserve"> </w:t>
      </w:r>
      <w:r w:rsidR="00693AB7" w:rsidRPr="00384944">
        <w:rPr>
          <w:rFonts w:ascii="Arial" w:hAnsi="Arial" w:cs="Arial"/>
          <w:sz w:val="20"/>
          <w:szCs w:val="20"/>
          <w:lang w:val="en-US"/>
        </w:rPr>
        <w:t>2018</w:t>
      </w:r>
      <w:r w:rsidRPr="00384944">
        <w:rPr>
          <w:rFonts w:ascii="Arial" w:hAnsi="Arial" w:cs="Arial"/>
          <w:sz w:val="20"/>
          <w:szCs w:val="20"/>
          <w:lang w:val="en-US"/>
        </w:rPr>
        <w:t>: 435–452.</w:t>
      </w:r>
      <w:r w:rsidR="00693AB7" w:rsidRPr="00384944">
        <w:rPr>
          <w:rFonts w:ascii="Arial" w:hAnsi="Arial" w:cs="Arial"/>
          <w:sz w:val="20"/>
          <w:szCs w:val="20"/>
          <w:lang w:val="en-US"/>
        </w:rPr>
        <w:t xml:space="preserve"> </w:t>
      </w:r>
      <w:proofErr w:type="spellStart"/>
      <w:r w:rsidR="00693AB7" w:rsidRPr="00384944">
        <w:rPr>
          <w:rFonts w:ascii="Arial" w:hAnsi="Arial" w:cs="Arial"/>
          <w:sz w:val="20"/>
          <w:szCs w:val="20"/>
          <w:lang w:val="en-US"/>
        </w:rPr>
        <w:t>doi</w:t>
      </w:r>
      <w:proofErr w:type="spellEnd"/>
      <w:r w:rsidR="00693AB7" w:rsidRPr="00384944">
        <w:rPr>
          <w:rFonts w:ascii="Arial" w:hAnsi="Arial" w:cs="Arial"/>
          <w:sz w:val="20"/>
          <w:szCs w:val="20"/>
          <w:lang w:val="en-US"/>
        </w:rPr>
        <w:t xml:space="preserve">: </w:t>
      </w:r>
      <w:hyperlink r:id="rId15" w:history="1">
        <w:r w:rsidRPr="00D0626B">
          <w:rPr>
            <w:rStyle w:val="Hyperlink"/>
            <w:rFonts w:ascii="Arial" w:hAnsi="Arial" w:cs="Arial"/>
            <w:sz w:val="20"/>
            <w:szCs w:val="20"/>
            <w:lang w:val="en-US"/>
          </w:rPr>
          <w:t>https://doi.org/10.1175/wcas-d-17-0036.1</w:t>
        </w:r>
      </w:hyperlink>
      <w:r>
        <w:rPr>
          <w:rFonts w:ascii="Arial" w:hAnsi="Arial" w:cs="Arial"/>
          <w:sz w:val="20"/>
          <w:szCs w:val="20"/>
          <w:lang w:val="en-US"/>
        </w:rPr>
        <w:t xml:space="preserve"> </w:t>
      </w:r>
    </w:p>
    <w:p w14:paraId="4C9A46AE" w14:textId="7E8DB379" w:rsidR="00D947FA" w:rsidRPr="00563FB7" w:rsidRDefault="0095494B"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Agrawal</w:t>
      </w:r>
      <w:r w:rsidR="00384944">
        <w:rPr>
          <w:rFonts w:ascii="Arial" w:hAnsi="Arial" w:cs="Arial"/>
          <w:sz w:val="20"/>
          <w:szCs w:val="20"/>
          <w:lang w:val="en-US"/>
        </w:rPr>
        <w:t xml:space="preserve"> </w:t>
      </w:r>
      <w:r w:rsidRPr="00563FB7">
        <w:rPr>
          <w:rFonts w:ascii="Arial" w:hAnsi="Arial" w:cs="Arial"/>
          <w:sz w:val="20"/>
          <w:szCs w:val="20"/>
          <w:lang w:val="en-US"/>
        </w:rPr>
        <w:t>A, Ribot JC.</w:t>
      </w:r>
      <w:r w:rsidR="00384944">
        <w:rPr>
          <w:rFonts w:ascii="Arial" w:hAnsi="Arial" w:cs="Arial"/>
          <w:sz w:val="20"/>
          <w:szCs w:val="20"/>
          <w:lang w:val="en-US"/>
        </w:rPr>
        <w:t xml:space="preserve"> </w:t>
      </w:r>
      <w:r w:rsidRPr="00563FB7">
        <w:rPr>
          <w:rFonts w:ascii="Arial" w:hAnsi="Arial" w:cs="Arial"/>
          <w:sz w:val="20"/>
          <w:szCs w:val="20"/>
          <w:lang w:val="en-US"/>
        </w:rPr>
        <w:t xml:space="preserve">Accountability in </w:t>
      </w:r>
      <w:proofErr w:type="spellStart"/>
      <w:r w:rsidR="00384944" w:rsidRPr="00563FB7">
        <w:rPr>
          <w:rFonts w:ascii="Arial" w:hAnsi="Arial" w:cs="Arial"/>
          <w:sz w:val="20"/>
          <w:szCs w:val="20"/>
          <w:lang w:val="en-US"/>
        </w:rPr>
        <w:t>decentralisation</w:t>
      </w:r>
      <w:proofErr w:type="spellEnd"/>
      <w:r w:rsidR="00384944" w:rsidRPr="00563FB7">
        <w:rPr>
          <w:rFonts w:ascii="Arial" w:hAnsi="Arial" w:cs="Arial"/>
          <w:sz w:val="20"/>
          <w:szCs w:val="20"/>
          <w:lang w:val="en-US"/>
        </w:rPr>
        <w:t xml:space="preserve">: a framework with </w:t>
      </w:r>
      <w:r w:rsidRPr="00563FB7">
        <w:rPr>
          <w:rFonts w:ascii="Arial" w:hAnsi="Arial" w:cs="Arial"/>
          <w:sz w:val="20"/>
          <w:szCs w:val="20"/>
          <w:lang w:val="en-US"/>
        </w:rPr>
        <w:t xml:space="preserve">South Asian and African Cases. J. Dev. </w:t>
      </w:r>
      <w:r w:rsidR="00384944" w:rsidRPr="00563FB7">
        <w:rPr>
          <w:rFonts w:ascii="Arial" w:hAnsi="Arial" w:cs="Arial"/>
          <w:sz w:val="20"/>
          <w:szCs w:val="20"/>
          <w:lang w:val="en-US"/>
        </w:rPr>
        <w:t>Areas.</w:t>
      </w:r>
      <w:r w:rsidR="00384944">
        <w:rPr>
          <w:rFonts w:ascii="Arial" w:hAnsi="Arial" w:cs="Arial"/>
          <w:sz w:val="20"/>
          <w:szCs w:val="20"/>
          <w:lang w:val="en-US"/>
        </w:rPr>
        <w:t xml:space="preserve"> 1999; </w:t>
      </w:r>
      <w:r w:rsidRPr="00563FB7">
        <w:rPr>
          <w:rFonts w:ascii="Arial" w:hAnsi="Arial" w:cs="Arial"/>
          <w:sz w:val="20"/>
          <w:szCs w:val="20"/>
          <w:lang w:val="en-US"/>
        </w:rPr>
        <w:t>33</w:t>
      </w:r>
      <w:r w:rsidR="00384944">
        <w:rPr>
          <w:rFonts w:ascii="Arial" w:hAnsi="Arial" w:cs="Arial"/>
          <w:sz w:val="20"/>
          <w:szCs w:val="20"/>
          <w:lang w:val="en-US"/>
        </w:rPr>
        <w:t>:</w:t>
      </w:r>
      <w:r w:rsidRPr="00563FB7">
        <w:rPr>
          <w:rFonts w:ascii="Arial" w:hAnsi="Arial" w:cs="Arial"/>
          <w:sz w:val="20"/>
          <w:szCs w:val="20"/>
          <w:lang w:val="en-US"/>
        </w:rPr>
        <w:t xml:space="preserve"> 473–502.</w:t>
      </w:r>
    </w:p>
    <w:p w14:paraId="2D165FB7" w14:textId="494CA592" w:rsidR="0095494B" w:rsidRPr="00563FB7" w:rsidRDefault="00417AFB" w:rsidP="00BA086A">
      <w:pPr>
        <w:pStyle w:val="ListParagraph"/>
        <w:numPr>
          <w:ilvl w:val="0"/>
          <w:numId w:val="3"/>
        </w:numPr>
        <w:spacing w:line="240" w:lineRule="auto"/>
        <w:jc w:val="both"/>
        <w:rPr>
          <w:rFonts w:ascii="Arial" w:hAnsi="Arial" w:cs="Arial"/>
          <w:sz w:val="20"/>
          <w:szCs w:val="20"/>
          <w:lang w:val="en-US"/>
        </w:rPr>
      </w:pPr>
      <w:proofErr w:type="spellStart"/>
      <w:r w:rsidRPr="00563FB7">
        <w:rPr>
          <w:rFonts w:ascii="Arial" w:hAnsi="Arial" w:cs="Arial"/>
          <w:sz w:val="20"/>
          <w:szCs w:val="20"/>
          <w:lang w:val="en-US"/>
        </w:rPr>
        <w:t>Kegamba</w:t>
      </w:r>
      <w:proofErr w:type="spellEnd"/>
      <w:r w:rsidR="00384944">
        <w:rPr>
          <w:rFonts w:ascii="Arial" w:hAnsi="Arial" w:cs="Arial"/>
          <w:sz w:val="20"/>
          <w:szCs w:val="20"/>
          <w:lang w:val="en-US"/>
        </w:rPr>
        <w:t xml:space="preserve"> JJ</w:t>
      </w:r>
      <w:r w:rsidRPr="00563FB7">
        <w:rPr>
          <w:rFonts w:ascii="Arial" w:hAnsi="Arial" w:cs="Arial"/>
          <w:sz w:val="20"/>
          <w:szCs w:val="20"/>
          <w:lang w:val="en-US"/>
        </w:rPr>
        <w:t>, Sangha</w:t>
      </w:r>
      <w:r w:rsidR="00384944">
        <w:rPr>
          <w:rFonts w:ascii="Arial" w:hAnsi="Arial" w:cs="Arial"/>
          <w:sz w:val="20"/>
          <w:szCs w:val="20"/>
          <w:lang w:val="en-US"/>
        </w:rPr>
        <w:t xml:space="preserve"> KK</w:t>
      </w:r>
      <w:r w:rsidRPr="00563FB7">
        <w:rPr>
          <w:rFonts w:ascii="Arial" w:hAnsi="Arial" w:cs="Arial"/>
          <w:sz w:val="20"/>
          <w:szCs w:val="20"/>
          <w:lang w:val="en-US"/>
        </w:rPr>
        <w:t>, Wurm</w:t>
      </w:r>
      <w:r w:rsidR="00384944">
        <w:rPr>
          <w:rFonts w:ascii="Arial" w:hAnsi="Arial" w:cs="Arial"/>
          <w:sz w:val="20"/>
          <w:szCs w:val="20"/>
          <w:lang w:val="en-US"/>
        </w:rPr>
        <w:t xml:space="preserve"> P</w:t>
      </w:r>
      <w:r w:rsidRPr="00563FB7">
        <w:rPr>
          <w:rFonts w:ascii="Arial" w:hAnsi="Arial" w:cs="Arial"/>
          <w:sz w:val="20"/>
          <w:szCs w:val="20"/>
          <w:lang w:val="en-US"/>
        </w:rPr>
        <w:t>, Garnett</w:t>
      </w:r>
      <w:r w:rsidR="00384944">
        <w:rPr>
          <w:rFonts w:ascii="Arial" w:hAnsi="Arial" w:cs="Arial"/>
          <w:sz w:val="20"/>
          <w:szCs w:val="20"/>
          <w:lang w:val="en-US"/>
        </w:rPr>
        <w:t xml:space="preserve"> ST. </w:t>
      </w:r>
      <w:r w:rsidRPr="00563FB7">
        <w:rPr>
          <w:rFonts w:ascii="Arial" w:hAnsi="Arial" w:cs="Arial"/>
          <w:sz w:val="20"/>
          <w:szCs w:val="20"/>
          <w:lang w:val="en-US"/>
        </w:rPr>
        <w:t>A review of conservation-related benefit-sharing mechanisms in Tanzania</w:t>
      </w:r>
      <w:r w:rsidR="005B6697">
        <w:rPr>
          <w:rFonts w:ascii="Arial" w:hAnsi="Arial" w:cs="Arial"/>
          <w:sz w:val="20"/>
          <w:szCs w:val="20"/>
          <w:lang w:val="en-US"/>
        </w:rPr>
        <w:t xml:space="preserve">. </w:t>
      </w:r>
      <w:r w:rsidRPr="00563FB7">
        <w:rPr>
          <w:rFonts w:ascii="Arial" w:hAnsi="Arial" w:cs="Arial"/>
          <w:sz w:val="20"/>
          <w:szCs w:val="20"/>
          <w:lang w:val="en-US"/>
        </w:rPr>
        <w:t>Global Ecology and Conservation</w:t>
      </w:r>
      <w:r w:rsidR="00384944">
        <w:rPr>
          <w:rFonts w:ascii="Arial" w:hAnsi="Arial" w:cs="Arial"/>
          <w:sz w:val="20"/>
          <w:szCs w:val="20"/>
          <w:lang w:val="en-US"/>
        </w:rPr>
        <w:t xml:space="preserve">. 2022; </w:t>
      </w:r>
      <w:r w:rsidRPr="00563FB7">
        <w:rPr>
          <w:rFonts w:ascii="Arial" w:hAnsi="Arial" w:cs="Arial"/>
          <w:sz w:val="20"/>
          <w:szCs w:val="20"/>
          <w:lang w:val="en-US"/>
        </w:rPr>
        <w:t>33</w:t>
      </w:r>
      <w:r w:rsidR="00384944">
        <w:rPr>
          <w:rFonts w:ascii="Arial" w:hAnsi="Arial" w:cs="Arial"/>
          <w:sz w:val="20"/>
          <w:szCs w:val="20"/>
          <w:lang w:val="en-US"/>
        </w:rPr>
        <w:t xml:space="preserve">. </w:t>
      </w:r>
      <w:hyperlink r:id="rId16" w:history="1">
        <w:r w:rsidR="00AC67E9" w:rsidRPr="00563FB7">
          <w:rPr>
            <w:rStyle w:val="Hyperlink"/>
            <w:rFonts w:ascii="Arial" w:hAnsi="Arial" w:cs="Arial"/>
            <w:sz w:val="20"/>
            <w:szCs w:val="20"/>
            <w:lang w:val="en-US"/>
          </w:rPr>
          <w:t>https://doi.org/10.1016/j.gecco.2021.e01955</w:t>
        </w:r>
      </w:hyperlink>
      <w:r w:rsidRPr="00563FB7">
        <w:rPr>
          <w:rFonts w:ascii="Arial" w:hAnsi="Arial" w:cs="Arial"/>
          <w:sz w:val="20"/>
          <w:szCs w:val="20"/>
          <w:lang w:val="en-US"/>
        </w:rPr>
        <w:t>.</w:t>
      </w:r>
    </w:p>
    <w:p w14:paraId="3C6ACA24" w14:textId="03E48AEE" w:rsidR="00D947FA" w:rsidRPr="00563FB7" w:rsidRDefault="00417AFB"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James</w:t>
      </w:r>
      <w:r w:rsidR="003454B4">
        <w:rPr>
          <w:rFonts w:ascii="Arial" w:hAnsi="Arial" w:cs="Arial"/>
          <w:sz w:val="20"/>
          <w:szCs w:val="20"/>
          <w:lang w:val="en-US"/>
        </w:rPr>
        <w:t xml:space="preserve"> TC</w:t>
      </w:r>
      <w:r w:rsidRPr="00563FB7">
        <w:rPr>
          <w:rFonts w:ascii="Arial" w:hAnsi="Arial" w:cs="Arial"/>
          <w:sz w:val="20"/>
          <w:szCs w:val="20"/>
          <w:lang w:val="en-US"/>
        </w:rPr>
        <w:t xml:space="preserve">, </w:t>
      </w:r>
      <w:proofErr w:type="spellStart"/>
      <w:r w:rsidRPr="00563FB7">
        <w:rPr>
          <w:rFonts w:ascii="Arial" w:hAnsi="Arial" w:cs="Arial"/>
          <w:sz w:val="20"/>
          <w:szCs w:val="20"/>
          <w:lang w:val="en-US"/>
        </w:rPr>
        <w:t>Rajasekharan</w:t>
      </w:r>
      <w:proofErr w:type="spellEnd"/>
      <w:r w:rsidRPr="00563FB7">
        <w:rPr>
          <w:rFonts w:ascii="Arial" w:hAnsi="Arial" w:cs="Arial"/>
          <w:sz w:val="20"/>
          <w:szCs w:val="20"/>
          <w:lang w:val="en-US"/>
        </w:rPr>
        <w:t xml:space="preserve"> S.</w:t>
      </w:r>
      <w:r w:rsidR="003454B4">
        <w:rPr>
          <w:rFonts w:ascii="Arial" w:hAnsi="Arial" w:cs="Arial"/>
          <w:sz w:val="20"/>
          <w:szCs w:val="20"/>
          <w:lang w:val="en-US"/>
        </w:rPr>
        <w:t xml:space="preserve"> </w:t>
      </w:r>
      <w:r w:rsidRPr="00563FB7">
        <w:rPr>
          <w:rFonts w:ascii="Arial" w:hAnsi="Arial" w:cs="Arial"/>
          <w:sz w:val="20"/>
          <w:szCs w:val="20"/>
          <w:lang w:val="en-US"/>
        </w:rPr>
        <w:t xml:space="preserve">Access </w:t>
      </w:r>
      <w:r w:rsidR="003454B4" w:rsidRPr="00563FB7">
        <w:rPr>
          <w:rFonts w:ascii="Arial" w:hAnsi="Arial" w:cs="Arial"/>
          <w:sz w:val="20"/>
          <w:szCs w:val="20"/>
          <w:lang w:val="en-US"/>
        </w:rPr>
        <w:t xml:space="preserve">and benefit sharing of biological resources and associated </w:t>
      </w:r>
      <w:r w:rsidRPr="00563FB7">
        <w:rPr>
          <w:rFonts w:ascii="Arial" w:hAnsi="Arial" w:cs="Arial"/>
          <w:sz w:val="20"/>
          <w:szCs w:val="20"/>
          <w:lang w:val="en-US"/>
        </w:rPr>
        <w:t>TK: A Multi-</w:t>
      </w:r>
      <w:r w:rsidR="003454B4" w:rsidRPr="00563FB7">
        <w:rPr>
          <w:rFonts w:ascii="Arial" w:hAnsi="Arial" w:cs="Arial"/>
          <w:sz w:val="20"/>
          <w:szCs w:val="20"/>
          <w:lang w:val="en-US"/>
        </w:rPr>
        <w:t>tiered responsibility</w:t>
      </w:r>
      <w:r w:rsidRPr="00563FB7">
        <w:rPr>
          <w:rFonts w:ascii="Arial" w:hAnsi="Arial" w:cs="Arial"/>
          <w:sz w:val="20"/>
          <w:szCs w:val="20"/>
          <w:lang w:val="en-US"/>
        </w:rPr>
        <w:t>. In: Oommen O</w:t>
      </w:r>
      <w:r w:rsidR="003454B4">
        <w:rPr>
          <w:rFonts w:ascii="Arial" w:hAnsi="Arial" w:cs="Arial"/>
          <w:sz w:val="20"/>
          <w:szCs w:val="20"/>
          <w:lang w:val="en-US"/>
        </w:rPr>
        <w:t>V</w:t>
      </w:r>
      <w:r w:rsidRPr="00563FB7">
        <w:rPr>
          <w:rFonts w:ascii="Arial" w:hAnsi="Arial" w:cs="Arial"/>
          <w:sz w:val="20"/>
          <w:szCs w:val="20"/>
          <w:lang w:val="en-US"/>
        </w:rPr>
        <w:t xml:space="preserve">, </w:t>
      </w:r>
      <w:proofErr w:type="spellStart"/>
      <w:r w:rsidRPr="00563FB7">
        <w:rPr>
          <w:rFonts w:ascii="Arial" w:hAnsi="Arial" w:cs="Arial"/>
          <w:sz w:val="20"/>
          <w:szCs w:val="20"/>
          <w:lang w:val="en-US"/>
        </w:rPr>
        <w:t>Laladhas</w:t>
      </w:r>
      <w:proofErr w:type="spellEnd"/>
      <w:r w:rsidRPr="00563FB7">
        <w:rPr>
          <w:rFonts w:ascii="Arial" w:hAnsi="Arial" w:cs="Arial"/>
          <w:sz w:val="20"/>
          <w:szCs w:val="20"/>
          <w:lang w:val="en-US"/>
        </w:rPr>
        <w:t xml:space="preserve"> KP, </w:t>
      </w:r>
      <w:proofErr w:type="spellStart"/>
      <w:r w:rsidRPr="00563FB7">
        <w:rPr>
          <w:rFonts w:ascii="Arial" w:hAnsi="Arial" w:cs="Arial"/>
          <w:sz w:val="20"/>
          <w:szCs w:val="20"/>
          <w:lang w:val="en-US"/>
        </w:rPr>
        <w:t>Nelliyat</w:t>
      </w:r>
      <w:proofErr w:type="spellEnd"/>
      <w:r w:rsidRPr="00563FB7">
        <w:rPr>
          <w:rFonts w:ascii="Arial" w:hAnsi="Arial" w:cs="Arial"/>
          <w:sz w:val="20"/>
          <w:szCs w:val="20"/>
          <w:lang w:val="en-US"/>
        </w:rPr>
        <w:t xml:space="preserve"> P, </w:t>
      </w:r>
      <w:proofErr w:type="spellStart"/>
      <w:r w:rsidRPr="00563FB7">
        <w:rPr>
          <w:rFonts w:ascii="Arial" w:hAnsi="Arial" w:cs="Arial"/>
          <w:sz w:val="20"/>
          <w:szCs w:val="20"/>
          <w:lang w:val="en-US"/>
        </w:rPr>
        <w:t>Pisupati</w:t>
      </w:r>
      <w:proofErr w:type="spellEnd"/>
      <w:r w:rsidRPr="00563FB7">
        <w:rPr>
          <w:rFonts w:ascii="Arial" w:hAnsi="Arial" w:cs="Arial"/>
          <w:sz w:val="20"/>
          <w:szCs w:val="20"/>
          <w:lang w:val="en-US"/>
        </w:rPr>
        <w:t xml:space="preserve"> B. (eds)</w:t>
      </w:r>
      <w:r w:rsidR="003454B4">
        <w:rPr>
          <w:rFonts w:ascii="Arial" w:hAnsi="Arial" w:cs="Arial"/>
          <w:sz w:val="20"/>
          <w:szCs w:val="20"/>
          <w:lang w:val="en-US"/>
        </w:rPr>
        <w:t>.</w:t>
      </w:r>
      <w:r w:rsidRPr="00563FB7">
        <w:rPr>
          <w:rFonts w:ascii="Arial" w:hAnsi="Arial" w:cs="Arial"/>
          <w:sz w:val="20"/>
          <w:szCs w:val="20"/>
          <w:lang w:val="en-US"/>
        </w:rPr>
        <w:t xml:space="preserve"> Biodiversity </w:t>
      </w:r>
      <w:r w:rsidR="003454B4" w:rsidRPr="00563FB7">
        <w:rPr>
          <w:rFonts w:ascii="Arial" w:hAnsi="Arial" w:cs="Arial"/>
          <w:sz w:val="20"/>
          <w:szCs w:val="20"/>
          <w:lang w:val="en-US"/>
        </w:rPr>
        <w:t>conservation through access and benefit sharing</w:t>
      </w:r>
      <w:r w:rsidRPr="00563FB7">
        <w:rPr>
          <w:rFonts w:ascii="Arial" w:hAnsi="Arial" w:cs="Arial"/>
          <w:sz w:val="20"/>
          <w:szCs w:val="20"/>
          <w:lang w:val="en-US"/>
        </w:rPr>
        <w:t xml:space="preserve"> (ABS). Springer, Cham.</w:t>
      </w:r>
      <w:r w:rsidR="003454B4" w:rsidRPr="003454B4">
        <w:t xml:space="preserve"> </w:t>
      </w:r>
      <w:r w:rsidR="003454B4" w:rsidRPr="003454B4">
        <w:rPr>
          <w:rFonts w:ascii="Arial" w:hAnsi="Arial" w:cs="Arial"/>
          <w:sz w:val="20"/>
          <w:szCs w:val="20"/>
          <w:lang w:val="en-US"/>
        </w:rPr>
        <w:t>2022</w:t>
      </w:r>
      <w:r w:rsidR="003454B4">
        <w:rPr>
          <w:rFonts w:ascii="Arial" w:hAnsi="Arial" w:cs="Arial"/>
          <w:sz w:val="20"/>
          <w:szCs w:val="20"/>
          <w:lang w:val="en-US"/>
        </w:rPr>
        <w:t>.</w:t>
      </w:r>
      <w:r w:rsidRPr="00563FB7">
        <w:rPr>
          <w:rFonts w:ascii="Arial" w:hAnsi="Arial" w:cs="Arial"/>
          <w:sz w:val="20"/>
          <w:szCs w:val="20"/>
          <w:lang w:val="en-US"/>
        </w:rPr>
        <w:t xml:space="preserve"> </w:t>
      </w:r>
      <w:hyperlink r:id="rId17" w:history="1">
        <w:r w:rsidR="00AC67E9" w:rsidRPr="00563FB7">
          <w:rPr>
            <w:rStyle w:val="Hyperlink"/>
            <w:rFonts w:ascii="Arial" w:hAnsi="Arial" w:cs="Arial"/>
            <w:sz w:val="20"/>
            <w:szCs w:val="20"/>
            <w:lang w:val="en-US"/>
          </w:rPr>
          <w:t>https://doi.org/10.1007/978-3-031-16186-5_5</w:t>
        </w:r>
      </w:hyperlink>
    </w:p>
    <w:p w14:paraId="71EB8C63" w14:textId="7E6BC3CB" w:rsidR="00D947FA" w:rsidRPr="00563FB7" w:rsidRDefault="00812B29"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Smith</w:t>
      </w:r>
      <w:r w:rsidR="003454B4">
        <w:rPr>
          <w:rFonts w:ascii="Arial" w:hAnsi="Arial" w:cs="Arial"/>
          <w:sz w:val="20"/>
          <w:szCs w:val="20"/>
          <w:lang w:val="en-US"/>
        </w:rPr>
        <w:t xml:space="preserve"> AC</w:t>
      </w:r>
      <w:r w:rsidRPr="00563FB7">
        <w:rPr>
          <w:rFonts w:ascii="Arial" w:hAnsi="Arial" w:cs="Arial"/>
          <w:sz w:val="20"/>
          <w:szCs w:val="20"/>
          <w:lang w:val="en-US"/>
        </w:rPr>
        <w:t>,</w:t>
      </w:r>
      <w:r w:rsidR="003454B4">
        <w:rPr>
          <w:rFonts w:ascii="Arial" w:hAnsi="Arial" w:cs="Arial"/>
          <w:sz w:val="20"/>
          <w:szCs w:val="20"/>
          <w:lang w:val="en-US"/>
        </w:rPr>
        <w:t xml:space="preserve"> </w:t>
      </w:r>
      <w:r w:rsidRPr="00563FB7">
        <w:rPr>
          <w:rFonts w:ascii="Arial" w:hAnsi="Arial" w:cs="Arial"/>
          <w:sz w:val="20"/>
          <w:szCs w:val="20"/>
          <w:lang w:val="en-US"/>
        </w:rPr>
        <w:t>Hurni</w:t>
      </w:r>
      <w:r w:rsidR="003454B4">
        <w:rPr>
          <w:rFonts w:ascii="Arial" w:hAnsi="Arial" w:cs="Arial"/>
          <w:sz w:val="20"/>
          <w:szCs w:val="20"/>
          <w:lang w:val="en-US"/>
        </w:rPr>
        <w:t xml:space="preserve"> K</w:t>
      </w:r>
      <w:r w:rsidRPr="00563FB7">
        <w:rPr>
          <w:rFonts w:ascii="Arial" w:hAnsi="Arial" w:cs="Arial"/>
          <w:sz w:val="20"/>
          <w:szCs w:val="20"/>
          <w:lang w:val="en-US"/>
        </w:rPr>
        <w:t>, Fox</w:t>
      </w:r>
      <w:r w:rsidR="003454B4">
        <w:rPr>
          <w:rFonts w:ascii="Arial" w:hAnsi="Arial" w:cs="Arial"/>
          <w:sz w:val="20"/>
          <w:szCs w:val="20"/>
          <w:lang w:val="en-US"/>
        </w:rPr>
        <w:t xml:space="preserve"> J</w:t>
      </w:r>
      <w:r w:rsidRPr="00563FB7">
        <w:rPr>
          <w:rFonts w:ascii="Arial" w:hAnsi="Arial" w:cs="Arial"/>
          <w:sz w:val="20"/>
          <w:szCs w:val="20"/>
          <w:lang w:val="en-US"/>
        </w:rPr>
        <w:t>, Van Den Hoek</w:t>
      </w:r>
      <w:r w:rsidR="003454B4">
        <w:rPr>
          <w:rFonts w:ascii="Arial" w:hAnsi="Arial" w:cs="Arial"/>
          <w:sz w:val="20"/>
          <w:szCs w:val="20"/>
          <w:lang w:val="en-US"/>
        </w:rPr>
        <w:t xml:space="preserve"> </w:t>
      </w:r>
      <w:proofErr w:type="gramStart"/>
      <w:r w:rsidR="003454B4">
        <w:rPr>
          <w:rFonts w:ascii="Arial" w:hAnsi="Arial" w:cs="Arial"/>
          <w:sz w:val="20"/>
          <w:szCs w:val="20"/>
          <w:lang w:val="en-US"/>
        </w:rPr>
        <w:t xml:space="preserve">J. </w:t>
      </w:r>
      <w:r w:rsidRPr="00563FB7">
        <w:rPr>
          <w:rFonts w:ascii="Arial" w:hAnsi="Arial" w:cs="Arial"/>
          <w:sz w:val="20"/>
          <w:szCs w:val="20"/>
          <w:lang w:val="en-US"/>
        </w:rPr>
        <w:t>Community forest</w:t>
      </w:r>
      <w:proofErr w:type="gramEnd"/>
      <w:r w:rsidRPr="00563FB7">
        <w:rPr>
          <w:rFonts w:ascii="Arial" w:hAnsi="Arial" w:cs="Arial"/>
          <w:sz w:val="20"/>
          <w:szCs w:val="20"/>
          <w:lang w:val="en-US"/>
        </w:rPr>
        <w:t xml:space="preserve"> management led to rapid local forest gain in Nepal: A 29-year mixed methods retrospective case study</w:t>
      </w:r>
      <w:r w:rsidR="005B6697">
        <w:rPr>
          <w:rFonts w:ascii="Arial" w:hAnsi="Arial" w:cs="Arial"/>
          <w:sz w:val="20"/>
          <w:szCs w:val="20"/>
          <w:lang w:val="en-US"/>
        </w:rPr>
        <w:t xml:space="preserve">. </w:t>
      </w:r>
      <w:r w:rsidRPr="00563FB7">
        <w:rPr>
          <w:rFonts w:ascii="Arial" w:hAnsi="Arial" w:cs="Arial"/>
          <w:sz w:val="20"/>
          <w:szCs w:val="20"/>
          <w:lang w:val="en-US"/>
        </w:rPr>
        <w:t>Land Use Policy</w:t>
      </w:r>
      <w:r w:rsidR="005B6697">
        <w:rPr>
          <w:rFonts w:ascii="Arial" w:hAnsi="Arial" w:cs="Arial"/>
          <w:sz w:val="20"/>
          <w:szCs w:val="20"/>
          <w:lang w:val="en-US"/>
        </w:rPr>
        <w:t>.</w:t>
      </w:r>
      <w:r w:rsidR="003454B4">
        <w:rPr>
          <w:rFonts w:ascii="Arial" w:hAnsi="Arial" w:cs="Arial"/>
          <w:sz w:val="20"/>
          <w:szCs w:val="20"/>
          <w:lang w:val="en-US"/>
        </w:rPr>
        <w:t xml:space="preserve"> 2023; </w:t>
      </w:r>
      <w:r w:rsidR="003454B4" w:rsidRPr="00563FB7">
        <w:rPr>
          <w:rFonts w:ascii="Arial" w:hAnsi="Arial" w:cs="Arial"/>
          <w:sz w:val="20"/>
          <w:szCs w:val="20"/>
          <w:lang w:val="en-US"/>
        </w:rPr>
        <w:t>126</w:t>
      </w:r>
      <w:r w:rsidR="003454B4">
        <w:rPr>
          <w:rFonts w:ascii="Arial" w:hAnsi="Arial" w:cs="Arial"/>
          <w:sz w:val="20"/>
          <w:szCs w:val="20"/>
          <w:lang w:val="en-US"/>
        </w:rPr>
        <w:t>.</w:t>
      </w:r>
      <w:r w:rsidRPr="00563FB7">
        <w:rPr>
          <w:rFonts w:ascii="Arial" w:hAnsi="Arial" w:cs="Arial"/>
          <w:sz w:val="20"/>
          <w:szCs w:val="20"/>
          <w:lang w:val="en-US"/>
        </w:rPr>
        <w:t xml:space="preserve"> </w:t>
      </w:r>
      <w:hyperlink r:id="rId18" w:history="1">
        <w:r w:rsidR="00AC67E9" w:rsidRPr="00563FB7">
          <w:rPr>
            <w:rStyle w:val="Hyperlink"/>
            <w:rFonts w:ascii="Arial" w:hAnsi="Arial" w:cs="Arial"/>
            <w:sz w:val="20"/>
            <w:szCs w:val="20"/>
            <w:lang w:val="en-US"/>
          </w:rPr>
          <w:t>https://doi.org/10.1016/j.landusepol.2022.106526</w:t>
        </w:r>
      </w:hyperlink>
    </w:p>
    <w:p w14:paraId="3A84D5D3" w14:textId="3B0B4A4C" w:rsidR="0095494B" w:rsidRPr="00563FB7" w:rsidRDefault="003454B4" w:rsidP="00BA086A">
      <w:pPr>
        <w:pStyle w:val="ListParagraph"/>
        <w:numPr>
          <w:ilvl w:val="0"/>
          <w:numId w:val="3"/>
        </w:numPr>
        <w:spacing w:line="240" w:lineRule="auto"/>
        <w:jc w:val="both"/>
        <w:rPr>
          <w:rFonts w:ascii="Arial" w:hAnsi="Arial" w:cs="Arial"/>
          <w:sz w:val="20"/>
          <w:szCs w:val="20"/>
          <w:lang w:val="en-US"/>
        </w:rPr>
      </w:pPr>
      <w:proofErr w:type="spellStart"/>
      <w:r w:rsidRPr="00563FB7">
        <w:rPr>
          <w:rFonts w:ascii="Arial" w:hAnsi="Arial" w:cs="Arial"/>
          <w:sz w:val="20"/>
          <w:szCs w:val="20"/>
          <w:lang w:val="en-US"/>
        </w:rPr>
        <w:t>Tucho</w:t>
      </w:r>
      <w:proofErr w:type="spellEnd"/>
      <w:r>
        <w:rPr>
          <w:rFonts w:ascii="Arial" w:hAnsi="Arial" w:cs="Arial"/>
          <w:sz w:val="20"/>
          <w:szCs w:val="20"/>
          <w:lang w:val="en-US"/>
        </w:rPr>
        <w:t xml:space="preserve"> </w:t>
      </w:r>
      <w:r w:rsidRPr="00563FB7">
        <w:rPr>
          <w:rFonts w:ascii="Arial" w:hAnsi="Arial" w:cs="Arial"/>
          <w:sz w:val="20"/>
          <w:szCs w:val="20"/>
          <w:lang w:val="en-US"/>
        </w:rPr>
        <w:t>GT</w:t>
      </w:r>
      <w:r w:rsidR="00417AFB" w:rsidRPr="00563FB7">
        <w:rPr>
          <w:rFonts w:ascii="Arial" w:hAnsi="Arial" w:cs="Arial"/>
          <w:sz w:val="20"/>
          <w:szCs w:val="20"/>
          <w:lang w:val="en-US"/>
        </w:rPr>
        <w:t xml:space="preserve">, </w:t>
      </w:r>
      <w:proofErr w:type="spellStart"/>
      <w:r w:rsidR="00417AFB" w:rsidRPr="00563FB7">
        <w:rPr>
          <w:rFonts w:ascii="Arial" w:hAnsi="Arial" w:cs="Arial"/>
          <w:sz w:val="20"/>
          <w:szCs w:val="20"/>
          <w:lang w:val="en-US"/>
        </w:rPr>
        <w:t>Nonhebel</w:t>
      </w:r>
      <w:proofErr w:type="spellEnd"/>
      <w:r w:rsidR="00417AFB" w:rsidRPr="00563FB7">
        <w:rPr>
          <w:rFonts w:ascii="Arial" w:hAnsi="Arial" w:cs="Arial"/>
          <w:sz w:val="20"/>
          <w:szCs w:val="20"/>
          <w:lang w:val="en-US"/>
        </w:rPr>
        <w:t xml:space="preserve"> S. Alternative energy supply system to a rural village in Ethiopia. </w:t>
      </w:r>
      <w:proofErr w:type="spellStart"/>
      <w:r w:rsidR="00417AFB" w:rsidRPr="00563FB7">
        <w:rPr>
          <w:rFonts w:ascii="Arial" w:hAnsi="Arial" w:cs="Arial"/>
          <w:sz w:val="20"/>
          <w:szCs w:val="20"/>
          <w:lang w:val="en-US"/>
        </w:rPr>
        <w:t>Energ</w:t>
      </w:r>
      <w:proofErr w:type="spellEnd"/>
      <w:r w:rsidR="00417AFB" w:rsidRPr="00563FB7">
        <w:rPr>
          <w:rFonts w:ascii="Arial" w:hAnsi="Arial" w:cs="Arial"/>
          <w:sz w:val="20"/>
          <w:szCs w:val="20"/>
          <w:lang w:val="en-US"/>
        </w:rPr>
        <w:t xml:space="preserve"> Sustain Soc</w:t>
      </w:r>
      <w:r>
        <w:rPr>
          <w:rFonts w:ascii="Arial" w:hAnsi="Arial" w:cs="Arial"/>
          <w:sz w:val="20"/>
          <w:szCs w:val="20"/>
          <w:lang w:val="en-US"/>
        </w:rPr>
        <w:t>. 2017;</w:t>
      </w:r>
      <w:r w:rsidR="00417AFB" w:rsidRPr="00563FB7">
        <w:rPr>
          <w:rFonts w:ascii="Arial" w:hAnsi="Arial" w:cs="Arial"/>
          <w:sz w:val="20"/>
          <w:szCs w:val="20"/>
          <w:lang w:val="en-US"/>
        </w:rPr>
        <w:t>33</w:t>
      </w:r>
      <w:r>
        <w:rPr>
          <w:rFonts w:ascii="Arial" w:hAnsi="Arial" w:cs="Arial"/>
          <w:sz w:val="20"/>
          <w:szCs w:val="20"/>
          <w:lang w:val="en-US"/>
        </w:rPr>
        <w:t>.</w:t>
      </w:r>
      <w:r w:rsidR="00417AFB" w:rsidRPr="00563FB7">
        <w:rPr>
          <w:rFonts w:ascii="Arial" w:hAnsi="Arial" w:cs="Arial"/>
          <w:sz w:val="20"/>
          <w:szCs w:val="20"/>
          <w:lang w:val="en-US"/>
        </w:rPr>
        <w:t xml:space="preserve"> </w:t>
      </w:r>
      <w:hyperlink r:id="rId19" w:history="1">
        <w:r w:rsidR="00AC67E9" w:rsidRPr="00563FB7">
          <w:rPr>
            <w:rStyle w:val="Hyperlink"/>
            <w:rFonts w:ascii="Arial" w:hAnsi="Arial" w:cs="Arial"/>
            <w:sz w:val="20"/>
            <w:szCs w:val="20"/>
            <w:lang w:val="en-US"/>
          </w:rPr>
          <w:t>https://doi.org/10.1186/s13705-017-0136-x</w:t>
        </w:r>
      </w:hyperlink>
    </w:p>
    <w:p w14:paraId="500BDB52" w14:textId="0CA6C4E0" w:rsidR="00D947FA" w:rsidRPr="00563FB7" w:rsidRDefault="003454B4" w:rsidP="00BA086A">
      <w:pPr>
        <w:pStyle w:val="ListParagraph"/>
        <w:numPr>
          <w:ilvl w:val="0"/>
          <w:numId w:val="3"/>
        </w:numPr>
        <w:spacing w:line="240" w:lineRule="auto"/>
        <w:jc w:val="both"/>
        <w:rPr>
          <w:rFonts w:ascii="Arial" w:hAnsi="Arial" w:cs="Arial"/>
          <w:sz w:val="20"/>
          <w:szCs w:val="20"/>
          <w:lang w:val="en-US"/>
        </w:rPr>
      </w:pPr>
      <w:proofErr w:type="spellStart"/>
      <w:r w:rsidRPr="00563FB7">
        <w:rPr>
          <w:rFonts w:ascii="Arial" w:hAnsi="Arial" w:cs="Arial"/>
          <w:sz w:val="20"/>
          <w:szCs w:val="20"/>
          <w:lang w:val="en-US"/>
        </w:rPr>
        <w:lastRenderedPageBreak/>
        <w:t>Ngonyani</w:t>
      </w:r>
      <w:proofErr w:type="spellEnd"/>
      <w:r>
        <w:rPr>
          <w:rFonts w:ascii="Arial" w:hAnsi="Arial" w:cs="Arial"/>
          <w:sz w:val="20"/>
          <w:szCs w:val="20"/>
          <w:lang w:val="en-US"/>
        </w:rPr>
        <w:t xml:space="preserve"> H,</w:t>
      </w:r>
      <w:r w:rsidR="00812B29" w:rsidRPr="00563FB7">
        <w:rPr>
          <w:rFonts w:ascii="Arial" w:hAnsi="Arial" w:cs="Arial"/>
          <w:sz w:val="20"/>
          <w:szCs w:val="20"/>
          <w:lang w:val="en-US"/>
        </w:rPr>
        <w:t xml:space="preserve"> Mourad KA. Role of Water User Associations on the Restoration of the Ecosystem in Tanzania. Water</w:t>
      </w:r>
      <w:r>
        <w:rPr>
          <w:rFonts w:ascii="Arial" w:hAnsi="Arial" w:cs="Arial"/>
          <w:sz w:val="20"/>
          <w:szCs w:val="20"/>
          <w:lang w:val="en-US"/>
        </w:rPr>
        <w:t xml:space="preserve">. </w:t>
      </w:r>
      <w:r w:rsidRPr="003454B4">
        <w:rPr>
          <w:rFonts w:ascii="Arial" w:hAnsi="Arial" w:cs="Arial"/>
          <w:sz w:val="20"/>
          <w:szCs w:val="20"/>
          <w:lang w:val="en-US"/>
        </w:rPr>
        <w:t>2019</w:t>
      </w:r>
      <w:r>
        <w:rPr>
          <w:rFonts w:ascii="Arial" w:hAnsi="Arial" w:cs="Arial"/>
          <w:sz w:val="20"/>
          <w:szCs w:val="20"/>
          <w:lang w:val="en-US"/>
        </w:rPr>
        <w:t>;</w:t>
      </w:r>
      <w:r w:rsidR="00812B29" w:rsidRPr="00563FB7">
        <w:rPr>
          <w:rFonts w:ascii="Arial" w:hAnsi="Arial" w:cs="Arial"/>
          <w:sz w:val="20"/>
          <w:szCs w:val="20"/>
          <w:lang w:val="en-US"/>
        </w:rPr>
        <w:t>11</w:t>
      </w:r>
      <w:r>
        <w:rPr>
          <w:rFonts w:ascii="Arial" w:hAnsi="Arial" w:cs="Arial"/>
          <w:sz w:val="20"/>
          <w:szCs w:val="20"/>
          <w:lang w:val="en-US"/>
        </w:rPr>
        <w:t xml:space="preserve"> (</w:t>
      </w:r>
      <w:r w:rsidR="00812B29" w:rsidRPr="00563FB7">
        <w:rPr>
          <w:rFonts w:ascii="Arial" w:hAnsi="Arial" w:cs="Arial"/>
          <w:sz w:val="20"/>
          <w:szCs w:val="20"/>
          <w:lang w:val="en-US"/>
        </w:rPr>
        <w:t>141</w:t>
      </w:r>
      <w:r>
        <w:rPr>
          <w:rFonts w:ascii="Arial" w:hAnsi="Arial" w:cs="Arial"/>
          <w:sz w:val="20"/>
          <w:szCs w:val="20"/>
          <w:lang w:val="en-US"/>
        </w:rPr>
        <w:t>).</w:t>
      </w:r>
      <w:r w:rsidR="00812B29" w:rsidRPr="00563FB7">
        <w:rPr>
          <w:rFonts w:ascii="Arial" w:hAnsi="Arial" w:cs="Arial"/>
          <w:sz w:val="20"/>
          <w:szCs w:val="20"/>
          <w:lang w:val="en-US"/>
        </w:rPr>
        <w:t xml:space="preserve"> doi:10.3390/w11010141. </w:t>
      </w:r>
      <w:hyperlink r:id="rId20" w:history="1">
        <w:r w:rsidR="002D4502" w:rsidRPr="00563FB7">
          <w:rPr>
            <w:rStyle w:val="Hyperlink"/>
            <w:rFonts w:ascii="Arial" w:hAnsi="Arial" w:cs="Arial"/>
            <w:sz w:val="20"/>
            <w:szCs w:val="20"/>
            <w:lang w:val="en-US"/>
          </w:rPr>
          <w:t>www.mdpi.com/journal/water</w:t>
        </w:r>
      </w:hyperlink>
    </w:p>
    <w:p w14:paraId="67131BB4" w14:textId="56BE8717" w:rsidR="0095494B" w:rsidRPr="00563FB7" w:rsidRDefault="00AA5BAD"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rPr>
        <w:t>U</w:t>
      </w:r>
      <w:r w:rsidR="003454B4">
        <w:rPr>
          <w:rFonts w:ascii="Arial" w:hAnsi="Arial" w:cs="Arial"/>
          <w:sz w:val="20"/>
          <w:szCs w:val="20"/>
        </w:rPr>
        <w:t xml:space="preserve">nited </w:t>
      </w:r>
      <w:r w:rsidRPr="00563FB7">
        <w:rPr>
          <w:rFonts w:ascii="Arial" w:hAnsi="Arial" w:cs="Arial"/>
          <w:sz w:val="20"/>
          <w:szCs w:val="20"/>
        </w:rPr>
        <w:t>R</w:t>
      </w:r>
      <w:r w:rsidR="003454B4">
        <w:rPr>
          <w:rFonts w:ascii="Arial" w:hAnsi="Arial" w:cs="Arial"/>
          <w:sz w:val="20"/>
          <w:szCs w:val="20"/>
        </w:rPr>
        <w:t xml:space="preserve">epublic of </w:t>
      </w:r>
      <w:r w:rsidRPr="00563FB7">
        <w:rPr>
          <w:rFonts w:ascii="Arial" w:hAnsi="Arial" w:cs="Arial"/>
          <w:sz w:val="20"/>
          <w:szCs w:val="20"/>
        </w:rPr>
        <w:t>T</w:t>
      </w:r>
      <w:r w:rsidR="003454B4">
        <w:rPr>
          <w:rFonts w:ascii="Arial" w:hAnsi="Arial" w:cs="Arial"/>
          <w:sz w:val="20"/>
          <w:szCs w:val="20"/>
        </w:rPr>
        <w:t>anzania</w:t>
      </w:r>
      <w:r w:rsidR="00644061">
        <w:rPr>
          <w:rFonts w:ascii="Arial" w:hAnsi="Arial" w:cs="Arial"/>
          <w:sz w:val="20"/>
          <w:szCs w:val="20"/>
        </w:rPr>
        <w:t xml:space="preserve"> (URT). </w:t>
      </w:r>
      <w:r w:rsidRPr="00563FB7">
        <w:rPr>
          <w:rFonts w:ascii="Arial" w:hAnsi="Arial" w:cs="Arial"/>
          <w:sz w:val="20"/>
          <w:szCs w:val="20"/>
        </w:rPr>
        <w:t xml:space="preserve">National </w:t>
      </w:r>
      <w:r w:rsidR="00644061" w:rsidRPr="00563FB7">
        <w:rPr>
          <w:rFonts w:ascii="Arial" w:hAnsi="Arial" w:cs="Arial"/>
          <w:sz w:val="20"/>
          <w:szCs w:val="20"/>
        </w:rPr>
        <w:t xml:space="preserve">water policy of </w:t>
      </w:r>
      <w:r w:rsidRPr="00563FB7">
        <w:rPr>
          <w:rFonts w:ascii="Arial" w:hAnsi="Arial" w:cs="Arial"/>
          <w:sz w:val="20"/>
          <w:szCs w:val="20"/>
        </w:rPr>
        <w:t>2002. Ministry of Water and Livestock Development.</w:t>
      </w:r>
      <w:r w:rsidR="00644061" w:rsidRPr="00644061">
        <w:t xml:space="preserve"> </w:t>
      </w:r>
      <w:r w:rsidR="00644061" w:rsidRPr="00644061">
        <w:rPr>
          <w:rFonts w:ascii="Arial" w:hAnsi="Arial" w:cs="Arial"/>
          <w:sz w:val="20"/>
          <w:szCs w:val="20"/>
        </w:rPr>
        <w:t>2002.</w:t>
      </w:r>
    </w:p>
    <w:p w14:paraId="23839842" w14:textId="6305927D" w:rsidR="00D947FA" w:rsidRPr="00563FB7" w:rsidRDefault="00417AFB" w:rsidP="00BA086A">
      <w:pPr>
        <w:pStyle w:val="ListParagraph"/>
        <w:numPr>
          <w:ilvl w:val="0"/>
          <w:numId w:val="3"/>
        </w:numPr>
        <w:spacing w:line="240" w:lineRule="auto"/>
        <w:jc w:val="both"/>
        <w:rPr>
          <w:rFonts w:ascii="Arial" w:hAnsi="Arial" w:cs="Arial"/>
          <w:sz w:val="20"/>
          <w:szCs w:val="20"/>
          <w:lang w:val="en-US"/>
        </w:rPr>
      </w:pPr>
      <w:r w:rsidRPr="00563FB7">
        <w:rPr>
          <w:rFonts w:ascii="Arial" w:hAnsi="Arial" w:cs="Arial"/>
          <w:sz w:val="20"/>
          <w:szCs w:val="20"/>
          <w:lang w:val="en-US"/>
        </w:rPr>
        <w:t>Friedman</w:t>
      </w:r>
      <w:r w:rsidR="00644061">
        <w:rPr>
          <w:rFonts w:ascii="Arial" w:hAnsi="Arial" w:cs="Arial"/>
          <w:sz w:val="20"/>
          <w:szCs w:val="20"/>
          <w:lang w:val="en-US"/>
        </w:rPr>
        <w:t xml:space="preserve"> RS</w:t>
      </w:r>
      <w:r w:rsidRPr="00563FB7">
        <w:rPr>
          <w:rFonts w:ascii="Arial" w:hAnsi="Arial" w:cs="Arial"/>
          <w:sz w:val="20"/>
          <w:szCs w:val="20"/>
          <w:lang w:val="en-US"/>
        </w:rPr>
        <w:t>, Guerrero</w:t>
      </w:r>
      <w:r w:rsidR="00644061">
        <w:rPr>
          <w:rFonts w:ascii="Arial" w:hAnsi="Arial" w:cs="Arial"/>
          <w:sz w:val="20"/>
          <w:szCs w:val="20"/>
          <w:lang w:val="en-US"/>
        </w:rPr>
        <w:t xml:space="preserve"> AM</w:t>
      </w:r>
      <w:r w:rsidRPr="00563FB7">
        <w:rPr>
          <w:rFonts w:ascii="Arial" w:hAnsi="Arial" w:cs="Arial"/>
          <w:sz w:val="20"/>
          <w:szCs w:val="20"/>
          <w:lang w:val="en-US"/>
        </w:rPr>
        <w:t>, McAllister</w:t>
      </w:r>
      <w:r w:rsidR="00644061">
        <w:rPr>
          <w:rFonts w:ascii="Arial" w:hAnsi="Arial" w:cs="Arial"/>
          <w:sz w:val="20"/>
          <w:szCs w:val="20"/>
          <w:lang w:val="en-US"/>
        </w:rPr>
        <w:t xml:space="preserve"> RRJ</w:t>
      </w:r>
      <w:r w:rsidRPr="00563FB7">
        <w:rPr>
          <w:rFonts w:ascii="Arial" w:hAnsi="Arial" w:cs="Arial"/>
          <w:sz w:val="20"/>
          <w:szCs w:val="20"/>
          <w:lang w:val="en-US"/>
        </w:rPr>
        <w:t>, Rhodes</w:t>
      </w:r>
      <w:r w:rsidR="00644061">
        <w:rPr>
          <w:rFonts w:ascii="Arial" w:hAnsi="Arial" w:cs="Arial"/>
          <w:sz w:val="20"/>
          <w:szCs w:val="20"/>
          <w:lang w:val="en-US"/>
        </w:rPr>
        <w:t xml:space="preserve"> JR</w:t>
      </w:r>
      <w:r w:rsidRPr="00563FB7">
        <w:rPr>
          <w:rFonts w:ascii="Arial" w:hAnsi="Arial" w:cs="Arial"/>
          <w:sz w:val="20"/>
          <w:szCs w:val="20"/>
          <w:lang w:val="en-US"/>
        </w:rPr>
        <w:t>, Santika</w:t>
      </w:r>
      <w:r w:rsidR="00644061">
        <w:rPr>
          <w:rFonts w:ascii="Arial" w:hAnsi="Arial" w:cs="Arial"/>
          <w:sz w:val="20"/>
          <w:szCs w:val="20"/>
          <w:lang w:val="en-US"/>
        </w:rPr>
        <w:t xml:space="preserve"> T</w:t>
      </w:r>
      <w:r w:rsidRPr="00563FB7">
        <w:rPr>
          <w:rFonts w:ascii="Arial" w:hAnsi="Arial" w:cs="Arial"/>
          <w:sz w:val="20"/>
          <w:szCs w:val="20"/>
          <w:lang w:val="en-US"/>
        </w:rPr>
        <w:t>,</w:t>
      </w:r>
      <w:r w:rsidR="00644061">
        <w:rPr>
          <w:rFonts w:ascii="Arial" w:hAnsi="Arial" w:cs="Arial"/>
          <w:sz w:val="20"/>
          <w:szCs w:val="20"/>
          <w:lang w:val="en-US"/>
        </w:rPr>
        <w:t xml:space="preserve"> </w:t>
      </w:r>
      <w:proofErr w:type="spellStart"/>
      <w:r w:rsidRPr="00563FB7">
        <w:rPr>
          <w:rFonts w:ascii="Arial" w:hAnsi="Arial" w:cs="Arial"/>
          <w:sz w:val="20"/>
          <w:szCs w:val="20"/>
          <w:lang w:val="en-US"/>
        </w:rPr>
        <w:t>Budiharta</w:t>
      </w:r>
      <w:proofErr w:type="spellEnd"/>
      <w:r w:rsidR="00644061">
        <w:rPr>
          <w:rFonts w:ascii="Arial" w:hAnsi="Arial" w:cs="Arial"/>
          <w:sz w:val="20"/>
          <w:szCs w:val="20"/>
          <w:lang w:val="en-US"/>
        </w:rPr>
        <w:t xml:space="preserve"> S.</w:t>
      </w:r>
      <w:r w:rsidRPr="00563FB7">
        <w:rPr>
          <w:rFonts w:ascii="Arial" w:hAnsi="Arial" w:cs="Arial"/>
          <w:sz w:val="20"/>
          <w:szCs w:val="20"/>
          <w:lang w:val="en-US"/>
        </w:rPr>
        <w:t xml:space="preserve"> Beyond the community in participatory forest management: A governance network perspective</w:t>
      </w:r>
      <w:r w:rsidR="00644061">
        <w:rPr>
          <w:rFonts w:ascii="Arial" w:hAnsi="Arial" w:cs="Arial"/>
          <w:sz w:val="20"/>
          <w:szCs w:val="20"/>
          <w:lang w:val="en-US"/>
        </w:rPr>
        <w:t>.</w:t>
      </w:r>
      <w:r w:rsidRPr="00563FB7">
        <w:rPr>
          <w:rFonts w:ascii="Arial" w:hAnsi="Arial" w:cs="Arial"/>
          <w:sz w:val="20"/>
          <w:szCs w:val="20"/>
          <w:lang w:val="en-US"/>
        </w:rPr>
        <w:t xml:space="preserve"> Land Use Policy</w:t>
      </w:r>
      <w:r w:rsidR="00644061">
        <w:rPr>
          <w:rFonts w:ascii="Arial" w:hAnsi="Arial" w:cs="Arial"/>
          <w:sz w:val="20"/>
          <w:szCs w:val="20"/>
          <w:lang w:val="en-US"/>
        </w:rPr>
        <w:t xml:space="preserve">. 2020; </w:t>
      </w:r>
      <w:r w:rsidRPr="00563FB7">
        <w:rPr>
          <w:rFonts w:ascii="Arial" w:hAnsi="Arial" w:cs="Arial"/>
          <w:sz w:val="20"/>
          <w:szCs w:val="20"/>
          <w:lang w:val="en-US"/>
        </w:rPr>
        <w:t>97</w:t>
      </w:r>
      <w:r w:rsidR="00644061">
        <w:rPr>
          <w:rFonts w:ascii="Arial" w:hAnsi="Arial" w:cs="Arial"/>
          <w:sz w:val="20"/>
          <w:szCs w:val="20"/>
          <w:lang w:val="en-US"/>
        </w:rPr>
        <w:t>.</w:t>
      </w:r>
      <w:r w:rsidRPr="00563FB7">
        <w:rPr>
          <w:rFonts w:ascii="Arial" w:hAnsi="Arial" w:cs="Arial"/>
          <w:sz w:val="20"/>
          <w:szCs w:val="20"/>
          <w:lang w:val="en-US"/>
        </w:rPr>
        <w:t xml:space="preserve"> </w:t>
      </w:r>
      <w:hyperlink r:id="rId21" w:history="1">
        <w:r w:rsidR="002D4502" w:rsidRPr="00563FB7">
          <w:rPr>
            <w:rStyle w:val="Hyperlink"/>
            <w:rFonts w:ascii="Arial" w:hAnsi="Arial" w:cs="Arial"/>
            <w:sz w:val="20"/>
            <w:szCs w:val="20"/>
            <w:lang w:val="en-US"/>
          </w:rPr>
          <w:t>https://doi.org/10.1016/j.landusepol.2020.104738</w:t>
        </w:r>
      </w:hyperlink>
      <w:r w:rsidRPr="00563FB7">
        <w:rPr>
          <w:rFonts w:ascii="Arial" w:hAnsi="Arial" w:cs="Arial"/>
          <w:sz w:val="20"/>
          <w:szCs w:val="20"/>
          <w:lang w:val="en-US"/>
        </w:rPr>
        <w:t>.</w:t>
      </w:r>
    </w:p>
    <w:p w14:paraId="1E4994C3" w14:textId="6DAF35E0" w:rsidR="001174A1" w:rsidRPr="00693AB7" w:rsidRDefault="00417AFB" w:rsidP="002F25DC">
      <w:pPr>
        <w:pStyle w:val="ListParagraph"/>
        <w:numPr>
          <w:ilvl w:val="0"/>
          <w:numId w:val="3"/>
        </w:numPr>
        <w:spacing w:line="240" w:lineRule="auto"/>
        <w:jc w:val="both"/>
        <w:rPr>
          <w:rFonts w:ascii="Arial" w:hAnsi="Arial" w:cs="Arial"/>
          <w:sz w:val="20"/>
          <w:szCs w:val="20"/>
          <w:lang w:val="en-US"/>
        </w:rPr>
      </w:pPr>
      <w:r w:rsidRPr="00644061">
        <w:rPr>
          <w:rFonts w:ascii="Arial" w:hAnsi="Arial" w:cs="Arial"/>
          <w:sz w:val="20"/>
          <w:szCs w:val="20"/>
          <w:lang w:val="en-US"/>
        </w:rPr>
        <w:t>Luz</w:t>
      </w:r>
      <w:r w:rsidR="00644061" w:rsidRPr="00644061">
        <w:rPr>
          <w:rFonts w:ascii="Arial" w:hAnsi="Arial" w:cs="Arial"/>
          <w:sz w:val="20"/>
          <w:szCs w:val="20"/>
          <w:lang w:val="en-US"/>
        </w:rPr>
        <w:t xml:space="preserve"> </w:t>
      </w:r>
      <w:r w:rsidRPr="00644061">
        <w:rPr>
          <w:rFonts w:ascii="Arial" w:hAnsi="Arial" w:cs="Arial"/>
          <w:sz w:val="20"/>
          <w:szCs w:val="20"/>
          <w:lang w:val="en-US"/>
        </w:rPr>
        <w:t>AC, Ruiz-</w:t>
      </w:r>
      <w:proofErr w:type="spellStart"/>
      <w:r w:rsidRPr="00644061">
        <w:rPr>
          <w:rFonts w:ascii="Arial" w:hAnsi="Arial" w:cs="Arial"/>
          <w:sz w:val="20"/>
          <w:szCs w:val="20"/>
          <w:lang w:val="en-US"/>
        </w:rPr>
        <w:t>Mallén</w:t>
      </w:r>
      <w:proofErr w:type="spellEnd"/>
      <w:r w:rsidRPr="00644061">
        <w:rPr>
          <w:rFonts w:ascii="Arial" w:hAnsi="Arial" w:cs="Arial"/>
          <w:sz w:val="20"/>
          <w:szCs w:val="20"/>
          <w:lang w:val="en-US"/>
        </w:rPr>
        <w:t xml:space="preserve"> I. Community-Based Management and Research to Forest Conservation. In: Filho W</w:t>
      </w:r>
      <w:r w:rsidR="00644061" w:rsidRPr="00644061">
        <w:rPr>
          <w:rFonts w:ascii="Arial" w:hAnsi="Arial" w:cs="Arial"/>
          <w:sz w:val="20"/>
          <w:szCs w:val="20"/>
          <w:lang w:val="en-US"/>
        </w:rPr>
        <w:t>L</w:t>
      </w:r>
      <w:r w:rsidRPr="00644061">
        <w:rPr>
          <w:rFonts w:ascii="Arial" w:hAnsi="Arial" w:cs="Arial"/>
          <w:sz w:val="20"/>
          <w:szCs w:val="20"/>
          <w:lang w:val="en-US"/>
        </w:rPr>
        <w:t>, Azul A, Brandli L, Lange Salvia A, Wall T. (eds)</w:t>
      </w:r>
      <w:r w:rsidR="00644061" w:rsidRPr="00644061">
        <w:rPr>
          <w:rFonts w:ascii="Arial" w:hAnsi="Arial" w:cs="Arial"/>
          <w:sz w:val="20"/>
          <w:szCs w:val="20"/>
          <w:lang w:val="en-US"/>
        </w:rPr>
        <w:t>.</w:t>
      </w:r>
      <w:r w:rsidRPr="00644061">
        <w:rPr>
          <w:rFonts w:ascii="Arial" w:hAnsi="Arial" w:cs="Arial"/>
          <w:sz w:val="20"/>
          <w:szCs w:val="20"/>
          <w:lang w:val="en-US"/>
        </w:rPr>
        <w:t xml:space="preserve"> Life </w:t>
      </w:r>
      <w:r w:rsidR="00644061" w:rsidRPr="00644061">
        <w:rPr>
          <w:rFonts w:ascii="Arial" w:hAnsi="Arial" w:cs="Arial"/>
          <w:sz w:val="20"/>
          <w:szCs w:val="20"/>
          <w:lang w:val="en-US"/>
        </w:rPr>
        <w:t>on land</w:t>
      </w:r>
      <w:r w:rsidRPr="00644061">
        <w:rPr>
          <w:rFonts w:ascii="Arial" w:hAnsi="Arial" w:cs="Arial"/>
          <w:sz w:val="20"/>
          <w:szCs w:val="20"/>
          <w:lang w:val="en-US"/>
        </w:rPr>
        <w:t xml:space="preserve">. Encyclopedia of the UN Sustainable Development Goals. Springer, Cham. </w:t>
      </w:r>
      <w:r w:rsidR="00644061" w:rsidRPr="00644061">
        <w:rPr>
          <w:rFonts w:ascii="Arial" w:hAnsi="Arial" w:cs="Arial"/>
          <w:sz w:val="20"/>
          <w:szCs w:val="20"/>
          <w:lang w:val="en-US"/>
        </w:rPr>
        <w:t xml:space="preserve">2020. </w:t>
      </w:r>
      <w:r w:rsidRPr="00644061">
        <w:rPr>
          <w:rFonts w:ascii="Arial" w:hAnsi="Arial" w:cs="Arial"/>
          <w:sz w:val="20"/>
          <w:szCs w:val="20"/>
          <w:lang w:val="en-US"/>
        </w:rPr>
        <w:t>https://doi.org/10.1007/978-3-319-71065-5_133-</w:t>
      </w:r>
      <w:r w:rsidR="00693AB7" w:rsidRPr="00644061">
        <w:rPr>
          <w:rFonts w:ascii="Arial" w:hAnsi="Arial" w:cs="Arial"/>
          <w:sz w:val="20"/>
          <w:szCs w:val="20"/>
          <w:lang w:val="en-US"/>
        </w:rPr>
        <w:t>1.</w:t>
      </w:r>
    </w:p>
    <w:sectPr w:rsidR="001174A1" w:rsidRPr="00693AB7">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BAC28" w14:textId="77777777" w:rsidR="00FE4455" w:rsidRDefault="00FE4455" w:rsidP="00630398">
      <w:pPr>
        <w:spacing w:after="0" w:line="240" w:lineRule="auto"/>
      </w:pPr>
      <w:r>
        <w:separator/>
      </w:r>
    </w:p>
  </w:endnote>
  <w:endnote w:type="continuationSeparator" w:id="0">
    <w:p w14:paraId="7EA26C1B" w14:textId="77777777" w:rsidR="00FE4455" w:rsidRDefault="00FE4455" w:rsidP="0063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685E4" w14:textId="77777777" w:rsidR="00630398" w:rsidRDefault="00630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99213" w14:textId="77777777" w:rsidR="00630398" w:rsidRDefault="00630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DF7A5" w14:textId="77777777" w:rsidR="00630398" w:rsidRDefault="00630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A9FD7" w14:textId="77777777" w:rsidR="00FE4455" w:rsidRDefault="00FE4455" w:rsidP="00630398">
      <w:pPr>
        <w:spacing w:after="0" w:line="240" w:lineRule="auto"/>
      </w:pPr>
      <w:r>
        <w:separator/>
      </w:r>
    </w:p>
  </w:footnote>
  <w:footnote w:type="continuationSeparator" w:id="0">
    <w:p w14:paraId="1C03DD69" w14:textId="77777777" w:rsidR="00FE4455" w:rsidRDefault="00FE4455" w:rsidP="00630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3E7D7" w14:textId="18969245" w:rsidR="00630398" w:rsidRDefault="00630398">
    <w:pPr>
      <w:pStyle w:val="Header"/>
    </w:pPr>
    <w:r>
      <w:rPr>
        <w:noProof/>
      </w:rPr>
      <w:pict w14:anchorId="3CB22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26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FD754" w14:textId="23EF1D27" w:rsidR="00630398" w:rsidRDefault="00630398">
    <w:pPr>
      <w:pStyle w:val="Header"/>
    </w:pPr>
    <w:r>
      <w:rPr>
        <w:noProof/>
      </w:rPr>
      <w:pict w14:anchorId="565F5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26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FC33D" w14:textId="51CE521F" w:rsidR="00630398" w:rsidRDefault="00630398">
    <w:pPr>
      <w:pStyle w:val="Header"/>
    </w:pPr>
    <w:r>
      <w:rPr>
        <w:noProof/>
      </w:rPr>
      <w:pict w14:anchorId="257D4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26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76E76"/>
    <w:multiLevelType w:val="multilevel"/>
    <w:tmpl w:val="72B289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D90260"/>
    <w:multiLevelType w:val="hybridMultilevel"/>
    <w:tmpl w:val="178A63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8B34569"/>
    <w:multiLevelType w:val="hybridMultilevel"/>
    <w:tmpl w:val="FB0235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367368">
    <w:abstractNumId w:val="0"/>
  </w:num>
  <w:num w:numId="2" w16cid:durableId="939487699">
    <w:abstractNumId w:val="1"/>
  </w:num>
  <w:num w:numId="3" w16cid:durableId="1201554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EC"/>
    <w:rsid w:val="000002DF"/>
    <w:rsid w:val="000012F6"/>
    <w:rsid w:val="000019A0"/>
    <w:rsid w:val="00001EC2"/>
    <w:rsid w:val="000061BA"/>
    <w:rsid w:val="00006C19"/>
    <w:rsid w:val="00015373"/>
    <w:rsid w:val="00016E6B"/>
    <w:rsid w:val="00023348"/>
    <w:rsid w:val="00027B7D"/>
    <w:rsid w:val="00027BE4"/>
    <w:rsid w:val="00030698"/>
    <w:rsid w:val="000331D8"/>
    <w:rsid w:val="0003337C"/>
    <w:rsid w:val="000336B1"/>
    <w:rsid w:val="0003619E"/>
    <w:rsid w:val="000373BC"/>
    <w:rsid w:val="00037ACB"/>
    <w:rsid w:val="00041C8F"/>
    <w:rsid w:val="0004312A"/>
    <w:rsid w:val="00044957"/>
    <w:rsid w:val="000453E1"/>
    <w:rsid w:val="00046E05"/>
    <w:rsid w:val="00052907"/>
    <w:rsid w:val="000544C4"/>
    <w:rsid w:val="000561F8"/>
    <w:rsid w:val="00057060"/>
    <w:rsid w:val="00062501"/>
    <w:rsid w:val="0006534B"/>
    <w:rsid w:val="00067BCF"/>
    <w:rsid w:val="00070F3B"/>
    <w:rsid w:val="000718B7"/>
    <w:rsid w:val="00073870"/>
    <w:rsid w:val="000748C1"/>
    <w:rsid w:val="00075069"/>
    <w:rsid w:val="00076CB4"/>
    <w:rsid w:val="0008358E"/>
    <w:rsid w:val="0008476A"/>
    <w:rsid w:val="000870DB"/>
    <w:rsid w:val="00090FF3"/>
    <w:rsid w:val="00091A2C"/>
    <w:rsid w:val="000A4F05"/>
    <w:rsid w:val="000A779B"/>
    <w:rsid w:val="000B1B65"/>
    <w:rsid w:val="000B3851"/>
    <w:rsid w:val="000B41A7"/>
    <w:rsid w:val="000B6316"/>
    <w:rsid w:val="000C0202"/>
    <w:rsid w:val="000C2BC8"/>
    <w:rsid w:val="000C2D37"/>
    <w:rsid w:val="000C3B07"/>
    <w:rsid w:val="000C3E17"/>
    <w:rsid w:val="000C6767"/>
    <w:rsid w:val="000C6C26"/>
    <w:rsid w:val="000C789D"/>
    <w:rsid w:val="000D5417"/>
    <w:rsid w:val="000E41B1"/>
    <w:rsid w:val="000E4FFA"/>
    <w:rsid w:val="000E67B8"/>
    <w:rsid w:val="000F15F0"/>
    <w:rsid w:val="000F41AB"/>
    <w:rsid w:val="000F5476"/>
    <w:rsid w:val="00101315"/>
    <w:rsid w:val="001017A8"/>
    <w:rsid w:val="0010223D"/>
    <w:rsid w:val="00104C7C"/>
    <w:rsid w:val="001100D1"/>
    <w:rsid w:val="001174A1"/>
    <w:rsid w:val="00120BD1"/>
    <w:rsid w:val="001254C6"/>
    <w:rsid w:val="001255F9"/>
    <w:rsid w:val="0012574D"/>
    <w:rsid w:val="00126869"/>
    <w:rsid w:val="00131FB9"/>
    <w:rsid w:val="00135ABA"/>
    <w:rsid w:val="00135FE8"/>
    <w:rsid w:val="00140005"/>
    <w:rsid w:val="0014107C"/>
    <w:rsid w:val="00145522"/>
    <w:rsid w:val="00165A79"/>
    <w:rsid w:val="001704B3"/>
    <w:rsid w:val="0017219A"/>
    <w:rsid w:val="00176204"/>
    <w:rsid w:val="00180BAA"/>
    <w:rsid w:val="00181E98"/>
    <w:rsid w:val="00182623"/>
    <w:rsid w:val="00182CE4"/>
    <w:rsid w:val="00183E10"/>
    <w:rsid w:val="00186390"/>
    <w:rsid w:val="00187D1E"/>
    <w:rsid w:val="00193F54"/>
    <w:rsid w:val="0019483C"/>
    <w:rsid w:val="001969F9"/>
    <w:rsid w:val="001A0408"/>
    <w:rsid w:val="001A0949"/>
    <w:rsid w:val="001A1FCB"/>
    <w:rsid w:val="001A40EA"/>
    <w:rsid w:val="001A5D3C"/>
    <w:rsid w:val="001B0737"/>
    <w:rsid w:val="001B1A98"/>
    <w:rsid w:val="001B41B6"/>
    <w:rsid w:val="001B53A2"/>
    <w:rsid w:val="001B5990"/>
    <w:rsid w:val="001B778C"/>
    <w:rsid w:val="001C06AE"/>
    <w:rsid w:val="001C1E54"/>
    <w:rsid w:val="001C31CE"/>
    <w:rsid w:val="001C42F2"/>
    <w:rsid w:val="001C60A8"/>
    <w:rsid w:val="001D0E74"/>
    <w:rsid w:val="001E23E6"/>
    <w:rsid w:val="001E3D83"/>
    <w:rsid w:val="001E7B97"/>
    <w:rsid w:val="001F3BDF"/>
    <w:rsid w:val="001F4F72"/>
    <w:rsid w:val="00203208"/>
    <w:rsid w:val="00203A84"/>
    <w:rsid w:val="00204360"/>
    <w:rsid w:val="00206BD8"/>
    <w:rsid w:val="00211A55"/>
    <w:rsid w:val="00214571"/>
    <w:rsid w:val="00225E46"/>
    <w:rsid w:val="00226B4B"/>
    <w:rsid w:val="00227091"/>
    <w:rsid w:val="002304AE"/>
    <w:rsid w:val="0023114A"/>
    <w:rsid w:val="00233689"/>
    <w:rsid w:val="002353FB"/>
    <w:rsid w:val="002377DE"/>
    <w:rsid w:val="00237BDE"/>
    <w:rsid w:val="00240BDA"/>
    <w:rsid w:val="00242175"/>
    <w:rsid w:val="002435AC"/>
    <w:rsid w:val="00243E8D"/>
    <w:rsid w:val="00251826"/>
    <w:rsid w:val="00257297"/>
    <w:rsid w:val="00260534"/>
    <w:rsid w:val="002613F8"/>
    <w:rsid w:val="002626B3"/>
    <w:rsid w:val="00265CFD"/>
    <w:rsid w:val="002673DF"/>
    <w:rsid w:val="00272AB8"/>
    <w:rsid w:val="0027356D"/>
    <w:rsid w:val="002737E7"/>
    <w:rsid w:val="00274D48"/>
    <w:rsid w:val="00275F18"/>
    <w:rsid w:val="00276E8B"/>
    <w:rsid w:val="00286026"/>
    <w:rsid w:val="00286536"/>
    <w:rsid w:val="00287E65"/>
    <w:rsid w:val="002900FF"/>
    <w:rsid w:val="0029032B"/>
    <w:rsid w:val="00290547"/>
    <w:rsid w:val="00290789"/>
    <w:rsid w:val="0029215B"/>
    <w:rsid w:val="002926A6"/>
    <w:rsid w:val="0029372C"/>
    <w:rsid w:val="00293F33"/>
    <w:rsid w:val="002A05AD"/>
    <w:rsid w:val="002B01F0"/>
    <w:rsid w:val="002B155B"/>
    <w:rsid w:val="002B1730"/>
    <w:rsid w:val="002B238A"/>
    <w:rsid w:val="002B28DC"/>
    <w:rsid w:val="002B3287"/>
    <w:rsid w:val="002C1D88"/>
    <w:rsid w:val="002C2B3C"/>
    <w:rsid w:val="002C2E78"/>
    <w:rsid w:val="002C5256"/>
    <w:rsid w:val="002C7F71"/>
    <w:rsid w:val="002D4502"/>
    <w:rsid w:val="002D7A93"/>
    <w:rsid w:val="002E3379"/>
    <w:rsid w:val="002E62F8"/>
    <w:rsid w:val="002E7167"/>
    <w:rsid w:val="002E7FB9"/>
    <w:rsid w:val="002F2214"/>
    <w:rsid w:val="002F2FFB"/>
    <w:rsid w:val="002F60A0"/>
    <w:rsid w:val="002F7317"/>
    <w:rsid w:val="0030032B"/>
    <w:rsid w:val="00300A16"/>
    <w:rsid w:val="00300D12"/>
    <w:rsid w:val="00304357"/>
    <w:rsid w:val="0030596E"/>
    <w:rsid w:val="0031221A"/>
    <w:rsid w:val="0031344A"/>
    <w:rsid w:val="00313A4E"/>
    <w:rsid w:val="00326782"/>
    <w:rsid w:val="003279E1"/>
    <w:rsid w:val="00330393"/>
    <w:rsid w:val="0033534B"/>
    <w:rsid w:val="00337252"/>
    <w:rsid w:val="0033785F"/>
    <w:rsid w:val="00340338"/>
    <w:rsid w:val="00340615"/>
    <w:rsid w:val="003410ED"/>
    <w:rsid w:val="003454B4"/>
    <w:rsid w:val="00347235"/>
    <w:rsid w:val="003507E8"/>
    <w:rsid w:val="00352717"/>
    <w:rsid w:val="0035408E"/>
    <w:rsid w:val="00357D0C"/>
    <w:rsid w:val="003628C6"/>
    <w:rsid w:val="00362D5B"/>
    <w:rsid w:val="00364AB3"/>
    <w:rsid w:val="0036655E"/>
    <w:rsid w:val="00366FFE"/>
    <w:rsid w:val="00367479"/>
    <w:rsid w:val="0037135E"/>
    <w:rsid w:val="0037306D"/>
    <w:rsid w:val="00374AC3"/>
    <w:rsid w:val="00375306"/>
    <w:rsid w:val="00375C48"/>
    <w:rsid w:val="003762F8"/>
    <w:rsid w:val="00377827"/>
    <w:rsid w:val="0038276C"/>
    <w:rsid w:val="00384944"/>
    <w:rsid w:val="003868B5"/>
    <w:rsid w:val="003930FF"/>
    <w:rsid w:val="003933C5"/>
    <w:rsid w:val="0039728C"/>
    <w:rsid w:val="0039736C"/>
    <w:rsid w:val="00397C33"/>
    <w:rsid w:val="003A231D"/>
    <w:rsid w:val="003A2A8D"/>
    <w:rsid w:val="003B099D"/>
    <w:rsid w:val="003B0E37"/>
    <w:rsid w:val="003B1624"/>
    <w:rsid w:val="003B2FF7"/>
    <w:rsid w:val="003B3F76"/>
    <w:rsid w:val="003C0976"/>
    <w:rsid w:val="003C6840"/>
    <w:rsid w:val="003D05C8"/>
    <w:rsid w:val="003D0647"/>
    <w:rsid w:val="003D40B7"/>
    <w:rsid w:val="003D4AEA"/>
    <w:rsid w:val="003D5819"/>
    <w:rsid w:val="003D7640"/>
    <w:rsid w:val="003E1F0F"/>
    <w:rsid w:val="003E2935"/>
    <w:rsid w:val="003E67F2"/>
    <w:rsid w:val="003E6E8E"/>
    <w:rsid w:val="003F13AA"/>
    <w:rsid w:val="00400F5C"/>
    <w:rsid w:val="00404DF9"/>
    <w:rsid w:val="004121A8"/>
    <w:rsid w:val="0041264D"/>
    <w:rsid w:val="00414842"/>
    <w:rsid w:val="00416E7B"/>
    <w:rsid w:val="00417312"/>
    <w:rsid w:val="00417AFB"/>
    <w:rsid w:val="0042717A"/>
    <w:rsid w:val="00433BB9"/>
    <w:rsid w:val="00433F2E"/>
    <w:rsid w:val="0043652F"/>
    <w:rsid w:val="004372FD"/>
    <w:rsid w:val="004418FD"/>
    <w:rsid w:val="004437D0"/>
    <w:rsid w:val="00445227"/>
    <w:rsid w:val="00454241"/>
    <w:rsid w:val="004545C2"/>
    <w:rsid w:val="00454CD7"/>
    <w:rsid w:val="00455EAE"/>
    <w:rsid w:val="00457B2C"/>
    <w:rsid w:val="004604D6"/>
    <w:rsid w:val="00460B0B"/>
    <w:rsid w:val="00462233"/>
    <w:rsid w:val="004658F1"/>
    <w:rsid w:val="00467C4A"/>
    <w:rsid w:val="00472A77"/>
    <w:rsid w:val="00475666"/>
    <w:rsid w:val="0047717E"/>
    <w:rsid w:val="00491CE2"/>
    <w:rsid w:val="00491F4F"/>
    <w:rsid w:val="004954E4"/>
    <w:rsid w:val="004966E3"/>
    <w:rsid w:val="004A1A5B"/>
    <w:rsid w:val="004A30C7"/>
    <w:rsid w:val="004A3A34"/>
    <w:rsid w:val="004A6625"/>
    <w:rsid w:val="004A6E53"/>
    <w:rsid w:val="004B6704"/>
    <w:rsid w:val="004B7921"/>
    <w:rsid w:val="004C56E1"/>
    <w:rsid w:val="004D08E9"/>
    <w:rsid w:val="004D144F"/>
    <w:rsid w:val="004E050B"/>
    <w:rsid w:val="004E251F"/>
    <w:rsid w:val="004E3407"/>
    <w:rsid w:val="004E54BC"/>
    <w:rsid w:val="004F0D66"/>
    <w:rsid w:val="004F6E95"/>
    <w:rsid w:val="00500902"/>
    <w:rsid w:val="0050531A"/>
    <w:rsid w:val="00505CC4"/>
    <w:rsid w:val="00511497"/>
    <w:rsid w:val="00526538"/>
    <w:rsid w:val="00527ECE"/>
    <w:rsid w:val="00531191"/>
    <w:rsid w:val="00535DF5"/>
    <w:rsid w:val="005401FB"/>
    <w:rsid w:val="00545837"/>
    <w:rsid w:val="00545B1E"/>
    <w:rsid w:val="005514A2"/>
    <w:rsid w:val="005526D4"/>
    <w:rsid w:val="00554A7F"/>
    <w:rsid w:val="00563A23"/>
    <w:rsid w:val="00563FB7"/>
    <w:rsid w:val="005646C7"/>
    <w:rsid w:val="00565920"/>
    <w:rsid w:val="005660A8"/>
    <w:rsid w:val="00566BC2"/>
    <w:rsid w:val="00574694"/>
    <w:rsid w:val="00575072"/>
    <w:rsid w:val="005775F3"/>
    <w:rsid w:val="00581093"/>
    <w:rsid w:val="005819DC"/>
    <w:rsid w:val="00585095"/>
    <w:rsid w:val="00585331"/>
    <w:rsid w:val="005908CF"/>
    <w:rsid w:val="005911D7"/>
    <w:rsid w:val="0059430A"/>
    <w:rsid w:val="005976B9"/>
    <w:rsid w:val="005A2B31"/>
    <w:rsid w:val="005A2F0A"/>
    <w:rsid w:val="005A7D5E"/>
    <w:rsid w:val="005A7D94"/>
    <w:rsid w:val="005B1970"/>
    <w:rsid w:val="005B1C04"/>
    <w:rsid w:val="005B5BB8"/>
    <w:rsid w:val="005B6697"/>
    <w:rsid w:val="005B749E"/>
    <w:rsid w:val="005C14BC"/>
    <w:rsid w:val="005C3503"/>
    <w:rsid w:val="005C4B5C"/>
    <w:rsid w:val="005D07AC"/>
    <w:rsid w:val="005D0F01"/>
    <w:rsid w:val="005D1DE2"/>
    <w:rsid w:val="005D3A76"/>
    <w:rsid w:val="005D6F4F"/>
    <w:rsid w:val="005E0199"/>
    <w:rsid w:val="005E083F"/>
    <w:rsid w:val="005E3518"/>
    <w:rsid w:val="005F10F2"/>
    <w:rsid w:val="005F5FB6"/>
    <w:rsid w:val="005F67C9"/>
    <w:rsid w:val="005F6A06"/>
    <w:rsid w:val="00601E10"/>
    <w:rsid w:val="00602B27"/>
    <w:rsid w:val="006031DB"/>
    <w:rsid w:val="00604ABB"/>
    <w:rsid w:val="00607BD0"/>
    <w:rsid w:val="006110FB"/>
    <w:rsid w:val="006117EE"/>
    <w:rsid w:val="00612881"/>
    <w:rsid w:val="00616224"/>
    <w:rsid w:val="00622CFA"/>
    <w:rsid w:val="006263CF"/>
    <w:rsid w:val="00626E6C"/>
    <w:rsid w:val="00630398"/>
    <w:rsid w:val="00644061"/>
    <w:rsid w:val="006500C3"/>
    <w:rsid w:val="00651D66"/>
    <w:rsid w:val="00654CBB"/>
    <w:rsid w:val="00657CEA"/>
    <w:rsid w:val="00661418"/>
    <w:rsid w:val="006618F8"/>
    <w:rsid w:val="00661EB4"/>
    <w:rsid w:val="00667158"/>
    <w:rsid w:val="006713D3"/>
    <w:rsid w:val="006717C6"/>
    <w:rsid w:val="00671DBB"/>
    <w:rsid w:val="00673FAB"/>
    <w:rsid w:val="006743FE"/>
    <w:rsid w:val="00676719"/>
    <w:rsid w:val="0068781A"/>
    <w:rsid w:val="0069187E"/>
    <w:rsid w:val="006921F2"/>
    <w:rsid w:val="00693AB7"/>
    <w:rsid w:val="006A2373"/>
    <w:rsid w:val="006A27E0"/>
    <w:rsid w:val="006A2C99"/>
    <w:rsid w:val="006A5A8A"/>
    <w:rsid w:val="006B2C9A"/>
    <w:rsid w:val="006B3EEA"/>
    <w:rsid w:val="006B7157"/>
    <w:rsid w:val="006B7802"/>
    <w:rsid w:val="006C2CB8"/>
    <w:rsid w:val="006C2E06"/>
    <w:rsid w:val="006C39B9"/>
    <w:rsid w:val="006C4CAC"/>
    <w:rsid w:val="006D1BBE"/>
    <w:rsid w:val="006D503E"/>
    <w:rsid w:val="006E038E"/>
    <w:rsid w:val="006E7EE2"/>
    <w:rsid w:val="006F00B8"/>
    <w:rsid w:val="006F278E"/>
    <w:rsid w:val="006F5EBE"/>
    <w:rsid w:val="006F6811"/>
    <w:rsid w:val="0070138D"/>
    <w:rsid w:val="00702C71"/>
    <w:rsid w:val="00702E30"/>
    <w:rsid w:val="0070494E"/>
    <w:rsid w:val="00705A2D"/>
    <w:rsid w:val="007079C9"/>
    <w:rsid w:val="00710094"/>
    <w:rsid w:val="00710832"/>
    <w:rsid w:val="00715DCA"/>
    <w:rsid w:val="00715EB0"/>
    <w:rsid w:val="0072084F"/>
    <w:rsid w:val="0072312E"/>
    <w:rsid w:val="007254FB"/>
    <w:rsid w:val="00730CD8"/>
    <w:rsid w:val="007312EE"/>
    <w:rsid w:val="00735E4C"/>
    <w:rsid w:val="00736ACD"/>
    <w:rsid w:val="00736DCE"/>
    <w:rsid w:val="007413A0"/>
    <w:rsid w:val="00741CC8"/>
    <w:rsid w:val="00741FB9"/>
    <w:rsid w:val="007422FC"/>
    <w:rsid w:val="0074246B"/>
    <w:rsid w:val="00742B5F"/>
    <w:rsid w:val="00742B74"/>
    <w:rsid w:val="00752BA2"/>
    <w:rsid w:val="007538B4"/>
    <w:rsid w:val="00754A37"/>
    <w:rsid w:val="00754AD3"/>
    <w:rsid w:val="007614BE"/>
    <w:rsid w:val="00762987"/>
    <w:rsid w:val="0076581B"/>
    <w:rsid w:val="007704D4"/>
    <w:rsid w:val="00772BDC"/>
    <w:rsid w:val="00774992"/>
    <w:rsid w:val="007771EB"/>
    <w:rsid w:val="0078619B"/>
    <w:rsid w:val="00786F17"/>
    <w:rsid w:val="00792DC3"/>
    <w:rsid w:val="00792FD2"/>
    <w:rsid w:val="00795D6F"/>
    <w:rsid w:val="007A012B"/>
    <w:rsid w:val="007A034A"/>
    <w:rsid w:val="007A69B6"/>
    <w:rsid w:val="007A74B5"/>
    <w:rsid w:val="007B1AEA"/>
    <w:rsid w:val="007C0517"/>
    <w:rsid w:val="007C0574"/>
    <w:rsid w:val="007D7B1B"/>
    <w:rsid w:val="007E118C"/>
    <w:rsid w:val="007E3948"/>
    <w:rsid w:val="007E6B21"/>
    <w:rsid w:val="007E77A7"/>
    <w:rsid w:val="007F1D65"/>
    <w:rsid w:val="008008F7"/>
    <w:rsid w:val="00801972"/>
    <w:rsid w:val="0080262B"/>
    <w:rsid w:val="0080497F"/>
    <w:rsid w:val="00807687"/>
    <w:rsid w:val="00807C54"/>
    <w:rsid w:val="00812B29"/>
    <w:rsid w:val="008136FE"/>
    <w:rsid w:val="0081627A"/>
    <w:rsid w:val="00817F68"/>
    <w:rsid w:val="00820368"/>
    <w:rsid w:val="00822039"/>
    <w:rsid w:val="00824882"/>
    <w:rsid w:val="008249F7"/>
    <w:rsid w:val="00831A37"/>
    <w:rsid w:val="00831D21"/>
    <w:rsid w:val="00832FB7"/>
    <w:rsid w:val="008339F5"/>
    <w:rsid w:val="008364F9"/>
    <w:rsid w:val="00836C53"/>
    <w:rsid w:val="00836E52"/>
    <w:rsid w:val="008378FC"/>
    <w:rsid w:val="00840D40"/>
    <w:rsid w:val="00844D4D"/>
    <w:rsid w:val="00845362"/>
    <w:rsid w:val="008471DD"/>
    <w:rsid w:val="00856C5E"/>
    <w:rsid w:val="00861431"/>
    <w:rsid w:val="00865F2C"/>
    <w:rsid w:val="00866E2A"/>
    <w:rsid w:val="00870BCF"/>
    <w:rsid w:val="00871E47"/>
    <w:rsid w:val="00877691"/>
    <w:rsid w:val="00882517"/>
    <w:rsid w:val="00886190"/>
    <w:rsid w:val="00886939"/>
    <w:rsid w:val="00891680"/>
    <w:rsid w:val="00892F19"/>
    <w:rsid w:val="008944BF"/>
    <w:rsid w:val="0089453E"/>
    <w:rsid w:val="00894FD8"/>
    <w:rsid w:val="0089577A"/>
    <w:rsid w:val="008961C2"/>
    <w:rsid w:val="00897272"/>
    <w:rsid w:val="008A14D1"/>
    <w:rsid w:val="008A28A7"/>
    <w:rsid w:val="008A3CD8"/>
    <w:rsid w:val="008A4130"/>
    <w:rsid w:val="008B3523"/>
    <w:rsid w:val="008B617F"/>
    <w:rsid w:val="008C544B"/>
    <w:rsid w:val="008C599E"/>
    <w:rsid w:val="008C6396"/>
    <w:rsid w:val="008C7035"/>
    <w:rsid w:val="008C7C21"/>
    <w:rsid w:val="008D19B6"/>
    <w:rsid w:val="008D2D8E"/>
    <w:rsid w:val="008D399B"/>
    <w:rsid w:val="008D49A1"/>
    <w:rsid w:val="008D50F7"/>
    <w:rsid w:val="008D792D"/>
    <w:rsid w:val="008E45D1"/>
    <w:rsid w:val="008E6455"/>
    <w:rsid w:val="008F27F2"/>
    <w:rsid w:val="008F6B8C"/>
    <w:rsid w:val="00904DA1"/>
    <w:rsid w:val="00905851"/>
    <w:rsid w:val="009142A5"/>
    <w:rsid w:val="0091706A"/>
    <w:rsid w:val="00920B7E"/>
    <w:rsid w:val="00921C38"/>
    <w:rsid w:val="00922ED8"/>
    <w:rsid w:val="009243B7"/>
    <w:rsid w:val="00924CE4"/>
    <w:rsid w:val="009256AB"/>
    <w:rsid w:val="009302AB"/>
    <w:rsid w:val="0093506B"/>
    <w:rsid w:val="00935D7B"/>
    <w:rsid w:val="00936880"/>
    <w:rsid w:val="00942299"/>
    <w:rsid w:val="009428E4"/>
    <w:rsid w:val="00946A48"/>
    <w:rsid w:val="00946AF8"/>
    <w:rsid w:val="00946CED"/>
    <w:rsid w:val="00953F70"/>
    <w:rsid w:val="0095494B"/>
    <w:rsid w:val="00956608"/>
    <w:rsid w:val="009614E3"/>
    <w:rsid w:val="00963366"/>
    <w:rsid w:val="009702AD"/>
    <w:rsid w:val="009713A2"/>
    <w:rsid w:val="00972C5F"/>
    <w:rsid w:val="00973020"/>
    <w:rsid w:val="00975537"/>
    <w:rsid w:val="00975F2E"/>
    <w:rsid w:val="009835E1"/>
    <w:rsid w:val="009845C8"/>
    <w:rsid w:val="00984FB9"/>
    <w:rsid w:val="00985637"/>
    <w:rsid w:val="00992A25"/>
    <w:rsid w:val="00992AB6"/>
    <w:rsid w:val="00994839"/>
    <w:rsid w:val="009A0FE8"/>
    <w:rsid w:val="009A2459"/>
    <w:rsid w:val="009A246F"/>
    <w:rsid w:val="009A408C"/>
    <w:rsid w:val="009A43F5"/>
    <w:rsid w:val="009A5698"/>
    <w:rsid w:val="009B1BE5"/>
    <w:rsid w:val="009D085C"/>
    <w:rsid w:val="009D3A58"/>
    <w:rsid w:val="009D72BB"/>
    <w:rsid w:val="009E396D"/>
    <w:rsid w:val="009E3AA1"/>
    <w:rsid w:val="009E4287"/>
    <w:rsid w:val="009E759C"/>
    <w:rsid w:val="009E76F1"/>
    <w:rsid w:val="009F4297"/>
    <w:rsid w:val="009F4682"/>
    <w:rsid w:val="00A019D5"/>
    <w:rsid w:val="00A02757"/>
    <w:rsid w:val="00A0786B"/>
    <w:rsid w:val="00A07987"/>
    <w:rsid w:val="00A100F8"/>
    <w:rsid w:val="00A10A12"/>
    <w:rsid w:val="00A12495"/>
    <w:rsid w:val="00A13342"/>
    <w:rsid w:val="00A14276"/>
    <w:rsid w:val="00A143DD"/>
    <w:rsid w:val="00A1794D"/>
    <w:rsid w:val="00A17F24"/>
    <w:rsid w:val="00A2529F"/>
    <w:rsid w:val="00A27B6D"/>
    <w:rsid w:val="00A355D1"/>
    <w:rsid w:val="00A44CEB"/>
    <w:rsid w:val="00A45323"/>
    <w:rsid w:val="00A51096"/>
    <w:rsid w:val="00A51FF7"/>
    <w:rsid w:val="00A52A9A"/>
    <w:rsid w:val="00A55971"/>
    <w:rsid w:val="00A56047"/>
    <w:rsid w:val="00A565B1"/>
    <w:rsid w:val="00A56850"/>
    <w:rsid w:val="00A60BD6"/>
    <w:rsid w:val="00A6210D"/>
    <w:rsid w:val="00A6344F"/>
    <w:rsid w:val="00A6401F"/>
    <w:rsid w:val="00A64BAB"/>
    <w:rsid w:val="00A67318"/>
    <w:rsid w:val="00A700E0"/>
    <w:rsid w:val="00A72D00"/>
    <w:rsid w:val="00A7349C"/>
    <w:rsid w:val="00A77AFE"/>
    <w:rsid w:val="00A841C5"/>
    <w:rsid w:val="00A85727"/>
    <w:rsid w:val="00A857B2"/>
    <w:rsid w:val="00A85D62"/>
    <w:rsid w:val="00A85DE3"/>
    <w:rsid w:val="00A86DE7"/>
    <w:rsid w:val="00A87064"/>
    <w:rsid w:val="00A90130"/>
    <w:rsid w:val="00A92FFE"/>
    <w:rsid w:val="00A94EE0"/>
    <w:rsid w:val="00AA00B7"/>
    <w:rsid w:val="00AA3B35"/>
    <w:rsid w:val="00AA4382"/>
    <w:rsid w:val="00AA5BAD"/>
    <w:rsid w:val="00AA6E7A"/>
    <w:rsid w:val="00AB05E1"/>
    <w:rsid w:val="00AB0756"/>
    <w:rsid w:val="00AB17A0"/>
    <w:rsid w:val="00AB2AA1"/>
    <w:rsid w:val="00AB5DCE"/>
    <w:rsid w:val="00AC2D3A"/>
    <w:rsid w:val="00AC5410"/>
    <w:rsid w:val="00AC67E9"/>
    <w:rsid w:val="00AC7603"/>
    <w:rsid w:val="00AD0E94"/>
    <w:rsid w:val="00AD299A"/>
    <w:rsid w:val="00AD3710"/>
    <w:rsid w:val="00AE061F"/>
    <w:rsid w:val="00AE07A4"/>
    <w:rsid w:val="00AE4E3D"/>
    <w:rsid w:val="00AE50A3"/>
    <w:rsid w:val="00AE5FFE"/>
    <w:rsid w:val="00AE79BE"/>
    <w:rsid w:val="00AF7A4D"/>
    <w:rsid w:val="00B006E1"/>
    <w:rsid w:val="00B006E6"/>
    <w:rsid w:val="00B0180D"/>
    <w:rsid w:val="00B11D31"/>
    <w:rsid w:val="00B131B7"/>
    <w:rsid w:val="00B152E3"/>
    <w:rsid w:val="00B17890"/>
    <w:rsid w:val="00B24618"/>
    <w:rsid w:val="00B31178"/>
    <w:rsid w:val="00B31AAE"/>
    <w:rsid w:val="00B35CC2"/>
    <w:rsid w:val="00B37C42"/>
    <w:rsid w:val="00B40BF8"/>
    <w:rsid w:val="00B45D29"/>
    <w:rsid w:val="00B45F28"/>
    <w:rsid w:val="00B4712E"/>
    <w:rsid w:val="00B50653"/>
    <w:rsid w:val="00B507C9"/>
    <w:rsid w:val="00B535F3"/>
    <w:rsid w:val="00B5733B"/>
    <w:rsid w:val="00B57A5B"/>
    <w:rsid w:val="00B61AC1"/>
    <w:rsid w:val="00B630D8"/>
    <w:rsid w:val="00B637EC"/>
    <w:rsid w:val="00B64E35"/>
    <w:rsid w:val="00B65288"/>
    <w:rsid w:val="00B6540E"/>
    <w:rsid w:val="00B70559"/>
    <w:rsid w:val="00B71AF1"/>
    <w:rsid w:val="00B71C75"/>
    <w:rsid w:val="00B74BEC"/>
    <w:rsid w:val="00B74CAC"/>
    <w:rsid w:val="00B74F03"/>
    <w:rsid w:val="00B7598F"/>
    <w:rsid w:val="00B773ED"/>
    <w:rsid w:val="00B83AC0"/>
    <w:rsid w:val="00B867AD"/>
    <w:rsid w:val="00B9018D"/>
    <w:rsid w:val="00B90C80"/>
    <w:rsid w:val="00B91A2D"/>
    <w:rsid w:val="00B9239B"/>
    <w:rsid w:val="00B96CAD"/>
    <w:rsid w:val="00BA086A"/>
    <w:rsid w:val="00BA15E8"/>
    <w:rsid w:val="00BA44D4"/>
    <w:rsid w:val="00BA7188"/>
    <w:rsid w:val="00BA760C"/>
    <w:rsid w:val="00BB3389"/>
    <w:rsid w:val="00BB4094"/>
    <w:rsid w:val="00BB5401"/>
    <w:rsid w:val="00BC0F0D"/>
    <w:rsid w:val="00BC5C37"/>
    <w:rsid w:val="00BC5D4E"/>
    <w:rsid w:val="00BD25E6"/>
    <w:rsid w:val="00BD78ED"/>
    <w:rsid w:val="00BE2342"/>
    <w:rsid w:val="00BE29E3"/>
    <w:rsid w:val="00BE4D0E"/>
    <w:rsid w:val="00BF00D9"/>
    <w:rsid w:val="00BF30B1"/>
    <w:rsid w:val="00BF3417"/>
    <w:rsid w:val="00BF5A98"/>
    <w:rsid w:val="00BF5CE4"/>
    <w:rsid w:val="00BF7329"/>
    <w:rsid w:val="00C033E9"/>
    <w:rsid w:val="00C0388B"/>
    <w:rsid w:val="00C05270"/>
    <w:rsid w:val="00C05819"/>
    <w:rsid w:val="00C073D6"/>
    <w:rsid w:val="00C11CFC"/>
    <w:rsid w:val="00C148BC"/>
    <w:rsid w:val="00C171EE"/>
    <w:rsid w:val="00C249F1"/>
    <w:rsid w:val="00C2618F"/>
    <w:rsid w:val="00C31DEE"/>
    <w:rsid w:val="00C32735"/>
    <w:rsid w:val="00C33533"/>
    <w:rsid w:val="00C35AA1"/>
    <w:rsid w:val="00C43076"/>
    <w:rsid w:val="00C4765E"/>
    <w:rsid w:val="00C47F24"/>
    <w:rsid w:val="00C52F93"/>
    <w:rsid w:val="00C67DF9"/>
    <w:rsid w:val="00C70533"/>
    <w:rsid w:val="00C711BF"/>
    <w:rsid w:val="00C753A0"/>
    <w:rsid w:val="00C7656F"/>
    <w:rsid w:val="00C83CC2"/>
    <w:rsid w:val="00C86A47"/>
    <w:rsid w:val="00C93781"/>
    <w:rsid w:val="00C9503B"/>
    <w:rsid w:val="00C95ABE"/>
    <w:rsid w:val="00C96F3A"/>
    <w:rsid w:val="00C97629"/>
    <w:rsid w:val="00C979B4"/>
    <w:rsid w:val="00CA1B68"/>
    <w:rsid w:val="00CA232A"/>
    <w:rsid w:val="00CB347A"/>
    <w:rsid w:val="00CB739A"/>
    <w:rsid w:val="00CB7F4D"/>
    <w:rsid w:val="00CC1BCD"/>
    <w:rsid w:val="00CC5D85"/>
    <w:rsid w:val="00CD04E1"/>
    <w:rsid w:val="00CD71E8"/>
    <w:rsid w:val="00CE05CF"/>
    <w:rsid w:val="00CE6862"/>
    <w:rsid w:val="00CE70F3"/>
    <w:rsid w:val="00CF2AE8"/>
    <w:rsid w:val="00CF73C3"/>
    <w:rsid w:val="00CF7D3B"/>
    <w:rsid w:val="00D063CB"/>
    <w:rsid w:val="00D11C29"/>
    <w:rsid w:val="00D130CE"/>
    <w:rsid w:val="00D1399A"/>
    <w:rsid w:val="00D206D2"/>
    <w:rsid w:val="00D20EDE"/>
    <w:rsid w:val="00D2265C"/>
    <w:rsid w:val="00D26A0B"/>
    <w:rsid w:val="00D27F91"/>
    <w:rsid w:val="00D30D24"/>
    <w:rsid w:val="00D3159D"/>
    <w:rsid w:val="00D35873"/>
    <w:rsid w:val="00D36F87"/>
    <w:rsid w:val="00D3770C"/>
    <w:rsid w:val="00D402FB"/>
    <w:rsid w:val="00D41213"/>
    <w:rsid w:val="00D41AA4"/>
    <w:rsid w:val="00D47724"/>
    <w:rsid w:val="00D64EA4"/>
    <w:rsid w:val="00D66798"/>
    <w:rsid w:val="00D7081D"/>
    <w:rsid w:val="00D74E85"/>
    <w:rsid w:val="00D76FA3"/>
    <w:rsid w:val="00D8166D"/>
    <w:rsid w:val="00D82308"/>
    <w:rsid w:val="00D85992"/>
    <w:rsid w:val="00D87A67"/>
    <w:rsid w:val="00D90C46"/>
    <w:rsid w:val="00D91D53"/>
    <w:rsid w:val="00D947DF"/>
    <w:rsid w:val="00D947FA"/>
    <w:rsid w:val="00D94AC9"/>
    <w:rsid w:val="00D94E34"/>
    <w:rsid w:val="00DA070F"/>
    <w:rsid w:val="00DA20B6"/>
    <w:rsid w:val="00DA3F14"/>
    <w:rsid w:val="00DA70D2"/>
    <w:rsid w:val="00DB0284"/>
    <w:rsid w:val="00DB3858"/>
    <w:rsid w:val="00DB3CA1"/>
    <w:rsid w:val="00DB5027"/>
    <w:rsid w:val="00DB57F4"/>
    <w:rsid w:val="00DB7F88"/>
    <w:rsid w:val="00DC3B5C"/>
    <w:rsid w:val="00DD0B6E"/>
    <w:rsid w:val="00DD2431"/>
    <w:rsid w:val="00DD25C1"/>
    <w:rsid w:val="00DD3528"/>
    <w:rsid w:val="00DD4409"/>
    <w:rsid w:val="00DD5296"/>
    <w:rsid w:val="00DD66FC"/>
    <w:rsid w:val="00DD7D85"/>
    <w:rsid w:val="00DE7AC9"/>
    <w:rsid w:val="00DF118A"/>
    <w:rsid w:val="00DF1800"/>
    <w:rsid w:val="00DF79C7"/>
    <w:rsid w:val="00DF7E91"/>
    <w:rsid w:val="00E0076F"/>
    <w:rsid w:val="00E0116D"/>
    <w:rsid w:val="00E02AB3"/>
    <w:rsid w:val="00E0466A"/>
    <w:rsid w:val="00E047E4"/>
    <w:rsid w:val="00E134A5"/>
    <w:rsid w:val="00E22BCE"/>
    <w:rsid w:val="00E25CEC"/>
    <w:rsid w:val="00E27331"/>
    <w:rsid w:val="00E33250"/>
    <w:rsid w:val="00E422A2"/>
    <w:rsid w:val="00E5507E"/>
    <w:rsid w:val="00E61E96"/>
    <w:rsid w:val="00E679B0"/>
    <w:rsid w:val="00E73B6F"/>
    <w:rsid w:val="00E8307F"/>
    <w:rsid w:val="00E834BD"/>
    <w:rsid w:val="00E8556C"/>
    <w:rsid w:val="00E908AB"/>
    <w:rsid w:val="00E9292D"/>
    <w:rsid w:val="00E9445B"/>
    <w:rsid w:val="00E968F1"/>
    <w:rsid w:val="00E97D2E"/>
    <w:rsid w:val="00EA0FE1"/>
    <w:rsid w:val="00EA3A09"/>
    <w:rsid w:val="00EB028C"/>
    <w:rsid w:val="00EB2401"/>
    <w:rsid w:val="00EB24DE"/>
    <w:rsid w:val="00EB2A9E"/>
    <w:rsid w:val="00EB42CF"/>
    <w:rsid w:val="00EB4740"/>
    <w:rsid w:val="00EB4E2A"/>
    <w:rsid w:val="00EB7B8B"/>
    <w:rsid w:val="00EC438D"/>
    <w:rsid w:val="00EC72D4"/>
    <w:rsid w:val="00EC7B04"/>
    <w:rsid w:val="00ED113E"/>
    <w:rsid w:val="00ED28BC"/>
    <w:rsid w:val="00ED2EA5"/>
    <w:rsid w:val="00ED319C"/>
    <w:rsid w:val="00EE020D"/>
    <w:rsid w:val="00EE1795"/>
    <w:rsid w:val="00EE389A"/>
    <w:rsid w:val="00EE6C0B"/>
    <w:rsid w:val="00EF0DF5"/>
    <w:rsid w:val="00EF2055"/>
    <w:rsid w:val="00EF4923"/>
    <w:rsid w:val="00EF775E"/>
    <w:rsid w:val="00EF7BCC"/>
    <w:rsid w:val="00F02356"/>
    <w:rsid w:val="00F0560F"/>
    <w:rsid w:val="00F06558"/>
    <w:rsid w:val="00F06CE5"/>
    <w:rsid w:val="00F07B85"/>
    <w:rsid w:val="00F12ECA"/>
    <w:rsid w:val="00F15A9F"/>
    <w:rsid w:val="00F16D67"/>
    <w:rsid w:val="00F171BE"/>
    <w:rsid w:val="00F20EE2"/>
    <w:rsid w:val="00F31528"/>
    <w:rsid w:val="00F35B56"/>
    <w:rsid w:val="00F4037A"/>
    <w:rsid w:val="00F40DB6"/>
    <w:rsid w:val="00F42C44"/>
    <w:rsid w:val="00F4350C"/>
    <w:rsid w:val="00F45786"/>
    <w:rsid w:val="00F53C15"/>
    <w:rsid w:val="00F57775"/>
    <w:rsid w:val="00F64672"/>
    <w:rsid w:val="00F662F0"/>
    <w:rsid w:val="00F70BEC"/>
    <w:rsid w:val="00F717C8"/>
    <w:rsid w:val="00F721CF"/>
    <w:rsid w:val="00F72E17"/>
    <w:rsid w:val="00F74C2D"/>
    <w:rsid w:val="00F752E1"/>
    <w:rsid w:val="00F75FC1"/>
    <w:rsid w:val="00F76287"/>
    <w:rsid w:val="00F80629"/>
    <w:rsid w:val="00F83F07"/>
    <w:rsid w:val="00F85123"/>
    <w:rsid w:val="00F93088"/>
    <w:rsid w:val="00F963B0"/>
    <w:rsid w:val="00FA2D32"/>
    <w:rsid w:val="00FA30F2"/>
    <w:rsid w:val="00FA3260"/>
    <w:rsid w:val="00FA401B"/>
    <w:rsid w:val="00FB3B31"/>
    <w:rsid w:val="00FC5B26"/>
    <w:rsid w:val="00FD07F8"/>
    <w:rsid w:val="00FD1B3C"/>
    <w:rsid w:val="00FD1DF4"/>
    <w:rsid w:val="00FD1E9C"/>
    <w:rsid w:val="00FD3CF6"/>
    <w:rsid w:val="00FD6B78"/>
    <w:rsid w:val="00FD76BF"/>
    <w:rsid w:val="00FE09DB"/>
    <w:rsid w:val="00FE0E14"/>
    <w:rsid w:val="00FE1229"/>
    <w:rsid w:val="00FE3D6B"/>
    <w:rsid w:val="00FE41DE"/>
    <w:rsid w:val="00FE4455"/>
    <w:rsid w:val="00FF10C3"/>
    <w:rsid w:val="00FF37CF"/>
    <w:rsid w:val="00FF3FF1"/>
    <w:rsid w:val="00FF40EB"/>
    <w:rsid w:val="00FF4E8E"/>
    <w:rsid w:val="00FF62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DB049"/>
  <w15:chartTrackingRefBased/>
  <w15:docId w15:val="{0E13540F-C181-45B2-B079-27C3FDA6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EAE"/>
    <w:pPr>
      <w:ind w:left="720"/>
      <w:contextualSpacing/>
    </w:pPr>
  </w:style>
  <w:style w:type="character" w:styleId="Hyperlink">
    <w:name w:val="Hyperlink"/>
    <w:basedOn w:val="DefaultParagraphFont"/>
    <w:uiPriority w:val="99"/>
    <w:unhideWhenUsed/>
    <w:rsid w:val="002E62F8"/>
    <w:rPr>
      <w:color w:val="0563C1" w:themeColor="hyperlink"/>
      <w:u w:val="single"/>
    </w:rPr>
  </w:style>
  <w:style w:type="character" w:styleId="UnresolvedMention">
    <w:name w:val="Unresolved Mention"/>
    <w:basedOn w:val="DefaultParagraphFont"/>
    <w:uiPriority w:val="99"/>
    <w:semiHidden/>
    <w:unhideWhenUsed/>
    <w:rsid w:val="002E62F8"/>
    <w:rPr>
      <w:color w:val="605E5C"/>
      <w:shd w:val="clear" w:color="auto" w:fill="E1DFDD"/>
    </w:rPr>
  </w:style>
  <w:style w:type="paragraph" w:styleId="NormalWeb">
    <w:name w:val="Normal (Web)"/>
    <w:basedOn w:val="Normal"/>
    <w:uiPriority w:val="99"/>
    <w:unhideWhenUsed/>
    <w:rsid w:val="0038276C"/>
    <w:pPr>
      <w:spacing w:before="100" w:beforeAutospacing="1" w:after="100" w:afterAutospacing="1" w:line="240" w:lineRule="auto"/>
    </w:pPr>
    <w:rPr>
      <w:rFonts w:ascii="Times New Roman" w:eastAsia="Times New Roman" w:hAnsi="Times New Roman" w:cs="Times New Roman"/>
      <w:sz w:val="24"/>
      <w:szCs w:val="24"/>
      <w:lang/>
    </w:rPr>
  </w:style>
  <w:style w:type="paragraph" w:styleId="Caption">
    <w:name w:val="caption"/>
    <w:basedOn w:val="Normal"/>
    <w:next w:val="Normal"/>
    <w:uiPriority w:val="35"/>
    <w:unhideWhenUsed/>
    <w:qFormat/>
    <w:rsid w:val="000E4FFA"/>
    <w:pPr>
      <w:spacing w:after="200" w:line="240" w:lineRule="auto"/>
    </w:pPr>
    <w:rPr>
      <w:i/>
      <w:iCs/>
      <w:color w:val="44546A" w:themeColor="text2"/>
      <w:sz w:val="18"/>
      <w:szCs w:val="18"/>
    </w:rPr>
  </w:style>
  <w:style w:type="character" w:customStyle="1" w:styleId="css-rh820s">
    <w:name w:val="css-rh820s"/>
    <w:basedOn w:val="DefaultParagraphFont"/>
    <w:rsid w:val="00705A2D"/>
  </w:style>
  <w:style w:type="character" w:customStyle="1" w:styleId="css-0">
    <w:name w:val="css-0"/>
    <w:basedOn w:val="DefaultParagraphFont"/>
    <w:rsid w:val="00705A2D"/>
  </w:style>
  <w:style w:type="character" w:customStyle="1" w:styleId="css-15iwe0d">
    <w:name w:val="css-15iwe0d"/>
    <w:basedOn w:val="DefaultParagraphFont"/>
    <w:rsid w:val="00705A2D"/>
  </w:style>
  <w:style w:type="character" w:customStyle="1" w:styleId="css-2yp7ui">
    <w:name w:val="css-2yp7ui"/>
    <w:basedOn w:val="DefaultParagraphFont"/>
    <w:rsid w:val="00705A2D"/>
  </w:style>
  <w:style w:type="table" w:styleId="TableGrid">
    <w:name w:val="Table Grid"/>
    <w:basedOn w:val="TableNormal"/>
    <w:uiPriority w:val="39"/>
    <w:rsid w:val="004B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F775E"/>
    <w:rPr>
      <w:i/>
      <w:iCs/>
    </w:rPr>
  </w:style>
  <w:style w:type="paragraph" w:styleId="Header">
    <w:name w:val="header"/>
    <w:basedOn w:val="Normal"/>
    <w:link w:val="HeaderChar"/>
    <w:uiPriority w:val="99"/>
    <w:unhideWhenUsed/>
    <w:rsid w:val="00630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398"/>
    <w:rPr>
      <w:lang w:val="en-GB"/>
    </w:rPr>
  </w:style>
  <w:style w:type="paragraph" w:styleId="Footer">
    <w:name w:val="footer"/>
    <w:basedOn w:val="Normal"/>
    <w:link w:val="FooterChar"/>
    <w:uiPriority w:val="99"/>
    <w:unhideWhenUsed/>
    <w:rsid w:val="00630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3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2728">
      <w:bodyDiv w:val="1"/>
      <w:marLeft w:val="0"/>
      <w:marRight w:val="0"/>
      <w:marTop w:val="0"/>
      <w:marBottom w:val="0"/>
      <w:divBdr>
        <w:top w:val="none" w:sz="0" w:space="0" w:color="auto"/>
        <w:left w:val="none" w:sz="0" w:space="0" w:color="auto"/>
        <w:bottom w:val="none" w:sz="0" w:space="0" w:color="auto"/>
        <w:right w:val="none" w:sz="0" w:space="0" w:color="auto"/>
      </w:divBdr>
    </w:div>
    <w:div w:id="356926798">
      <w:bodyDiv w:val="1"/>
      <w:marLeft w:val="0"/>
      <w:marRight w:val="0"/>
      <w:marTop w:val="0"/>
      <w:marBottom w:val="0"/>
      <w:divBdr>
        <w:top w:val="none" w:sz="0" w:space="0" w:color="auto"/>
        <w:left w:val="none" w:sz="0" w:space="0" w:color="auto"/>
        <w:bottom w:val="none" w:sz="0" w:space="0" w:color="auto"/>
        <w:right w:val="none" w:sz="0" w:space="0" w:color="auto"/>
      </w:divBdr>
    </w:div>
    <w:div w:id="388697155">
      <w:bodyDiv w:val="1"/>
      <w:marLeft w:val="0"/>
      <w:marRight w:val="0"/>
      <w:marTop w:val="0"/>
      <w:marBottom w:val="0"/>
      <w:divBdr>
        <w:top w:val="none" w:sz="0" w:space="0" w:color="auto"/>
        <w:left w:val="none" w:sz="0" w:space="0" w:color="auto"/>
        <w:bottom w:val="none" w:sz="0" w:space="0" w:color="auto"/>
        <w:right w:val="none" w:sz="0" w:space="0" w:color="auto"/>
      </w:divBdr>
    </w:div>
    <w:div w:id="529421373">
      <w:bodyDiv w:val="1"/>
      <w:marLeft w:val="0"/>
      <w:marRight w:val="0"/>
      <w:marTop w:val="0"/>
      <w:marBottom w:val="0"/>
      <w:divBdr>
        <w:top w:val="none" w:sz="0" w:space="0" w:color="auto"/>
        <w:left w:val="none" w:sz="0" w:space="0" w:color="auto"/>
        <w:bottom w:val="none" w:sz="0" w:space="0" w:color="auto"/>
        <w:right w:val="none" w:sz="0" w:space="0" w:color="auto"/>
      </w:divBdr>
    </w:div>
    <w:div w:id="749352173">
      <w:bodyDiv w:val="1"/>
      <w:marLeft w:val="0"/>
      <w:marRight w:val="0"/>
      <w:marTop w:val="0"/>
      <w:marBottom w:val="0"/>
      <w:divBdr>
        <w:top w:val="none" w:sz="0" w:space="0" w:color="auto"/>
        <w:left w:val="none" w:sz="0" w:space="0" w:color="auto"/>
        <w:bottom w:val="none" w:sz="0" w:space="0" w:color="auto"/>
        <w:right w:val="none" w:sz="0" w:space="0" w:color="auto"/>
      </w:divBdr>
    </w:div>
    <w:div w:id="811749264">
      <w:bodyDiv w:val="1"/>
      <w:marLeft w:val="0"/>
      <w:marRight w:val="0"/>
      <w:marTop w:val="0"/>
      <w:marBottom w:val="0"/>
      <w:divBdr>
        <w:top w:val="none" w:sz="0" w:space="0" w:color="auto"/>
        <w:left w:val="none" w:sz="0" w:space="0" w:color="auto"/>
        <w:bottom w:val="none" w:sz="0" w:space="0" w:color="auto"/>
        <w:right w:val="none" w:sz="0" w:space="0" w:color="auto"/>
      </w:divBdr>
      <w:divsChild>
        <w:div w:id="2036736457">
          <w:marLeft w:val="0"/>
          <w:marRight w:val="0"/>
          <w:marTop w:val="0"/>
          <w:marBottom w:val="0"/>
          <w:divBdr>
            <w:top w:val="none" w:sz="0" w:space="0" w:color="auto"/>
            <w:left w:val="none" w:sz="0" w:space="0" w:color="auto"/>
            <w:bottom w:val="none" w:sz="0" w:space="0" w:color="auto"/>
            <w:right w:val="none" w:sz="0" w:space="0" w:color="auto"/>
          </w:divBdr>
        </w:div>
      </w:divsChild>
    </w:div>
    <w:div w:id="872350344">
      <w:bodyDiv w:val="1"/>
      <w:marLeft w:val="0"/>
      <w:marRight w:val="0"/>
      <w:marTop w:val="0"/>
      <w:marBottom w:val="0"/>
      <w:divBdr>
        <w:top w:val="none" w:sz="0" w:space="0" w:color="auto"/>
        <w:left w:val="none" w:sz="0" w:space="0" w:color="auto"/>
        <w:bottom w:val="none" w:sz="0" w:space="0" w:color="auto"/>
        <w:right w:val="none" w:sz="0" w:space="0" w:color="auto"/>
      </w:divBdr>
    </w:div>
    <w:div w:id="1140533498">
      <w:bodyDiv w:val="1"/>
      <w:marLeft w:val="0"/>
      <w:marRight w:val="0"/>
      <w:marTop w:val="0"/>
      <w:marBottom w:val="0"/>
      <w:divBdr>
        <w:top w:val="none" w:sz="0" w:space="0" w:color="auto"/>
        <w:left w:val="none" w:sz="0" w:space="0" w:color="auto"/>
        <w:bottom w:val="none" w:sz="0" w:space="0" w:color="auto"/>
        <w:right w:val="none" w:sz="0" w:space="0" w:color="auto"/>
      </w:divBdr>
    </w:div>
    <w:div w:id="1140880846">
      <w:bodyDiv w:val="1"/>
      <w:marLeft w:val="0"/>
      <w:marRight w:val="0"/>
      <w:marTop w:val="0"/>
      <w:marBottom w:val="0"/>
      <w:divBdr>
        <w:top w:val="none" w:sz="0" w:space="0" w:color="auto"/>
        <w:left w:val="none" w:sz="0" w:space="0" w:color="auto"/>
        <w:bottom w:val="none" w:sz="0" w:space="0" w:color="auto"/>
        <w:right w:val="none" w:sz="0" w:space="0" w:color="auto"/>
      </w:divBdr>
    </w:div>
    <w:div w:id="1325402343">
      <w:bodyDiv w:val="1"/>
      <w:marLeft w:val="0"/>
      <w:marRight w:val="0"/>
      <w:marTop w:val="0"/>
      <w:marBottom w:val="0"/>
      <w:divBdr>
        <w:top w:val="none" w:sz="0" w:space="0" w:color="auto"/>
        <w:left w:val="none" w:sz="0" w:space="0" w:color="auto"/>
        <w:bottom w:val="none" w:sz="0" w:space="0" w:color="auto"/>
        <w:right w:val="none" w:sz="0" w:space="0" w:color="auto"/>
      </w:divBdr>
    </w:div>
    <w:div w:id="1354962031">
      <w:bodyDiv w:val="1"/>
      <w:marLeft w:val="0"/>
      <w:marRight w:val="0"/>
      <w:marTop w:val="0"/>
      <w:marBottom w:val="0"/>
      <w:divBdr>
        <w:top w:val="none" w:sz="0" w:space="0" w:color="auto"/>
        <w:left w:val="none" w:sz="0" w:space="0" w:color="auto"/>
        <w:bottom w:val="none" w:sz="0" w:space="0" w:color="auto"/>
        <w:right w:val="none" w:sz="0" w:space="0" w:color="auto"/>
      </w:divBdr>
    </w:div>
    <w:div w:id="1540704967">
      <w:bodyDiv w:val="1"/>
      <w:marLeft w:val="0"/>
      <w:marRight w:val="0"/>
      <w:marTop w:val="0"/>
      <w:marBottom w:val="0"/>
      <w:divBdr>
        <w:top w:val="none" w:sz="0" w:space="0" w:color="auto"/>
        <w:left w:val="none" w:sz="0" w:space="0" w:color="auto"/>
        <w:bottom w:val="none" w:sz="0" w:space="0" w:color="auto"/>
        <w:right w:val="none" w:sz="0" w:space="0" w:color="auto"/>
      </w:divBdr>
    </w:div>
    <w:div w:id="1556357633">
      <w:bodyDiv w:val="1"/>
      <w:marLeft w:val="0"/>
      <w:marRight w:val="0"/>
      <w:marTop w:val="0"/>
      <w:marBottom w:val="0"/>
      <w:divBdr>
        <w:top w:val="none" w:sz="0" w:space="0" w:color="auto"/>
        <w:left w:val="none" w:sz="0" w:space="0" w:color="auto"/>
        <w:bottom w:val="none" w:sz="0" w:space="0" w:color="auto"/>
        <w:right w:val="none" w:sz="0" w:space="0" w:color="auto"/>
      </w:divBdr>
      <w:divsChild>
        <w:div w:id="58869053">
          <w:marLeft w:val="0"/>
          <w:marRight w:val="0"/>
          <w:marTop w:val="0"/>
          <w:marBottom w:val="150"/>
          <w:divBdr>
            <w:top w:val="none" w:sz="0" w:space="0" w:color="auto"/>
            <w:left w:val="none" w:sz="0" w:space="0" w:color="auto"/>
            <w:bottom w:val="none" w:sz="0" w:space="0" w:color="auto"/>
            <w:right w:val="none" w:sz="0" w:space="0" w:color="auto"/>
          </w:divBdr>
        </w:div>
        <w:div w:id="1782987802">
          <w:marLeft w:val="0"/>
          <w:marRight w:val="0"/>
          <w:marTop w:val="0"/>
          <w:marBottom w:val="225"/>
          <w:divBdr>
            <w:top w:val="none" w:sz="0" w:space="0" w:color="auto"/>
            <w:left w:val="none" w:sz="0" w:space="0" w:color="auto"/>
            <w:bottom w:val="none" w:sz="0" w:space="0" w:color="auto"/>
            <w:right w:val="none" w:sz="0" w:space="0" w:color="auto"/>
          </w:divBdr>
          <w:divsChild>
            <w:div w:id="73019154">
              <w:marLeft w:val="0"/>
              <w:marRight w:val="0"/>
              <w:marTop w:val="0"/>
              <w:marBottom w:val="0"/>
              <w:divBdr>
                <w:top w:val="none" w:sz="0" w:space="0" w:color="auto"/>
                <w:left w:val="none" w:sz="0" w:space="0" w:color="auto"/>
                <w:bottom w:val="none" w:sz="0" w:space="0" w:color="auto"/>
                <w:right w:val="none" w:sz="0" w:space="0" w:color="auto"/>
              </w:divBdr>
              <w:divsChild>
                <w:div w:id="1044870246">
                  <w:marLeft w:val="0"/>
                  <w:marRight w:val="0"/>
                  <w:marTop w:val="0"/>
                  <w:marBottom w:val="75"/>
                  <w:divBdr>
                    <w:top w:val="none" w:sz="0" w:space="0" w:color="auto"/>
                    <w:left w:val="none" w:sz="0" w:space="0" w:color="auto"/>
                    <w:bottom w:val="none" w:sz="0" w:space="0" w:color="auto"/>
                    <w:right w:val="none" w:sz="0" w:space="0" w:color="auto"/>
                  </w:divBdr>
                </w:div>
                <w:div w:id="16473934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00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hdl.handle.net/10419/214834" TargetMode="External"/><Relationship Id="rId18" Type="http://schemas.openxmlformats.org/officeDocument/2006/relationships/hyperlink" Target="https://doi.org/10.1016/j.landusepol.2022.10652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landusepol.2020.104738" TargetMode="External"/><Relationship Id="rId7" Type="http://schemas.openxmlformats.org/officeDocument/2006/relationships/image" Target="media/image1.jpeg"/><Relationship Id="rId12" Type="http://schemas.openxmlformats.org/officeDocument/2006/relationships/hyperlink" Target="https://www.globalforestwatch.org/blog/data/whats-new-carbon-flux-monitoring/" TargetMode="External"/><Relationship Id="rId17" Type="http://schemas.openxmlformats.org/officeDocument/2006/relationships/hyperlink" Target="https://doi.org/10.1007/978-3-031-16186-5_5"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gecco.2021.e01955" TargetMode="External"/><Relationship Id="rId20" Type="http://schemas.openxmlformats.org/officeDocument/2006/relationships/hyperlink" Target="http://www.mdpi.com/journal/wate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9103/AS.2020.0074.2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75/wcas-d-17-0036.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oi.org/10.1186/s13705-017-0136-x"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060/cc6780en"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Sheet1!$A$1:$A$3</c:f>
              <c:strCache>
                <c:ptCount val="3"/>
                <c:pt idx="0">
                  <c:v>Agree</c:v>
                </c:pt>
                <c:pt idx="1">
                  <c:v>Neutral </c:v>
                </c:pt>
                <c:pt idx="2">
                  <c:v>Disagree</c:v>
                </c:pt>
              </c:strCache>
            </c:strRef>
          </c:cat>
          <c:val>
            <c:numRef>
              <c:f>Sheet1!$B$1:$B$3</c:f>
              <c:numCache>
                <c:formatCode>0%</c:formatCode>
                <c:ptCount val="3"/>
                <c:pt idx="0">
                  <c:v>0.17799999999999999</c:v>
                </c:pt>
                <c:pt idx="1">
                  <c:v>8.8999999999999996E-2</c:v>
                </c:pt>
                <c:pt idx="2">
                  <c:v>0.73299999999999998</c:v>
                </c:pt>
              </c:numCache>
            </c:numRef>
          </c:val>
          <c:extLst>
            <c:ext xmlns:c16="http://schemas.microsoft.com/office/drawing/2014/chart" uri="{C3380CC4-5D6E-409C-BE32-E72D297353CC}">
              <c16:uniqueId val="{00000000-7F54-42D7-99C0-ED6AE3B85392}"/>
            </c:ext>
          </c:extLst>
        </c:ser>
        <c:dLbls>
          <c:showLegendKey val="0"/>
          <c:showVal val="1"/>
          <c:showCatName val="0"/>
          <c:showSerName val="0"/>
          <c:showPercent val="0"/>
          <c:showBubbleSize val="0"/>
        </c:dLbls>
        <c:gapWidth val="150"/>
        <c:shape val="box"/>
        <c:axId val="533309248"/>
        <c:axId val="533309904"/>
        <c:axId val="0"/>
      </c:bar3DChart>
      <c:catAx>
        <c:axId val="5333092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33309904"/>
        <c:crosses val="autoZero"/>
        <c:auto val="1"/>
        <c:lblAlgn val="ctr"/>
        <c:lblOffset val="100"/>
        <c:noMultiLvlLbl val="0"/>
      </c:catAx>
      <c:valAx>
        <c:axId val="533309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33309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6113-4517-AF67-18D630CDC3A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6113-4517-AF67-18D630CDC3A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6113-4517-AF67-18D630CDC3A0}"/>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Sheet1!$A$1:$A$3</c:f>
              <c:strCache>
                <c:ptCount val="3"/>
                <c:pt idx="0">
                  <c:v>Passing through/grazing animals in the forest reserve</c:v>
                </c:pt>
                <c:pt idx="1">
                  <c:v>Cases of illegal harvest of forest resources/products</c:v>
                </c:pt>
                <c:pt idx="2">
                  <c:v>Fire incidences</c:v>
                </c:pt>
              </c:strCache>
            </c:strRef>
          </c:cat>
          <c:val>
            <c:numRef>
              <c:f>Sheet1!$B$1:$B$3</c:f>
              <c:numCache>
                <c:formatCode>0%</c:formatCode>
                <c:ptCount val="3"/>
                <c:pt idx="0">
                  <c:v>0.81</c:v>
                </c:pt>
                <c:pt idx="1">
                  <c:v>0.13</c:v>
                </c:pt>
                <c:pt idx="2">
                  <c:v>0.06</c:v>
                </c:pt>
              </c:numCache>
            </c:numRef>
          </c:val>
          <c:extLst>
            <c:ext xmlns:c16="http://schemas.microsoft.com/office/drawing/2014/chart" uri="{C3380CC4-5D6E-409C-BE32-E72D297353CC}">
              <c16:uniqueId val="{00000006-6113-4517-AF67-18D630CDC3A0}"/>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6581</TotalTime>
  <Pages>13</Pages>
  <Words>6846</Words>
  <Characters>39024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Laison Kaganga</dc:creator>
  <cp:keywords/>
  <dc:description/>
  <cp:lastModifiedBy>Editor-23</cp:lastModifiedBy>
  <cp:revision>618</cp:revision>
  <dcterms:created xsi:type="dcterms:W3CDTF">2024-04-21T15:07:00Z</dcterms:created>
  <dcterms:modified xsi:type="dcterms:W3CDTF">2024-07-04T07:16:00Z</dcterms:modified>
</cp:coreProperties>
</file>