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4695" w14:textId="77777777" w:rsidR="00754C9A" w:rsidRDefault="00754C9A" w:rsidP="00441B6F">
      <w:pPr>
        <w:pStyle w:val="Title"/>
        <w:spacing w:after="0"/>
        <w:jc w:val="both"/>
        <w:rPr>
          <w:rFonts w:ascii="Arial" w:hAnsi="Arial" w:cs="Arial"/>
        </w:rPr>
      </w:pPr>
    </w:p>
    <w:p w14:paraId="4FE49825" w14:textId="2B5B839F" w:rsidR="00163BC4" w:rsidRPr="00163BC4" w:rsidRDefault="0086764C" w:rsidP="00441B6F">
      <w:pPr>
        <w:pStyle w:val="Author"/>
        <w:spacing w:line="240" w:lineRule="auto"/>
        <w:rPr>
          <w:rFonts w:ascii="Arial" w:hAnsi="Arial" w:cs="Arial"/>
          <w:bCs/>
          <w:iCs/>
          <w:kern w:val="28"/>
          <w:sz w:val="36"/>
        </w:rPr>
      </w:pPr>
      <w:r w:rsidRPr="0086764C">
        <w:rPr>
          <w:rFonts w:ascii="Arial" w:hAnsi="Arial" w:cs="Arial"/>
          <w:bCs/>
          <w:iCs/>
          <w:kern w:val="28"/>
          <w:sz w:val="36"/>
        </w:rPr>
        <w:t xml:space="preserve">Detection of </w:t>
      </w:r>
      <w:proofErr w:type="spellStart"/>
      <w:r w:rsidRPr="0086764C">
        <w:rPr>
          <w:rFonts w:ascii="Arial" w:hAnsi="Arial" w:cs="Arial"/>
          <w:bCs/>
          <w:iCs/>
          <w:kern w:val="28"/>
          <w:sz w:val="36"/>
        </w:rPr>
        <w:t>carbapenemases</w:t>
      </w:r>
      <w:proofErr w:type="spellEnd"/>
      <w:r w:rsidRPr="0086764C">
        <w:rPr>
          <w:rFonts w:ascii="Arial" w:hAnsi="Arial" w:cs="Arial"/>
          <w:bCs/>
          <w:iCs/>
          <w:kern w:val="28"/>
          <w:sz w:val="36"/>
        </w:rPr>
        <w:t xml:space="preserve"> in Pseudomonas aeruginosa isolates: an emerging challenge</w:t>
      </w:r>
    </w:p>
    <w:p w14:paraId="0FADB15D" w14:textId="77777777" w:rsidR="00A258C3" w:rsidRPr="00790ADA" w:rsidRDefault="00A258C3" w:rsidP="00441B6F">
      <w:pPr>
        <w:pStyle w:val="Author"/>
        <w:spacing w:line="240" w:lineRule="auto"/>
        <w:jc w:val="both"/>
        <w:rPr>
          <w:rFonts w:ascii="Arial" w:hAnsi="Arial" w:cs="Arial"/>
          <w:sz w:val="36"/>
        </w:rPr>
      </w:pPr>
    </w:p>
    <w:p w14:paraId="772053B3" w14:textId="77777777" w:rsidR="002C57D2" w:rsidRPr="00FB3A86" w:rsidRDefault="002C57D2" w:rsidP="00441B6F">
      <w:pPr>
        <w:pStyle w:val="Affiliation"/>
        <w:spacing w:after="0" w:line="240" w:lineRule="auto"/>
        <w:jc w:val="both"/>
        <w:rPr>
          <w:rFonts w:ascii="Arial" w:hAnsi="Arial" w:cs="Arial"/>
        </w:rPr>
      </w:pPr>
    </w:p>
    <w:p w14:paraId="2E380086" w14:textId="77777777" w:rsidR="00B01FCD" w:rsidRPr="00FB3A86" w:rsidRDefault="00000000" w:rsidP="00441B6F">
      <w:pPr>
        <w:pStyle w:val="Copyright"/>
        <w:spacing w:after="0" w:line="240" w:lineRule="auto"/>
        <w:jc w:val="both"/>
        <w:rPr>
          <w:rFonts w:ascii="Arial" w:hAnsi="Arial" w:cs="Arial"/>
        </w:rPr>
        <w:sectPr w:rsidR="00B01FCD" w:rsidRPr="00FB3A86" w:rsidSect="00F175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A3065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78F051" w14:textId="1AD2566B" w:rsidR="00B01FCD" w:rsidRDefault="00B01FCD" w:rsidP="00441B6F">
      <w:pPr>
        <w:pStyle w:val="AbstHead"/>
        <w:spacing w:after="0"/>
        <w:jc w:val="both"/>
        <w:rPr>
          <w:rFonts w:ascii="Arial" w:hAnsi="Arial" w:cs="Arial"/>
        </w:rPr>
      </w:pPr>
      <w:r w:rsidRPr="00FB3A86">
        <w:rPr>
          <w:rFonts w:ascii="Arial" w:hAnsi="Arial" w:cs="Arial"/>
        </w:rPr>
        <w:t>ABSTRACT</w:t>
      </w:r>
    </w:p>
    <w:p w14:paraId="7BA832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3E4CC8" w14:textId="77777777" w:rsidTr="001E44FE">
        <w:tc>
          <w:tcPr>
            <w:tcW w:w="9576" w:type="dxa"/>
            <w:shd w:val="clear" w:color="auto" w:fill="F2F2F2"/>
          </w:tcPr>
          <w:p w14:paraId="1F04A518" w14:textId="5E1A6C98" w:rsidR="00505F06" w:rsidRPr="004B620C" w:rsidRDefault="004B620C" w:rsidP="004B620C">
            <w:pPr>
              <w:pStyle w:val="NormalWeb"/>
              <w:spacing w:before="0" w:beforeAutospacing="0" w:after="0" w:afterAutospacing="0"/>
              <w:jc w:val="both"/>
            </w:pPr>
            <w:r w:rsidRPr="004B620C">
              <w:rPr>
                <w:b/>
                <w:bCs/>
                <w:color w:val="000000"/>
                <w:sz w:val="22"/>
                <w:szCs w:val="22"/>
              </w:rPr>
              <w:t>Aims</w:t>
            </w:r>
            <w:r w:rsidRPr="004B620C">
              <w:rPr>
                <w:color w:val="000000"/>
                <w:sz w:val="22"/>
                <w:szCs w:val="22"/>
              </w:rPr>
              <w:t xml:space="preserve">: Determine the clinical characteristics of patients and the microbiological characteristics of the </w:t>
            </w:r>
            <w:r w:rsidRPr="004B620C">
              <w:rPr>
                <w:i/>
                <w:iCs/>
                <w:color w:val="000000"/>
                <w:sz w:val="22"/>
                <w:szCs w:val="22"/>
              </w:rPr>
              <w:t>Pseudomonas aeruginosa</w:t>
            </w:r>
            <w:r w:rsidRPr="004B620C">
              <w:rPr>
                <w:color w:val="000000"/>
                <w:sz w:val="22"/>
                <w:szCs w:val="22"/>
              </w:rPr>
              <w:t xml:space="preserve"> isolates in respiratory samples from Adult Intensive Care Unity (ICU) of a University Hospital from Fortaleza, Brazil; Analyze the resistance profile of </w:t>
            </w:r>
            <w:r w:rsidRPr="004B620C">
              <w:rPr>
                <w:i/>
                <w:iCs/>
                <w:color w:val="000000"/>
                <w:sz w:val="22"/>
                <w:szCs w:val="22"/>
              </w:rPr>
              <w:t>Pseudomonas aeruginosa</w:t>
            </w:r>
            <w:r w:rsidRPr="004B620C">
              <w:rPr>
                <w:color w:val="000000"/>
                <w:sz w:val="22"/>
                <w:szCs w:val="22"/>
              </w:rPr>
              <w:t xml:space="preserve"> isolates; Determine the phenotypic prevalence of Carbapenem-Resistant </w:t>
            </w:r>
            <w:r w:rsidRPr="004B620C">
              <w:rPr>
                <w:i/>
                <w:iCs/>
                <w:color w:val="000000"/>
                <w:sz w:val="22"/>
                <w:szCs w:val="22"/>
              </w:rPr>
              <w:t>Pseudomonas aeruginosa</w:t>
            </w:r>
            <w:r w:rsidRPr="004B620C">
              <w:rPr>
                <w:color w:val="000000"/>
                <w:sz w:val="22"/>
                <w:szCs w:val="22"/>
              </w:rPr>
              <w:t xml:space="preserve"> (CRPA); Relate the prevalence to resistent </w:t>
            </w:r>
            <w:r w:rsidRPr="004B620C">
              <w:rPr>
                <w:i/>
                <w:iCs/>
                <w:color w:val="000000"/>
                <w:sz w:val="22"/>
                <w:szCs w:val="22"/>
              </w:rPr>
              <w:t>Pseudomonas aeruginosa</w:t>
            </w:r>
            <w:r w:rsidRPr="004B620C">
              <w:rPr>
                <w:color w:val="000000"/>
                <w:sz w:val="22"/>
                <w:szCs w:val="22"/>
              </w:rPr>
              <w:t xml:space="preserve"> with patients’ death rate. </w:t>
            </w:r>
            <w:r w:rsidRPr="004B620C">
              <w:rPr>
                <w:b/>
                <w:bCs/>
                <w:color w:val="000000"/>
                <w:sz w:val="22"/>
                <w:szCs w:val="22"/>
              </w:rPr>
              <w:t>Study Design</w:t>
            </w:r>
            <w:r w:rsidRPr="004B620C">
              <w:rPr>
                <w:color w:val="000000"/>
                <w:sz w:val="22"/>
                <w:szCs w:val="22"/>
              </w:rPr>
              <w:t xml:space="preserve">: This is a epidemiological, descriptive and retrospective study, carried out between January and December 2022 at a university hospital in Fortaleza, Brazil. </w:t>
            </w:r>
            <w:r w:rsidRPr="004B620C">
              <w:rPr>
                <w:b/>
                <w:bCs/>
                <w:color w:val="000000"/>
                <w:sz w:val="22"/>
                <w:szCs w:val="22"/>
              </w:rPr>
              <w:t>Place and Duration of Study</w:t>
            </w:r>
            <w:r w:rsidRPr="004B620C">
              <w:rPr>
                <w:color w:val="000000"/>
                <w:sz w:val="22"/>
                <w:szCs w:val="22"/>
              </w:rPr>
              <w:t xml:space="preserve">: Microbiology Sector of the Central Laboratory of the Walter Cantídio University Hospital between January 2022 and December 2022. </w:t>
            </w:r>
            <w:r w:rsidRPr="004B620C">
              <w:rPr>
                <w:b/>
                <w:bCs/>
                <w:color w:val="000000"/>
                <w:sz w:val="22"/>
                <w:szCs w:val="22"/>
              </w:rPr>
              <w:t>Methodology</w:t>
            </w:r>
            <w:r w:rsidRPr="004B620C">
              <w:rPr>
                <w:color w:val="000000"/>
                <w:sz w:val="22"/>
                <w:szCs w:val="22"/>
              </w:rPr>
              <w:t xml:space="preserve">: All tracheal aspirate and bronchoalveolar lavage samples that showed a positive culture for </w:t>
            </w:r>
            <w:r w:rsidRPr="004B620C">
              <w:rPr>
                <w:i/>
                <w:iCs/>
                <w:color w:val="000000"/>
                <w:sz w:val="22"/>
                <w:szCs w:val="22"/>
              </w:rPr>
              <w:t xml:space="preserve">Pseudomonas </w:t>
            </w:r>
            <w:r w:rsidRPr="004B620C">
              <w:rPr>
                <w:color w:val="000000"/>
                <w:sz w:val="22"/>
                <w:szCs w:val="22"/>
              </w:rPr>
              <w:t xml:space="preserve">aeruginosa from patients admitted to the Adult Intensive Care Unit at the Walter Cantídio University Hospital were included in the study. Their identification (ID) and the Antibiotic Sensitivity Test (TSA) were carried out using the automated system VITEK® 2 (BioMérieux®, Marcyl’Etoile, France), which uses the OBSERVA system for data archiving. The detection of carbapenemases production was performed using the immunochromatographic test NG-Test Carba 5 (Laborclin - Centerlab). The data was collected by the Microbiology Sector of the hospital's Central Clinical Analysis Laboratory through patient reports issued by the hospital management system, REDCap. The reposts were reviewed by a microbiologist pharmacist from the microbiology service. The data were analyzed and audited in the Excel® program for statistical validation using the SPSS Statistics® program, version 17.0. </w:t>
            </w:r>
            <w:r w:rsidRPr="004B620C">
              <w:rPr>
                <w:b/>
                <w:bCs/>
                <w:color w:val="000000"/>
                <w:sz w:val="22"/>
                <w:szCs w:val="22"/>
              </w:rPr>
              <w:t>Results</w:t>
            </w:r>
            <w:r w:rsidRPr="004B620C">
              <w:rPr>
                <w:color w:val="000000"/>
                <w:sz w:val="22"/>
                <w:szCs w:val="22"/>
              </w:rPr>
              <w:t xml:space="preserve">: After applying exclusion criteria, 25 bacterial isolates from respiratory samples of patients admitted to the Adult ICU of the hospital tested positive for Pseudomonas aeruginosa. 80% (n=20) of these isolates originated from tracheal aspirate samples and 20% (n=5) from bronchoalveolar lavage. Of these 25 isolates, 72% (n=18) were identified as Carbapenem-Resistant Pseudomonas aeruginosa (CRPA), of which NG-Test Carba 5 identified 33% (n=6) as producers of serine carbapenemase, 28% (n=5) as producers of enzyme not identified by the test, 22% (n=4) as producers of metallo-beta-lactamase, and 17% (n=3) as non-enzymatic. Considering only isolates producing serine carbapenemases, 50% showed resistance to ceftazidime/avibactam, 83.3% to amikacin, and 100% to tigecycline and ciprofloxacin. NG-Test Carba 5 identified all isolated serine carbapenemases as KPC producers and all isolated metallo-beta-lactamases as IMP producers. It was found that patients admitted to the Adult ICU with isolates of CRPA with enzymatic resistance mechanism in respiratory samples are related to patient mortality (p &lt; 0.05). </w:t>
            </w:r>
            <w:r w:rsidRPr="004B620C">
              <w:rPr>
                <w:b/>
                <w:bCs/>
                <w:color w:val="000000"/>
                <w:sz w:val="22"/>
                <w:szCs w:val="22"/>
              </w:rPr>
              <w:t>Conclusion</w:t>
            </w:r>
            <w:r w:rsidRPr="004B620C">
              <w:rPr>
                <w:color w:val="000000"/>
                <w:sz w:val="22"/>
                <w:szCs w:val="22"/>
              </w:rPr>
              <w:t xml:space="preserve">: The study highlights high mortality rates and detection of carbapenemases in respiratory samples from patients with Pseudomonas aeruginosa infection in ICUs. The reduced effectiveness of last-line antimicrobial therapies such as ceftazidime-avibactam and the high mortality rate associated with enzymatic resistance in CRPA, underscores the importance of </w:t>
            </w:r>
            <w:r w:rsidRPr="004B620C">
              <w:rPr>
                <w:color w:val="000000"/>
                <w:sz w:val="22"/>
                <w:szCs w:val="22"/>
              </w:rPr>
              <w:lastRenderedPageBreak/>
              <w:t>hospital infection control to improve patient care.</w:t>
            </w:r>
          </w:p>
        </w:tc>
      </w:tr>
    </w:tbl>
    <w:p w14:paraId="41145DF0" w14:textId="77777777" w:rsidR="00636EB2" w:rsidRDefault="00636EB2" w:rsidP="00441B6F">
      <w:pPr>
        <w:pStyle w:val="Body"/>
        <w:spacing w:after="0"/>
        <w:rPr>
          <w:rFonts w:ascii="Arial" w:hAnsi="Arial" w:cs="Arial"/>
          <w:i/>
        </w:rPr>
      </w:pPr>
    </w:p>
    <w:p w14:paraId="7BAA2082" w14:textId="2C2EB827" w:rsidR="0024282C" w:rsidRPr="004B620C" w:rsidRDefault="00A24E7E" w:rsidP="00441B6F">
      <w:pPr>
        <w:pStyle w:val="Body"/>
        <w:spacing w:after="0"/>
        <w:rPr>
          <w:i/>
          <w:iCs/>
          <w:color w:val="000000"/>
        </w:rPr>
      </w:pPr>
      <w:r>
        <w:rPr>
          <w:rFonts w:ascii="Arial" w:hAnsi="Arial" w:cs="Arial"/>
          <w:i/>
        </w:rPr>
        <w:t xml:space="preserve">Keywords: </w:t>
      </w:r>
      <w:r w:rsidR="004B620C">
        <w:rPr>
          <w:i/>
          <w:iCs/>
          <w:color w:val="000000"/>
        </w:rPr>
        <w:t xml:space="preserve">Pseudomonas aeruginosa; Gram negative bacilli; </w:t>
      </w:r>
      <w:proofErr w:type="spellStart"/>
      <w:r w:rsidR="004B620C">
        <w:rPr>
          <w:i/>
          <w:iCs/>
          <w:color w:val="000000"/>
        </w:rPr>
        <w:t>carbapenemase</w:t>
      </w:r>
      <w:proofErr w:type="spellEnd"/>
      <w:r w:rsidR="004B620C">
        <w:rPr>
          <w:i/>
          <w:iCs/>
          <w:color w:val="000000"/>
        </w:rPr>
        <w:t>; nosocomial infection; Carba-5 test. </w:t>
      </w:r>
    </w:p>
    <w:p w14:paraId="48AE26D1" w14:textId="77777777" w:rsidR="00505F06" w:rsidRPr="00A24E7E" w:rsidRDefault="00505F06" w:rsidP="00441B6F">
      <w:pPr>
        <w:pStyle w:val="Body"/>
        <w:spacing w:after="0"/>
        <w:rPr>
          <w:rFonts w:ascii="Arial" w:hAnsi="Arial" w:cs="Arial"/>
          <w:i/>
        </w:rPr>
      </w:pPr>
    </w:p>
    <w:p w14:paraId="5C14090C" w14:textId="0E7634C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AC0B7F" w14:textId="77777777" w:rsidR="00790ADA" w:rsidRPr="00FB3A86" w:rsidRDefault="00790ADA" w:rsidP="00441B6F">
      <w:pPr>
        <w:pStyle w:val="AbstHead"/>
        <w:spacing w:after="0"/>
        <w:jc w:val="both"/>
        <w:rPr>
          <w:rFonts w:ascii="Arial" w:hAnsi="Arial" w:cs="Arial"/>
        </w:rPr>
      </w:pPr>
    </w:p>
    <w:p w14:paraId="13394D9E" w14:textId="77777777" w:rsidR="004B620C" w:rsidRPr="004B620C" w:rsidRDefault="004B620C" w:rsidP="004B620C">
      <w:pPr>
        <w:pStyle w:val="Body"/>
        <w:ind w:firstLine="720"/>
        <w:rPr>
          <w:rFonts w:ascii="Arial" w:hAnsi="Arial" w:cs="Arial"/>
        </w:rPr>
      </w:pPr>
      <w:r w:rsidRPr="004B620C">
        <w:rPr>
          <w:rFonts w:ascii="Arial" w:hAnsi="Arial" w:cs="Arial"/>
        </w:rPr>
        <w:t>Healthcare-Associated Infections (HAIs), also called nosocomial infections, can be defined as an infection acquired after the patient is admitted to the hospital environment for the purposes of hospitalization or performing health care procedures. They are highly relevant to public health because they are considered a multifactorial problem, influencing economic, biological and hospital safety aspects [1]. Its spread can be due to cross-contamination, during contact between patients and health professionals, or through the colonization of abiotic surfaces [1,2].</w:t>
      </w:r>
    </w:p>
    <w:p w14:paraId="7D9E4373" w14:textId="77777777" w:rsidR="004B620C" w:rsidRDefault="004B620C" w:rsidP="004B620C">
      <w:pPr>
        <w:pStyle w:val="Body"/>
        <w:ind w:firstLine="720"/>
        <w:rPr>
          <w:rFonts w:ascii="Arial" w:hAnsi="Arial" w:cs="Arial"/>
        </w:rPr>
      </w:pPr>
      <w:r w:rsidRPr="004B620C">
        <w:rPr>
          <w:rFonts w:ascii="Arial" w:hAnsi="Arial" w:cs="Arial"/>
        </w:rPr>
        <w:t xml:space="preserve">According to the World Health Organization (WHO), the mortality rate for patients with HAI is close to 10%, increasing by almost 3 times when analyzing only patients in Intensive Care Units (ICUs), due to the critical profile of the unit, usually treating post-operative, transplant and/or immunocompromised patients [3]. Although the number of ICU beds is considerably small within a hospital, this sector represents about 25% of the registered infections, implying the worsening of the patient's clinical condition, an increase in the number of invasive procedures for diagnosis and treatment, prolongation of the length of hospital </w:t>
      </w:r>
      <w:proofErr w:type="gramStart"/>
      <w:r w:rsidRPr="004B620C">
        <w:rPr>
          <w:rFonts w:ascii="Arial" w:hAnsi="Arial" w:cs="Arial"/>
        </w:rPr>
        <w:t>stay</w:t>
      </w:r>
      <w:proofErr w:type="gramEnd"/>
      <w:r w:rsidRPr="004B620C">
        <w:rPr>
          <w:rFonts w:ascii="Arial" w:hAnsi="Arial" w:cs="Arial"/>
        </w:rPr>
        <w:t>, and the addition of antimicrobial therapy [4].</w:t>
      </w:r>
    </w:p>
    <w:p w14:paraId="38B4E9F1" w14:textId="75B36107" w:rsidR="004B620C" w:rsidRPr="004B620C" w:rsidRDefault="004B620C" w:rsidP="004B620C">
      <w:pPr>
        <w:pStyle w:val="Body"/>
        <w:ind w:firstLine="720"/>
        <w:rPr>
          <w:rFonts w:ascii="Arial" w:hAnsi="Arial" w:cs="Arial"/>
        </w:rPr>
      </w:pPr>
      <w:r w:rsidRPr="004B620C">
        <w:rPr>
          <w:rFonts w:ascii="Arial" w:hAnsi="Arial" w:cs="Arial"/>
        </w:rPr>
        <w:t>These infections can occur in several systems of the human body, so they can be classified by their site of infection. HAIs are more of a concern when they are bloodstream infections (BSI) and respiratory tract infections (RTI), although they are also very common in the urinary tract (UTI) and surgical sites (SSI). Respiratory tract infections are highly relevant because they are an easily accessible gateway for microorganisms, and tracheal aspirate and bronchoalveolar lavage samples are the main clinical specimens collected in cases of suspected infection by this site [4].</w:t>
      </w:r>
    </w:p>
    <w:p w14:paraId="0F7FA040" w14:textId="77777777" w:rsidR="004B620C" w:rsidRPr="004B620C" w:rsidRDefault="004B620C" w:rsidP="004B620C">
      <w:pPr>
        <w:pStyle w:val="Body"/>
        <w:ind w:firstLine="720"/>
        <w:rPr>
          <w:rFonts w:ascii="Arial" w:hAnsi="Arial" w:cs="Arial"/>
        </w:rPr>
      </w:pPr>
      <w:r w:rsidRPr="004B620C">
        <w:rPr>
          <w:rFonts w:ascii="Arial" w:hAnsi="Arial" w:cs="Arial"/>
        </w:rPr>
        <w:t xml:space="preserve">An aggravating factor in HAI is the development of Antimicrobial Resistance (AMR), which is defined as the ability of microorganisms to survive and remain viable through contact with antimicrobial agents, including antibiotics, antifungals, </w:t>
      </w:r>
      <w:proofErr w:type="spellStart"/>
      <w:r w:rsidRPr="004B620C">
        <w:rPr>
          <w:rFonts w:ascii="Arial" w:hAnsi="Arial" w:cs="Arial"/>
        </w:rPr>
        <w:t>antiparasitics</w:t>
      </w:r>
      <w:proofErr w:type="spellEnd"/>
      <w:r w:rsidRPr="004B620C">
        <w:rPr>
          <w:rFonts w:ascii="Arial" w:hAnsi="Arial" w:cs="Arial"/>
        </w:rPr>
        <w:t>, disinfectants and preservatives. Although it is a natural process, the development of resistance is intensified by the selective pressure exerted through the excessive use of antimicrobials, both by the misinformation of lay patients and inadequate prescription of the drug class, and by the method of empirical therapy employed in hospital institutions to treat infections not yet identified through microbiological culture [5].</w:t>
      </w:r>
    </w:p>
    <w:p w14:paraId="2E338361" w14:textId="77777777" w:rsidR="004B620C" w:rsidRPr="004B620C" w:rsidRDefault="004B620C" w:rsidP="004B620C">
      <w:pPr>
        <w:pStyle w:val="Body"/>
        <w:ind w:firstLine="720"/>
        <w:rPr>
          <w:rFonts w:ascii="Arial" w:hAnsi="Arial" w:cs="Arial"/>
        </w:rPr>
      </w:pPr>
      <w:r w:rsidRPr="004B620C">
        <w:rPr>
          <w:rFonts w:ascii="Arial" w:hAnsi="Arial" w:cs="Arial"/>
        </w:rPr>
        <w:t xml:space="preserve">Numerous microorganisms are associated with HAIs, with bacteria being the most relevant isolates in percentage and severity, both Gram-positive (GP) and Gram-negative (GN) bacteria. Among the GP species, the most significant are Staphylococcus aureus, Streptococcus </w:t>
      </w:r>
      <w:proofErr w:type="spellStart"/>
      <w:r w:rsidRPr="004B620C">
        <w:rPr>
          <w:rFonts w:ascii="Arial" w:hAnsi="Arial" w:cs="Arial"/>
        </w:rPr>
        <w:t>spp</w:t>
      </w:r>
      <w:proofErr w:type="spellEnd"/>
      <w:r w:rsidRPr="004B620C">
        <w:rPr>
          <w:rFonts w:ascii="Arial" w:hAnsi="Arial" w:cs="Arial"/>
        </w:rPr>
        <w:t>, and Enterococcus spp. For GN bacteria, the most prevalent are Klebsiella pneumoniae, Escherichia coli, Acinetobacter baumannii and Pseudomonas aeruginosa [6].</w:t>
      </w:r>
    </w:p>
    <w:p w14:paraId="0943E8B3" w14:textId="77777777" w:rsidR="004B620C" w:rsidRPr="004B620C" w:rsidRDefault="004B620C" w:rsidP="004B620C">
      <w:pPr>
        <w:pStyle w:val="Body"/>
        <w:ind w:firstLine="720"/>
        <w:rPr>
          <w:rFonts w:ascii="Arial" w:hAnsi="Arial" w:cs="Arial"/>
        </w:rPr>
      </w:pPr>
      <w:r w:rsidRPr="004B620C">
        <w:rPr>
          <w:rFonts w:ascii="Arial" w:hAnsi="Arial" w:cs="Arial"/>
        </w:rPr>
        <w:t xml:space="preserve">Pseudomonas aeruginosa is a Gram-negative, non-sporulated, straight or slightly curved rod-shaped, facultative anaerobic bacterium characterized as a non-fermenting bacillus due to the inability to obtain energy through the fermentation of carbohydrates such as glucose [7]. It is a </w:t>
      </w:r>
      <w:proofErr w:type="gramStart"/>
      <w:r w:rsidRPr="004B620C">
        <w:rPr>
          <w:rFonts w:ascii="Arial" w:hAnsi="Arial" w:cs="Arial"/>
        </w:rPr>
        <w:t>relevant bacteria</w:t>
      </w:r>
      <w:proofErr w:type="gramEnd"/>
      <w:r w:rsidRPr="004B620C">
        <w:rPr>
          <w:rFonts w:ascii="Arial" w:hAnsi="Arial" w:cs="Arial"/>
        </w:rPr>
        <w:t xml:space="preserve"> in epidemiological studies because it is one of the most prevalent microorganisms in nosocomial infections and has many virulence factors and </w:t>
      </w:r>
      <w:r w:rsidRPr="004B620C">
        <w:rPr>
          <w:rFonts w:ascii="Arial" w:hAnsi="Arial" w:cs="Arial"/>
        </w:rPr>
        <w:lastRenderedPageBreak/>
        <w:t>resistance mechanisms that can be developed, justifying its inclusion in the ESKAPE group (Enterococcus faecium, Staphylococcus aureus, Klebsiella pneumoniae, Acinetobacter baumannii, Pseudomonas aeruginosa and Enterobacter spp.), a set of bacteria of similar high pathogenicity [8].</w:t>
      </w:r>
    </w:p>
    <w:p w14:paraId="0D42C0F2" w14:textId="77777777" w:rsidR="004B620C" w:rsidRPr="004B620C" w:rsidRDefault="004B620C" w:rsidP="004B620C">
      <w:pPr>
        <w:pStyle w:val="Body"/>
        <w:ind w:firstLine="720"/>
        <w:rPr>
          <w:rFonts w:ascii="Arial" w:hAnsi="Arial" w:cs="Arial"/>
        </w:rPr>
      </w:pPr>
      <w:r w:rsidRPr="004B620C">
        <w:rPr>
          <w:rFonts w:ascii="Arial" w:hAnsi="Arial" w:cs="Arial"/>
        </w:rPr>
        <w:t xml:space="preserve">The production of enzymes capable of hydrolyzing antibiotics is one of the main mechanisms of resistance associated with NG bacteria, and P. aeruginosa is one of the species that has increasingly shown this ability. </w:t>
      </w:r>
      <w:proofErr w:type="spellStart"/>
      <w:r w:rsidRPr="004B620C">
        <w:rPr>
          <w:rFonts w:ascii="Arial" w:hAnsi="Arial" w:cs="Arial"/>
        </w:rPr>
        <w:t>Carbapenemic</w:t>
      </w:r>
      <w:proofErr w:type="spellEnd"/>
      <w:r w:rsidRPr="004B620C">
        <w:rPr>
          <w:rFonts w:ascii="Arial" w:hAnsi="Arial" w:cs="Arial"/>
        </w:rPr>
        <w:t xml:space="preserve"> enzymes are enzymes responsible for degrading carbapenem antibiotics, an important class used in the treatment of HAIs, </w:t>
      </w:r>
      <w:proofErr w:type="gramStart"/>
      <w:r w:rsidRPr="004B620C">
        <w:rPr>
          <w:rFonts w:ascii="Arial" w:hAnsi="Arial" w:cs="Arial"/>
        </w:rPr>
        <w:t>making  carbapenem</w:t>
      </w:r>
      <w:proofErr w:type="gramEnd"/>
      <w:r w:rsidRPr="004B620C">
        <w:rPr>
          <w:rFonts w:ascii="Arial" w:hAnsi="Arial" w:cs="Arial"/>
        </w:rPr>
        <w:t>-resistant Pseudomonas aeruginosa (CRPA) isolates responsible for reducing the microbial therapeutic arsenal available in hospitals [9].</w:t>
      </w:r>
    </w:p>
    <w:p w14:paraId="54F0B3F1" w14:textId="77777777" w:rsidR="004B620C" w:rsidRPr="004B620C" w:rsidRDefault="004B620C" w:rsidP="004B620C">
      <w:pPr>
        <w:pStyle w:val="Body"/>
        <w:ind w:firstLine="720"/>
        <w:rPr>
          <w:rFonts w:ascii="Arial" w:hAnsi="Arial" w:cs="Arial"/>
        </w:rPr>
      </w:pPr>
      <w:proofErr w:type="spellStart"/>
      <w:r w:rsidRPr="004B620C">
        <w:rPr>
          <w:rFonts w:ascii="Arial" w:hAnsi="Arial" w:cs="Arial"/>
        </w:rPr>
        <w:t>Carbapenemases</w:t>
      </w:r>
      <w:proofErr w:type="spellEnd"/>
      <w:r w:rsidRPr="004B620C">
        <w:rPr>
          <w:rFonts w:ascii="Arial" w:hAnsi="Arial" w:cs="Arial"/>
        </w:rPr>
        <w:t xml:space="preserve"> can be classified based on the gene that expresses the synthesis of these enzymes, and may be serine </w:t>
      </w:r>
      <w:proofErr w:type="spellStart"/>
      <w:r w:rsidRPr="004B620C">
        <w:rPr>
          <w:rFonts w:ascii="Arial" w:hAnsi="Arial" w:cs="Arial"/>
        </w:rPr>
        <w:t>carbapanemases</w:t>
      </w:r>
      <w:proofErr w:type="spellEnd"/>
      <w:r w:rsidRPr="004B620C">
        <w:rPr>
          <w:rFonts w:ascii="Arial" w:hAnsi="Arial" w:cs="Arial"/>
        </w:rPr>
        <w:t xml:space="preserve">, which have as their main representatives the KPC (Klebsiella pneumoniae </w:t>
      </w:r>
      <w:proofErr w:type="spellStart"/>
      <w:r w:rsidRPr="004B620C">
        <w:rPr>
          <w:rFonts w:ascii="Arial" w:hAnsi="Arial" w:cs="Arial"/>
        </w:rPr>
        <w:t>carbapenemase</w:t>
      </w:r>
      <w:proofErr w:type="spellEnd"/>
      <w:r w:rsidRPr="004B620C">
        <w:rPr>
          <w:rFonts w:ascii="Arial" w:hAnsi="Arial" w:cs="Arial"/>
        </w:rPr>
        <w:t xml:space="preserve">) and OXA-48 (Oxacillinase-48) genes, or </w:t>
      </w:r>
      <w:proofErr w:type="spellStart"/>
      <w:r w:rsidRPr="004B620C">
        <w:rPr>
          <w:rFonts w:ascii="Arial" w:hAnsi="Arial" w:cs="Arial"/>
        </w:rPr>
        <w:t>metallo</w:t>
      </w:r>
      <w:proofErr w:type="spellEnd"/>
      <w:r w:rsidRPr="004B620C">
        <w:rPr>
          <w:rFonts w:ascii="Arial" w:hAnsi="Arial" w:cs="Arial"/>
        </w:rPr>
        <w:t>-β-lactamases, with IMP (</w:t>
      </w:r>
      <w:proofErr w:type="spellStart"/>
      <w:r w:rsidRPr="004B620C">
        <w:rPr>
          <w:rFonts w:ascii="Arial" w:hAnsi="Arial" w:cs="Arial"/>
        </w:rPr>
        <w:t>Imipenemase</w:t>
      </w:r>
      <w:proofErr w:type="spellEnd"/>
      <w:r w:rsidRPr="004B620C">
        <w:rPr>
          <w:rFonts w:ascii="Arial" w:hAnsi="Arial" w:cs="Arial"/>
        </w:rPr>
        <w:t xml:space="preserve">), VIM (Metallo-β-lactamase encoded by Verona </w:t>
      </w:r>
      <w:proofErr w:type="spellStart"/>
      <w:r w:rsidRPr="004B620C">
        <w:rPr>
          <w:rFonts w:ascii="Arial" w:hAnsi="Arial" w:cs="Arial"/>
        </w:rPr>
        <w:t>Integron</w:t>
      </w:r>
      <w:proofErr w:type="spellEnd"/>
      <w:r w:rsidRPr="004B620C">
        <w:rPr>
          <w:rFonts w:ascii="Arial" w:hAnsi="Arial" w:cs="Arial"/>
        </w:rPr>
        <w:t xml:space="preserve">) and NDM (New Delhi Metal-β-lactamase) as the most important </w:t>
      </w:r>
      <w:proofErr w:type="gramStart"/>
      <w:r w:rsidRPr="004B620C">
        <w:rPr>
          <w:rFonts w:ascii="Arial" w:hAnsi="Arial" w:cs="Arial"/>
        </w:rPr>
        <w:t>genes  [</w:t>
      </w:r>
      <w:proofErr w:type="gramEnd"/>
      <w:r w:rsidRPr="004B620C">
        <w:rPr>
          <w:rFonts w:ascii="Arial" w:hAnsi="Arial" w:cs="Arial"/>
        </w:rPr>
        <w:t>9,10].</w:t>
      </w:r>
    </w:p>
    <w:p w14:paraId="7FFB7071" w14:textId="31340EF3" w:rsidR="00790ADA" w:rsidRPr="00FB3A86" w:rsidRDefault="004B620C" w:rsidP="004B620C">
      <w:pPr>
        <w:pStyle w:val="Body"/>
        <w:spacing w:after="0"/>
        <w:ind w:firstLine="720"/>
        <w:rPr>
          <w:rFonts w:ascii="Arial" w:hAnsi="Arial" w:cs="Arial"/>
        </w:rPr>
      </w:pPr>
      <w:r w:rsidRPr="004B620C">
        <w:rPr>
          <w:rFonts w:ascii="Arial" w:hAnsi="Arial" w:cs="Arial"/>
        </w:rPr>
        <w:t xml:space="preserve">The detection of the bacterial resistance profile is a step of great importance for the effectiveness of the treatment of nosocomial infections, allowing the implementation of a drug therapy with greater efficacy and with less risk to the patient. The epidemiological survey of this profile is essential to contribute to scientific knowledge on bacterial resistance, fostering the study, improving good practices in care and generating warning signs for the research of new therapeutic alternatives that are capable of reducing mortality associated with HAIs, as well as improving safety in the services offered by hospitals. Therefore, the objective of this article was to detect the production of </w:t>
      </w:r>
      <w:proofErr w:type="spellStart"/>
      <w:r w:rsidRPr="004B620C">
        <w:rPr>
          <w:rFonts w:ascii="Arial" w:hAnsi="Arial" w:cs="Arial"/>
        </w:rPr>
        <w:t>carbapenemase</w:t>
      </w:r>
      <w:proofErr w:type="spellEnd"/>
      <w:r w:rsidRPr="004B620C">
        <w:rPr>
          <w:rFonts w:ascii="Arial" w:hAnsi="Arial" w:cs="Arial"/>
        </w:rPr>
        <w:t xml:space="preserve"> enzymes in isolates of Pseudomonas aeruginosa associated with the lower respiratory tract in an Adult Intensive Care Unit of a tertiary hospital in Fortaleza, Ceará, Brazil.</w:t>
      </w:r>
    </w:p>
    <w:p w14:paraId="6C15ABC4" w14:textId="3652C20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66B5CD7" w14:textId="77777777" w:rsidR="00790ADA" w:rsidRPr="00FB3A86" w:rsidRDefault="00790ADA" w:rsidP="00441B6F">
      <w:pPr>
        <w:pStyle w:val="AbstHead"/>
        <w:spacing w:after="0"/>
        <w:jc w:val="both"/>
        <w:rPr>
          <w:rFonts w:ascii="Arial" w:hAnsi="Arial" w:cs="Arial"/>
        </w:rPr>
      </w:pPr>
    </w:p>
    <w:p w14:paraId="0DAA5AC0" w14:textId="77777777" w:rsidR="004B620C" w:rsidRPr="004B620C" w:rsidRDefault="004B620C" w:rsidP="004B620C">
      <w:pPr>
        <w:pStyle w:val="Body"/>
        <w:ind w:firstLine="720"/>
        <w:rPr>
          <w:rFonts w:ascii="Arial" w:hAnsi="Arial" w:cs="Arial"/>
        </w:rPr>
      </w:pPr>
      <w:r w:rsidRPr="004B620C">
        <w:rPr>
          <w:rFonts w:ascii="Arial" w:hAnsi="Arial" w:cs="Arial"/>
        </w:rPr>
        <w:t xml:space="preserve">This is an epidemiological, descriptive, retrospective study with a quantitative approach to tracheal aspirate and bronchoalveolar lavage samples positive for Pseudomonas aeruginosa, from patients admitted to the Adult Intensive Care Unit of the Walter </w:t>
      </w:r>
      <w:proofErr w:type="spellStart"/>
      <w:r w:rsidRPr="004B620C">
        <w:rPr>
          <w:rFonts w:ascii="Arial" w:hAnsi="Arial" w:cs="Arial"/>
        </w:rPr>
        <w:t>Cantídio</w:t>
      </w:r>
      <w:proofErr w:type="spellEnd"/>
      <w:r w:rsidRPr="004B620C">
        <w:rPr>
          <w:rFonts w:ascii="Arial" w:hAnsi="Arial" w:cs="Arial"/>
        </w:rPr>
        <w:t xml:space="preserve"> University Hospital (HUWC), located in the city of Fortaleza, Ceará.</w:t>
      </w:r>
    </w:p>
    <w:p w14:paraId="5B6839E9" w14:textId="77777777" w:rsidR="004B620C" w:rsidRPr="004B620C" w:rsidRDefault="004B620C" w:rsidP="004B620C">
      <w:pPr>
        <w:pStyle w:val="Body"/>
        <w:ind w:firstLine="720"/>
        <w:rPr>
          <w:rFonts w:ascii="Arial" w:hAnsi="Arial" w:cs="Arial"/>
        </w:rPr>
      </w:pPr>
      <w:r w:rsidRPr="004B620C">
        <w:rPr>
          <w:rFonts w:ascii="Arial" w:hAnsi="Arial" w:cs="Arial"/>
        </w:rPr>
        <w:t>The identification of the samples and the antimicrobial susceptibility profile were performed using the VITEK® 2 Compact system (</w:t>
      </w:r>
      <w:proofErr w:type="spellStart"/>
      <w:r w:rsidRPr="004B620C">
        <w:rPr>
          <w:rFonts w:ascii="Arial" w:hAnsi="Arial" w:cs="Arial"/>
        </w:rPr>
        <w:t>bioMérieuxTM</w:t>
      </w:r>
      <w:proofErr w:type="spellEnd"/>
      <w:r w:rsidRPr="004B620C">
        <w:rPr>
          <w:rFonts w:ascii="Arial" w:hAnsi="Arial" w:cs="Arial"/>
        </w:rPr>
        <w:t xml:space="preserve">). The detection of </w:t>
      </w:r>
      <w:proofErr w:type="spellStart"/>
      <w:r w:rsidRPr="004B620C">
        <w:rPr>
          <w:rFonts w:ascii="Arial" w:hAnsi="Arial" w:cs="Arial"/>
        </w:rPr>
        <w:t>carbapenemase</w:t>
      </w:r>
      <w:proofErr w:type="spellEnd"/>
      <w:r w:rsidRPr="004B620C">
        <w:rPr>
          <w:rFonts w:ascii="Arial" w:hAnsi="Arial" w:cs="Arial"/>
        </w:rPr>
        <w:t xml:space="preserve"> production was performed by the immunochromatographic test NG-Test </w:t>
      </w:r>
      <w:proofErr w:type="spellStart"/>
      <w:r w:rsidRPr="004B620C">
        <w:rPr>
          <w:rFonts w:ascii="Arial" w:hAnsi="Arial" w:cs="Arial"/>
        </w:rPr>
        <w:t>Carba</w:t>
      </w:r>
      <w:proofErr w:type="spellEnd"/>
      <w:r w:rsidRPr="004B620C">
        <w:rPr>
          <w:rFonts w:ascii="Arial" w:hAnsi="Arial" w:cs="Arial"/>
        </w:rPr>
        <w:t xml:space="preserve"> 5 (</w:t>
      </w:r>
      <w:proofErr w:type="spellStart"/>
      <w:r w:rsidRPr="004B620C">
        <w:rPr>
          <w:rFonts w:ascii="Arial" w:hAnsi="Arial" w:cs="Arial"/>
        </w:rPr>
        <w:t>Laborclin</w:t>
      </w:r>
      <w:proofErr w:type="spellEnd"/>
      <w:r w:rsidRPr="004B620C">
        <w:rPr>
          <w:rFonts w:ascii="Arial" w:hAnsi="Arial" w:cs="Arial"/>
        </w:rPr>
        <w:t xml:space="preserve"> - </w:t>
      </w:r>
      <w:proofErr w:type="spellStart"/>
      <w:r w:rsidRPr="004B620C">
        <w:rPr>
          <w:rFonts w:ascii="Arial" w:hAnsi="Arial" w:cs="Arial"/>
        </w:rPr>
        <w:t>Centerlab</w:t>
      </w:r>
      <w:proofErr w:type="spellEnd"/>
      <w:r w:rsidRPr="004B620C">
        <w:rPr>
          <w:rFonts w:ascii="Arial" w:hAnsi="Arial" w:cs="Arial"/>
        </w:rPr>
        <w:t xml:space="preserve">), in addition to the </w:t>
      </w:r>
      <w:proofErr w:type="spellStart"/>
      <w:r w:rsidRPr="004B620C">
        <w:rPr>
          <w:rFonts w:ascii="Arial" w:hAnsi="Arial" w:cs="Arial"/>
        </w:rPr>
        <w:t>mCIM</w:t>
      </w:r>
      <w:proofErr w:type="spellEnd"/>
      <w:r w:rsidRPr="004B620C">
        <w:rPr>
          <w:rFonts w:ascii="Arial" w:hAnsi="Arial" w:cs="Arial"/>
        </w:rPr>
        <w:t xml:space="preserve"> (Modified Carbapenem Inactivation Method) assays. The minimum inhibitory concentrations were interpreted according to the Brazilian Antimicrobial Susceptibility Testing Committee (</w:t>
      </w:r>
      <w:proofErr w:type="spellStart"/>
      <w:r w:rsidRPr="004B620C">
        <w:rPr>
          <w:rFonts w:ascii="Arial" w:hAnsi="Arial" w:cs="Arial"/>
        </w:rPr>
        <w:t>BrCAST</w:t>
      </w:r>
      <w:proofErr w:type="spellEnd"/>
      <w:r w:rsidRPr="004B620C">
        <w:rPr>
          <w:rFonts w:ascii="Arial" w:hAnsi="Arial" w:cs="Arial"/>
        </w:rPr>
        <w:t>, 2022).</w:t>
      </w:r>
    </w:p>
    <w:p w14:paraId="48828865" w14:textId="77777777" w:rsidR="004B620C" w:rsidRPr="004B620C" w:rsidRDefault="004B620C" w:rsidP="004B620C">
      <w:pPr>
        <w:pStyle w:val="Body"/>
        <w:ind w:firstLine="720"/>
        <w:rPr>
          <w:rFonts w:ascii="Arial" w:hAnsi="Arial" w:cs="Arial"/>
        </w:rPr>
      </w:pPr>
      <w:r w:rsidRPr="004B620C">
        <w:rPr>
          <w:rFonts w:ascii="Arial" w:hAnsi="Arial" w:cs="Arial"/>
        </w:rPr>
        <w:t xml:space="preserve">Data were collected by the Microbiology Sector of the Central Laboratory of Clinical Analysis of the hospital through the </w:t>
      </w:r>
      <w:proofErr w:type="spellStart"/>
      <w:r w:rsidRPr="004B620C">
        <w:rPr>
          <w:rFonts w:ascii="Arial" w:hAnsi="Arial" w:cs="Arial"/>
        </w:rPr>
        <w:t>REDCap</w:t>
      </w:r>
      <w:proofErr w:type="spellEnd"/>
      <w:r w:rsidRPr="004B620C">
        <w:rPr>
          <w:rFonts w:ascii="Arial" w:hAnsi="Arial" w:cs="Arial"/>
        </w:rPr>
        <w:t xml:space="preserve"> management system. All positive cultures of lower respiratory tract samples (tracheal aspirate and bronchoalveolar lavage) from the study population from January to December 2022 were included. Patients who presented two or more culture results with the same resistance profile and isolated microorganism in a short period of time were identified for the inclusion of only one report for the research.</w:t>
      </w:r>
    </w:p>
    <w:p w14:paraId="5BD97882" w14:textId="106EAA9C" w:rsidR="00790ADA" w:rsidRDefault="004B620C" w:rsidP="004B620C">
      <w:pPr>
        <w:pStyle w:val="Body"/>
        <w:spacing w:after="0"/>
        <w:ind w:firstLine="720"/>
        <w:rPr>
          <w:rFonts w:ascii="Arial" w:hAnsi="Arial" w:cs="Arial"/>
        </w:rPr>
      </w:pPr>
      <w:r w:rsidRPr="004B620C">
        <w:rPr>
          <w:rFonts w:ascii="Arial" w:hAnsi="Arial" w:cs="Arial"/>
        </w:rPr>
        <w:t xml:space="preserve">The data were analyzed and audited in the program Excel® and statistical analysis was performed using the Statistical Package for the Social Sciences (SPSS), using Pearson's chi-squared test (χ2) and 95% confidence interval (95% CI). For interpretation, p </w:t>
      </w:r>
      <w:r w:rsidRPr="004B620C">
        <w:rPr>
          <w:rFonts w:ascii="Arial" w:hAnsi="Arial" w:cs="Arial"/>
        </w:rPr>
        <w:lastRenderedPageBreak/>
        <w:t xml:space="preserve">&lt; 0.05 were considered significant. This research was carried out in accordance with the ethical and legal principles that govern research on human beings, as recommended in Resolution No. 466/2012 of the National Health Council (CNS), approved by the Research Ethics Committee of the HUWC under n°. </w:t>
      </w:r>
      <w:r w:rsidR="00554E19" w:rsidRPr="00554E19">
        <w:rPr>
          <w:rFonts w:ascii="Arial" w:hAnsi="Arial" w:cs="Arial"/>
        </w:rPr>
        <w:t>6.717.757</w:t>
      </w:r>
      <w:r w:rsidRPr="004B620C">
        <w:rPr>
          <w:rFonts w:ascii="Arial" w:hAnsi="Arial" w:cs="Arial"/>
        </w:rPr>
        <w:t>.</w:t>
      </w:r>
    </w:p>
    <w:p w14:paraId="0C6A5CEF" w14:textId="77777777" w:rsidR="004B620C" w:rsidRPr="00FB3A86" w:rsidRDefault="004B620C" w:rsidP="004B620C">
      <w:pPr>
        <w:pStyle w:val="Body"/>
        <w:spacing w:after="0"/>
        <w:ind w:firstLine="720"/>
        <w:rPr>
          <w:rFonts w:ascii="Arial" w:hAnsi="Arial" w:cs="Arial"/>
        </w:rPr>
      </w:pPr>
    </w:p>
    <w:p w14:paraId="40F10D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8EDF9F" w14:textId="77777777" w:rsidR="00790ADA" w:rsidRPr="00FB3A86" w:rsidRDefault="00790ADA" w:rsidP="00441B6F">
      <w:pPr>
        <w:pStyle w:val="Head1"/>
        <w:spacing w:after="0"/>
        <w:jc w:val="both"/>
        <w:rPr>
          <w:rFonts w:ascii="Arial" w:hAnsi="Arial" w:cs="Arial"/>
        </w:rPr>
      </w:pPr>
    </w:p>
    <w:p w14:paraId="0B149A2B" w14:textId="77777777" w:rsidR="004B620C" w:rsidRPr="004B620C" w:rsidRDefault="004B620C" w:rsidP="004B620C">
      <w:pPr>
        <w:pStyle w:val="Body"/>
        <w:rPr>
          <w:rFonts w:ascii="Arial" w:hAnsi="Arial" w:cs="Arial"/>
        </w:rPr>
      </w:pPr>
      <w:r w:rsidRPr="004B620C">
        <w:rPr>
          <w:rFonts w:ascii="Arial" w:hAnsi="Arial" w:cs="Arial"/>
        </w:rPr>
        <w:t>In 2022, 50 respiratory tract samples positive for Pseudomonas aeruginosa were identified, isolated from 25 patients admitted to the hospital's Adult ICU. After applying the exclusion criteria, only 25 isolates were kept for the development of this survey due to the repetition of the isolation of microorganisms with the same profile in a short time interval.</w:t>
      </w:r>
    </w:p>
    <w:p w14:paraId="306B0B1C" w14:textId="77777777" w:rsidR="004B620C" w:rsidRPr="004B620C" w:rsidRDefault="004B620C" w:rsidP="004B620C">
      <w:pPr>
        <w:pStyle w:val="Body"/>
        <w:rPr>
          <w:rFonts w:ascii="Arial" w:hAnsi="Arial" w:cs="Arial"/>
        </w:rPr>
      </w:pPr>
      <w:r w:rsidRPr="004B620C">
        <w:rPr>
          <w:rFonts w:ascii="Arial" w:hAnsi="Arial" w:cs="Arial"/>
        </w:rPr>
        <w:tab/>
        <w:t>Considering the selected data, 80% (n= 20) were samples of tracheal aspirate and 20% (n= 5) of bronchoalveolar lavage. The mean age of the patients was 61.16 years, with a standard deviation of 18.25, justified by the discrepancy in age of the selected patients, which ranged from 22 to 85 years of age. Regarding gender, 56% (n= 14) were male and 44% (n= 11) were female. As a clinical outcome, 20% (n= 5) were medical discharged and 80% (n= 20) died.</w:t>
      </w:r>
    </w:p>
    <w:p w14:paraId="15960073" w14:textId="77777777" w:rsidR="004B620C" w:rsidRPr="004B620C" w:rsidRDefault="004B620C" w:rsidP="004B620C">
      <w:pPr>
        <w:pStyle w:val="Body"/>
        <w:rPr>
          <w:rFonts w:ascii="Arial" w:hAnsi="Arial" w:cs="Arial"/>
        </w:rPr>
      </w:pPr>
      <w:r w:rsidRPr="004B620C">
        <w:rPr>
          <w:rFonts w:ascii="Arial" w:hAnsi="Arial" w:cs="Arial"/>
        </w:rPr>
        <w:tab/>
        <w:t>The respiratory tract is considered one of the most relevant sites of infection because it is associated with a large part of the mortality rate in patients with HAI, mainly due to the facilitation of physical access for bacteria through ventilatory support and/or other medical devices associated with the respiratory canal. In addition, the upper respiratory tract is an environment highly colonized by several microorganisms, which can hinder microbiological diagnosis due to the presence of contaminating microorganisms in the sample [11].</w:t>
      </w:r>
    </w:p>
    <w:p w14:paraId="369BF5FF" w14:textId="77777777" w:rsidR="004B620C" w:rsidRPr="004B620C" w:rsidRDefault="004B620C" w:rsidP="002907D1">
      <w:pPr>
        <w:pStyle w:val="Body"/>
        <w:ind w:firstLine="720"/>
        <w:rPr>
          <w:rFonts w:ascii="Arial" w:hAnsi="Arial" w:cs="Arial"/>
        </w:rPr>
      </w:pPr>
      <w:r w:rsidRPr="004B620C">
        <w:rPr>
          <w:rFonts w:ascii="Arial" w:hAnsi="Arial" w:cs="Arial"/>
        </w:rPr>
        <w:t>Studies indicate that the rates of Healthcare-Associated Infections in Brazil are higher than in other countries, with the bacterium Pseudomonas aeruginosa being one of the most worrisome in terms of incidence and virulence, especially those strains that have the ability to produce enzymes that attribute resistance mechanisms to it and restrict the therapeutic options available [12,13].</w:t>
      </w:r>
    </w:p>
    <w:p w14:paraId="3B6EC407" w14:textId="183916A6" w:rsidR="00231920" w:rsidRDefault="004B620C" w:rsidP="002907D1">
      <w:pPr>
        <w:pStyle w:val="Body"/>
        <w:spacing w:after="0"/>
        <w:ind w:firstLine="720"/>
        <w:rPr>
          <w:rFonts w:ascii="Arial" w:hAnsi="Arial" w:cs="Arial"/>
        </w:rPr>
      </w:pPr>
      <w:r w:rsidRPr="004B620C">
        <w:rPr>
          <w:rFonts w:ascii="Arial" w:hAnsi="Arial" w:cs="Arial"/>
        </w:rPr>
        <w:t>Table 1 presents the absolute and relative frequency of the susceptibility tests successfully performed by the VITEK® 2 Compact system (</w:t>
      </w:r>
      <w:proofErr w:type="spellStart"/>
      <w:r w:rsidRPr="004B620C">
        <w:rPr>
          <w:rFonts w:ascii="Arial" w:hAnsi="Arial" w:cs="Arial"/>
        </w:rPr>
        <w:t>bioMérieuxTM</w:t>
      </w:r>
      <w:proofErr w:type="spellEnd"/>
      <w:r w:rsidRPr="004B620C">
        <w:rPr>
          <w:rFonts w:ascii="Arial" w:hAnsi="Arial" w:cs="Arial"/>
        </w:rPr>
        <w:t>) for the selected Pseudomonas aeruginosa isolates.</w:t>
      </w:r>
    </w:p>
    <w:p w14:paraId="10802532" w14:textId="77777777" w:rsidR="004B620C" w:rsidRDefault="004B620C" w:rsidP="004B620C">
      <w:pPr>
        <w:pStyle w:val="Body"/>
        <w:spacing w:after="0"/>
        <w:rPr>
          <w:rFonts w:ascii="Arial" w:hAnsi="Arial" w:cs="Arial"/>
        </w:rPr>
      </w:pPr>
    </w:p>
    <w:p w14:paraId="4297FF5D" w14:textId="42D09C62" w:rsidR="004B620C" w:rsidRDefault="004B620C" w:rsidP="004B620C">
      <w:pPr>
        <w:jc w:val="both"/>
        <w:rPr>
          <w:rFonts w:ascii="Arial" w:hAnsi="Arial" w:cs="Arial"/>
          <w:lang w:val="pt-BR" w:eastAsia="pt-BR"/>
        </w:rPr>
      </w:pPr>
      <w:r w:rsidRPr="004B620C">
        <w:rPr>
          <w:rFonts w:ascii="Arial" w:hAnsi="Arial" w:cs="Arial"/>
          <w:b/>
          <w:bCs/>
          <w:color w:val="000000"/>
          <w:lang w:val="pt-BR" w:eastAsia="pt-BR"/>
        </w:rPr>
        <w:t xml:space="preserve">Table 1. Absolute and relative frequency of antimicrobials tested in </w:t>
      </w:r>
      <w:r w:rsidRPr="004B620C">
        <w:rPr>
          <w:rFonts w:ascii="Arial" w:hAnsi="Arial" w:cs="Arial"/>
          <w:b/>
          <w:bCs/>
          <w:i/>
          <w:iCs/>
          <w:color w:val="000000"/>
          <w:lang w:val="pt-BR" w:eastAsia="pt-BR"/>
        </w:rPr>
        <w:t xml:space="preserve">Pseudomonas aeruginosa </w:t>
      </w:r>
      <w:r w:rsidRPr="004B620C">
        <w:rPr>
          <w:rFonts w:ascii="Arial" w:hAnsi="Arial" w:cs="Arial"/>
          <w:b/>
          <w:bCs/>
          <w:color w:val="000000"/>
          <w:lang w:val="pt-BR" w:eastAsia="pt-BR"/>
        </w:rPr>
        <w:t>isolates</w:t>
      </w:r>
    </w:p>
    <w:p w14:paraId="3CF5B7EB" w14:textId="77777777" w:rsidR="004B620C" w:rsidRPr="004B620C" w:rsidRDefault="004B620C" w:rsidP="004B620C">
      <w:pPr>
        <w:jc w:val="both"/>
        <w:rPr>
          <w:rFonts w:ascii="Arial" w:hAnsi="Arial" w:cs="Arial"/>
          <w:lang w:val="pt-BR" w:eastAsia="pt-BR"/>
        </w:rPr>
      </w:pPr>
    </w:p>
    <w:tbl>
      <w:tblPr>
        <w:tblW w:w="0" w:type="auto"/>
        <w:tblCellMar>
          <w:top w:w="15" w:type="dxa"/>
          <w:left w:w="15" w:type="dxa"/>
          <w:bottom w:w="15" w:type="dxa"/>
          <w:right w:w="15" w:type="dxa"/>
        </w:tblCellMar>
        <w:tblLook w:val="04A0" w:firstRow="1" w:lastRow="0" w:firstColumn="1" w:lastColumn="0" w:noHBand="0" w:noVBand="1"/>
      </w:tblPr>
      <w:tblGrid>
        <w:gridCol w:w="2835"/>
        <w:gridCol w:w="1701"/>
        <w:gridCol w:w="1701"/>
        <w:gridCol w:w="1701"/>
      </w:tblGrid>
      <w:tr w:rsidR="004B620C" w:rsidRPr="004B620C" w14:paraId="71A37CE4" w14:textId="77777777" w:rsidTr="00554E19">
        <w:trPr>
          <w:trHeight w:val="227"/>
        </w:trPr>
        <w:tc>
          <w:tcPr>
            <w:tcW w:w="2835" w:type="dxa"/>
            <w:tcBorders>
              <w:top w:val="single" w:sz="8" w:space="0" w:color="000000"/>
              <w:bottom w:val="single" w:sz="8" w:space="0" w:color="000000"/>
            </w:tcBorders>
            <w:tcMar>
              <w:top w:w="100" w:type="dxa"/>
              <w:left w:w="100" w:type="dxa"/>
              <w:bottom w:w="100" w:type="dxa"/>
              <w:right w:w="100" w:type="dxa"/>
            </w:tcMar>
            <w:hideMark/>
          </w:tcPr>
          <w:p w14:paraId="5C2C57CB" w14:textId="77777777" w:rsidR="004B620C" w:rsidRPr="004B620C" w:rsidRDefault="004B620C" w:rsidP="004B620C">
            <w:pPr>
              <w:jc w:val="center"/>
              <w:rPr>
                <w:rFonts w:ascii="Arial" w:hAnsi="Arial" w:cs="Arial"/>
                <w:lang w:val="pt-BR" w:eastAsia="pt-BR"/>
              </w:rPr>
            </w:pPr>
            <w:r w:rsidRPr="004B620C">
              <w:rPr>
                <w:rFonts w:ascii="Arial" w:hAnsi="Arial" w:cs="Arial"/>
                <w:b/>
                <w:bCs/>
                <w:color w:val="000000"/>
                <w:lang w:val="pt-BR" w:eastAsia="pt-BR"/>
              </w:rPr>
              <w:t>Antimicrobials</w:t>
            </w:r>
          </w:p>
        </w:tc>
        <w:tc>
          <w:tcPr>
            <w:tcW w:w="1701" w:type="dxa"/>
            <w:tcBorders>
              <w:top w:val="single" w:sz="8" w:space="0" w:color="000000"/>
              <w:bottom w:val="single" w:sz="8" w:space="0" w:color="000000"/>
            </w:tcBorders>
            <w:tcMar>
              <w:top w:w="100" w:type="dxa"/>
              <w:left w:w="100" w:type="dxa"/>
              <w:bottom w:w="100" w:type="dxa"/>
              <w:right w:w="100" w:type="dxa"/>
            </w:tcMar>
            <w:hideMark/>
          </w:tcPr>
          <w:p w14:paraId="2C30EBC0" w14:textId="77777777" w:rsidR="004B620C" w:rsidRPr="004B620C" w:rsidRDefault="004B620C" w:rsidP="004B620C">
            <w:pPr>
              <w:jc w:val="center"/>
              <w:rPr>
                <w:rFonts w:ascii="Arial" w:hAnsi="Arial" w:cs="Arial"/>
                <w:lang w:val="pt-BR" w:eastAsia="pt-BR"/>
              </w:rPr>
            </w:pPr>
            <w:r w:rsidRPr="004B620C">
              <w:rPr>
                <w:rFonts w:ascii="Arial" w:hAnsi="Arial" w:cs="Arial"/>
                <w:b/>
                <w:bCs/>
                <w:color w:val="000000"/>
                <w:lang w:val="pt-BR" w:eastAsia="pt-BR"/>
              </w:rPr>
              <w:t>N</w:t>
            </w:r>
          </w:p>
        </w:tc>
        <w:tc>
          <w:tcPr>
            <w:tcW w:w="1701" w:type="dxa"/>
            <w:tcBorders>
              <w:top w:val="single" w:sz="8" w:space="0" w:color="000000"/>
              <w:bottom w:val="single" w:sz="8" w:space="0" w:color="000000"/>
            </w:tcBorders>
            <w:tcMar>
              <w:top w:w="100" w:type="dxa"/>
              <w:left w:w="100" w:type="dxa"/>
              <w:bottom w:w="100" w:type="dxa"/>
              <w:right w:w="100" w:type="dxa"/>
            </w:tcMar>
            <w:hideMark/>
          </w:tcPr>
          <w:p w14:paraId="6BD0F8E4" w14:textId="77777777" w:rsidR="004B620C" w:rsidRPr="004B620C" w:rsidRDefault="004B620C" w:rsidP="004B620C">
            <w:pPr>
              <w:jc w:val="center"/>
              <w:rPr>
                <w:rFonts w:ascii="Arial" w:hAnsi="Arial" w:cs="Arial"/>
                <w:lang w:val="pt-BR" w:eastAsia="pt-BR"/>
              </w:rPr>
            </w:pPr>
            <w:r w:rsidRPr="004B620C">
              <w:rPr>
                <w:rFonts w:ascii="Arial" w:hAnsi="Arial" w:cs="Arial"/>
                <w:b/>
                <w:bCs/>
                <w:color w:val="000000"/>
                <w:lang w:val="pt-BR" w:eastAsia="pt-BR"/>
              </w:rPr>
              <w:t>%</w:t>
            </w:r>
          </w:p>
        </w:tc>
        <w:tc>
          <w:tcPr>
            <w:tcW w:w="1701" w:type="dxa"/>
            <w:tcBorders>
              <w:top w:val="single" w:sz="8" w:space="0" w:color="000000"/>
              <w:bottom w:val="single" w:sz="8" w:space="0" w:color="000000"/>
              <w:right w:val="single" w:sz="8" w:space="0" w:color="FFFFFF"/>
            </w:tcBorders>
            <w:tcMar>
              <w:top w:w="100" w:type="dxa"/>
              <w:left w:w="100" w:type="dxa"/>
              <w:bottom w:w="100" w:type="dxa"/>
              <w:right w:w="100" w:type="dxa"/>
            </w:tcMar>
            <w:hideMark/>
          </w:tcPr>
          <w:p w14:paraId="4AE9425B" w14:textId="77777777" w:rsidR="004B620C" w:rsidRPr="004B620C" w:rsidRDefault="004B620C" w:rsidP="004B620C">
            <w:pPr>
              <w:jc w:val="center"/>
              <w:rPr>
                <w:rFonts w:ascii="Arial" w:hAnsi="Arial" w:cs="Arial"/>
                <w:lang w:val="pt-BR" w:eastAsia="pt-BR"/>
              </w:rPr>
            </w:pPr>
            <w:r w:rsidRPr="004B620C">
              <w:rPr>
                <w:rFonts w:ascii="Arial" w:hAnsi="Arial" w:cs="Arial"/>
                <w:b/>
                <w:bCs/>
                <w:color w:val="000000"/>
                <w:lang w:val="pt-BR" w:eastAsia="pt-BR"/>
              </w:rPr>
              <w:t>CI (95%)</w:t>
            </w:r>
          </w:p>
        </w:tc>
      </w:tr>
      <w:tr w:rsidR="004B620C" w:rsidRPr="004B620C" w14:paraId="79E378DA" w14:textId="77777777" w:rsidTr="004B620C">
        <w:trPr>
          <w:trHeight w:val="227"/>
        </w:trPr>
        <w:tc>
          <w:tcPr>
            <w:tcW w:w="2835" w:type="dxa"/>
            <w:tcBorders>
              <w:top w:val="single" w:sz="8" w:space="0" w:color="000000"/>
            </w:tcBorders>
            <w:tcMar>
              <w:top w:w="100" w:type="dxa"/>
              <w:left w:w="100" w:type="dxa"/>
              <w:bottom w:w="100" w:type="dxa"/>
              <w:right w:w="100" w:type="dxa"/>
            </w:tcMar>
            <w:hideMark/>
          </w:tcPr>
          <w:p w14:paraId="27FB1CE2"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Piperacilin/Tazobactam</w:t>
            </w:r>
          </w:p>
        </w:tc>
        <w:tc>
          <w:tcPr>
            <w:tcW w:w="1701" w:type="dxa"/>
            <w:tcBorders>
              <w:top w:val="single" w:sz="8" w:space="0" w:color="000000"/>
            </w:tcBorders>
            <w:tcMar>
              <w:top w:w="100" w:type="dxa"/>
              <w:left w:w="100" w:type="dxa"/>
              <w:bottom w:w="100" w:type="dxa"/>
              <w:right w:w="100" w:type="dxa"/>
            </w:tcMar>
            <w:hideMark/>
          </w:tcPr>
          <w:p w14:paraId="678FCCDC"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23</w:t>
            </w:r>
          </w:p>
        </w:tc>
        <w:tc>
          <w:tcPr>
            <w:tcW w:w="1701" w:type="dxa"/>
            <w:tcBorders>
              <w:top w:val="single" w:sz="8" w:space="0" w:color="000000"/>
            </w:tcBorders>
            <w:tcMar>
              <w:top w:w="100" w:type="dxa"/>
              <w:left w:w="100" w:type="dxa"/>
              <w:bottom w:w="100" w:type="dxa"/>
              <w:right w:w="100" w:type="dxa"/>
            </w:tcMar>
            <w:hideMark/>
          </w:tcPr>
          <w:p w14:paraId="12B30E0F"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92</w:t>
            </w:r>
          </w:p>
        </w:tc>
        <w:tc>
          <w:tcPr>
            <w:tcW w:w="1701" w:type="dxa"/>
            <w:tcBorders>
              <w:top w:val="single" w:sz="8" w:space="0" w:color="000000"/>
              <w:right w:val="single" w:sz="8" w:space="0" w:color="FFFFFF"/>
            </w:tcBorders>
            <w:tcMar>
              <w:top w:w="100" w:type="dxa"/>
              <w:left w:w="100" w:type="dxa"/>
              <w:bottom w:w="100" w:type="dxa"/>
              <w:right w:w="100" w:type="dxa"/>
            </w:tcMar>
            <w:hideMark/>
          </w:tcPr>
          <w:p w14:paraId="7A2F0BC5"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72,49 - 98,61</w:t>
            </w:r>
          </w:p>
        </w:tc>
      </w:tr>
      <w:tr w:rsidR="004B620C" w:rsidRPr="004B620C" w14:paraId="19330D35" w14:textId="77777777" w:rsidTr="004B620C">
        <w:tc>
          <w:tcPr>
            <w:tcW w:w="2835" w:type="dxa"/>
            <w:tcMar>
              <w:top w:w="100" w:type="dxa"/>
              <w:left w:w="100" w:type="dxa"/>
              <w:bottom w:w="100" w:type="dxa"/>
              <w:right w:w="100" w:type="dxa"/>
            </w:tcMar>
            <w:hideMark/>
          </w:tcPr>
          <w:p w14:paraId="26A03FCE"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Ceftazidime/Avibactam</w:t>
            </w:r>
          </w:p>
        </w:tc>
        <w:tc>
          <w:tcPr>
            <w:tcW w:w="1701" w:type="dxa"/>
            <w:tcMar>
              <w:top w:w="100" w:type="dxa"/>
              <w:left w:w="100" w:type="dxa"/>
              <w:bottom w:w="100" w:type="dxa"/>
              <w:right w:w="100" w:type="dxa"/>
            </w:tcMar>
            <w:hideMark/>
          </w:tcPr>
          <w:p w14:paraId="6CBC7802"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11</w:t>
            </w:r>
          </w:p>
        </w:tc>
        <w:tc>
          <w:tcPr>
            <w:tcW w:w="1701" w:type="dxa"/>
            <w:tcMar>
              <w:top w:w="100" w:type="dxa"/>
              <w:left w:w="100" w:type="dxa"/>
              <w:bottom w:w="100" w:type="dxa"/>
              <w:right w:w="100" w:type="dxa"/>
            </w:tcMar>
            <w:hideMark/>
          </w:tcPr>
          <w:p w14:paraId="1554CB15"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44</w:t>
            </w:r>
          </w:p>
        </w:tc>
        <w:tc>
          <w:tcPr>
            <w:tcW w:w="1701" w:type="dxa"/>
            <w:tcBorders>
              <w:right w:val="single" w:sz="8" w:space="0" w:color="FFFFFF"/>
            </w:tcBorders>
            <w:tcMar>
              <w:top w:w="100" w:type="dxa"/>
              <w:left w:w="100" w:type="dxa"/>
              <w:bottom w:w="100" w:type="dxa"/>
              <w:right w:w="100" w:type="dxa"/>
            </w:tcMar>
            <w:hideMark/>
          </w:tcPr>
          <w:p w14:paraId="70FF9CE6"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25,02 - 64,73</w:t>
            </w:r>
          </w:p>
        </w:tc>
      </w:tr>
      <w:tr w:rsidR="004B620C" w:rsidRPr="004B620C" w14:paraId="3CD78B82" w14:textId="77777777" w:rsidTr="004B620C">
        <w:tc>
          <w:tcPr>
            <w:tcW w:w="2835" w:type="dxa"/>
            <w:tcMar>
              <w:top w:w="100" w:type="dxa"/>
              <w:left w:w="100" w:type="dxa"/>
              <w:bottom w:w="100" w:type="dxa"/>
              <w:right w:w="100" w:type="dxa"/>
            </w:tcMar>
            <w:hideMark/>
          </w:tcPr>
          <w:p w14:paraId="568E6239"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Ceftazidime</w:t>
            </w:r>
          </w:p>
        </w:tc>
        <w:tc>
          <w:tcPr>
            <w:tcW w:w="1701" w:type="dxa"/>
            <w:tcMar>
              <w:top w:w="100" w:type="dxa"/>
              <w:left w:w="100" w:type="dxa"/>
              <w:bottom w:w="100" w:type="dxa"/>
              <w:right w:w="100" w:type="dxa"/>
            </w:tcMar>
            <w:hideMark/>
          </w:tcPr>
          <w:p w14:paraId="2F5B18D9"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w:t>
            </w:r>
          </w:p>
        </w:tc>
        <w:tc>
          <w:tcPr>
            <w:tcW w:w="1701" w:type="dxa"/>
            <w:tcMar>
              <w:top w:w="100" w:type="dxa"/>
              <w:left w:w="100" w:type="dxa"/>
              <w:bottom w:w="100" w:type="dxa"/>
              <w:right w:w="100" w:type="dxa"/>
            </w:tcMar>
            <w:hideMark/>
          </w:tcPr>
          <w:p w14:paraId="54D50523"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100</w:t>
            </w:r>
          </w:p>
        </w:tc>
        <w:tc>
          <w:tcPr>
            <w:tcW w:w="1701" w:type="dxa"/>
            <w:tcBorders>
              <w:right w:val="single" w:sz="8" w:space="0" w:color="FFFFFF"/>
            </w:tcBorders>
            <w:tcMar>
              <w:top w:w="100" w:type="dxa"/>
              <w:left w:w="100" w:type="dxa"/>
              <w:bottom w:w="100" w:type="dxa"/>
              <w:right w:w="100" w:type="dxa"/>
            </w:tcMar>
            <w:hideMark/>
          </w:tcPr>
          <w:p w14:paraId="0B32F46C"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83,42 - 100</w:t>
            </w:r>
          </w:p>
        </w:tc>
      </w:tr>
      <w:tr w:rsidR="004B620C" w:rsidRPr="004B620C" w14:paraId="57160D82" w14:textId="77777777" w:rsidTr="004B620C">
        <w:tc>
          <w:tcPr>
            <w:tcW w:w="2835" w:type="dxa"/>
            <w:tcMar>
              <w:top w:w="100" w:type="dxa"/>
              <w:left w:w="100" w:type="dxa"/>
              <w:bottom w:w="100" w:type="dxa"/>
              <w:right w:w="100" w:type="dxa"/>
            </w:tcMar>
            <w:hideMark/>
          </w:tcPr>
          <w:p w14:paraId="340FBD83"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Cefepime</w:t>
            </w:r>
          </w:p>
        </w:tc>
        <w:tc>
          <w:tcPr>
            <w:tcW w:w="1701" w:type="dxa"/>
            <w:tcMar>
              <w:top w:w="100" w:type="dxa"/>
              <w:left w:w="100" w:type="dxa"/>
              <w:bottom w:w="100" w:type="dxa"/>
              <w:right w:w="100" w:type="dxa"/>
            </w:tcMar>
            <w:hideMark/>
          </w:tcPr>
          <w:p w14:paraId="5AE628C6"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w:t>
            </w:r>
          </w:p>
        </w:tc>
        <w:tc>
          <w:tcPr>
            <w:tcW w:w="1701" w:type="dxa"/>
            <w:tcMar>
              <w:top w:w="100" w:type="dxa"/>
              <w:left w:w="100" w:type="dxa"/>
              <w:bottom w:w="100" w:type="dxa"/>
              <w:right w:w="100" w:type="dxa"/>
            </w:tcMar>
            <w:hideMark/>
          </w:tcPr>
          <w:p w14:paraId="4AB71A22"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100</w:t>
            </w:r>
          </w:p>
        </w:tc>
        <w:tc>
          <w:tcPr>
            <w:tcW w:w="1701" w:type="dxa"/>
            <w:tcBorders>
              <w:right w:val="single" w:sz="8" w:space="0" w:color="FFFFFF"/>
            </w:tcBorders>
            <w:tcMar>
              <w:top w:w="100" w:type="dxa"/>
              <w:left w:w="100" w:type="dxa"/>
              <w:bottom w:w="100" w:type="dxa"/>
              <w:right w:w="100" w:type="dxa"/>
            </w:tcMar>
            <w:hideMark/>
          </w:tcPr>
          <w:p w14:paraId="6D725AE6"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83,42 - 100</w:t>
            </w:r>
          </w:p>
        </w:tc>
      </w:tr>
      <w:tr w:rsidR="004B620C" w:rsidRPr="004B620C" w14:paraId="56103C9D" w14:textId="77777777" w:rsidTr="004B620C">
        <w:tc>
          <w:tcPr>
            <w:tcW w:w="2835" w:type="dxa"/>
            <w:tcMar>
              <w:top w:w="100" w:type="dxa"/>
              <w:left w:w="100" w:type="dxa"/>
              <w:bottom w:w="100" w:type="dxa"/>
              <w:right w:w="100" w:type="dxa"/>
            </w:tcMar>
            <w:hideMark/>
          </w:tcPr>
          <w:p w14:paraId="04111A0F"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Imipenem</w:t>
            </w:r>
          </w:p>
        </w:tc>
        <w:tc>
          <w:tcPr>
            <w:tcW w:w="1701" w:type="dxa"/>
            <w:tcMar>
              <w:top w:w="100" w:type="dxa"/>
              <w:left w:w="100" w:type="dxa"/>
              <w:bottom w:w="100" w:type="dxa"/>
              <w:right w:w="100" w:type="dxa"/>
            </w:tcMar>
            <w:hideMark/>
          </w:tcPr>
          <w:p w14:paraId="1F215F28"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w:t>
            </w:r>
          </w:p>
        </w:tc>
        <w:tc>
          <w:tcPr>
            <w:tcW w:w="1701" w:type="dxa"/>
            <w:tcMar>
              <w:top w:w="100" w:type="dxa"/>
              <w:left w:w="100" w:type="dxa"/>
              <w:bottom w:w="100" w:type="dxa"/>
              <w:right w:w="100" w:type="dxa"/>
            </w:tcMar>
            <w:hideMark/>
          </w:tcPr>
          <w:p w14:paraId="5E4C53BA"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100</w:t>
            </w:r>
          </w:p>
        </w:tc>
        <w:tc>
          <w:tcPr>
            <w:tcW w:w="1701" w:type="dxa"/>
            <w:tcBorders>
              <w:right w:val="single" w:sz="8" w:space="0" w:color="FFFFFF"/>
            </w:tcBorders>
            <w:tcMar>
              <w:top w:w="100" w:type="dxa"/>
              <w:left w:w="100" w:type="dxa"/>
              <w:bottom w:w="100" w:type="dxa"/>
              <w:right w:w="100" w:type="dxa"/>
            </w:tcMar>
            <w:hideMark/>
          </w:tcPr>
          <w:p w14:paraId="3134EA60"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83,42 - 100</w:t>
            </w:r>
          </w:p>
        </w:tc>
      </w:tr>
      <w:tr w:rsidR="004B620C" w:rsidRPr="004B620C" w14:paraId="24A7170B" w14:textId="77777777" w:rsidTr="004B620C">
        <w:tc>
          <w:tcPr>
            <w:tcW w:w="2835" w:type="dxa"/>
            <w:tcMar>
              <w:top w:w="100" w:type="dxa"/>
              <w:left w:w="100" w:type="dxa"/>
              <w:bottom w:w="100" w:type="dxa"/>
              <w:right w:w="100" w:type="dxa"/>
            </w:tcMar>
            <w:hideMark/>
          </w:tcPr>
          <w:p w14:paraId="47F247C6"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Meropenem</w:t>
            </w:r>
          </w:p>
        </w:tc>
        <w:tc>
          <w:tcPr>
            <w:tcW w:w="1701" w:type="dxa"/>
            <w:tcMar>
              <w:top w:w="100" w:type="dxa"/>
              <w:left w:w="100" w:type="dxa"/>
              <w:bottom w:w="100" w:type="dxa"/>
              <w:right w:w="100" w:type="dxa"/>
            </w:tcMar>
            <w:hideMark/>
          </w:tcPr>
          <w:p w14:paraId="34B8509F"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w:t>
            </w:r>
          </w:p>
        </w:tc>
        <w:tc>
          <w:tcPr>
            <w:tcW w:w="1701" w:type="dxa"/>
            <w:tcMar>
              <w:top w:w="100" w:type="dxa"/>
              <w:left w:w="100" w:type="dxa"/>
              <w:bottom w:w="100" w:type="dxa"/>
              <w:right w:w="100" w:type="dxa"/>
            </w:tcMar>
            <w:hideMark/>
          </w:tcPr>
          <w:p w14:paraId="1DF9A780"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100</w:t>
            </w:r>
          </w:p>
        </w:tc>
        <w:tc>
          <w:tcPr>
            <w:tcW w:w="1701" w:type="dxa"/>
            <w:tcBorders>
              <w:right w:val="single" w:sz="8" w:space="0" w:color="FFFFFF"/>
            </w:tcBorders>
            <w:tcMar>
              <w:top w:w="100" w:type="dxa"/>
              <w:left w:w="100" w:type="dxa"/>
              <w:bottom w:w="100" w:type="dxa"/>
              <w:right w:w="100" w:type="dxa"/>
            </w:tcMar>
            <w:hideMark/>
          </w:tcPr>
          <w:p w14:paraId="0D9B94C6"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83,42 - 100</w:t>
            </w:r>
          </w:p>
        </w:tc>
      </w:tr>
      <w:tr w:rsidR="004B620C" w:rsidRPr="004B620C" w14:paraId="58DEFCB9" w14:textId="77777777" w:rsidTr="004B620C">
        <w:tc>
          <w:tcPr>
            <w:tcW w:w="2835" w:type="dxa"/>
            <w:tcMar>
              <w:top w:w="100" w:type="dxa"/>
              <w:left w:w="100" w:type="dxa"/>
              <w:bottom w:w="100" w:type="dxa"/>
              <w:right w:w="100" w:type="dxa"/>
            </w:tcMar>
            <w:hideMark/>
          </w:tcPr>
          <w:p w14:paraId="392BD3CB"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lastRenderedPageBreak/>
              <w:t>Amikacin</w:t>
            </w:r>
          </w:p>
        </w:tc>
        <w:tc>
          <w:tcPr>
            <w:tcW w:w="1701" w:type="dxa"/>
            <w:tcMar>
              <w:top w:w="100" w:type="dxa"/>
              <w:left w:w="100" w:type="dxa"/>
              <w:bottom w:w="100" w:type="dxa"/>
              <w:right w:w="100" w:type="dxa"/>
            </w:tcMar>
            <w:hideMark/>
          </w:tcPr>
          <w:p w14:paraId="6168E192"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w:t>
            </w:r>
          </w:p>
        </w:tc>
        <w:tc>
          <w:tcPr>
            <w:tcW w:w="1701" w:type="dxa"/>
            <w:tcMar>
              <w:top w:w="100" w:type="dxa"/>
              <w:left w:w="100" w:type="dxa"/>
              <w:bottom w:w="100" w:type="dxa"/>
              <w:right w:w="100" w:type="dxa"/>
            </w:tcMar>
            <w:hideMark/>
          </w:tcPr>
          <w:p w14:paraId="0FA27B2E"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100</w:t>
            </w:r>
          </w:p>
        </w:tc>
        <w:tc>
          <w:tcPr>
            <w:tcW w:w="1701" w:type="dxa"/>
            <w:tcBorders>
              <w:right w:val="single" w:sz="8" w:space="0" w:color="FFFFFF"/>
            </w:tcBorders>
            <w:tcMar>
              <w:top w:w="100" w:type="dxa"/>
              <w:left w:w="100" w:type="dxa"/>
              <w:bottom w:w="100" w:type="dxa"/>
              <w:right w:w="100" w:type="dxa"/>
            </w:tcMar>
            <w:hideMark/>
          </w:tcPr>
          <w:p w14:paraId="675C3EB8"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83,42 - 100</w:t>
            </w:r>
          </w:p>
        </w:tc>
      </w:tr>
      <w:tr w:rsidR="004B620C" w:rsidRPr="004B620C" w14:paraId="13BA9460" w14:textId="77777777" w:rsidTr="004B620C">
        <w:tc>
          <w:tcPr>
            <w:tcW w:w="2835" w:type="dxa"/>
            <w:tcMar>
              <w:top w:w="100" w:type="dxa"/>
              <w:left w:w="100" w:type="dxa"/>
              <w:bottom w:w="100" w:type="dxa"/>
              <w:right w:w="100" w:type="dxa"/>
            </w:tcMar>
            <w:hideMark/>
          </w:tcPr>
          <w:p w14:paraId="7D9223EA"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Gentamicin</w:t>
            </w:r>
          </w:p>
        </w:tc>
        <w:tc>
          <w:tcPr>
            <w:tcW w:w="1701" w:type="dxa"/>
            <w:tcMar>
              <w:top w:w="100" w:type="dxa"/>
              <w:left w:w="100" w:type="dxa"/>
              <w:bottom w:w="100" w:type="dxa"/>
              <w:right w:w="100" w:type="dxa"/>
            </w:tcMar>
            <w:hideMark/>
          </w:tcPr>
          <w:p w14:paraId="6A78B89F"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15</w:t>
            </w:r>
          </w:p>
        </w:tc>
        <w:tc>
          <w:tcPr>
            <w:tcW w:w="1701" w:type="dxa"/>
            <w:tcMar>
              <w:top w:w="100" w:type="dxa"/>
              <w:left w:w="100" w:type="dxa"/>
              <w:bottom w:w="100" w:type="dxa"/>
              <w:right w:w="100" w:type="dxa"/>
            </w:tcMar>
            <w:hideMark/>
          </w:tcPr>
          <w:p w14:paraId="344FAC44"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60</w:t>
            </w:r>
          </w:p>
        </w:tc>
        <w:tc>
          <w:tcPr>
            <w:tcW w:w="1701" w:type="dxa"/>
            <w:tcBorders>
              <w:right w:val="single" w:sz="8" w:space="0" w:color="FFFFFF"/>
            </w:tcBorders>
            <w:tcMar>
              <w:top w:w="100" w:type="dxa"/>
              <w:left w:w="100" w:type="dxa"/>
              <w:bottom w:w="100" w:type="dxa"/>
              <w:right w:w="100" w:type="dxa"/>
            </w:tcMar>
            <w:hideMark/>
          </w:tcPr>
          <w:p w14:paraId="6F9073E2"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38,89 - 78,19</w:t>
            </w:r>
          </w:p>
        </w:tc>
      </w:tr>
      <w:tr w:rsidR="004B620C" w:rsidRPr="004B620C" w14:paraId="77EA0CE0" w14:textId="77777777" w:rsidTr="004B620C">
        <w:tc>
          <w:tcPr>
            <w:tcW w:w="2835" w:type="dxa"/>
            <w:tcMar>
              <w:top w:w="100" w:type="dxa"/>
              <w:left w:w="100" w:type="dxa"/>
              <w:bottom w:w="100" w:type="dxa"/>
              <w:right w:w="100" w:type="dxa"/>
            </w:tcMar>
            <w:hideMark/>
          </w:tcPr>
          <w:p w14:paraId="77DAD04F"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Ciprofloxacin</w:t>
            </w:r>
          </w:p>
        </w:tc>
        <w:tc>
          <w:tcPr>
            <w:tcW w:w="1701" w:type="dxa"/>
            <w:tcMar>
              <w:top w:w="100" w:type="dxa"/>
              <w:left w:w="100" w:type="dxa"/>
              <w:bottom w:w="100" w:type="dxa"/>
              <w:right w:w="100" w:type="dxa"/>
            </w:tcMar>
            <w:hideMark/>
          </w:tcPr>
          <w:p w14:paraId="207651B3"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w:t>
            </w:r>
          </w:p>
        </w:tc>
        <w:tc>
          <w:tcPr>
            <w:tcW w:w="1701" w:type="dxa"/>
            <w:tcMar>
              <w:top w:w="100" w:type="dxa"/>
              <w:left w:w="100" w:type="dxa"/>
              <w:bottom w:w="100" w:type="dxa"/>
              <w:right w:w="100" w:type="dxa"/>
            </w:tcMar>
            <w:hideMark/>
          </w:tcPr>
          <w:p w14:paraId="76290230"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100</w:t>
            </w:r>
          </w:p>
        </w:tc>
        <w:tc>
          <w:tcPr>
            <w:tcW w:w="1701" w:type="dxa"/>
            <w:tcBorders>
              <w:right w:val="single" w:sz="8" w:space="0" w:color="FFFFFF"/>
            </w:tcBorders>
            <w:tcMar>
              <w:top w:w="100" w:type="dxa"/>
              <w:left w:w="100" w:type="dxa"/>
              <w:bottom w:w="100" w:type="dxa"/>
              <w:right w:w="100" w:type="dxa"/>
            </w:tcMar>
            <w:hideMark/>
          </w:tcPr>
          <w:p w14:paraId="1E45D431"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83,42 - 100</w:t>
            </w:r>
          </w:p>
        </w:tc>
      </w:tr>
      <w:tr w:rsidR="004B620C" w:rsidRPr="004B620C" w14:paraId="27568123" w14:textId="77777777" w:rsidTr="004B620C">
        <w:tc>
          <w:tcPr>
            <w:tcW w:w="2835" w:type="dxa"/>
            <w:tcBorders>
              <w:bottom w:val="single" w:sz="8" w:space="0" w:color="000000"/>
            </w:tcBorders>
            <w:tcMar>
              <w:top w:w="100" w:type="dxa"/>
              <w:left w:w="100" w:type="dxa"/>
              <w:bottom w:w="100" w:type="dxa"/>
              <w:right w:w="100" w:type="dxa"/>
            </w:tcMar>
            <w:hideMark/>
          </w:tcPr>
          <w:p w14:paraId="68FCEC9A" w14:textId="77777777" w:rsidR="004B620C" w:rsidRPr="004B620C" w:rsidRDefault="004B620C" w:rsidP="004B620C">
            <w:pPr>
              <w:rPr>
                <w:rFonts w:ascii="Arial" w:hAnsi="Arial" w:cs="Arial"/>
                <w:lang w:val="pt-BR" w:eastAsia="pt-BR"/>
              </w:rPr>
            </w:pPr>
            <w:r w:rsidRPr="004B620C">
              <w:rPr>
                <w:rFonts w:ascii="Arial" w:hAnsi="Arial" w:cs="Arial"/>
                <w:color w:val="000000"/>
                <w:lang w:val="pt-BR" w:eastAsia="pt-BR"/>
              </w:rPr>
              <w:t>Tigecycline</w:t>
            </w:r>
          </w:p>
        </w:tc>
        <w:tc>
          <w:tcPr>
            <w:tcW w:w="1701" w:type="dxa"/>
            <w:tcBorders>
              <w:bottom w:val="single" w:sz="8" w:space="0" w:color="000000"/>
            </w:tcBorders>
            <w:tcMar>
              <w:top w:w="100" w:type="dxa"/>
              <w:left w:w="100" w:type="dxa"/>
              <w:bottom w:w="100" w:type="dxa"/>
              <w:right w:w="100" w:type="dxa"/>
            </w:tcMar>
            <w:hideMark/>
          </w:tcPr>
          <w:p w14:paraId="4A0DBA45"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11</w:t>
            </w:r>
          </w:p>
        </w:tc>
        <w:tc>
          <w:tcPr>
            <w:tcW w:w="1701" w:type="dxa"/>
            <w:tcBorders>
              <w:bottom w:val="single" w:sz="8" w:space="0" w:color="000000"/>
            </w:tcBorders>
            <w:tcMar>
              <w:top w:w="100" w:type="dxa"/>
              <w:left w:w="100" w:type="dxa"/>
              <w:bottom w:w="100" w:type="dxa"/>
              <w:right w:w="100" w:type="dxa"/>
            </w:tcMar>
            <w:hideMark/>
          </w:tcPr>
          <w:p w14:paraId="0BAFB93E"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44</w:t>
            </w:r>
          </w:p>
        </w:tc>
        <w:tc>
          <w:tcPr>
            <w:tcW w:w="1701" w:type="dxa"/>
            <w:tcBorders>
              <w:bottom w:val="single" w:sz="8" w:space="0" w:color="000000"/>
              <w:right w:val="single" w:sz="8" w:space="0" w:color="FFFFFF"/>
            </w:tcBorders>
            <w:tcMar>
              <w:top w:w="100" w:type="dxa"/>
              <w:left w:w="100" w:type="dxa"/>
              <w:bottom w:w="100" w:type="dxa"/>
              <w:right w:w="100" w:type="dxa"/>
            </w:tcMar>
            <w:hideMark/>
          </w:tcPr>
          <w:p w14:paraId="6F6240A2" w14:textId="77777777" w:rsidR="004B620C" w:rsidRPr="004B620C" w:rsidRDefault="004B620C" w:rsidP="004B620C">
            <w:pPr>
              <w:jc w:val="center"/>
              <w:rPr>
                <w:rFonts w:ascii="Arial" w:hAnsi="Arial" w:cs="Arial"/>
                <w:lang w:val="pt-BR" w:eastAsia="pt-BR"/>
              </w:rPr>
            </w:pPr>
            <w:r w:rsidRPr="004B620C">
              <w:rPr>
                <w:rFonts w:ascii="Arial" w:hAnsi="Arial" w:cs="Arial"/>
                <w:color w:val="000000"/>
                <w:lang w:val="pt-BR" w:eastAsia="pt-BR"/>
              </w:rPr>
              <w:t>25,02 - 64,73</w:t>
            </w:r>
          </w:p>
        </w:tc>
      </w:tr>
    </w:tbl>
    <w:p w14:paraId="3CA4DFFA" w14:textId="77777777" w:rsidR="004B620C" w:rsidRPr="004B620C" w:rsidRDefault="004B620C" w:rsidP="004B620C">
      <w:pPr>
        <w:jc w:val="both"/>
        <w:rPr>
          <w:rFonts w:ascii="Arial" w:hAnsi="Arial" w:cs="Arial"/>
          <w:lang w:val="pt-BR" w:eastAsia="pt-BR"/>
        </w:rPr>
      </w:pPr>
      <w:r w:rsidRPr="004B620C">
        <w:rPr>
          <w:rFonts w:ascii="Arial" w:hAnsi="Arial" w:cs="Arial"/>
          <w:color w:val="000000"/>
          <w:lang w:val="pt-BR" w:eastAsia="pt-BR"/>
        </w:rPr>
        <w:t>*CI, confidence index;</w:t>
      </w:r>
    </w:p>
    <w:p w14:paraId="39538C65" w14:textId="77777777" w:rsidR="004B620C" w:rsidRDefault="004B620C" w:rsidP="004B620C">
      <w:pPr>
        <w:pStyle w:val="Body"/>
        <w:spacing w:after="0"/>
        <w:rPr>
          <w:rFonts w:ascii="Arial" w:hAnsi="Arial" w:cs="Arial"/>
        </w:rPr>
      </w:pPr>
    </w:p>
    <w:p w14:paraId="23631597" w14:textId="5966D42E" w:rsidR="00790ADA" w:rsidRDefault="002907D1" w:rsidP="002907D1">
      <w:pPr>
        <w:pStyle w:val="Body"/>
        <w:spacing w:after="0"/>
        <w:ind w:firstLine="720"/>
        <w:rPr>
          <w:rFonts w:ascii="Arial" w:hAnsi="Arial" w:cs="Arial"/>
        </w:rPr>
      </w:pPr>
      <w:r w:rsidRPr="002907D1">
        <w:rPr>
          <w:rFonts w:ascii="Arial" w:hAnsi="Arial" w:cs="Arial"/>
        </w:rPr>
        <w:t>Table 2 shows the susceptibility profile of Pseudomonas aeruginosa isolates to the antimicrobials exposed in Table 1 of this article.</w:t>
      </w:r>
    </w:p>
    <w:p w14:paraId="28E4672E" w14:textId="3AB8A270" w:rsidR="00927834" w:rsidRDefault="00927834" w:rsidP="00441B6F">
      <w:pPr>
        <w:autoSpaceDE w:val="0"/>
        <w:autoSpaceDN w:val="0"/>
        <w:adjustRightInd w:val="0"/>
        <w:jc w:val="both"/>
        <w:rPr>
          <w:rFonts w:ascii="Arial" w:hAnsi="Arial" w:cs="Arial"/>
          <w:b/>
          <w:bCs/>
          <w:sz w:val="22"/>
          <w:szCs w:val="22"/>
        </w:rPr>
      </w:pPr>
    </w:p>
    <w:p w14:paraId="7B9406CA" w14:textId="77777777" w:rsidR="002907D1" w:rsidRPr="002907D1" w:rsidRDefault="002907D1" w:rsidP="002907D1">
      <w:pPr>
        <w:jc w:val="both"/>
        <w:rPr>
          <w:rFonts w:ascii="Arial" w:hAnsi="Arial" w:cs="Arial"/>
          <w:b/>
          <w:bCs/>
          <w:lang w:val="pt-BR" w:eastAsia="pt-BR"/>
        </w:rPr>
      </w:pPr>
      <w:r w:rsidRPr="002907D1">
        <w:rPr>
          <w:rFonts w:ascii="Arial" w:hAnsi="Arial" w:cs="Arial"/>
          <w:b/>
          <w:bCs/>
          <w:color w:val="000000"/>
          <w:lang w:val="pt-BR" w:eastAsia="pt-BR"/>
        </w:rPr>
        <w:t>Table 2.</w:t>
      </w:r>
      <w:r w:rsidRPr="002907D1">
        <w:rPr>
          <w:rFonts w:ascii="Arial" w:hAnsi="Arial" w:cs="Arial"/>
          <w:color w:val="000000"/>
          <w:lang w:val="pt-BR" w:eastAsia="pt-BR"/>
        </w:rPr>
        <w:t xml:space="preserve"> </w:t>
      </w:r>
      <w:r w:rsidRPr="002907D1">
        <w:rPr>
          <w:rFonts w:ascii="Arial" w:hAnsi="Arial" w:cs="Arial"/>
          <w:b/>
          <w:bCs/>
          <w:color w:val="000000"/>
          <w:lang w:val="pt-BR" w:eastAsia="pt-BR"/>
        </w:rPr>
        <w:t xml:space="preserve">Antimicrobial susceptibility profile tested on </w:t>
      </w:r>
      <w:r w:rsidRPr="002907D1">
        <w:rPr>
          <w:rFonts w:ascii="Arial" w:hAnsi="Arial" w:cs="Arial"/>
          <w:b/>
          <w:bCs/>
          <w:i/>
          <w:iCs/>
          <w:color w:val="000000"/>
          <w:lang w:val="pt-BR" w:eastAsia="pt-BR"/>
        </w:rPr>
        <w:t>Pseudomonas aeruginosa</w:t>
      </w:r>
    </w:p>
    <w:p w14:paraId="78D55D54" w14:textId="77777777" w:rsidR="002907D1" w:rsidRPr="002907D1" w:rsidRDefault="002907D1" w:rsidP="002907D1">
      <w:pPr>
        <w:rPr>
          <w:rFonts w:ascii="Arial" w:hAnsi="Arial" w:cs="Arial"/>
          <w:lang w:val="pt-BR" w:eastAsia="pt-BR"/>
        </w:rPr>
      </w:pPr>
    </w:p>
    <w:tbl>
      <w:tblPr>
        <w:tblW w:w="0" w:type="auto"/>
        <w:tblCellMar>
          <w:top w:w="15" w:type="dxa"/>
          <w:left w:w="15" w:type="dxa"/>
          <w:bottom w:w="15" w:type="dxa"/>
          <w:right w:w="15" w:type="dxa"/>
        </w:tblCellMar>
        <w:tblLook w:val="04A0" w:firstRow="1" w:lastRow="0" w:firstColumn="1" w:lastColumn="0" w:noHBand="0" w:noVBand="1"/>
      </w:tblPr>
      <w:tblGrid>
        <w:gridCol w:w="2279"/>
        <w:gridCol w:w="1079"/>
        <w:gridCol w:w="3135"/>
        <w:gridCol w:w="1112"/>
      </w:tblGrid>
      <w:tr w:rsidR="002907D1" w:rsidRPr="002907D1" w14:paraId="2C6285CF" w14:textId="77777777" w:rsidTr="002907D1">
        <w:trPr>
          <w:trHeight w:val="227"/>
        </w:trPr>
        <w:tc>
          <w:tcPr>
            <w:tcW w:w="0" w:type="auto"/>
            <w:vMerge w:val="restart"/>
            <w:tcBorders>
              <w:top w:val="single" w:sz="8" w:space="0" w:color="000000"/>
              <w:bottom w:val="single" w:sz="8" w:space="0" w:color="000000"/>
            </w:tcBorders>
            <w:tcMar>
              <w:top w:w="100" w:type="dxa"/>
              <w:left w:w="100" w:type="dxa"/>
              <w:bottom w:w="100" w:type="dxa"/>
              <w:right w:w="100" w:type="dxa"/>
            </w:tcMar>
            <w:hideMark/>
          </w:tcPr>
          <w:p w14:paraId="61E7E36B" w14:textId="77777777" w:rsidR="002907D1" w:rsidRDefault="002907D1" w:rsidP="002907D1">
            <w:pPr>
              <w:rPr>
                <w:rFonts w:ascii="Arial" w:hAnsi="Arial" w:cs="Arial"/>
                <w:b/>
                <w:bCs/>
                <w:color w:val="000000"/>
                <w:lang w:val="pt-BR" w:eastAsia="pt-BR"/>
              </w:rPr>
            </w:pPr>
          </w:p>
          <w:p w14:paraId="0700F1F1" w14:textId="27A4373D"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Antimicrobials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A1E33DD"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Sensitive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3B87E9A"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Sensitive, increasing exposure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C7E17C4"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Resistant</w:t>
            </w:r>
          </w:p>
        </w:tc>
      </w:tr>
      <w:tr w:rsidR="002907D1" w:rsidRPr="002907D1" w14:paraId="07EB6EF8" w14:textId="77777777" w:rsidTr="002907D1">
        <w:trPr>
          <w:trHeight w:val="227"/>
        </w:trPr>
        <w:tc>
          <w:tcPr>
            <w:tcW w:w="0" w:type="auto"/>
            <w:vMerge/>
            <w:tcBorders>
              <w:top w:val="single" w:sz="8" w:space="0" w:color="000000"/>
              <w:bottom w:val="single" w:sz="8" w:space="0" w:color="000000"/>
            </w:tcBorders>
            <w:vAlign w:val="center"/>
            <w:hideMark/>
          </w:tcPr>
          <w:p w14:paraId="5AB4143D"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49795149"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N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E30314A"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N (%)</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9DFC092"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N (%)</w:t>
            </w:r>
          </w:p>
        </w:tc>
      </w:tr>
      <w:tr w:rsidR="002907D1" w:rsidRPr="002907D1" w14:paraId="2B9418D6" w14:textId="77777777" w:rsidTr="002907D1">
        <w:trPr>
          <w:trHeight w:val="227"/>
        </w:trPr>
        <w:tc>
          <w:tcPr>
            <w:tcW w:w="0" w:type="auto"/>
            <w:tcBorders>
              <w:top w:val="single" w:sz="8" w:space="0" w:color="000000"/>
            </w:tcBorders>
            <w:tcMar>
              <w:top w:w="100" w:type="dxa"/>
              <w:left w:w="100" w:type="dxa"/>
              <w:bottom w:w="100" w:type="dxa"/>
              <w:right w:w="100" w:type="dxa"/>
            </w:tcMar>
            <w:hideMark/>
          </w:tcPr>
          <w:p w14:paraId="6E0CCFF8"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Piperacilin/Tazobactam</w:t>
            </w:r>
          </w:p>
        </w:tc>
        <w:tc>
          <w:tcPr>
            <w:tcW w:w="0" w:type="auto"/>
            <w:tcBorders>
              <w:top w:val="single" w:sz="8" w:space="0" w:color="000000"/>
            </w:tcBorders>
            <w:tcMar>
              <w:top w:w="100" w:type="dxa"/>
              <w:left w:w="100" w:type="dxa"/>
              <w:bottom w:w="100" w:type="dxa"/>
              <w:right w:w="100" w:type="dxa"/>
            </w:tcMar>
            <w:hideMark/>
          </w:tcPr>
          <w:p w14:paraId="7C935FEA"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(8,70)</w:t>
            </w:r>
          </w:p>
        </w:tc>
        <w:tc>
          <w:tcPr>
            <w:tcW w:w="0" w:type="auto"/>
            <w:tcBorders>
              <w:top w:val="single" w:sz="8" w:space="0" w:color="000000"/>
            </w:tcBorders>
            <w:tcMar>
              <w:top w:w="100" w:type="dxa"/>
              <w:left w:w="100" w:type="dxa"/>
              <w:bottom w:w="100" w:type="dxa"/>
              <w:right w:w="100" w:type="dxa"/>
            </w:tcMar>
            <w:hideMark/>
          </w:tcPr>
          <w:p w14:paraId="3CD399E8"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(8,70)</w:t>
            </w:r>
          </w:p>
        </w:tc>
        <w:tc>
          <w:tcPr>
            <w:tcW w:w="0" w:type="auto"/>
            <w:tcBorders>
              <w:top w:val="single" w:sz="8" w:space="0" w:color="000000"/>
            </w:tcBorders>
            <w:tcMar>
              <w:top w:w="100" w:type="dxa"/>
              <w:left w:w="100" w:type="dxa"/>
              <w:bottom w:w="100" w:type="dxa"/>
              <w:right w:w="100" w:type="dxa"/>
            </w:tcMar>
            <w:hideMark/>
          </w:tcPr>
          <w:p w14:paraId="1CC4238A"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19 (82,60)</w:t>
            </w:r>
          </w:p>
        </w:tc>
      </w:tr>
      <w:tr w:rsidR="002907D1" w:rsidRPr="002907D1" w14:paraId="26C41626" w14:textId="77777777" w:rsidTr="002907D1">
        <w:tc>
          <w:tcPr>
            <w:tcW w:w="0" w:type="auto"/>
            <w:tcMar>
              <w:top w:w="100" w:type="dxa"/>
              <w:left w:w="100" w:type="dxa"/>
              <w:bottom w:w="100" w:type="dxa"/>
              <w:right w:w="100" w:type="dxa"/>
            </w:tcMar>
            <w:hideMark/>
          </w:tcPr>
          <w:p w14:paraId="6B8989F4"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Ceftazidime/Avibactam</w:t>
            </w:r>
          </w:p>
        </w:tc>
        <w:tc>
          <w:tcPr>
            <w:tcW w:w="0" w:type="auto"/>
            <w:tcMar>
              <w:top w:w="100" w:type="dxa"/>
              <w:left w:w="100" w:type="dxa"/>
              <w:bottom w:w="100" w:type="dxa"/>
              <w:right w:w="100" w:type="dxa"/>
            </w:tcMar>
            <w:hideMark/>
          </w:tcPr>
          <w:p w14:paraId="167E4908"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(27,27)</w:t>
            </w:r>
          </w:p>
        </w:tc>
        <w:tc>
          <w:tcPr>
            <w:tcW w:w="0" w:type="auto"/>
            <w:tcMar>
              <w:top w:w="100" w:type="dxa"/>
              <w:left w:w="100" w:type="dxa"/>
              <w:bottom w:w="100" w:type="dxa"/>
              <w:right w:w="100" w:type="dxa"/>
            </w:tcMar>
            <w:hideMark/>
          </w:tcPr>
          <w:p w14:paraId="05C4874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Mar>
              <w:top w:w="100" w:type="dxa"/>
              <w:left w:w="100" w:type="dxa"/>
              <w:bottom w:w="100" w:type="dxa"/>
              <w:right w:w="100" w:type="dxa"/>
            </w:tcMar>
            <w:hideMark/>
          </w:tcPr>
          <w:p w14:paraId="5F85B02A"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8 (72,72)</w:t>
            </w:r>
          </w:p>
        </w:tc>
      </w:tr>
      <w:tr w:rsidR="002907D1" w:rsidRPr="002907D1" w14:paraId="65F781D6" w14:textId="77777777" w:rsidTr="002907D1">
        <w:tc>
          <w:tcPr>
            <w:tcW w:w="0" w:type="auto"/>
            <w:tcMar>
              <w:top w:w="100" w:type="dxa"/>
              <w:left w:w="100" w:type="dxa"/>
              <w:bottom w:w="100" w:type="dxa"/>
              <w:right w:w="100" w:type="dxa"/>
            </w:tcMar>
            <w:hideMark/>
          </w:tcPr>
          <w:p w14:paraId="4B926FF1"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Ceftazidime</w:t>
            </w:r>
          </w:p>
        </w:tc>
        <w:tc>
          <w:tcPr>
            <w:tcW w:w="0" w:type="auto"/>
            <w:tcMar>
              <w:top w:w="100" w:type="dxa"/>
              <w:left w:w="100" w:type="dxa"/>
              <w:bottom w:w="100" w:type="dxa"/>
              <w:right w:w="100" w:type="dxa"/>
            </w:tcMar>
            <w:hideMark/>
          </w:tcPr>
          <w:p w14:paraId="4BDD5CF9"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5 (20)</w:t>
            </w:r>
          </w:p>
        </w:tc>
        <w:tc>
          <w:tcPr>
            <w:tcW w:w="0" w:type="auto"/>
            <w:tcMar>
              <w:top w:w="100" w:type="dxa"/>
              <w:left w:w="100" w:type="dxa"/>
              <w:bottom w:w="100" w:type="dxa"/>
              <w:right w:w="100" w:type="dxa"/>
            </w:tcMar>
            <w:hideMark/>
          </w:tcPr>
          <w:p w14:paraId="06448FEE"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(8)</w:t>
            </w:r>
          </w:p>
        </w:tc>
        <w:tc>
          <w:tcPr>
            <w:tcW w:w="0" w:type="auto"/>
            <w:tcMar>
              <w:top w:w="100" w:type="dxa"/>
              <w:left w:w="100" w:type="dxa"/>
              <w:bottom w:w="100" w:type="dxa"/>
              <w:right w:w="100" w:type="dxa"/>
            </w:tcMar>
            <w:hideMark/>
          </w:tcPr>
          <w:p w14:paraId="0F525E4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18 (72)</w:t>
            </w:r>
          </w:p>
        </w:tc>
      </w:tr>
      <w:tr w:rsidR="002907D1" w:rsidRPr="002907D1" w14:paraId="6DBD8B2D" w14:textId="77777777" w:rsidTr="002907D1">
        <w:tc>
          <w:tcPr>
            <w:tcW w:w="0" w:type="auto"/>
            <w:tcMar>
              <w:top w:w="100" w:type="dxa"/>
              <w:left w:w="100" w:type="dxa"/>
              <w:bottom w:w="100" w:type="dxa"/>
              <w:right w:w="100" w:type="dxa"/>
            </w:tcMar>
            <w:hideMark/>
          </w:tcPr>
          <w:p w14:paraId="633CE9D9"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Cefepime</w:t>
            </w:r>
          </w:p>
        </w:tc>
        <w:tc>
          <w:tcPr>
            <w:tcW w:w="0" w:type="auto"/>
            <w:tcMar>
              <w:top w:w="100" w:type="dxa"/>
              <w:left w:w="100" w:type="dxa"/>
              <w:bottom w:w="100" w:type="dxa"/>
              <w:right w:w="100" w:type="dxa"/>
            </w:tcMar>
            <w:hideMark/>
          </w:tcPr>
          <w:p w14:paraId="32E4146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5 (20)</w:t>
            </w:r>
          </w:p>
        </w:tc>
        <w:tc>
          <w:tcPr>
            <w:tcW w:w="0" w:type="auto"/>
            <w:tcMar>
              <w:top w:w="100" w:type="dxa"/>
              <w:left w:w="100" w:type="dxa"/>
              <w:bottom w:w="100" w:type="dxa"/>
              <w:right w:w="100" w:type="dxa"/>
            </w:tcMar>
            <w:hideMark/>
          </w:tcPr>
          <w:p w14:paraId="72EEB250"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(8)</w:t>
            </w:r>
          </w:p>
        </w:tc>
        <w:tc>
          <w:tcPr>
            <w:tcW w:w="0" w:type="auto"/>
            <w:tcMar>
              <w:top w:w="100" w:type="dxa"/>
              <w:left w:w="100" w:type="dxa"/>
              <w:bottom w:w="100" w:type="dxa"/>
              <w:right w:w="100" w:type="dxa"/>
            </w:tcMar>
            <w:hideMark/>
          </w:tcPr>
          <w:p w14:paraId="4A3BA88A"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18 (72)</w:t>
            </w:r>
          </w:p>
        </w:tc>
      </w:tr>
      <w:tr w:rsidR="002907D1" w:rsidRPr="002907D1" w14:paraId="2CDB00EB" w14:textId="77777777" w:rsidTr="002907D1">
        <w:tc>
          <w:tcPr>
            <w:tcW w:w="0" w:type="auto"/>
            <w:tcMar>
              <w:top w:w="100" w:type="dxa"/>
              <w:left w:w="100" w:type="dxa"/>
              <w:bottom w:w="100" w:type="dxa"/>
              <w:right w:w="100" w:type="dxa"/>
            </w:tcMar>
            <w:hideMark/>
          </w:tcPr>
          <w:p w14:paraId="1B911D69"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Imipenem</w:t>
            </w:r>
          </w:p>
        </w:tc>
        <w:tc>
          <w:tcPr>
            <w:tcW w:w="0" w:type="auto"/>
            <w:tcMar>
              <w:top w:w="100" w:type="dxa"/>
              <w:left w:w="100" w:type="dxa"/>
              <w:bottom w:w="100" w:type="dxa"/>
              <w:right w:w="100" w:type="dxa"/>
            </w:tcMar>
            <w:hideMark/>
          </w:tcPr>
          <w:p w14:paraId="2921F38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6 (24)</w:t>
            </w:r>
          </w:p>
        </w:tc>
        <w:tc>
          <w:tcPr>
            <w:tcW w:w="0" w:type="auto"/>
            <w:tcMar>
              <w:top w:w="100" w:type="dxa"/>
              <w:left w:w="100" w:type="dxa"/>
              <w:bottom w:w="100" w:type="dxa"/>
              <w:right w:w="100" w:type="dxa"/>
            </w:tcMar>
            <w:hideMark/>
          </w:tcPr>
          <w:p w14:paraId="1688463B"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 (4)</w:t>
            </w:r>
          </w:p>
        </w:tc>
        <w:tc>
          <w:tcPr>
            <w:tcW w:w="0" w:type="auto"/>
            <w:tcMar>
              <w:top w:w="100" w:type="dxa"/>
              <w:left w:w="100" w:type="dxa"/>
              <w:bottom w:w="100" w:type="dxa"/>
              <w:right w:w="100" w:type="dxa"/>
            </w:tcMar>
            <w:hideMark/>
          </w:tcPr>
          <w:p w14:paraId="04FB042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18 (72)</w:t>
            </w:r>
          </w:p>
        </w:tc>
      </w:tr>
      <w:tr w:rsidR="002907D1" w:rsidRPr="002907D1" w14:paraId="2DC83E2B" w14:textId="77777777" w:rsidTr="002907D1">
        <w:tc>
          <w:tcPr>
            <w:tcW w:w="0" w:type="auto"/>
            <w:tcMar>
              <w:top w:w="100" w:type="dxa"/>
              <w:left w:w="100" w:type="dxa"/>
              <w:bottom w:w="100" w:type="dxa"/>
              <w:right w:w="100" w:type="dxa"/>
            </w:tcMar>
            <w:hideMark/>
          </w:tcPr>
          <w:p w14:paraId="68BF0C6A"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Meropenem</w:t>
            </w:r>
          </w:p>
        </w:tc>
        <w:tc>
          <w:tcPr>
            <w:tcW w:w="0" w:type="auto"/>
            <w:tcMar>
              <w:top w:w="100" w:type="dxa"/>
              <w:left w:w="100" w:type="dxa"/>
              <w:bottom w:w="100" w:type="dxa"/>
              <w:right w:w="100" w:type="dxa"/>
            </w:tcMar>
            <w:hideMark/>
          </w:tcPr>
          <w:p w14:paraId="044C1E9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7 (28)</w:t>
            </w:r>
          </w:p>
        </w:tc>
        <w:tc>
          <w:tcPr>
            <w:tcW w:w="0" w:type="auto"/>
            <w:tcMar>
              <w:top w:w="100" w:type="dxa"/>
              <w:left w:w="100" w:type="dxa"/>
              <w:bottom w:w="100" w:type="dxa"/>
              <w:right w:w="100" w:type="dxa"/>
            </w:tcMar>
            <w:hideMark/>
          </w:tcPr>
          <w:p w14:paraId="773D7544"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Mar>
              <w:top w:w="100" w:type="dxa"/>
              <w:left w:w="100" w:type="dxa"/>
              <w:bottom w:w="100" w:type="dxa"/>
              <w:right w:w="100" w:type="dxa"/>
            </w:tcMar>
            <w:hideMark/>
          </w:tcPr>
          <w:p w14:paraId="0BC8B4AE"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18 (72)</w:t>
            </w:r>
          </w:p>
        </w:tc>
      </w:tr>
      <w:tr w:rsidR="002907D1" w:rsidRPr="002907D1" w14:paraId="68C71781" w14:textId="77777777" w:rsidTr="002907D1">
        <w:tc>
          <w:tcPr>
            <w:tcW w:w="0" w:type="auto"/>
            <w:tcMar>
              <w:top w:w="100" w:type="dxa"/>
              <w:left w:w="100" w:type="dxa"/>
              <w:bottom w:w="100" w:type="dxa"/>
              <w:right w:w="100" w:type="dxa"/>
            </w:tcMar>
            <w:hideMark/>
          </w:tcPr>
          <w:p w14:paraId="7605D1FB"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Amikacin</w:t>
            </w:r>
          </w:p>
        </w:tc>
        <w:tc>
          <w:tcPr>
            <w:tcW w:w="0" w:type="auto"/>
            <w:tcMar>
              <w:top w:w="100" w:type="dxa"/>
              <w:left w:w="100" w:type="dxa"/>
              <w:bottom w:w="100" w:type="dxa"/>
              <w:right w:w="100" w:type="dxa"/>
            </w:tcMar>
            <w:hideMark/>
          </w:tcPr>
          <w:p w14:paraId="58558CA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10 (40)</w:t>
            </w:r>
          </w:p>
        </w:tc>
        <w:tc>
          <w:tcPr>
            <w:tcW w:w="0" w:type="auto"/>
            <w:tcMar>
              <w:top w:w="100" w:type="dxa"/>
              <w:left w:w="100" w:type="dxa"/>
              <w:bottom w:w="100" w:type="dxa"/>
              <w:right w:w="100" w:type="dxa"/>
            </w:tcMar>
            <w:hideMark/>
          </w:tcPr>
          <w:p w14:paraId="650105D4"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(12)</w:t>
            </w:r>
          </w:p>
        </w:tc>
        <w:tc>
          <w:tcPr>
            <w:tcW w:w="0" w:type="auto"/>
            <w:tcMar>
              <w:top w:w="100" w:type="dxa"/>
              <w:left w:w="100" w:type="dxa"/>
              <w:bottom w:w="100" w:type="dxa"/>
              <w:right w:w="100" w:type="dxa"/>
            </w:tcMar>
            <w:hideMark/>
          </w:tcPr>
          <w:p w14:paraId="73499431"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12 (48)</w:t>
            </w:r>
          </w:p>
        </w:tc>
      </w:tr>
      <w:tr w:rsidR="002907D1" w:rsidRPr="002907D1" w14:paraId="6E98C6E9" w14:textId="77777777" w:rsidTr="002907D1">
        <w:tc>
          <w:tcPr>
            <w:tcW w:w="0" w:type="auto"/>
            <w:tcMar>
              <w:top w:w="100" w:type="dxa"/>
              <w:left w:w="100" w:type="dxa"/>
              <w:bottom w:w="100" w:type="dxa"/>
              <w:right w:w="100" w:type="dxa"/>
            </w:tcMar>
            <w:hideMark/>
          </w:tcPr>
          <w:p w14:paraId="38DDABDF"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Gentamicin</w:t>
            </w:r>
          </w:p>
        </w:tc>
        <w:tc>
          <w:tcPr>
            <w:tcW w:w="0" w:type="auto"/>
            <w:tcMar>
              <w:top w:w="100" w:type="dxa"/>
              <w:left w:w="100" w:type="dxa"/>
              <w:bottom w:w="100" w:type="dxa"/>
              <w:right w:w="100" w:type="dxa"/>
            </w:tcMar>
            <w:hideMark/>
          </w:tcPr>
          <w:p w14:paraId="2B17551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6 (40)</w:t>
            </w:r>
          </w:p>
        </w:tc>
        <w:tc>
          <w:tcPr>
            <w:tcW w:w="0" w:type="auto"/>
            <w:tcMar>
              <w:top w:w="100" w:type="dxa"/>
              <w:left w:w="100" w:type="dxa"/>
              <w:bottom w:w="100" w:type="dxa"/>
              <w:right w:w="100" w:type="dxa"/>
            </w:tcMar>
            <w:hideMark/>
          </w:tcPr>
          <w:p w14:paraId="39282D58"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Mar>
              <w:top w:w="100" w:type="dxa"/>
              <w:left w:w="100" w:type="dxa"/>
              <w:bottom w:w="100" w:type="dxa"/>
              <w:right w:w="100" w:type="dxa"/>
            </w:tcMar>
            <w:hideMark/>
          </w:tcPr>
          <w:p w14:paraId="55606894"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9 (60)</w:t>
            </w:r>
          </w:p>
        </w:tc>
      </w:tr>
      <w:tr w:rsidR="002907D1" w:rsidRPr="002907D1" w14:paraId="162F9486" w14:textId="77777777" w:rsidTr="002907D1">
        <w:tc>
          <w:tcPr>
            <w:tcW w:w="0" w:type="auto"/>
            <w:tcMar>
              <w:top w:w="100" w:type="dxa"/>
              <w:left w:w="100" w:type="dxa"/>
              <w:bottom w:w="100" w:type="dxa"/>
              <w:right w:w="100" w:type="dxa"/>
            </w:tcMar>
            <w:hideMark/>
          </w:tcPr>
          <w:p w14:paraId="7613CDFB"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Ciprofloxacin</w:t>
            </w:r>
          </w:p>
        </w:tc>
        <w:tc>
          <w:tcPr>
            <w:tcW w:w="0" w:type="auto"/>
            <w:tcMar>
              <w:top w:w="100" w:type="dxa"/>
              <w:left w:w="100" w:type="dxa"/>
              <w:bottom w:w="100" w:type="dxa"/>
              <w:right w:w="100" w:type="dxa"/>
            </w:tcMar>
            <w:hideMark/>
          </w:tcPr>
          <w:p w14:paraId="70D2016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5 (20)</w:t>
            </w:r>
          </w:p>
        </w:tc>
        <w:tc>
          <w:tcPr>
            <w:tcW w:w="0" w:type="auto"/>
            <w:tcMar>
              <w:top w:w="100" w:type="dxa"/>
              <w:left w:w="100" w:type="dxa"/>
              <w:bottom w:w="100" w:type="dxa"/>
              <w:right w:w="100" w:type="dxa"/>
            </w:tcMar>
            <w:hideMark/>
          </w:tcPr>
          <w:p w14:paraId="438CC9EC"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(12)</w:t>
            </w:r>
          </w:p>
        </w:tc>
        <w:tc>
          <w:tcPr>
            <w:tcW w:w="0" w:type="auto"/>
            <w:tcMar>
              <w:top w:w="100" w:type="dxa"/>
              <w:left w:w="100" w:type="dxa"/>
              <w:bottom w:w="100" w:type="dxa"/>
              <w:right w:w="100" w:type="dxa"/>
            </w:tcMar>
            <w:hideMark/>
          </w:tcPr>
          <w:p w14:paraId="0B2B462B"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17 (68)</w:t>
            </w:r>
          </w:p>
        </w:tc>
      </w:tr>
      <w:tr w:rsidR="002907D1" w:rsidRPr="002907D1" w14:paraId="0B027660" w14:textId="77777777" w:rsidTr="002907D1">
        <w:tc>
          <w:tcPr>
            <w:tcW w:w="0" w:type="auto"/>
            <w:tcBorders>
              <w:bottom w:val="single" w:sz="8" w:space="0" w:color="000000"/>
            </w:tcBorders>
            <w:tcMar>
              <w:top w:w="100" w:type="dxa"/>
              <w:left w:w="100" w:type="dxa"/>
              <w:bottom w:w="100" w:type="dxa"/>
              <w:right w:w="100" w:type="dxa"/>
            </w:tcMar>
            <w:hideMark/>
          </w:tcPr>
          <w:p w14:paraId="3A61954C"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Tigecycline</w:t>
            </w:r>
          </w:p>
        </w:tc>
        <w:tc>
          <w:tcPr>
            <w:tcW w:w="0" w:type="auto"/>
            <w:tcBorders>
              <w:bottom w:val="single" w:sz="8" w:space="0" w:color="000000"/>
            </w:tcBorders>
            <w:tcMar>
              <w:top w:w="100" w:type="dxa"/>
              <w:left w:w="100" w:type="dxa"/>
              <w:bottom w:w="100" w:type="dxa"/>
              <w:right w:w="100" w:type="dxa"/>
            </w:tcMar>
            <w:hideMark/>
          </w:tcPr>
          <w:p w14:paraId="4CA95C6D"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Borders>
              <w:bottom w:val="single" w:sz="8" w:space="0" w:color="000000"/>
            </w:tcBorders>
            <w:tcMar>
              <w:top w:w="100" w:type="dxa"/>
              <w:left w:w="100" w:type="dxa"/>
              <w:bottom w:w="100" w:type="dxa"/>
              <w:right w:w="100" w:type="dxa"/>
            </w:tcMar>
            <w:hideMark/>
          </w:tcPr>
          <w:p w14:paraId="184B96F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Borders>
              <w:bottom w:val="single" w:sz="8" w:space="0" w:color="000000"/>
            </w:tcBorders>
            <w:tcMar>
              <w:top w:w="100" w:type="dxa"/>
              <w:left w:w="100" w:type="dxa"/>
              <w:bottom w:w="100" w:type="dxa"/>
              <w:right w:w="100" w:type="dxa"/>
            </w:tcMar>
            <w:hideMark/>
          </w:tcPr>
          <w:p w14:paraId="26EA711F"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11 (100)</w:t>
            </w:r>
          </w:p>
        </w:tc>
      </w:tr>
    </w:tbl>
    <w:p w14:paraId="62002471" w14:textId="77777777" w:rsidR="00E053D0" w:rsidRDefault="00E053D0" w:rsidP="00441B6F">
      <w:pPr>
        <w:pStyle w:val="Body"/>
        <w:spacing w:after="0"/>
        <w:rPr>
          <w:rFonts w:ascii="Arial" w:hAnsi="Arial" w:cs="Arial"/>
        </w:rPr>
      </w:pPr>
    </w:p>
    <w:p w14:paraId="17B55DB0" w14:textId="77777777" w:rsidR="002907D1" w:rsidRPr="002907D1" w:rsidRDefault="002907D1" w:rsidP="002907D1">
      <w:pPr>
        <w:pStyle w:val="Body"/>
        <w:ind w:firstLine="720"/>
        <w:rPr>
          <w:rFonts w:ascii="Arial" w:hAnsi="Arial" w:cs="Arial"/>
        </w:rPr>
      </w:pPr>
      <w:r w:rsidRPr="002907D1">
        <w:rPr>
          <w:rFonts w:ascii="Arial" w:hAnsi="Arial" w:cs="Arial"/>
        </w:rPr>
        <w:t xml:space="preserve">The antimicrobial susceptibility profile of this study indicated high resistance of the isolates to all antimicrobials tested, with the antibiotic amikacin being the one with the lowest resistance rate (48%), in coherence with the profile of the study by Bastos et al. [14], although this one got only 22%. The profile of all antibiotics differs from the study, and the resistance detected in this article is superior in most cases, with the exception of gentamicin. For comparison purposes, we have: cefepime, imipenem and meropenem - 72% vs 56%; ciprofloxacin - 68 vs 44%; e </w:t>
      </w:r>
      <w:proofErr w:type="spellStart"/>
      <w:r w:rsidRPr="002907D1">
        <w:rPr>
          <w:rFonts w:ascii="Arial" w:hAnsi="Arial" w:cs="Arial"/>
        </w:rPr>
        <w:t>piperacilin</w:t>
      </w:r>
      <w:proofErr w:type="spellEnd"/>
      <w:r w:rsidRPr="002907D1">
        <w:rPr>
          <w:rFonts w:ascii="Arial" w:hAnsi="Arial" w:cs="Arial"/>
        </w:rPr>
        <w:t>/tazobactam - 82,6% vs 44% - respectively data from this study in comparison with Bastos et al. 15. Even if it is not a favorable profile, this evolution of the resistance of P. aeruginosa strains was already expected through the excessive use of antibiotics in recent years, especially with the advent of the SARS-CoV-2 pandemic [15].</w:t>
      </w:r>
    </w:p>
    <w:p w14:paraId="23D7EA6D" w14:textId="77777777" w:rsidR="002907D1" w:rsidRPr="002907D1" w:rsidRDefault="002907D1" w:rsidP="002907D1">
      <w:pPr>
        <w:pStyle w:val="Body"/>
        <w:ind w:firstLine="720"/>
        <w:rPr>
          <w:rFonts w:ascii="Arial" w:hAnsi="Arial" w:cs="Arial"/>
        </w:rPr>
      </w:pPr>
      <w:r w:rsidRPr="002907D1">
        <w:rPr>
          <w:rFonts w:ascii="Arial" w:hAnsi="Arial" w:cs="Arial"/>
        </w:rPr>
        <w:t>The antibiotic ceftazidime/avibactam was developed for the treatment of infections caused by serine-</w:t>
      </w:r>
      <w:proofErr w:type="spellStart"/>
      <w:r w:rsidRPr="002907D1">
        <w:rPr>
          <w:rFonts w:ascii="Arial" w:hAnsi="Arial" w:cs="Arial"/>
        </w:rPr>
        <w:t>carbapenemase</w:t>
      </w:r>
      <w:proofErr w:type="spellEnd"/>
      <w:r w:rsidRPr="002907D1">
        <w:rPr>
          <w:rFonts w:ascii="Arial" w:hAnsi="Arial" w:cs="Arial"/>
        </w:rPr>
        <w:t xml:space="preserve"> Gram-negative bacteria resistance [16]. The study by </w:t>
      </w:r>
      <w:proofErr w:type="spellStart"/>
      <w:r w:rsidRPr="002907D1">
        <w:rPr>
          <w:rFonts w:ascii="Arial" w:hAnsi="Arial" w:cs="Arial"/>
        </w:rPr>
        <w:t>Santevecchi</w:t>
      </w:r>
      <w:proofErr w:type="spellEnd"/>
      <w:r w:rsidRPr="002907D1">
        <w:rPr>
          <w:rFonts w:ascii="Arial" w:hAnsi="Arial" w:cs="Arial"/>
        </w:rPr>
        <w:t xml:space="preserve"> et al. [17] carried out in 2021, pointed to 25% resistance to this drug in strains </w:t>
      </w:r>
      <w:r w:rsidRPr="002907D1">
        <w:rPr>
          <w:rFonts w:ascii="Arial" w:hAnsi="Arial" w:cs="Arial"/>
        </w:rPr>
        <w:lastRenderedPageBreak/>
        <w:t>of P. aeruginosa isolated from respiratory samples, while this research found 50%. Although there is a strong hypothesis of the evolution of resistance in this short period of time, both studies had a small sample, which is not enough to prove this theory.</w:t>
      </w:r>
    </w:p>
    <w:p w14:paraId="0B0D58D4" w14:textId="2D4927FF" w:rsidR="002907D1" w:rsidRDefault="002907D1" w:rsidP="002907D1">
      <w:pPr>
        <w:pStyle w:val="Body"/>
        <w:spacing w:after="0"/>
        <w:ind w:firstLine="720"/>
        <w:rPr>
          <w:rFonts w:ascii="Arial" w:hAnsi="Arial" w:cs="Arial"/>
        </w:rPr>
      </w:pPr>
      <w:r w:rsidRPr="002907D1">
        <w:rPr>
          <w:rFonts w:ascii="Arial" w:hAnsi="Arial" w:cs="Arial"/>
        </w:rPr>
        <w:t>The isolates of P. aeruginosa were classified according to the mechanism and resistance gene presented, as shown in Table 3. In addition, it was possible to evaluate the relationship between phenotypic characterization and the clinical outcome of the patients (Table 3).</w:t>
      </w:r>
    </w:p>
    <w:p w14:paraId="7839B16A" w14:textId="77777777" w:rsidR="002907D1" w:rsidRDefault="002907D1" w:rsidP="002907D1">
      <w:pPr>
        <w:pStyle w:val="Body"/>
        <w:spacing w:after="0"/>
        <w:rPr>
          <w:rFonts w:ascii="Arial" w:hAnsi="Arial" w:cs="Arial"/>
        </w:rPr>
      </w:pPr>
    </w:p>
    <w:p w14:paraId="3BF0094B" w14:textId="77777777" w:rsidR="002907D1" w:rsidRPr="002907D1" w:rsidRDefault="002907D1" w:rsidP="002907D1">
      <w:pPr>
        <w:jc w:val="both"/>
        <w:rPr>
          <w:rFonts w:ascii="Arial" w:hAnsi="Arial" w:cs="Arial"/>
          <w:lang w:val="pt-BR" w:eastAsia="pt-BR"/>
        </w:rPr>
      </w:pPr>
      <w:r w:rsidRPr="002907D1">
        <w:rPr>
          <w:rFonts w:ascii="Arial" w:hAnsi="Arial" w:cs="Arial"/>
          <w:b/>
          <w:bCs/>
          <w:color w:val="000000"/>
          <w:lang w:val="pt-BR" w:eastAsia="pt-BR"/>
        </w:rPr>
        <w:t xml:space="preserve">Table 3. Characterization of the resistance of </w:t>
      </w:r>
      <w:r w:rsidRPr="002907D1">
        <w:rPr>
          <w:rFonts w:ascii="Arial" w:hAnsi="Arial" w:cs="Arial"/>
          <w:b/>
          <w:bCs/>
          <w:i/>
          <w:iCs/>
          <w:color w:val="000000"/>
          <w:lang w:val="pt-BR" w:eastAsia="pt-BR"/>
        </w:rPr>
        <w:t>Pseudomonas aeruginosa</w:t>
      </w:r>
      <w:r w:rsidRPr="002907D1">
        <w:rPr>
          <w:rFonts w:ascii="Arial" w:hAnsi="Arial" w:cs="Arial"/>
          <w:b/>
          <w:bCs/>
          <w:color w:val="000000"/>
          <w:lang w:val="pt-BR" w:eastAsia="pt-BR"/>
        </w:rPr>
        <w:t xml:space="preserve"> isolates regarding the mechanism and gene of resistance and relationship with the clinical outcome.</w:t>
      </w:r>
    </w:p>
    <w:p w14:paraId="02A151E6" w14:textId="77777777" w:rsidR="002907D1" w:rsidRPr="002907D1" w:rsidRDefault="002907D1" w:rsidP="002907D1">
      <w:pPr>
        <w:rPr>
          <w:rFonts w:ascii="Arial" w:hAnsi="Arial" w:cs="Arial"/>
          <w:lang w:val="pt-BR" w:eastAsia="pt-BR"/>
        </w:rPr>
      </w:pPr>
    </w:p>
    <w:tbl>
      <w:tblPr>
        <w:tblW w:w="7986" w:type="dxa"/>
        <w:tblCellMar>
          <w:top w:w="15" w:type="dxa"/>
          <w:left w:w="15" w:type="dxa"/>
          <w:bottom w:w="15" w:type="dxa"/>
          <w:right w:w="15" w:type="dxa"/>
        </w:tblCellMar>
        <w:tblLook w:val="04A0" w:firstRow="1" w:lastRow="0" w:firstColumn="1" w:lastColumn="0" w:noHBand="0" w:noVBand="1"/>
      </w:tblPr>
      <w:tblGrid>
        <w:gridCol w:w="3644"/>
        <w:gridCol w:w="1134"/>
        <w:gridCol w:w="1168"/>
        <w:gridCol w:w="1020"/>
        <w:gridCol w:w="1020"/>
      </w:tblGrid>
      <w:tr w:rsidR="002907D1" w:rsidRPr="002907D1" w14:paraId="29520C83" w14:textId="77777777" w:rsidTr="002907D1">
        <w:trPr>
          <w:trHeight w:val="227"/>
        </w:trPr>
        <w:tc>
          <w:tcPr>
            <w:tcW w:w="3644" w:type="dxa"/>
            <w:vMerge w:val="restart"/>
            <w:tcBorders>
              <w:top w:val="single" w:sz="8" w:space="0" w:color="000000"/>
            </w:tcBorders>
            <w:tcMar>
              <w:top w:w="100" w:type="dxa"/>
              <w:left w:w="100" w:type="dxa"/>
              <w:bottom w:w="100" w:type="dxa"/>
              <w:right w:w="100" w:type="dxa"/>
            </w:tcMar>
            <w:hideMark/>
          </w:tcPr>
          <w:p w14:paraId="01CF9B42" w14:textId="77777777" w:rsidR="002907D1" w:rsidRPr="002907D1" w:rsidRDefault="002907D1" w:rsidP="002907D1">
            <w:pPr>
              <w:rPr>
                <w:rFonts w:ascii="Arial" w:hAnsi="Arial" w:cs="Arial"/>
                <w:lang w:val="pt-BR" w:eastAsia="pt-BR"/>
              </w:rPr>
            </w:pPr>
          </w:p>
          <w:p w14:paraId="1483D706"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Variables</w:t>
            </w:r>
          </w:p>
        </w:tc>
        <w:tc>
          <w:tcPr>
            <w:tcW w:w="1134" w:type="dxa"/>
            <w:vMerge w:val="restart"/>
            <w:tcBorders>
              <w:top w:val="single" w:sz="8" w:space="0" w:color="000000"/>
            </w:tcBorders>
            <w:tcMar>
              <w:top w:w="100" w:type="dxa"/>
              <w:left w:w="100" w:type="dxa"/>
              <w:bottom w:w="100" w:type="dxa"/>
              <w:right w:w="100" w:type="dxa"/>
            </w:tcMar>
            <w:hideMark/>
          </w:tcPr>
          <w:p w14:paraId="20DCB374" w14:textId="77777777" w:rsidR="002907D1" w:rsidRPr="002907D1" w:rsidRDefault="002907D1" w:rsidP="002907D1">
            <w:pPr>
              <w:rPr>
                <w:rFonts w:ascii="Arial" w:hAnsi="Arial" w:cs="Arial"/>
                <w:lang w:val="pt-BR" w:eastAsia="pt-BR"/>
              </w:rPr>
            </w:pPr>
          </w:p>
          <w:p w14:paraId="4DDD36C9"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N (%)</w:t>
            </w:r>
          </w:p>
          <w:p w14:paraId="3A8B95E3" w14:textId="77777777" w:rsidR="002907D1" w:rsidRPr="002907D1" w:rsidRDefault="002907D1" w:rsidP="002907D1">
            <w:pPr>
              <w:rPr>
                <w:rFonts w:ascii="Arial" w:hAnsi="Arial" w:cs="Arial"/>
                <w:lang w:val="pt-BR" w:eastAsia="pt-BR"/>
              </w:rPr>
            </w:pPr>
          </w:p>
        </w:tc>
        <w:tc>
          <w:tcPr>
            <w:tcW w:w="0" w:type="auto"/>
            <w:gridSpan w:val="2"/>
            <w:tcBorders>
              <w:top w:val="single" w:sz="8" w:space="0" w:color="000000"/>
              <w:bottom w:val="single" w:sz="8" w:space="0" w:color="000000"/>
            </w:tcBorders>
            <w:tcMar>
              <w:top w:w="100" w:type="dxa"/>
              <w:left w:w="100" w:type="dxa"/>
              <w:bottom w:w="100" w:type="dxa"/>
              <w:right w:w="100" w:type="dxa"/>
            </w:tcMar>
            <w:hideMark/>
          </w:tcPr>
          <w:p w14:paraId="1801E947"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Clinical outcome</w:t>
            </w:r>
          </w:p>
        </w:tc>
        <w:tc>
          <w:tcPr>
            <w:tcW w:w="1020" w:type="dxa"/>
            <w:vMerge w:val="restart"/>
            <w:tcBorders>
              <w:top w:val="single" w:sz="8" w:space="0" w:color="000000"/>
            </w:tcBorders>
            <w:tcMar>
              <w:top w:w="100" w:type="dxa"/>
              <w:left w:w="100" w:type="dxa"/>
              <w:bottom w:w="100" w:type="dxa"/>
              <w:right w:w="100" w:type="dxa"/>
            </w:tcMar>
            <w:hideMark/>
          </w:tcPr>
          <w:p w14:paraId="50B8F431" w14:textId="77777777" w:rsidR="002907D1" w:rsidRPr="002907D1" w:rsidRDefault="002907D1" w:rsidP="002907D1">
            <w:pPr>
              <w:rPr>
                <w:rFonts w:ascii="Arial" w:hAnsi="Arial" w:cs="Arial"/>
                <w:sz w:val="8"/>
                <w:szCs w:val="8"/>
                <w:lang w:val="pt-BR" w:eastAsia="pt-BR"/>
              </w:rPr>
            </w:pPr>
          </w:p>
          <w:p w14:paraId="0536FB44"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 (χ</w:t>
            </w:r>
            <w:r w:rsidRPr="002907D1">
              <w:rPr>
                <w:rFonts w:ascii="Arial" w:hAnsi="Arial" w:cs="Arial"/>
                <w:b/>
                <w:bCs/>
                <w:color w:val="000000"/>
                <w:vertAlign w:val="superscript"/>
                <w:lang w:val="pt-BR" w:eastAsia="pt-BR"/>
              </w:rPr>
              <w:t>2</w:t>
            </w:r>
            <w:r w:rsidRPr="002907D1">
              <w:rPr>
                <w:rFonts w:ascii="Arial" w:hAnsi="Arial" w:cs="Arial"/>
                <w:b/>
                <w:bCs/>
                <w:color w:val="000000"/>
                <w:lang w:val="pt-BR" w:eastAsia="pt-BR"/>
              </w:rPr>
              <w:t>) p-value</w:t>
            </w:r>
          </w:p>
        </w:tc>
      </w:tr>
      <w:tr w:rsidR="002907D1" w:rsidRPr="002907D1" w14:paraId="391B79FE" w14:textId="77777777" w:rsidTr="002907D1">
        <w:trPr>
          <w:trHeight w:val="227"/>
        </w:trPr>
        <w:tc>
          <w:tcPr>
            <w:tcW w:w="3644" w:type="dxa"/>
            <w:vMerge/>
            <w:tcBorders>
              <w:top w:val="single" w:sz="8" w:space="0" w:color="000000"/>
            </w:tcBorders>
            <w:vAlign w:val="center"/>
            <w:hideMark/>
          </w:tcPr>
          <w:p w14:paraId="4BB6C8E4" w14:textId="77777777" w:rsidR="002907D1" w:rsidRPr="002907D1" w:rsidRDefault="002907D1" w:rsidP="002907D1">
            <w:pPr>
              <w:rPr>
                <w:rFonts w:ascii="Arial" w:hAnsi="Arial" w:cs="Arial"/>
                <w:lang w:val="pt-BR" w:eastAsia="pt-BR"/>
              </w:rPr>
            </w:pPr>
          </w:p>
        </w:tc>
        <w:tc>
          <w:tcPr>
            <w:tcW w:w="1134" w:type="dxa"/>
            <w:vMerge/>
            <w:tcBorders>
              <w:top w:val="single" w:sz="8" w:space="0" w:color="000000"/>
            </w:tcBorders>
            <w:vAlign w:val="center"/>
            <w:hideMark/>
          </w:tcPr>
          <w:p w14:paraId="3E45C1B9"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1525A975" w14:textId="77777777" w:rsidR="002907D1" w:rsidRPr="002907D1" w:rsidRDefault="002907D1" w:rsidP="002907D1">
            <w:pPr>
              <w:rPr>
                <w:rFonts w:ascii="Arial" w:hAnsi="Arial" w:cs="Arial"/>
                <w:lang w:val="pt-BR" w:eastAsia="pt-BR"/>
              </w:rPr>
            </w:pPr>
            <w:r w:rsidRPr="002907D1">
              <w:rPr>
                <w:rFonts w:ascii="Arial" w:hAnsi="Arial" w:cs="Arial"/>
                <w:b/>
                <w:bCs/>
                <w:color w:val="000000"/>
                <w:lang w:val="pt-BR" w:eastAsia="pt-BR"/>
              </w:rPr>
              <w:t>Discharge</w:t>
            </w:r>
          </w:p>
        </w:tc>
        <w:tc>
          <w:tcPr>
            <w:tcW w:w="1020" w:type="dxa"/>
            <w:tcBorders>
              <w:top w:val="single" w:sz="8" w:space="0" w:color="000000"/>
              <w:bottom w:val="single" w:sz="8" w:space="0" w:color="000000"/>
            </w:tcBorders>
            <w:tcMar>
              <w:top w:w="100" w:type="dxa"/>
              <w:left w:w="100" w:type="dxa"/>
              <w:bottom w:w="100" w:type="dxa"/>
              <w:right w:w="100" w:type="dxa"/>
            </w:tcMar>
            <w:hideMark/>
          </w:tcPr>
          <w:p w14:paraId="60E29969"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Death</w:t>
            </w:r>
          </w:p>
        </w:tc>
        <w:tc>
          <w:tcPr>
            <w:tcW w:w="1020" w:type="dxa"/>
            <w:vMerge/>
            <w:tcBorders>
              <w:bottom w:val="single" w:sz="8" w:space="0" w:color="000000"/>
            </w:tcBorders>
            <w:vAlign w:val="center"/>
            <w:hideMark/>
          </w:tcPr>
          <w:p w14:paraId="70243BEA" w14:textId="77777777" w:rsidR="002907D1" w:rsidRPr="002907D1" w:rsidRDefault="002907D1" w:rsidP="002907D1">
            <w:pPr>
              <w:rPr>
                <w:rFonts w:ascii="Arial" w:hAnsi="Arial" w:cs="Arial"/>
                <w:lang w:val="pt-BR" w:eastAsia="pt-BR"/>
              </w:rPr>
            </w:pPr>
          </w:p>
        </w:tc>
      </w:tr>
      <w:tr w:rsidR="002907D1" w:rsidRPr="002907D1" w14:paraId="48E12AFF" w14:textId="77777777" w:rsidTr="002907D1">
        <w:tc>
          <w:tcPr>
            <w:tcW w:w="3644" w:type="dxa"/>
            <w:tcBorders>
              <w:top w:val="single" w:sz="8" w:space="0" w:color="000000"/>
              <w:bottom w:val="single" w:sz="4" w:space="0" w:color="auto"/>
            </w:tcBorders>
            <w:tcMar>
              <w:top w:w="100" w:type="dxa"/>
              <w:left w:w="100" w:type="dxa"/>
              <w:bottom w:w="100" w:type="dxa"/>
              <w:right w:w="100" w:type="dxa"/>
            </w:tcMar>
            <w:hideMark/>
          </w:tcPr>
          <w:p w14:paraId="6E23D405" w14:textId="77777777" w:rsidR="002907D1" w:rsidRPr="002907D1" w:rsidRDefault="002907D1" w:rsidP="002907D1">
            <w:pPr>
              <w:rPr>
                <w:rFonts w:ascii="Arial" w:hAnsi="Arial" w:cs="Arial"/>
                <w:lang w:val="pt-BR" w:eastAsia="pt-BR"/>
              </w:rPr>
            </w:pPr>
            <w:r w:rsidRPr="002907D1">
              <w:rPr>
                <w:rFonts w:ascii="Arial" w:hAnsi="Arial" w:cs="Arial"/>
                <w:b/>
                <w:bCs/>
                <w:color w:val="000000"/>
                <w:lang w:val="pt-BR" w:eastAsia="pt-BR"/>
              </w:rPr>
              <w:t xml:space="preserve">Mechanism of Resistance </w:t>
            </w:r>
            <w:r w:rsidRPr="002907D1">
              <w:rPr>
                <w:rFonts w:ascii="Arial" w:hAnsi="Arial" w:cs="Arial"/>
                <w:color w:val="000000"/>
                <w:lang w:val="pt-BR" w:eastAsia="pt-BR"/>
              </w:rPr>
              <w:t>(n= 25)</w:t>
            </w:r>
          </w:p>
        </w:tc>
        <w:tc>
          <w:tcPr>
            <w:tcW w:w="1134" w:type="dxa"/>
            <w:tcBorders>
              <w:top w:val="single" w:sz="8" w:space="0" w:color="000000"/>
              <w:bottom w:val="single" w:sz="4" w:space="0" w:color="auto"/>
            </w:tcBorders>
            <w:tcMar>
              <w:top w:w="100" w:type="dxa"/>
              <w:left w:w="100" w:type="dxa"/>
              <w:bottom w:w="100" w:type="dxa"/>
              <w:right w:w="100" w:type="dxa"/>
            </w:tcMar>
            <w:hideMark/>
          </w:tcPr>
          <w:p w14:paraId="6F89C058"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4" w:space="0" w:color="auto"/>
            </w:tcBorders>
            <w:tcMar>
              <w:top w:w="100" w:type="dxa"/>
              <w:left w:w="100" w:type="dxa"/>
              <w:bottom w:w="100" w:type="dxa"/>
              <w:right w:w="100" w:type="dxa"/>
            </w:tcMar>
            <w:hideMark/>
          </w:tcPr>
          <w:p w14:paraId="12A4EBFA" w14:textId="77777777" w:rsidR="002907D1" w:rsidRPr="002907D1" w:rsidRDefault="002907D1" w:rsidP="002907D1">
            <w:pPr>
              <w:rPr>
                <w:rFonts w:ascii="Arial" w:hAnsi="Arial" w:cs="Arial"/>
                <w:lang w:val="pt-BR" w:eastAsia="pt-BR"/>
              </w:rPr>
            </w:pPr>
          </w:p>
        </w:tc>
        <w:tc>
          <w:tcPr>
            <w:tcW w:w="1020" w:type="dxa"/>
            <w:tcBorders>
              <w:top w:val="single" w:sz="8" w:space="0" w:color="000000"/>
              <w:bottom w:val="single" w:sz="4" w:space="0" w:color="auto"/>
            </w:tcBorders>
            <w:tcMar>
              <w:top w:w="100" w:type="dxa"/>
              <w:left w:w="100" w:type="dxa"/>
              <w:bottom w:w="100" w:type="dxa"/>
              <w:right w:w="100" w:type="dxa"/>
            </w:tcMar>
            <w:hideMark/>
          </w:tcPr>
          <w:p w14:paraId="5BFDA0F9" w14:textId="77777777" w:rsidR="002907D1" w:rsidRPr="002907D1" w:rsidRDefault="002907D1" w:rsidP="002907D1">
            <w:pPr>
              <w:rPr>
                <w:rFonts w:ascii="Arial" w:hAnsi="Arial" w:cs="Arial"/>
                <w:lang w:val="pt-BR" w:eastAsia="pt-BR"/>
              </w:rPr>
            </w:pPr>
          </w:p>
        </w:tc>
        <w:tc>
          <w:tcPr>
            <w:tcW w:w="1020" w:type="dxa"/>
            <w:tcBorders>
              <w:top w:val="single" w:sz="8" w:space="0" w:color="000000"/>
              <w:bottom w:val="single" w:sz="4" w:space="0" w:color="auto"/>
            </w:tcBorders>
            <w:tcMar>
              <w:top w:w="100" w:type="dxa"/>
              <w:left w:w="100" w:type="dxa"/>
              <w:bottom w:w="100" w:type="dxa"/>
              <w:right w:w="100" w:type="dxa"/>
            </w:tcMar>
            <w:hideMark/>
          </w:tcPr>
          <w:p w14:paraId="2C15516A" w14:textId="77777777" w:rsidR="002907D1" w:rsidRPr="002907D1" w:rsidRDefault="002907D1" w:rsidP="002907D1">
            <w:pPr>
              <w:rPr>
                <w:rFonts w:ascii="Arial" w:hAnsi="Arial" w:cs="Arial"/>
                <w:lang w:val="pt-BR" w:eastAsia="pt-BR"/>
              </w:rPr>
            </w:pPr>
          </w:p>
        </w:tc>
      </w:tr>
      <w:tr w:rsidR="002907D1" w:rsidRPr="002907D1" w14:paraId="61DCBE4B" w14:textId="77777777" w:rsidTr="00554E19">
        <w:trPr>
          <w:trHeight w:val="227"/>
        </w:trPr>
        <w:tc>
          <w:tcPr>
            <w:tcW w:w="3644" w:type="dxa"/>
            <w:tcBorders>
              <w:top w:val="single" w:sz="4" w:space="0" w:color="auto"/>
            </w:tcBorders>
            <w:tcMar>
              <w:top w:w="100" w:type="dxa"/>
              <w:left w:w="100" w:type="dxa"/>
              <w:bottom w:w="100" w:type="dxa"/>
              <w:right w:w="100" w:type="dxa"/>
            </w:tcMar>
            <w:hideMark/>
          </w:tcPr>
          <w:p w14:paraId="5A98D259" w14:textId="66E155BE"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 xml:space="preserve">Carbapenems-resistant </w:t>
            </w:r>
            <w:r w:rsidRPr="002907D1">
              <w:rPr>
                <w:rFonts w:ascii="Arial" w:hAnsi="Arial" w:cs="Arial"/>
                <w:i/>
                <w:iCs/>
                <w:color w:val="000000"/>
                <w:lang w:val="pt-BR" w:eastAsia="pt-BR"/>
              </w:rPr>
              <w:t>P.aeruginosa</w:t>
            </w:r>
            <w:r>
              <w:rPr>
                <w:rFonts w:ascii="Arial" w:hAnsi="Arial" w:cs="Arial"/>
                <w:i/>
                <w:iCs/>
                <w:color w:val="000000"/>
                <w:lang w:val="pt-BR" w:eastAsia="pt-BR"/>
              </w:rPr>
              <w:t xml:space="preserve"> </w:t>
            </w:r>
            <w:r w:rsidRPr="002907D1">
              <w:rPr>
                <w:rFonts w:ascii="Arial" w:hAnsi="Arial" w:cs="Arial"/>
                <w:color w:val="000000"/>
                <w:lang w:val="pt-BR" w:eastAsia="pt-BR"/>
              </w:rPr>
              <w:t>(CRPA)</w:t>
            </w:r>
          </w:p>
        </w:tc>
        <w:tc>
          <w:tcPr>
            <w:tcW w:w="1134" w:type="dxa"/>
            <w:tcBorders>
              <w:top w:val="single" w:sz="4" w:space="0" w:color="auto"/>
            </w:tcBorders>
            <w:tcMar>
              <w:top w:w="100" w:type="dxa"/>
              <w:left w:w="100" w:type="dxa"/>
              <w:bottom w:w="100" w:type="dxa"/>
              <w:right w:w="100" w:type="dxa"/>
            </w:tcMar>
            <w:hideMark/>
          </w:tcPr>
          <w:p w14:paraId="33CA76CD"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18 (72%)</w:t>
            </w:r>
          </w:p>
        </w:tc>
        <w:tc>
          <w:tcPr>
            <w:tcW w:w="0" w:type="auto"/>
            <w:tcBorders>
              <w:top w:val="single" w:sz="4" w:space="0" w:color="auto"/>
            </w:tcBorders>
            <w:tcMar>
              <w:top w:w="100" w:type="dxa"/>
              <w:left w:w="100" w:type="dxa"/>
              <w:bottom w:w="100" w:type="dxa"/>
              <w:right w:w="100" w:type="dxa"/>
            </w:tcMar>
            <w:hideMark/>
          </w:tcPr>
          <w:p w14:paraId="793C6CF0"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(17%)</w:t>
            </w:r>
          </w:p>
        </w:tc>
        <w:tc>
          <w:tcPr>
            <w:tcW w:w="1020" w:type="dxa"/>
            <w:tcBorders>
              <w:top w:val="single" w:sz="4" w:space="0" w:color="auto"/>
            </w:tcBorders>
            <w:tcMar>
              <w:top w:w="100" w:type="dxa"/>
              <w:left w:w="100" w:type="dxa"/>
              <w:bottom w:w="100" w:type="dxa"/>
              <w:right w:w="100" w:type="dxa"/>
            </w:tcMar>
            <w:hideMark/>
          </w:tcPr>
          <w:p w14:paraId="1E2C248E"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15 (83%)</w:t>
            </w:r>
          </w:p>
        </w:tc>
        <w:tc>
          <w:tcPr>
            <w:tcW w:w="1020" w:type="dxa"/>
            <w:vMerge w:val="restart"/>
            <w:tcBorders>
              <w:top w:val="single" w:sz="4" w:space="0" w:color="auto"/>
            </w:tcBorders>
            <w:tcMar>
              <w:top w:w="100" w:type="dxa"/>
              <w:left w:w="100" w:type="dxa"/>
              <w:bottom w:w="100" w:type="dxa"/>
              <w:right w:w="100" w:type="dxa"/>
            </w:tcMar>
            <w:hideMark/>
          </w:tcPr>
          <w:p w14:paraId="1E832EAF" w14:textId="77777777" w:rsidR="002907D1" w:rsidRPr="002907D1" w:rsidRDefault="002907D1" w:rsidP="002907D1">
            <w:pPr>
              <w:spacing w:after="240"/>
              <w:rPr>
                <w:rFonts w:ascii="Arial" w:hAnsi="Arial" w:cs="Arial"/>
                <w:sz w:val="6"/>
                <w:szCs w:val="6"/>
                <w:lang w:val="pt-BR" w:eastAsia="pt-BR"/>
              </w:rPr>
            </w:pPr>
          </w:p>
          <w:p w14:paraId="29A2B3E9"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0,9113</w:t>
            </w:r>
          </w:p>
        </w:tc>
      </w:tr>
      <w:tr w:rsidR="002907D1" w:rsidRPr="002907D1" w14:paraId="0C2BE7E1" w14:textId="77777777" w:rsidTr="00554E19">
        <w:trPr>
          <w:trHeight w:val="227"/>
        </w:trPr>
        <w:tc>
          <w:tcPr>
            <w:tcW w:w="3644" w:type="dxa"/>
            <w:tcMar>
              <w:top w:w="100" w:type="dxa"/>
              <w:left w:w="100" w:type="dxa"/>
              <w:bottom w:w="100" w:type="dxa"/>
              <w:right w:w="100" w:type="dxa"/>
            </w:tcMar>
            <w:hideMark/>
          </w:tcPr>
          <w:p w14:paraId="6C7D3C7A"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 xml:space="preserve">Carbapenems-sensitive </w:t>
            </w:r>
            <w:r w:rsidRPr="002907D1">
              <w:rPr>
                <w:rFonts w:ascii="Arial" w:hAnsi="Arial" w:cs="Arial"/>
                <w:i/>
                <w:iCs/>
                <w:color w:val="000000"/>
                <w:lang w:val="pt-BR" w:eastAsia="pt-BR"/>
              </w:rPr>
              <w:t>P.aeruginosa</w:t>
            </w:r>
          </w:p>
        </w:tc>
        <w:tc>
          <w:tcPr>
            <w:tcW w:w="1134" w:type="dxa"/>
            <w:tcMar>
              <w:top w:w="100" w:type="dxa"/>
              <w:left w:w="100" w:type="dxa"/>
              <w:bottom w:w="100" w:type="dxa"/>
              <w:right w:w="100" w:type="dxa"/>
            </w:tcMar>
            <w:hideMark/>
          </w:tcPr>
          <w:p w14:paraId="1B86107B"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7 (28%)</w:t>
            </w:r>
          </w:p>
        </w:tc>
        <w:tc>
          <w:tcPr>
            <w:tcW w:w="0" w:type="auto"/>
            <w:tcMar>
              <w:top w:w="100" w:type="dxa"/>
              <w:left w:w="100" w:type="dxa"/>
              <w:bottom w:w="100" w:type="dxa"/>
              <w:right w:w="100" w:type="dxa"/>
            </w:tcMar>
            <w:hideMark/>
          </w:tcPr>
          <w:p w14:paraId="0132F16A"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(29%)</w:t>
            </w:r>
          </w:p>
        </w:tc>
        <w:tc>
          <w:tcPr>
            <w:tcW w:w="1020" w:type="dxa"/>
            <w:tcMar>
              <w:top w:w="100" w:type="dxa"/>
              <w:left w:w="100" w:type="dxa"/>
              <w:bottom w:w="100" w:type="dxa"/>
              <w:right w:w="100" w:type="dxa"/>
            </w:tcMar>
            <w:hideMark/>
          </w:tcPr>
          <w:p w14:paraId="1A6421DD"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5 (71%)</w:t>
            </w:r>
          </w:p>
        </w:tc>
        <w:tc>
          <w:tcPr>
            <w:tcW w:w="1020" w:type="dxa"/>
            <w:vMerge/>
            <w:vAlign w:val="center"/>
            <w:hideMark/>
          </w:tcPr>
          <w:p w14:paraId="0E73D12A" w14:textId="77777777" w:rsidR="002907D1" w:rsidRPr="002907D1" w:rsidRDefault="002907D1" w:rsidP="002907D1">
            <w:pPr>
              <w:rPr>
                <w:rFonts w:ascii="Arial" w:hAnsi="Arial" w:cs="Arial"/>
                <w:lang w:val="pt-BR" w:eastAsia="pt-BR"/>
              </w:rPr>
            </w:pPr>
          </w:p>
        </w:tc>
      </w:tr>
      <w:tr w:rsidR="002907D1" w:rsidRPr="002907D1" w14:paraId="11A525B1" w14:textId="77777777" w:rsidTr="002907D1">
        <w:tc>
          <w:tcPr>
            <w:tcW w:w="3644" w:type="dxa"/>
            <w:tcBorders>
              <w:top w:val="single" w:sz="4" w:space="0" w:color="auto"/>
              <w:bottom w:val="single" w:sz="4" w:space="0" w:color="auto"/>
            </w:tcBorders>
            <w:tcMar>
              <w:top w:w="100" w:type="dxa"/>
              <w:left w:w="100" w:type="dxa"/>
              <w:bottom w:w="100" w:type="dxa"/>
              <w:right w:w="100" w:type="dxa"/>
            </w:tcMar>
            <w:hideMark/>
          </w:tcPr>
          <w:p w14:paraId="0B6B53A2" w14:textId="77777777" w:rsidR="002907D1" w:rsidRPr="002907D1" w:rsidRDefault="002907D1" w:rsidP="002907D1">
            <w:pPr>
              <w:rPr>
                <w:rFonts w:ascii="Arial" w:hAnsi="Arial" w:cs="Arial"/>
                <w:lang w:val="pt-BR" w:eastAsia="pt-BR"/>
              </w:rPr>
            </w:pPr>
            <w:r w:rsidRPr="002907D1">
              <w:rPr>
                <w:rFonts w:ascii="Arial" w:hAnsi="Arial" w:cs="Arial"/>
                <w:b/>
                <w:bCs/>
                <w:color w:val="000000"/>
                <w:lang w:val="pt-BR" w:eastAsia="pt-BR"/>
              </w:rPr>
              <w:t xml:space="preserve">CRPA Resistance Type </w:t>
            </w:r>
            <w:r w:rsidRPr="002907D1">
              <w:rPr>
                <w:rFonts w:ascii="Arial" w:hAnsi="Arial" w:cs="Arial"/>
                <w:color w:val="000000"/>
                <w:lang w:val="pt-BR" w:eastAsia="pt-BR"/>
              </w:rPr>
              <w:t>(n= 18)</w:t>
            </w:r>
          </w:p>
        </w:tc>
        <w:tc>
          <w:tcPr>
            <w:tcW w:w="1134" w:type="dxa"/>
            <w:tcBorders>
              <w:top w:val="single" w:sz="4" w:space="0" w:color="auto"/>
              <w:bottom w:val="single" w:sz="4" w:space="0" w:color="auto"/>
            </w:tcBorders>
            <w:tcMar>
              <w:top w:w="100" w:type="dxa"/>
              <w:left w:w="100" w:type="dxa"/>
              <w:bottom w:w="100" w:type="dxa"/>
              <w:right w:w="100" w:type="dxa"/>
            </w:tcMar>
            <w:hideMark/>
          </w:tcPr>
          <w:p w14:paraId="2F74221E" w14:textId="77777777" w:rsidR="002907D1" w:rsidRPr="002907D1" w:rsidRDefault="002907D1" w:rsidP="002907D1">
            <w:pPr>
              <w:rPr>
                <w:rFonts w:ascii="Arial" w:hAnsi="Arial" w:cs="Arial"/>
                <w:lang w:val="pt-BR" w:eastAsia="pt-BR"/>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154D93D5" w14:textId="77777777" w:rsidR="002907D1" w:rsidRPr="002907D1" w:rsidRDefault="002907D1" w:rsidP="002907D1">
            <w:pPr>
              <w:rPr>
                <w:rFonts w:ascii="Arial" w:hAnsi="Arial" w:cs="Arial"/>
                <w:lang w:val="pt-BR" w:eastAsia="pt-BR"/>
              </w:rPr>
            </w:pPr>
          </w:p>
        </w:tc>
        <w:tc>
          <w:tcPr>
            <w:tcW w:w="1020" w:type="dxa"/>
            <w:tcBorders>
              <w:top w:val="single" w:sz="4" w:space="0" w:color="auto"/>
              <w:bottom w:val="single" w:sz="4" w:space="0" w:color="auto"/>
            </w:tcBorders>
            <w:tcMar>
              <w:top w:w="100" w:type="dxa"/>
              <w:left w:w="100" w:type="dxa"/>
              <w:bottom w:w="100" w:type="dxa"/>
              <w:right w:w="100" w:type="dxa"/>
            </w:tcMar>
            <w:hideMark/>
          </w:tcPr>
          <w:p w14:paraId="5C2D13AD" w14:textId="77777777" w:rsidR="002907D1" w:rsidRPr="002907D1" w:rsidRDefault="002907D1" w:rsidP="002907D1">
            <w:pPr>
              <w:rPr>
                <w:rFonts w:ascii="Arial" w:hAnsi="Arial" w:cs="Arial"/>
                <w:lang w:val="pt-BR" w:eastAsia="pt-BR"/>
              </w:rPr>
            </w:pPr>
          </w:p>
        </w:tc>
        <w:tc>
          <w:tcPr>
            <w:tcW w:w="1020" w:type="dxa"/>
            <w:tcBorders>
              <w:top w:val="single" w:sz="4" w:space="0" w:color="auto"/>
              <w:bottom w:val="single" w:sz="4" w:space="0" w:color="auto"/>
            </w:tcBorders>
            <w:tcMar>
              <w:top w:w="100" w:type="dxa"/>
              <w:left w:w="100" w:type="dxa"/>
              <w:bottom w:w="100" w:type="dxa"/>
              <w:right w:w="100" w:type="dxa"/>
            </w:tcMar>
            <w:hideMark/>
          </w:tcPr>
          <w:p w14:paraId="4858CC5F" w14:textId="77777777" w:rsidR="002907D1" w:rsidRPr="002907D1" w:rsidRDefault="002907D1" w:rsidP="002907D1">
            <w:pPr>
              <w:rPr>
                <w:rFonts w:ascii="Arial" w:hAnsi="Arial" w:cs="Arial"/>
                <w:lang w:val="pt-BR" w:eastAsia="pt-BR"/>
              </w:rPr>
            </w:pPr>
          </w:p>
        </w:tc>
      </w:tr>
      <w:tr w:rsidR="002907D1" w:rsidRPr="002907D1" w14:paraId="50ADECC9" w14:textId="77777777" w:rsidTr="00554E19">
        <w:trPr>
          <w:trHeight w:val="227"/>
        </w:trPr>
        <w:tc>
          <w:tcPr>
            <w:tcW w:w="3644" w:type="dxa"/>
            <w:tcBorders>
              <w:top w:val="single" w:sz="4" w:space="0" w:color="auto"/>
            </w:tcBorders>
            <w:tcMar>
              <w:top w:w="100" w:type="dxa"/>
              <w:left w:w="100" w:type="dxa"/>
              <w:bottom w:w="100" w:type="dxa"/>
              <w:right w:w="100" w:type="dxa"/>
            </w:tcMar>
            <w:hideMark/>
          </w:tcPr>
          <w:p w14:paraId="07A3AE3A" w14:textId="77777777" w:rsidR="002907D1" w:rsidRPr="002907D1" w:rsidRDefault="002907D1" w:rsidP="002907D1">
            <w:pPr>
              <w:ind w:firstLine="566"/>
              <w:rPr>
                <w:rFonts w:ascii="Arial" w:hAnsi="Arial" w:cs="Arial"/>
                <w:lang w:val="pt-BR" w:eastAsia="pt-BR"/>
              </w:rPr>
            </w:pPr>
            <w:r w:rsidRPr="002907D1">
              <w:rPr>
                <w:rFonts w:ascii="Arial" w:hAnsi="Arial" w:cs="Arial"/>
                <w:color w:val="000000"/>
                <w:lang w:val="pt-BR" w:eastAsia="pt-BR"/>
              </w:rPr>
              <w:t>Serine carbapenemase</w:t>
            </w:r>
          </w:p>
        </w:tc>
        <w:tc>
          <w:tcPr>
            <w:tcW w:w="1134" w:type="dxa"/>
            <w:tcBorders>
              <w:top w:val="single" w:sz="4" w:space="0" w:color="auto"/>
            </w:tcBorders>
            <w:tcMar>
              <w:top w:w="100" w:type="dxa"/>
              <w:left w:w="100" w:type="dxa"/>
              <w:bottom w:w="100" w:type="dxa"/>
              <w:right w:w="100" w:type="dxa"/>
            </w:tcMar>
            <w:hideMark/>
          </w:tcPr>
          <w:p w14:paraId="2D5FA004"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6 (33%)</w:t>
            </w:r>
          </w:p>
        </w:tc>
        <w:tc>
          <w:tcPr>
            <w:tcW w:w="0" w:type="auto"/>
            <w:tcBorders>
              <w:top w:val="single" w:sz="4" w:space="0" w:color="auto"/>
            </w:tcBorders>
            <w:tcMar>
              <w:top w:w="100" w:type="dxa"/>
              <w:left w:w="100" w:type="dxa"/>
              <w:bottom w:w="100" w:type="dxa"/>
              <w:right w:w="100" w:type="dxa"/>
            </w:tcMar>
            <w:hideMark/>
          </w:tcPr>
          <w:p w14:paraId="488A951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1020" w:type="dxa"/>
            <w:tcBorders>
              <w:top w:val="single" w:sz="4" w:space="0" w:color="auto"/>
            </w:tcBorders>
            <w:tcMar>
              <w:top w:w="100" w:type="dxa"/>
              <w:left w:w="100" w:type="dxa"/>
              <w:bottom w:w="100" w:type="dxa"/>
              <w:right w:w="100" w:type="dxa"/>
            </w:tcMar>
            <w:hideMark/>
          </w:tcPr>
          <w:p w14:paraId="078672D1"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6 (100%)</w:t>
            </w:r>
          </w:p>
        </w:tc>
        <w:tc>
          <w:tcPr>
            <w:tcW w:w="1020" w:type="dxa"/>
            <w:vMerge w:val="restart"/>
            <w:tcBorders>
              <w:top w:val="single" w:sz="4" w:space="0" w:color="auto"/>
            </w:tcBorders>
            <w:tcMar>
              <w:top w:w="100" w:type="dxa"/>
              <w:left w:w="100" w:type="dxa"/>
              <w:bottom w:w="100" w:type="dxa"/>
              <w:right w:w="100" w:type="dxa"/>
            </w:tcMar>
            <w:hideMark/>
          </w:tcPr>
          <w:p w14:paraId="6D2414A3" w14:textId="77777777" w:rsidR="00554E19" w:rsidRDefault="002907D1" w:rsidP="00554E19">
            <w:pPr>
              <w:spacing w:after="240"/>
              <w:rPr>
                <w:rFonts w:ascii="Arial" w:hAnsi="Arial" w:cs="Arial"/>
                <w:color w:val="000000"/>
                <w:lang w:val="pt-BR" w:eastAsia="pt-BR"/>
              </w:rPr>
            </w:pPr>
            <w:r w:rsidRPr="002907D1">
              <w:rPr>
                <w:rFonts w:ascii="Arial" w:hAnsi="Arial" w:cs="Arial"/>
                <w:lang w:val="pt-BR" w:eastAsia="pt-BR"/>
              </w:rPr>
              <w:br/>
            </w:r>
          </w:p>
          <w:p w14:paraId="3DED38EF" w14:textId="53FB5CCD" w:rsidR="002907D1" w:rsidRPr="002907D1" w:rsidRDefault="002907D1" w:rsidP="00554E19">
            <w:pPr>
              <w:spacing w:after="240"/>
              <w:jc w:val="center"/>
              <w:rPr>
                <w:rFonts w:ascii="Arial" w:hAnsi="Arial" w:cs="Arial"/>
                <w:lang w:val="pt-BR" w:eastAsia="pt-BR"/>
              </w:rPr>
            </w:pPr>
            <w:r w:rsidRPr="002907D1">
              <w:rPr>
                <w:rFonts w:ascii="Arial" w:hAnsi="Arial" w:cs="Arial"/>
                <w:color w:val="000000"/>
                <w:lang w:val="pt-BR" w:eastAsia="pt-BR"/>
              </w:rPr>
              <w:t>0,1116</w:t>
            </w:r>
          </w:p>
        </w:tc>
      </w:tr>
      <w:tr w:rsidR="002907D1" w:rsidRPr="002907D1" w14:paraId="65A23DBE" w14:textId="77777777" w:rsidTr="00554E19">
        <w:trPr>
          <w:trHeight w:val="227"/>
        </w:trPr>
        <w:tc>
          <w:tcPr>
            <w:tcW w:w="3644" w:type="dxa"/>
            <w:tcMar>
              <w:top w:w="100" w:type="dxa"/>
              <w:left w:w="100" w:type="dxa"/>
              <w:bottom w:w="100" w:type="dxa"/>
              <w:right w:w="100" w:type="dxa"/>
            </w:tcMar>
            <w:hideMark/>
          </w:tcPr>
          <w:p w14:paraId="3B61AB32" w14:textId="77777777" w:rsidR="002907D1" w:rsidRPr="002907D1" w:rsidRDefault="002907D1" w:rsidP="002907D1">
            <w:pPr>
              <w:ind w:firstLine="566"/>
              <w:jc w:val="both"/>
              <w:rPr>
                <w:rFonts w:ascii="Arial" w:hAnsi="Arial" w:cs="Arial"/>
                <w:lang w:val="pt-BR" w:eastAsia="pt-BR"/>
              </w:rPr>
            </w:pPr>
            <w:r w:rsidRPr="002907D1">
              <w:rPr>
                <w:rFonts w:ascii="Arial" w:hAnsi="Arial" w:cs="Arial"/>
                <w:color w:val="000000"/>
                <w:lang w:val="pt-BR" w:eastAsia="pt-BR"/>
              </w:rPr>
              <w:t>Metalo-β-lactamase</w:t>
            </w:r>
          </w:p>
        </w:tc>
        <w:tc>
          <w:tcPr>
            <w:tcW w:w="1134" w:type="dxa"/>
            <w:tcMar>
              <w:top w:w="100" w:type="dxa"/>
              <w:left w:w="100" w:type="dxa"/>
              <w:bottom w:w="100" w:type="dxa"/>
              <w:right w:w="100" w:type="dxa"/>
            </w:tcMar>
            <w:hideMark/>
          </w:tcPr>
          <w:p w14:paraId="2CF15E4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4 (22%)</w:t>
            </w:r>
          </w:p>
        </w:tc>
        <w:tc>
          <w:tcPr>
            <w:tcW w:w="0" w:type="auto"/>
            <w:tcMar>
              <w:top w:w="100" w:type="dxa"/>
              <w:left w:w="100" w:type="dxa"/>
              <w:bottom w:w="100" w:type="dxa"/>
              <w:right w:w="100" w:type="dxa"/>
            </w:tcMar>
            <w:hideMark/>
          </w:tcPr>
          <w:p w14:paraId="42BA9DB6"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(50%)</w:t>
            </w:r>
          </w:p>
        </w:tc>
        <w:tc>
          <w:tcPr>
            <w:tcW w:w="1020" w:type="dxa"/>
            <w:tcMar>
              <w:top w:w="100" w:type="dxa"/>
              <w:left w:w="100" w:type="dxa"/>
              <w:bottom w:w="100" w:type="dxa"/>
              <w:right w:w="100" w:type="dxa"/>
            </w:tcMar>
            <w:hideMark/>
          </w:tcPr>
          <w:p w14:paraId="0C4139BE"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(50%)</w:t>
            </w:r>
          </w:p>
        </w:tc>
        <w:tc>
          <w:tcPr>
            <w:tcW w:w="1020" w:type="dxa"/>
            <w:vMerge/>
            <w:vAlign w:val="center"/>
            <w:hideMark/>
          </w:tcPr>
          <w:p w14:paraId="3D50F3B5" w14:textId="77777777" w:rsidR="002907D1" w:rsidRPr="002907D1" w:rsidRDefault="002907D1" w:rsidP="002907D1">
            <w:pPr>
              <w:rPr>
                <w:rFonts w:ascii="Arial" w:hAnsi="Arial" w:cs="Arial"/>
                <w:lang w:val="pt-BR" w:eastAsia="pt-BR"/>
              </w:rPr>
            </w:pPr>
          </w:p>
        </w:tc>
      </w:tr>
      <w:tr w:rsidR="002907D1" w:rsidRPr="002907D1" w14:paraId="570D3117" w14:textId="77777777" w:rsidTr="00554E19">
        <w:trPr>
          <w:trHeight w:val="227"/>
        </w:trPr>
        <w:tc>
          <w:tcPr>
            <w:tcW w:w="3644" w:type="dxa"/>
            <w:tcMar>
              <w:top w:w="100" w:type="dxa"/>
              <w:left w:w="100" w:type="dxa"/>
              <w:bottom w:w="100" w:type="dxa"/>
              <w:right w:w="100" w:type="dxa"/>
            </w:tcMar>
            <w:hideMark/>
          </w:tcPr>
          <w:p w14:paraId="1C279DCF" w14:textId="77777777" w:rsidR="002907D1" w:rsidRPr="002907D1" w:rsidRDefault="002907D1" w:rsidP="002907D1">
            <w:pPr>
              <w:ind w:firstLine="566"/>
              <w:rPr>
                <w:rFonts w:ascii="Arial" w:hAnsi="Arial" w:cs="Arial"/>
                <w:lang w:val="pt-BR" w:eastAsia="pt-BR"/>
              </w:rPr>
            </w:pPr>
            <w:r w:rsidRPr="002907D1">
              <w:rPr>
                <w:rFonts w:ascii="Arial" w:hAnsi="Arial" w:cs="Arial"/>
                <w:color w:val="000000"/>
                <w:lang w:val="pt-BR" w:eastAsia="pt-BR"/>
              </w:rPr>
              <w:t>Enzyme not detected</w:t>
            </w:r>
          </w:p>
        </w:tc>
        <w:tc>
          <w:tcPr>
            <w:tcW w:w="1134" w:type="dxa"/>
            <w:tcMar>
              <w:top w:w="100" w:type="dxa"/>
              <w:left w:w="100" w:type="dxa"/>
              <w:bottom w:w="100" w:type="dxa"/>
              <w:right w:w="100" w:type="dxa"/>
            </w:tcMar>
            <w:hideMark/>
          </w:tcPr>
          <w:p w14:paraId="36DDC460"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5 (28%)</w:t>
            </w:r>
          </w:p>
        </w:tc>
        <w:tc>
          <w:tcPr>
            <w:tcW w:w="0" w:type="auto"/>
            <w:tcMar>
              <w:top w:w="100" w:type="dxa"/>
              <w:left w:w="100" w:type="dxa"/>
              <w:bottom w:w="100" w:type="dxa"/>
              <w:right w:w="100" w:type="dxa"/>
            </w:tcMar>
            <w:hideMark/>
          </w:tcPr>
          <w:p w14:paraId="74C356DC"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1020" w:type="dxa"/>
            <w:tcMar>
              <w:top w:w="100" w:type="dxa"/>
              <w:left w:w="100" w:type="dxa"/>
              <w:bottom w:w="100" w:type="dxa"/>
              <w:right w:w="100" w:type="dxa"/>
            </w:tcMar>
            <w:hideMark/>
          </w:tcPr>
          <w:p w14:paraId="04E83AC6"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5 (100%)</w:t>
            </w:r>
          </w:p>
        </w:tc>
        <w:tc>
          <w:tcPr>
            <w:tcW w:w="1020" w:type="dxa"/>
            <w:vMerge/>
            <w:vAlign w:val="center"/>
            <w:hideMark/>
          </w:tcPr>
          <w:p w14:paraId="5C23735A" w14:textId="77777777" w:rsidR="002907D1" w:rsidRPr="002907D1" w:rsidRDefault="002907D1" w:rsidP="002907D1">
            <w:pPr>
              <w:rPr>
                <w:rFonts w:ascii="Arial" w:hAnsi="Arial" w:cs="Arial"/>
                <w:lang w:val="pt-BR" w:eastAsia="pt-BR"/>
              </w:rPr>
            </w:pPr>
          </w:p>
        </w:tc>
      </w:tr>
      <w:tr w:rsidR="002907D1" w:rsidRPr="002907D1" w14:paraId="57E19B3C" w14:textId="77777777" w:rsidTr="00554E19">
        <w:trPr>
          <w:trHeight w:val="227"/>
        </w:trPr>
        <w:tc>
          <w:tcPr>
            <w:tcW w:w="3644" w:type="dxa"/>
            <w:tcBorders>
              <w:bottom w:val="single" w:sz="4" w:space="0" w:color="auto"/>
            </w:tcBorders>
            <w:tcMar>
              <w:top w:w="100" w:type="dxa"/>
              <w:left w:w="100" w:type="dxa"/>
              <w:bottom w:w="100" w:type="dxa"/>
              <w:right w:w="100" w:type="dxa"/>
            </w:tcMar>
            <w:hideMark/>
          </w:tcPr>
          <w:p w14:paraId="302120B0" w14:textId="77777777" w:rsidR="002907D1" w:rsidRPr="002907D1" w:rsidRDefault="002907D1" w:rsidP="002907D1">
            <w:pPr>
              <w:ind w:firstLine="566"/>
              <w:rPr>
                <w:rFonts w:ascii="Arial" w:hAnsi="Arial" w:cs="Arial"/>
                <w:lang w:val="pt-BR" w:eastAsia="pt-BR"/>
              </w:rPr>
            </w:pPr>
            <w:r w:rsidRPr="002907D1">
              <w:rPr>
                <w:rFonts w:ascii="Arial" w:hAnsi="Arial" w:cs="Arial"/>
                <w:color w:val="000000"/>
                <w:lang w:val="pt-BR" w:eastAsia="pt-BR"/>
              </w:rPr>
              <w:t>Non-enzymatic</w:t>
            </w:r>
          </w:p>
        </w:tc>
        <w:tc>
          <w:tcPr>
            <w:tcW w:w="1134" w:type="dxa"/>
            <w:tcBorders>
              <w:bottom w:val="single" w:sz="4" w:space="0" w:color="auto"/>
            </w:tcBorders>
            <w:tcMar>
              <w:top w:w="100" w:type="dxa"/>
              <w:left w:w="100" w:type="dxa"/>
              <w:bottom w:w="100" w:type="dxa"/>
              <w:right w:w="100" w:type="dxa"/>
            </w:tcMar>
            <w:hideMark/>
          </w:tcPr>
          <w:p w14:paraId="01EFD7E8"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(17%)</w:t>
            </w:r>
          </w:p>
        </w:tc>
        <w:tc>
          <w:tcPr>
            <w:tcW w:w="0" w:type="auto"/>
            <w:tcBorders>
              <w:bottom w:val="single" w:sz="4" w:space="0" w:color="auto"/>
            </w:tcBorders>
            <w:tcMar>
              <w:top w:w="100" w:type="dxa"/>
              <w:left w:w="100" w:type="dxa"/>
              <w:bottom w:w="100" w:type="dxa"/>
              <w:right w:w="100" w:type="dxa"/>
            </w:tcMar>
            <w:hideMark/>
          </w:tcPr>
          <w:p w14:paraId="693A9C3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 (33%)</w:t>
            </w:r>
          </w:p>
        </w:tc>
        <w:tc>
          <w:tcPr>
            <w:tcW w:w="1020" w:type="dxa"/>
            <w:tcBorders>
              <w:bottom w:val="single" w:sz="4" w:space="0" w:color="auto"/>
            </w:tcBorders>
            <w:tcMar>
              <w:top w:w="100" w:type="dxa"/>
              <w:left w:w="100" w:type="dxa"/>
              <w:bottom w:w="100" w:type="dxa"/>
              <w:right w:w="100" w:type="dxa"/>
            </w:tcMar>
            <w:hideMark/>
          </w:tcPr>
          <w:p w14:paraId="08871DDC"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(67%)</w:t>
            </w:r>
          </w:p>
        </w:tc>
        <w:tc>
          <w:tcPr>
            <w:tcW w:w="1020" w:type="dxa"/>
            <w:vMerge/>
            <w:tcBorders>
              <w:bottom w:val="single" w:sz="4" w:space="0" w:color="auto"/>
            </w:tcBorders>
            <w:vAlign w:val="center"/>
            <w:hideMark/>
          </w:tcPr>
          <w:p w14:paraId="4291366C" w14:textId="77777777" w:rsidR="002907D1" w:rsidRPr="002907D1" w:rsidRDefault="002907D1" w:rsidP="002907D1">
            <w:pPr>
              <w:rPr>
                <w:rFonts w:ascii="Arial" w:hAnsi="Arial" w:cs="Arial"/>
                <w:lang w:val="pt-BR" w:eastAsia="pt-BR"/>
              </w:rPr>
            </w:pPr>
          </w:p>
        </w:tc>
      </w:tr>
      <w:tr w:rsidR="002907D1" w:rsidRPr="002907D1" w14:paraId="12AC30B3" w14:textId="77777777" w:rsidTr="002907D1">
        <w:tc>
          <w:tcPr>
            <w:tcW w:w="3644" w:type="dxa"/>
            <w:tcBorders>
              <w:top w:val="single" w:sz="4" w:space="0" w:color="auto"/>
              <w:bottom w:val="single" w:sz="4" w:space="0" w:color="auto"/>
            </w:tcBorders>
            <w:tcMar>
              <w:top w:w="100" w:type="dxa"/>
              <w:left w:w="100" w:type="dxa"/>
              <w:bottom w:w="100" w:type="dxa"/>
              <w:right w:w="100" w:type="dxa"/>
            </w:tcMar>
            <w:hideMark/>
          </w:tcPr>
          <w:p w14:paraId="050D2A03" w14:textId="77777777" w:rsidR="002907D1" w:rsidRPr="002907D1" w:rsidRDefault="002907D1" w:rsidP="002907D1">
            <w:pPr>
              <w:rPr>
                <w:rFonts w:ascii="Arial" w:hAnsi="Arial" w:cs="Arial"/>
                <w:lang w:val="pt-BR" w:eastAsia="pt-BR"/>
              </w:rPr>
            </w:pPr>
            <w:r w:rsidRPr="002907D1">
              <w:rPr>
                <w:rFonts w:ascii="Arial" w:hAnsi="Arial" w:cs="Arial"/>
                <w:b/>
                <w:bCs/>
                <w:color w:val="000000"/>
                <w:lang w:val="pt-BR" w:eastAsia="pt-BR"/>
              </w:rPr>
              <w:t xml:space="preserve">Enzyme resistance genes </w:t>
            </w:r>
            <w:r w:rsidRPr="002907D1">
              <w:rPr>
                <w:rFonts w:ascii="Arial" w:hAnsi="Arial" w:cs="Arial"/>
                <w:color w:val="000000"/>
                <w:lang w:val="pt-BR" w:eastAsia="pt-BR"/>
              </w:rPr>
              <w:t>(n= 15)</w:t>
            </w:r>
          </w:p>
        </w:tc>
        <w:tc>
          <w:tcPr>
            <w:tcW w:w="1134" w:type="dxa"/>
            <w:tcBorders>
              <w:top w:val="single" w:sz="4" w:space="0" w:color="auto"/>
              <w:bottom w:val="single" w:sz="4" w:space="0" w:color="auto"/>
            </w:tcBorders>
            <w:tcMar>
              <w:top w:w="100" w:type="dxa"/>
              <w:left w:w="100" w:type="dxa"/>
              <w:bottom w:w="100" w:type="dxa"/>
              <w:right w:w="100" w:type="dxa"/>
            </w:tcMar>
            <w:hideMark/>
          </w:tcPr>
          <w:p w14:paraId="65116711" w14:textId="77777777" w:rsidR="002907D1" w:rsidRPr="002907D1" w:rsidRDefault="002907D1" w:rsidP="002907D1">
            <w:pPr>
              <w:rPr>
                <w:rFonts w:ascii="Arial" w:hAnsi="Arial" w:cs="Arial"/>
                <w:lang w:val="pt-BR" w:eastAsia="pt-BR"/>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67ABD6EF" w14:textId="77777777" w:rsidR="002907D1" w:rsidRPr="002907D1" w:rsidRDefault="002907D1" w:rsidP="002907D1">
            <w:pPr>
              <w:rPr>
                <w:rFonts w:ascii="Arial" w:hAnsi="Arial" w:cs="Arial"/>
                <w:lang w:val="pt-BR" w:eastAsia="pt-BR"/>
              </w:rPr>
            </w:pPr>
          </w:p>
        </w:tc>
        <w:tc>
          <w:tcPr>
            <w:tcW w:w="1020" w:type="dxa"/>
            <w:tcBorders>
              <w:top w:val="single" w:sz="4" w:space="0" w:color="auto"/>
              <w:bottom w:val="single" w:sz="4" w:space="0" w:color="auto"/>
            </w:tcBorders>
            <w:tcMar>
              <w:top w:w="100" w:type="dxa"/>
              <w:left w:w="100" w:type="dxa"/>
              <w:bottom w:w="100" w:type="dxa"/>
              <w:right w:w="100" w:type="dxa"/>
            </w:tcMar>
            <w:hideMark/>
          </w:tcPr>
          <w:p w14:paraId="46616DE8" w14:textId="77777777" w:rsidR="002907D1" w:rsidRPr="002907D1" w:rsidRDefault="002907D1" w:rsidP="002907D1">
            <w:pPr>
              <w:rPr>
                <w:rFonts w:ascii="Arial" w:hAnsi="Arial" w:cs="Arial"/>
                <w:lang w:val="pt-BR" w:eastAsia="pt-BR"/>
              </w:rPr>
            </w:pPr>
          </w:p>
        </w:tc>
        <w:tc>
          <w:tcPr>
            <w:tcW w:w="1020" w:type="dxa"/>
            <w:tcBorders>
              <w:top w:val="single" w:sz="4" w:space="0" w:color="auto"/>
              <w:bottom w:val="single" w:sz="4" w:space="0" w:color="auto"/>
            </w:tcBorders>
            <w:tcMar>
              <w:top w:w="100" w:type="dxa"/>
              <w:left w:w="100" w:type="dxa"/>
              <w:bottom w:w="100" w:type="dxa"/>
              <w:right w:w="100" w:type="dxa"/>
            </w:tcMar>
            <w:hideMark/>
          </w:tcPr>
          <w:p w14:paraId="22C24A61" w14:textId="77777777" w:rsidR="002907D1" w:rsidRPr="002907D1" w:rsidRDefault="002907D1" w:rsidP="002907D1">
            <w:pPr>
              <w:rPr>
                <w:rFonts w:ascii="Arial" w:hAnsi="Arial" w:cs="Arial"/>
                <w:lang w:val="pt-BR" w:eastAsia="pt-BR"/>
              </w:rPr>
            </w:pPr>
          </w:p>
        </w:tc>
      </w:tr>
      <w:tr w:rsidR="00554E19" w:rsidRPr="002907D1" w14:paraId="12A8708A" w14:textId="77777777" w:rsidTr="00554E19">
        <w:trPr>
          <w:trHeight w:val="227"/>
        </w:trPr>
        <w:tc>
          <w:tcPr>
            <w:tcW w:w="3644" w:type="dxa"/>
            <w:tcBorders>
              <w:top w:val="single" w:sz="4" w:space="0" w:color="auto"/>
            </w:tcBorders>
            <w:tcMar>
              <w:top w:w="100" w:type="dxa"/>
              <w:left w:w="100" w:type="dxa"/>
              <w:bottom w:w="100" w:type="dxa"/>
              <w:right w:w="100" w:type="dxa"/>
            </w:tcMar>
            <w:hideMark/>
          </w:tcPr>
          <w:p w14:paraId="72D5051C" w14:textId="77777777" w:rsidR="00554E19" w:rsidRPr="002907D1" w:rsidRDefault="00554E19" w:rsidP="002907D1">
            <w:pPr>
              <w:ind w:firstLine="566"/>
              <w:rPr>
                <w:rFonts w:ascii="Arial" w:hAnsi="Arial" w:cs="Arial"/>
                <w:lang w:val="pt-BR" w:eastAsia="pt-BR"/>
              </w:rPr>
            </w:pPr>
            <w:r w:rsidRPr="002907D1">
              <w:rPr>
                <w:rFonts w:ascii="Arial" w:hAnsi="Arial" w:cs="Arial"/>
                <w:color w:val="000000"/>
                <w:lang w:val="pt-BR" w:eastAsia="pt-BR"/>
              </w:rPr>
              <w:t>KPC</w:t>
            </w:r>
          </w:p>
        </w:tc>
        <w:tc>
          <w:tcPr>
            <w:tcW w:w="1134" w:type="dxa"/>
            <w:tcBorders>
              <w:top w:val="single" w:sz="4" w:space="0" w:color="auto"/>
            </w:tcBorders>
            <w:tcMar>
              <w:top w:w="100" w:type="dxa"/>
              <w:left w:w="100" w:type="dxa"/>
              <w:bottom w:w="100" w:type="dxa"/>
              <w:right w:w="100" w:type="dxa"/>
            </w:tcMar>
            <w:hideMark/>
          </w:tcPr>
          <w:p w14:paraId="71320B50"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6 (40%)</w:t>
            </w:r>
          </w:p>
        </w:tc>
        <w:tc>
          <w:tcPr>
            <w:tcW w:w="0" w:type="auto"/>
            <w:tcBorders>
              <w:top w:val="single" w:sz="4" w:space="0" w:color="auto"/>
            </w:tcBorders>
            <w:tcMar>
              <w:top w:w="100" w:type="dxa"/>
              <w:left w:w="100" w:type="dxa"/>
              <w:bottom w:w="100" w:type="dxa"/>
              <w:right w:w="100" w:type="dxa"/>
            </w:tcMar>
            <w:hideMark/>
          </w:tcPr>
          <w:p w14:paraId="27E8FDEA"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0 (0%)</w:t>
            </w:r>
          </w:p>
        </w:tc>
        <w:tc>
          <w:tcPr>
            <w:tcW w:w="1020" w:type="dxa"/>
            <w:tcBorders>
              <w:top w:val="single" w:sz="4" w:space="0" w:color="auto"/>
            </w:tcBorders>
            <w:tcMar>
              <w:top w:w="100" w:type="dxa"/>
              <w:left w:w="100" w:type="dxa"/>
              <w:bottom w:w="100" w:type="dxa"/>
              <w:right w:w="100" w:type="dxa"/>
            </w:tcMar>
            <w:hideMark/>
          </w:tcPr>
          <w:p w14:paraId="3061CB9B"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6 (100%)</w:t>
            </w:r>
          </w:p>
        </w:tc>
        <w:tc>
          <w:tcPr>
            <w:tcW w:w="1020" w:type="dxa"/>
            <w:vMerge w:val="restart"/>
            <w:tcBorders>
              <w:top w:val="single" w:sz="4" w:space="0" w:color="auto"/>
            </w:tcBorders>
            <w:tcMar>
              <w:top w:w="100" w:type="dxa"/>
              <w:left w:w="100" w:type="dxa"/>
              <w:bottom w:w="100" w:type="dxa"/>
              <w:right w:w="100" w:type="dxa"/>
            </w:tcMar>
            <w:hideMark/>
          </w:tcPr>
          <w:p w14:paraId="4FCF0551" w14:textId="77777777" w:rsidR="00554E19" w:rsidRDefault="00554E19" w:rsidP="00554E19">
            <w:pPr>
              <w:rPr>
                <w:rFonts w:ascii="Arial" w:hAnsi="Arial" w:cs="Arial"/>
                <w:color w:val="000000"/>
                <w:lang w:val="pt-BR" w:eastAsia="pt-BR"/>
              </w:rPr>
            </w:pPr>
          </w:p>
          <w:p w14:paraId="470A9980" w14:textId="77777777" w:rsidR="00554E19" w:rsidRDefault="00554E19" w:rsidP="00554E19">
            <w:pPr>
              <w:rPr>
                <w:rFonts w:ascii="Arial" w:hAnsi="Arial" w:cs="Arial"/>
                <w:color w:val="000000"/>
                <w:lang w:val="pt-BR" w:eastAsia="pt-BR"/>
              </w:rPr>
            </w:pPr>
          </w:p>
          <w:p w14:paraId="75B09747" w14:textId="6408F778" w:rsidR="00554E19" w:rsidRPr="002907D1" w:rsidRDefault="00554E19" w:rsidP="00554E19">
            <w:pPr>
              <w:jc w:val="center"/>
              <w:rPr>
                <w:rFonts w:ascii="Arial" w:hAnsi="Arial" w:cs="Arial"/>
                <w:lang w:val="pt-BR" w:eastAsia="pt-BR"/>
              </w:rPr>
            </w:pPr>
            <w:r w:rsidRPr="002907D1">
              <w:rPr>
                <w:rFonts w:ascii="Arial" w:hAnsi="Arial" w:cs="Arial"/>
                <w:color w:val="000000"/>
                <w:lang w:val="pt-BR" w:eastAsia="pt-BR"/>
              </w:rPr>
              <w:t>0,0418*</w:t>
            </w:r>
          </w:p>
        </w:tc>
      </w:tr>
      <w:tr w:rsidR="00554E19" w:rsidRPr="002907D1" w14:paraId="485FB10B" w14:textId="77777777" w:rsidTr="00554E19">
        <w:trPr>
          <w:trHeight w:val="227"/>
        </w:trPr>
        <w:tc>
          <w:tcPr>
            <w:tcW w:w="3644" w:type="dxa"/>
            <w:tcMar>
              <w:top w:w="100" w:type="dxa"/>
              <w:left w:w="100" w:type="dxa"/>
              <w:bottom w:w="100" w:type="dxa"/>
              <w:right w:w="100" w:type="dxa"/>
            </w:tcMar>
            <w:hideMark/>
          </w:tcPr>
          <w:p w14:paraId="62F2076B" w14:textId="77777777" w:rsidR="00554E19" w:rsidRPr="002907D1" w:rsidRDefault="00554E19" w:rsidP="002907D1">
            <w:pPr>
              <w:ind w:firstLine="566"/>
              <w:rPr>
                <w:rFonts w:ascii="Arial" w:hAnsi="Arial" w:cs="Arial"/>
                <w:lang w:val="pt-BR" w:eastAsia="pt-BR"/>
              </w:rPr>
            </w:pPr>
            <w:r w:rsidRPr="002907D1">
              <w:rPr>
                <w:rFonts w:ascii="Arial" w:hAnsi="Arial" w:cs="Arial"/>
                <w:color w:val="000000"/>
                <w:lang w:val="pt-BR" w:eastAsia="pt-BR"/>
              </w:rPr>
              <w:t>IMP</w:t>
            </w:r>
          </w:p>
        </w:tc>
        <w:tc>
          <w:tcPr>
            <w:tcW w:w="1134" w:type="dxa"/>
            <w:tcMar>
              <w:top w:w="100" w:type="dxa"/>
              <w:left w:w="100" w:type="dxa"/>
              <w:bottom w:w="100" w:type="dxa"/>
              <w:right w:w="100" w:type="dxa"/>
            </w:tcMar>
            <w:hideMark/>
          </w:tcPr>
          <w:p w14:paraId="7A1370EE"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4 (27%)</w:t>
            </w:r>
          </w:p>
        </w:tc>
        <w:tc>
          <w:tcPr>
            <w:tcW w:w="0" w:type="auto"/>
            <w:tcMar>
              <w:top w:w="100" w:type="dxa"/>
              <w:left w:w="100" w:type="dxa"/>
              <w:bottom w:w="100" w:type="dxa"/>
              <w:right w:w="100" w:type="dxa"/>
            </w:tcMar>
            <w:hideMark/>
          </w:tcPr>
          <w:p w14:paraId="56E04B3A"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2 (50%)</w:t>
            </w:r>
          </w:p>
        </w:tc>
        <w:tc>
          <w:tcPr>
            <w:tcW w:w="0" w:type="auto"/>
            <w:tcMar>
              <w:top w:w="100" w:type="dxa"/>
              <w:left w:w="100" w:type="dxa"/>
              <w:bottom w:w="100" w:type="dxa"/>
              <w:right w:w="100" w:type="dxa"/>
            </w:tcMar>
            <w:hideMark/>
          </w:tcPr>
          <w:p w14:paraId="75B2D825"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2 (50%)</w:t>
            </w:r>
          </w:p>
        </w:tc>
        <w:tc>
          <w:tcPr>
            <w:tcW w:w="0" w:type="auto"/>
            <w:vMerge/>
            <w:vAlign w:val="center"/>
            <w:hideMark/>
          </w:tcPr>
          <w:p w14:paraId="691AE8BE" w14:textId="77777777" w:rsidR="00554E19" w:rsidRPr="002907D1" w:rsidRDefault="00554E19" w:rsidP="002907D1">
            <w:pPr>
              <w:rPr>
                <w:rFonts w:ascii="Arial" w:hAnsi="Arial" w:cs="Arial"/>
                <w:lang w:val="pt-BR" w:eastAsia="pt-BR"/>
              </w:rPr>
            </w:pPr>
          </w:p>
        </w:tc>
      </w:tr>
      <w:tr w:rsidR="00554E19" w:rsidRPr="002907D1" w14:paraId="4BCBE58C" w14:textId="77777777" w:rsidTr="00554E19">
        <w:trPr>
          <w:trHeight w:val="227"/>
        </w:trPr>
        <w:tc>
          <w:tcPr>
            <w:tcW w:w="3644" w:type="dxa"/>
            <w:tcBorders>
              <w:bottom w:val="single" w:sz="8" w:space="0" w:color="000000"/>
            </w:tcBorders>
            <w:tcMar>
              <w:top w:w="100" w:type="dxa"/>
              <w:left w:w="100" w:type="dxa"/>
              <w:bottom w:w="100" w:type="dxa"/>
              <w:right w:w="100" w:type="dxa"/>
            </w:tcMar>
            <w:hideMark/>
          </w:tcPr>
          <w:p w14:paraId="1A17BBAE" w14:textId="77777777" w:rsidR="00554E19" w:rsidRPr="002907D1" w:rsidRDefault="00554E19" w:rsidP="002907D1">
            <w:pPr>
              <w:ind w:firstLine="566"/>
              <w:rPr>
                <w:rFonts w:ascii="Arial" w:hAnsi="Arial" w:cs="Arial"/>
                <w:lang w:val="pt-BR" w:eastAsia="pt-BR"/>
              </w:rPr>
            </w:pPr>
            <w:r w:rsidRPr="002907D1">
              <w:rPr>
                <w:rFonts w:ascii="Arial" w:hAnsi="Arial" w:cs="Arial"/>
                <w:color w:val="000000"/>
                <w:lang w:val="pt-BR" w:eastAsia="pt-BR"/>
              </w:rPr>
              <w:t>Indeterminate</w:t>
            </w:r>
          </w:p>
        </w:tc>
        <w:tc>
          <w:tcPr>
            <w:tcW w:w="1134" w:type="dxa"/>
            <w:tcBorders>
              <w:bottom w:val="single" w:sz="8" w:space="0" w:color="000000"/>
            </w:tcBorders>
            <w:tcMar>
              <w:top w:w="100" w:type="dxa"/>
              <w:left w:w="100" w:type="dxa"/>
              <w:bottom w:w="100" w:type="dxa"/>
              <w:right w:w="100" w:type="dxa"/>
            </w:tcMar>
            <w:hideMark/>
          </w:tcPr>
          <w:p w14:paraId="1B87BD08"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5 (33%)</w:t>
            </w:r>
          </w:p>
        </w:tc>
        <w:tc>
          <w:tcPr>
            <w:tcW w:w="0" w:type="auto"/>
            <w:tcBorders>
              <w:bottom w:val="single" w:sz="8" w:space="0" w:color="000000"/>
            </w:tcBorders>
            <w:tcMar>
              <w:top w:w="100" w:type="dxa"/>
              <w:left w:w="100" w:type="dxa"/>
              <w:bottom w:w="100" w:type="dxa"/>
              <w:right w:w="100" w:type="dxa"/>
            </w:tcMar>
            <w:hideMark/>
          </w:tcPr>
          <w:p w14:paraId="416BA5F0"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Borders>
              <w:bottom w:val="single" w:sz="8" w:space="0" w:color="000000"/>
            </w:tcBorders>
            <w:tcMar>
              <w:top w:w="100" w:type="dxa"/>
              <w:left w:w="100" w:type="dxa"/>
              <w:bottom w:w="100" w:type="dxa"/>
              <w:right w:w="100" w:type="dxa"/>
            </w:tcMar>
            <w:hideMark/>
          </w:tcPr>
          <w:p w14:paraId="59C9AD58" w14:textId="77777777" w:rsidR="00554E19" w:rsidRPr="002907D1" w:rsidRDefault="00554E19" w:rsidP="002907D1">
            <w:pPr>
              <w:jc w:val="center"/>
              <w:rPr>
                <w:rFonts w:ascii="Arial" w:hAnsi="Arial" w:cs="Arial"/>
                <w:lang w:val="pt-BR" w:eastAsia="pt-BR"/>
              </w:rPr>
            </w:pPr>
            <w:r w:rsidRPr="002907D1">
              <w:rPr>
                <w:rFonts w:ascii="Arial" w:hAnsi="Arial" w:cs="Arial"/>
                <w:color w:val="000000"/>
                <w:lang w:val="pt-BR" w:eastAsia="pt-BR"/>
              </w:rPr>
              <w:t>5 (100%)</w:t>
            </w:r>
          </w:p>
        </w:tc>
        <w:tc>
          <w:tcPr>
            <w:tcW w:w="0" w:type="auto"/>
            <w:vMerge/>
            <w:vAlign w:val="center"/>
            <w:hideMark/>
          </w:tcPr>
          <w:p w14:paraId="290BFBE9" w14:textId="77777777" w:rsidR="00554E19" w:rsidRPr="002907D1" w:rsidRDefault="00554E19" w:rsidP="002907D1">
            <w:pPr>
              <w:rPr>
                <w:rFonts w:ascii="Arial" w:hAnsi="Arial" w:cs="Arial"/>
                <w:lang w:val="pt-BR" w:eastAsia="pt-BR"/>
              </w:rPr>
            </w:pPr>
          </w:p>
        </w:tc>
      </w:tr>
    </w:tbl>
    <w:p w14:paraId="683205C5" w14:textId="77777777" w:rsidR="002907D1" w:rsidRPr="002907D1" w:rsidRDefault="002907D1" w:rsidP="002907D1">
      <w:pPr>
        <w:jc w:val="both"/>
        <w:rPr>
          <w:rFonts w:ascii="Arial" w:hAnsi="Arial" w:cs="Arial"/>
          <w:lang w:val="pt-BR" w:eastAsia="pt-BR"/>
        </w:rPr>
      </w:pPr>
      <w:r w:rsidRPr="002907D1">
        <w:rPr>
          <w:rFonts w:ascii="Arial" w:hAnsi="Arial" w:cs="Arial"/>
          <w:color w:val="000000"/>
          <w:lang w:val="pt-BR" w:eastAsia="pt-BR"/>
        </w:rPr>
        <w:t xml:space="preserve">CRPA - Carbapenems-resistant </w:t>
      </w:r>
      <w:r w:rsidRPr="002907D1">
        <w:rPr>
          <w:rFonts w:ascii="Arial" w:hAnsi="Arial" w:cs="Arial"/>
          <w:i/>
          <w:iCs/>
          <w:color w:val="000000"/>
          <w:lang w:val="pt-BR" w:eastAsia="pt-BR"/>
        </w:rPr>
        <w:t>Pseudomonas aeruginosa</w:t>
      </w:r>
      <w:r w:rsidRPr="002907D1">
        <w:rPr>
          <w:rFonts w:ascii="Arial" w:hAnsi="Arial" w:cs="Arial"/>
          <w:color w:val="000000"/>
          <w:lang w:val="pt-BR" w:eastAsia="pt-BR"/>
        </w:rPr>
        <w:t xml:space="preserve">; KPC - </w:t>
      </w:r>
      <w:r w:rsidRPr="002907D1">
        <w:rPr>
          <w:rFonts w:ascii="Arial" w:hAnsi="Arial" w:cs="Arial"/>
          <w:i/>
          <w:iCs/>
          <w:color w:val="000000"/>
          <w:lang w:val="pt-BR" w:eastAsia="pt-BR"/>
        </w:rPr>
        <w:t>Klebsiella pneumoniae</w:t>
      </w:r>
      <w:r w:rsidRPr="002907D1">
        <w:rPr>
          <w:rFonts w:ascii="Arial" w:hAnsi="Arial" w:cs="Arial"/>
          <w:color w:val="000000"/>
          <w:lang w:val="pt-BR" w:eastAsia="pt-BR"/>
        </w:rPr>
        <w:t xml:space="preserve"> carbapenemase; IMP - Imipenemase. * Statistically significant value</w:t>
      </w:r>
    </w:p>
    <w:p w14:paraId="62145591" w14:textId="77777777" w:rsidR="002907D1" w:rsidRPr="002907D1" w:rsidRDefault="002907D1" w:rsidP="002907D1">
      <w:pPr>
        <w:jc w:val="both"/>
        <w:rPr>
          <w:rFonts w:ascii="Arial" w:hAnsi="Arial" w:cs="Arial"/>
          <w:lang w:val="pt-BR" w:eastAsia="pt-BR"/>
        </w:rPr>
      </w:pPr>
      <w:r w:rsidRPr="002907D1">
        <w:rPr>
          <w:rFonts w:ascii="Arial" w:hAnsi="Arial" w:cs="Arial"/>
          <w:color w:val="000000"/>
          <w:lang w:val="pt-BR" w:eastAsia="pt-BR"/>
        </w:rPr>
        <w:t>NOTE: percentage of clinical outcome expressed in line.</w:t>
      </w:r>
    </w:p>
    <w:p w14:paraId="0D29F9E6" w14:textId="77777777" w:rsidR="002907D1" w:rsidRDefault="002907D1" w:rsidP="002907D1">
      <w:pPr>
        <w:pStyle w:val="Body"/>
        <w:spacing w:after="0"/>
        <w:rPr>
          <w:rFonts w:ascii="Arial" w:hAnsi="Arial" w:cs="Arial"/>
        </w:rPr>
      </w:pPr>
    </w:p>
    <w:p w14:paraId="50DCB293" w14:textId="77777777" w:rsidR="002907D1" w:rsidRPr="002907D1" w:rsidRDefault="002907D1" w:rsidP="002907D1">
      <w:pPr>
        <w:pStyle w:val="Body"/>
        <w:ind w:firstLine="720"/>
        <w:rPr>
          <w:rFonts w:ascii="Arial" w:hAnsi="Arial" w:cs="Arial"/>
        </w:rPr>
      </w:pPr>
      <w:r w:rsidRPr="002907D1">
        <w:rPr>
          <w:rFonts w:ascii="Arial" w:hAnsi="Arial" w:cs="Arial"/>
        </w:rPr>
        <w:t xml:space="preserve">Considering only the serine-producing isolates </w:t>
      </w:r>
      <w:proofErr w:type="spellStart"/>
      <w:r w:rsidRPr="002907D1">
        <w:rPr>
          <w:rFonts w:ascii="Arial" w:hAnsi="Arial" w:cs="Arial"/>
        </w:rPr>
        <w:t>carbapenemases</w:t>
      </w:r>
      <w:proofErr w:type="spellEnd"/>
      <w:r w:rsidRPr="002907D1">
        <w:rPr>
          <w:rFonts w:ascii="Arial" w:hAnsi="Arial" w:cs="Arial"/>
        </w:rPr>
        <w:t>, 50% were resistant to ceftazidime/avibactam, 83.3% to amikacin and 100% to tigecycline and ciprofloxacin.</w:t>
      </w:r>
    </w:p>
    <w:p w14:paraId="3DBBA431" w14:textId="77777777" w:rsidR="002907D1" w:rsidRPr="002907D1" w:rsidRDefault="002907D1" w:rsidP="002907D1">
      <w:pPr>
        <w:pStyle w:val="Body"/>
        <w:ind w:firstLine="720"/>
        <w:rPr>
          <w:rFonts w:ascii="Arial" w:hAnsi="Arial" w:cs="Arial"/>
        </w:rPr>
      </w:pPr>
      <w:r w:rsidRPr="002907D1">
        <w:rPr>
          <w:rFonts w:ascii="Arial" w:hAnsi="Arial" w:cs="Arial"/>
        </w:rPr>
        <w:t xml:space="preserve">In 2021, an epidemiological study published by Yang et al. [13] resulted in the isolation of Pseudomonas aeruginosa in 34.5% of the analyzed population. The study analyzed respiratory tract samples from 229 patients with nosocomial infection at a large Chinese hospital. Among the isolates of P. aeruginosa, 54.4% had genes that produce </w:t>
      </w:r>
      <w:proofErr w:type="spellStart"/>
      <w:r w:rsidRPr="002907D1">
        <w:rPr>
          <w:rFonts w:ascii="Arial" w:hAnsi="Arial" w:cs="Arial"/>
        </w:rPr>
        <w:t>carbapenemase</w:t>
      </w:r>
      <w:proofErr w:type="spellEnd"/>
      <w:r w:rsidRPr="002907D1">
        <w:rPr>
          <w:rFonts w:ascii="Arial" w:hAnsi="Arial" w:cs="Arial"/>
        </w:rPr>
        <w:t xml:space="preserve"> enzymes, in contrast to this study, which found 72% of CPPA </w:t>
      </w:r>
      <w:r w:rsidRPr="002907D1">
        <w:rPr>
          <w:rFonts w:ascii="Arial" w:hAnsi="Arial" w:cs="Arial"/>
        </w:rPr>
        <w:lastRenderedPageBreak/>
        <w:t xml:space="preserve">(Carbapenemase-producing Pseudomonas aeruginosa), an estimate closer to the research by </w:t>
      </w:r>
      <w:proofErr w:type="spellStart"/>
      <w:r w:rsidRPr="002907D1">
        <w:rPr>
          <w:rFonts w:ascii="Arial" w:hAnsi="Arial" w:cs="Arial"/>
        </w:rPr>
        <w:t>Tenover</w:t>
      </w:r>
      <w:proofErr w:type="spellEnd"/>
      <w:r w:rsidRPr="002907D1">
        <w:rPr>
          <w:rFonts w:ascii="Arial" w:hAnsi="Arial" w:cs="Arial"/>
        </w:rPr>
        <w:t>, Nicolau and Gill et al. [18]., which showed 86% of strains producing these enzymes.</w:t>
      </w:r>
    </w:p>
    <w:p w14:paraId="6296D021" w14:textId="77777777" w:rsidR="002907D1" w:rsidRPr="002907D1" w:rsidRDefault="002907D1" w:rsidP="002907D1">
      <w:pPr>
        <w:pStyle w:val="Body"/>
        <w:ind w:firstLine="720"/>
        <w:rPr>
          <w:rFonts w:ascii="Arial" w:hAnsi="Arial" w:cs="Arial"/>
        </w:rPr>
      </w:pPr>
      <w:r w:rsidRPr="002907D1">
        <w:rPr>
          <w:rFonts w:ascii="Arial" w:hAnsi="Arial" w:cs="Arial"/>
        </w:rPr>
        <w:t xml:space="preserve">Although the identification of CRPA strains is a common profile worldwide, the genes that produce these enzymes show high variability according to geographic distribution. This study followed the national profile and found KPC and IMP genes, which are common to the region, but there was no presence of other usual genes, such as OXA-48, NDM and </w:t>
      </w:r>
      <w:proofErr w:type="gramStart"/>
      <w:r w:rsidRPr="002907D1">
        <w:rPr>
          <w:rFonts w:ascii="Arial" w:hAnsi="Arial" w:cs="Arial"/>
        </w:rPr>
        <w:t>VIM  [</w:t>
      </w:r>
      <w:proofErr w:type="gramEnd"/>
      <w:r w:rsidRPr="002907D1">
        <w:rPr>
          <w:rFonts w:ascii="Arial" w:hAnsi="Arial" w:cs="Arial"/>
        </w:rPr>
        <w:t>18].</w:t>
      </w:r>
    </w:p>
    <w:p w14:paraId="4EBB6425" w14:textId="77777777" w:rsidR="002907D1" w:rsidRPr="002907D1" w:rsidRDefault="002907D1" w:rsidP="002907D1">
      <w:pPr>
        <w:pStyle w:val="Body"/>
        <w:ind w:firstLine="720"/>
        <w:rPr>
          <w:rFonts w:ascii="Arial" w:hAnsi="Arial" w:cs="Arial"/>
        </w:rPr>
      </w:pPr>
      <w:r w:rsidRPr="002907D1">
        <w:rPr>
          <w:rFonts w:ascii="Arial" w:hAnsi="Arial" w:cs="Arial"/>
        </w:rPr>
        <w:t xml:space="preserve">The association of the clinical outcome with enzyme resistance genes showed a statistically significant value, with a p-value of = 0.0418. Death was the clinical outcome of all patients infected with P. aeruginosa producing </w:t>
      </w:r>
      <w:proofErr w:type="spellStart"/>
      <w:r w:rsidRPr="002907D1">
        <w:rPr>
          <w:rFonts w:ascii="Arial" w:hAnsi="Arial" w:cs="Arial"/>
        </w:rPr>
        <w:t>carbapenemases</w:t>
      </w:r>
      <w:proofErr w:type="spellEnd"/>
      <w:r w:rsidRPr="002907D1">
        <w:rPr>
          <w:rFonts w:ascii="Arial" w:hAnsi="Arial" w:cs="Arial"/>
        </w:rPr>
        <w:t xml:space="preserve"> mediated by the KPC gene or indeterminate genes (genes not tested by immunochromatographic assay NG-Test® </w:t>
      </w:r>
      <w:proofErr w:type="spellStart"/>
      <w:r w:rsidRPr="002907D1">
        <w:rPr>
          <w:rFonts w:ascii="Arial" w:hAnsi="Arial" w:cs="Arial"/>
        </w:rPr>
        <w:t>Carba</w:t>
      </w:r>
      <w:proofErr w:type="spellEnd"/>
      <w:r w:rsidRPr="002907D1">
        <w:rPr>
          <w:rFonts w:ascii="Arial" w:hAnsi="Arial" w:cs="Arial"/>
        </w:rPr>
        <w:t xml:space="preserve"> 5). This profile is for great relevance, since the KPC gene is quite common and can be found in numerous species of Enterobacteriaceae that cause HAIs. As for cases of enzymatic resistance by indeterminate genes, the incomplete characterization of resistance compromises the implementation of an effective antimicrobial therapy for the patient and makes it difficult to broadly know the strains responsible for these infections that contribute to the high rate of deaths [19,20].</w:t>
      </w:r>
    </w:p>
    <w:p w14:paraId="7A2582AF" w14:textId="05FDB756" w:rsidR="002907D1" w:rsidRDefault="002907D1" w:rsidP="002907D1">
      <w:pPr>
        <w:pStyle w:val="Body"/>
        <w:spacing w:after="0"/>
        <w:ind w:firstLine="720"/>
        <w:rPr>
          <w:rFonts w:ascii="Arial" w:hAnsi="Arial" w:cs="Arial"/>
        </w:rPr>
      </w:pPr>
      <w:r w:rsidRPr="002907D1">
        <w:rPr>
          <w:rFonts w:ascii="Arial" w:hAnsi="Arial" w:cs="Arial"/>
        </w:rPr>
        <w:t>The clinical outcome was statistically analyzed to assess whether there is significance in its relationship with other variables, such as gender and age. The results of these analyses can be seen in Table 4.</w:t>
      </w:r>
    </w:p>
    <w:p w14:paraId="506C2F1D" w14:textId="77777777" w:rsidR="002907D1" w:rsidRDefault="002907D1" w:rsidP="002907D1">
      <w:pPr>
        <w:pStyle w:val="Body"/>
        <w:spacing w:after="0"/>
        <w:rPr>
          <w:rFonts w:ascii="Arial" w:hAnsi="Arial" w:cs="Arial"/>
        </w:rPr>
      </w:pPr>
    </w:p>
    <w:p w14:paraId="2D4D5D55" w14:textId="77777777" w:rsidR="002907D1" w:rsidRPr="002907D1" w:rsidRDefault="002907D1" w:rsidP="002907D1">
      <w:pPr>
        <w:jc w:val="both"/>
        <w:rPr>
          <w:rFonts w:ascii="Arial" w:hAnsi="Arial" w:cs="Arial"/>
          <w:lang w:val="pt-BR" w:eastAsia="pt-BR"/>
        </w:rPr>
      </w:pPr>
      <w:r w:rsidRPr="002907D1">
        <w:rPr>
          <w:rFonts w:ascii="Arial" w:hAnsi="Arial" w:cs="Arial"/>
          <w:b/>
          <w:bCs/>
          <w:color w:val="000000"/>
          <w:lang w:val="pt-BR" w:eastAsia="pt-BR"/>
        </w:rPr>
        <w:t>Table 4. Statistical analysis of the clinical outcome ratio with gender variables, age and type of resistance.</w:t>
      </w:r>
    </w:p>
    <w:p w14:paraId="0C0250D0" w14:textId="77777777" w:rsidR="002907D1" w:rsidRPr="002907D1" w:rsidRDefault="002907D1" w:rsidP="002907D1">
      <w:pPr>
        <w:rPr>
          <w:rFonts w:ascii="Arial" w:hAnsi="Arial" w:cs="Arial"/>
          <w:lang w:val="pt-BR" w:eastAsia="pt-BR"/>
        </w:rPr>
      </w:pPr>
    </w:p>
    <w:tbl>
      <w:tblPr>
        <w:tblW w:w="0" w:type="auto"/>
        <w:tblCellMar>
          <w:top w:w="15" w:type="dxa"/>
          <w:left w:w="15" w:type="dxa"/>
          <w:bottom w:w="15" w:type="dxa"/>
          <w:right w:w="15" w:type="dxa"/>
        </w:tblCellMar>
        <w:tblLook w:val="04A0" w:firstRow="1" w:lastRow="0" w:firstColumn="1" w:lastColumn="0" w:noHBand="0" w:noVBand="1"/>
      </w:tblPr>
      <w:tblGrid>
        <w:gridCol w:w="2551"/>
        <w:gridCol w:w="1112"/>
        <w:gridCol w:w="1168"/>
        <w:gridCol w:w="1012"/>
        <w:gridCol w:w="1332"/>
      </w:tblGrid>
      <w:tr w:rsidR="002907D1" w:rsidRPr="002907D1" w14:paraId="1B0D9574" w14:textId="77777777" w:rsidTr="00554E19">
        <w:trPr>
          <w:trHeight w:val="227"/>
        </w:trPr>
        <w:tc>
          <w:tcPr>
            <w:tcW w:w="2551" w:type="dxa"/>
            <w:vMerge w:val="restart"/>
            <w:tcBorders>
              <w:top w:val="single" w:sz="8" w:space="0" w:color="000000"/>
            </w:tcBorders>
            <w:tcMar>
              <w:top w:w="100" w:type="dxa"/>
              <w:left w:w="100" w:type="dxa"/>
              <w:bottom w:w="100" w:type="dxa"/>
              <w:right w:w="100" w:type="dxa"/>
            </w:tcMar>
            <w:hideMark/>
          </w:tcPr>
          <w:p w14:paraId="4FE2E140" w14:textId="77777777" w:rsidR="002907D1" w:rsidRPr="002907D1" w:rsidRDefault="002907D1" w:rsidP="002907D1">
            <w:pPr>
              <w:rPr>
                <w:rFonts w:ascii="Arial" w:hAnsi="Arial" w:cs="Arial"/>
                <w:lang w:val="pt-BR" w:eastAsia="pt-BR"/>
              </w:rPr>
            </w:pPr>
          </w:p>
          <w:p w14:paraId="4DE83C1A"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Variables </w:t>
            </w:r>
          </w:p>
        </w:tc>
        <w:tc>
          <w:tcPr>
            <w:tcW w:w="0" w:type="auto"/>
            <w:vMerge w:val="restart"/>
            <w:tcBorders>
              <w:top w:val="single" w:sz="8" w:space="0" w:color="000000"/>
            </w:tcBorders>
            <w:tcMar>
              <w:top w:w="100" w:type="dxa"/>
              <w:left w:w="100" w:type="dxa"/>
              <w:bottom w:w="100" w:type="dxa"/>
              <w:right w:w="100" w:type="dxa"/>
            </w:tcMar>
            <w:hideMark/>
          </w:tcPr>
          <w:p w14:paraId="615681D7" w14:textId="77777777" w:rsidR="002907D1" w:rsidRPr="002907D1" w:rsidRDefault="002907D1" w:rsidP="002907D1">
            <w:pPr>
              <w:rPr>
                <w:rFonts w:ascii="Arial" w:hAnsi="Arial" w:cs="Arial"/>
                <w:lang w:val="pt-BR" w:eastAsia="pt-BR"/>
              </w:rPr>
            </w:pPr>
          </w:p>
          <w:p w14:paraId="4EC0117C"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N (%)</w:t>
            </w:r>
          </w:p>
        </w:tc>
        <w:tc>
          <w:tcPr>
            <w:tcW w:w="0" w:type="auto"/>
            <w:gridSpan w:val="2"/>
            <w:tcBorders>
              <w:top w:val="single" w:sz="8" w:space="0" w:color="000000"/>
              <w:bottom w:val="single" w:sz="8" w:space="0" w:color="000000"/>
            </w:tcBorders>
            <w:tcMar>
              <w:top w:w="100" w:type="dxa"/>
              <w:left w:w="100" w:type="dxa"/>
              <w:bottom w:w="100" w:type="dxa"/>
              <w:right w:w="100" w:type="dxa"/>
            </w:tcMar>
            <w:hideMark/>
          </w:tcPr>
          <w:p w14:paraId="396BAFF8"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Clinical outcome</w:t>
            </w:r>
          </w:p>
        </w:tc>
        <w:tc>
          <w:tcPr>
            <w:tcW w:w="0" w:type="auto"/>
            <w:vMerge w:val="restart"/>
            <w:tcBorders>
              <w:top w:val="single" w:sz="8" w:space="0" w:color="000000"/>
            </w:tcBorders>
            <w:tcMar>
              <w:top w:w="100" w:type="dxa"/>
              <w:left w:w="100" w:type="dxa"/>
              <w:bottom w:w="100" w:type="dxa"/>
              <w:right w:w="100" w:type="dxa"/>
            </w:tcMar>
            <w:hideMark/>
          </w:tcPr>
          <w:p w14:paraId="49AFDD45" w14:textId="77777777" w:rsidR="00554E19" w:rsidRDefault="00554E19" w:rsidP="002907D1">
            <w:pPr>
              <w:jc w:val="center"/>
              <w:rPr>
                <w:rFonts w:ascii="Arial" w:hAnsi="Arial" w:cs="Arial"/>
                <w:b/>
                <w:bCs/>
                <w:color w:val="000000"/>
                <w:lang w:val="pt-BR" w:eastAsia="pt-BR"/>
              </w:rPr>
            </w:pPr>
          </w:p>
          <w:p w14:paraId="0C7C63CE" w14:textId="477AB649"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 (χ</w:t>
            </w:r>
            <w:r w:rsidRPr="002907D1">
              <w:rPr>
                <w:rFonts w:ascii="Arial" w:hAnsi="Arial" w:cs="Arial"/>
                <w:b/>
                <w:bCs/>
                <w:color w:val="000000"/>
                <w:vertAlign w:val="superscript"/>
                <w:lang w:val="pt-BR" w:eastAsia="pt-BR"/>
              </w:rPr>
              <w:t>2</w:t>
            </w:r>
            <w:r w:rsidRPr="002907D1">
              <w:rPr>
                <w:rFonts w:ascii="Arial" w:hAnsi="Arial" w:cs="Arial"/>
                <w:b/>
                <w:bCs/>
                <w:color w:val="000000"/>
                <w:lang w:val="pt-BR" w:eastAsia="pt-BR"/>
              </w:rPr>
              <w:t>) p-value</w:t>
            </w:r>
          </w:p>
        </w:tc>
      </w:tr>
      <w:tr w:rsidR="002907D1" w:rsidRPr="002907D1" w14:paraId="4CBA1A06" w14:textId="77777777" w:rsidTr="00554E19">
        <w:trPr>
          <w:trHeight w:val="227"/>
        </w:trPr>
        <w:tc>
          <w:tcPr>
            <w:tcW w:w="2551" w:type="dxa"/>
            <w:vMerge/>
            <w:tcBorders>
              <w:top w:val="single" w:sz="8" w:space="0" w:color="000000"/>
            </w:tcBorders>
            <w:vAlign w:val="center"/>
            <w:hideMark/>
          </w:tcPr>
          <w:p w14:paraId="732B3EC8" w14:textId="77777777" w:rsidR="002907D1" w:rsidRPr="002907D1" w:rsidRDefault="002907D1" w:rsidP="002907D1">
            <w:pPr>
              <w:rPr>
                <w:rFonts w:ascii="Arial" w:hAnsi="Arial" w:cs="Arial"/>
                <w:lang w:val="pt-BR" w:eastAsia="pt-BR"/>
              </w:rPr>
            </w:pPr>
          </w:p>
        </w:tc>
        <w:tc>
          <w:tcPr>
            <w:tcW w:w="0" w:type="auto"/>
            <w:vMerge/>
            <w:tcBorders>
              <w:top w:val="single" w:sz="8" w:space="0" w:color="000000"/>
            </w:tcBorders>
            <w:vAlign w:val="center"/>
            <w:hideMark/>
          </w:tcPr>
          <w:p w14:paraId="5D146EF9"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8" w:space="0" w:color="000000"/>
            </w:tcBorders>
            <w:tcMar>
              <w:top w:w="100" w:type="dxa"/>
              <w:left w:w="100" w:type="dxa"/>
              <w:bottom w:w="100" w:type="dxa"/>
              <w:right w:w="100" w:type="dxa"/>
            </w:tcMar>
            <w:hideMark/>
          </w:tcPr>
          <w:p w14:paraId="73F22B15"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Discharge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C6BC2A9" w14:textId="77777777" w:rsidR="002907D1" w:rsidRPr="002907D1" w:rsidRDefault="002907D1" w:rsidP="002907D1">
            <w:pPr>
              <w:jc w:val="center"/>
              <w:rPr>
                <w:rFonts w:ascii="Arial" w:hAnsi="Arial" w:cs="Arial"/>
                <w:lang w:val="pt-BR" w:eastAsia="pt-BR"/>
              </w:rPr>
            </w:pPr>
            <w:r w:rsidRPr="002907D1">
              <w:rPr>
                <w:rFonts w:ascii="Arial" w:hAnsi="Arial" w:cs="Arial"/>
                <w:b/>
                <w:bCs/>
                <w:color w:val="000000"/>
                <w:lang w:val="pt-BR" w:eastAsia="pt-BR"/>
              </w:rPr>
              <w:t>Death</w:t>
            </w:r>
          </w:p>
        </w:tc>
        <w:tc>
          <w:tcPr>
            <w:tcW w:w="0" w:type="auto"/>
            <w:vMerge/>
            <w:tcBorders>
              <w:top w:val="single" w:sz="8" w:space="0" w:color="000000"/>
            </w:tcBorders>
            <w:vAlign w:val="center"/>
            <w:hideMark/>
          </w:tcPr>
          <w:p w14:paraId="3D1794F4" w14:textId="77777777" w:rsidR="002907D1" w:rsidRPr="002907D1" w:rsidRDefault="002907D1" w:rsidP="002907D1">
            <w:pPr>
              <w:rPr>
                <w:rFonts w:ascii="Arial" w:hAnsi="Arial" w:cs="Arial"/>
                <w:lang w:val="pt-BR" w:eastAsia="pt-BR"/>
              </w:rPr>
            </w:pPr>
          </w:p>
        </w:tc>
      </w:tr>
      <w:tr w:rsidR="002907D1" w:rsidRPr="002907D1" w14:paraId="588B9817" w14:textId="77777777" w:rsidTr="00554E19">
        <w:tc>
          <w:tcPr>
            <w:tcW w:w="2551" w:type="dxa"/>
            <w:tcBorders>
              <w:top w:val="single" w:sz="8" w:space="0" w:color="000000"/>
              <w:bottom w:val="single" w:sz="4" w:space="0" w:color="auto"/>
            </w:tcBorders>
            <w:tcMar>
              <w:top w:w="100" w:type="dxa"/>
              <w:left w:w="100" w:type="dxa"/>
              <w:bottom w:w="100" w:type="dxa"/>
              <w:right w:w="100" w:type="dxa"/>
            </w:tcMar>
            <w:hideMark/>
          </w:tcPr>
          <w:p w14:paraId="1A8539AA" w14:textId="77777777" w:rsidR="002907D1" w:rsidRPr="002907D1" w:rsidRDefault="002907D1" w:rsidP="002907D1">
            <w:pPr>
              <w:rPr>
                <w:rFonts w:ascii="Arial" w:hAnsi="Arial" w:cs="Arial"/>
                <w:lang w:val="pt-BR" w:eastAsia="pt-BR"/>
              </w:rPr>
            </w:pPr>
            <w:r w:rsidRPr="002907D1">
              <w:rPr>
                <w:rFonts w:ascii="Arial" w:hAnsi="Arial" w:cs="Arial"/>
                <w:b/>
                <w:bCs/>
                <w:color w:val="000000"/>
                <w:lang w:val="pt-BR" w:eastAsia="pt-BR"/>
              </w:rPr>
              <w:t xml:space="preserve">Sex </w:t>
            </w:r>
            <w:r w:rsidRPr="002907D1">
              <w:rPr>
                <w:rFonts w:ascii="Arial" w:hAnsi="Arial" w:cs="Arial"/>
                <w:color w:val="000000"/>
                <w:lang w:val="pt-BR" w:eastAsia="pt-BR"/>
              </w:rPr>
              <w:t>(n=18)</w:t>
            </w:r>
          </w:p>
        </w:tc>
        <w:tc>
          <w:tcPr>
            <w:tcW w:w="0" w:type="auto"/>
            <w:tcBorders>
              <w:top w:val="single" w:sz="8" w:space="0" w:color="000000"/>
              <w:bottom w:val="single" w:sz="4" w:space="0" w:color="auto"/>
            </w:tcBorders>
            <w:tcMar>
              <w:top w:w="100" w:type="dxa"/>
              <w:left w:w="100" w:type="dxa"/>
              <w:bottom w:w="100" w:type="dxa"/>
              <w:right w:w="100" w:type="dxa"/>
            </w:tcMar>
            <w:hideMark/>
          </w:tcPr>
          <w:p w14:paraId="0401EE4D"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4" w:space="0" w:color="auto"/>
            </w:tcBorders>
            <w:tcMar>
              <w:top w:w="100" w:type="dxa"/>
              <w:left w:w="100" w:type="dxa"/>
              <w:bottom w:w="100" w:type="dxa"/>
              <w:right w:w="100" w:type="dxa"/>
            </w:tcMar>
            <w:hideMark/>
          </w:tcPr>
          <w:p w14:paraId="591FB4A5"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4" w:space="0" w:color="auto"/>
            </w:tcBorders>
            <w:tcMar>
              <w:top w:w="100" w:type="dxa"/>
              <w:left w:w="100" w:type="dxa"/>
              <w:bottom w:w="100" w:type="dxa"/>
              <w:right w:w="100" w:type="dxa"/>
            </w:tcMar>
            <w:hideMark/>
          </w:tcPr>
          <w:p w14:paraId="30621262" w14:textId="77777777" w:rsidR="002907D1" w:rsidRPr="002907D1" w:rsidRDefault="002907D1" w:rsidP="002907D1">
            <w:pPr>
              <w:rPr>
                <w:rFonts w:ascii="Arial" w:hAnsi="Arial" w:cs="Arial"/>
                <w:lang w:val="pt-BR" w:eastAsia="pt-BR"/>
              </w:rPr>
            </w:pPr>
          </w:p>
        </w:tc>
        <w:tc>
          <w:tcPr>
            <w:tcW w:w="0" w:type="auto"/>
            <w:tcBorders>
              <w:top w:val="single" w:sz="8" w:space="0" w:color="000000"/>
              <w:bottom w:val="single" w:sz="4" w:space="0" w:color="auto"/>
            </w:tcBorders>
            <w:tcMar>
              <w:top w:w="100" w:type="dxa"/>
              <w:left w:w="100" w:type="dxa"/>
              <w:bottom w:w="100" w:type="dxa"/>
              <w:right w:w="100" w:type="dxa"/>
            </w:tcMar>
            <w:hideMark/>
          </w:tcPr>
          <w:p w14:paraId="3D67F76B" w14:textId="77777777" w:rsidR="002907D1" w:rsidRPr="002907D1" w:rsidRDefault="002907D1" w:rsidP="002907D1">
            <w:pPr>
              <w:rPr>
                <w:rFonts w:ascii="Arial" w:hAnsi="Arial" w:cs="Arial"/>
                <w:lang w:val="pt-BR" w:eastAsia="pt-BR"/>
              </w:rPr>
            </w:pPr>
          </w:p>
        </w:tc>
      </w:tr>
      <w:tr w:rsidR="002907D1" w:rsidRPr="002907D1" w14:paraId="43B94CD7" w14:textId="77777777" w:rsidTr="00554E19">
        <w:trPr>
          <w:trHeight w:val="227"/>
        </w:trPr>
        <w:tc>
          <w:tcPr>
            <w:tcW w:w="2551" w:type="dxa"/>
            <w:tcBorders>
              <w:top w:val="single" w:sz="4" w:space="0" w:color="auto"/>
            </w:tcBorders>
            <w:tcMar>
              <w:top w:w="100" w:type="dxa"/>
              <w:left w:w="100" w:type="dxa"/>
              <w:bottom w:w="100" w:type="dxa"/>
              <w:right w:w="100" w:type="dxa"/>
            </w:tcMar>
            <w:hideMark/>
          </w:tcPr>
          <w:p w14:paraId="7E568A7C" w14:textId="77777777" w:rsidR="002907D1" w:rsidRPr="002907D1" w:rsidRDefault="002907D1" w:rsidP="00554E19">
            <w:pPr>
              <w:rPr>
                <w:rFonts w:ascii="Arial" w:hAnsi="Arial" w:cs="Arial"/>
                <w:lang w:val="pt-BR" w:eastAsia="pt-BR"/>
              </w:rPr>
            </w:pPr>
            <w:r w:rsidRPr="002907D1">
              <w:rPr>
                <w:rFonts w:ascii="Arial" w:hAnsi="Arial" w:cs="Arial"/>
                <w:color w:val="000000"/>
                <w:lang w:val="pt-BR" w:eastAsia="pt-BR"/>
              </w:rPr>
              <w:t>Male</w:t>
            </w:r>
          </w:p>
        </w:tc>
        <w:tc>
          <w:tcPr>
            <w:tcW w:w="0" w:type="auto"/>
            <w:tcBorders>
              <w:top w:val="single" w:sz="4" w:space="0" w:color="auto"/>
            </w:tcBorders>
            <w:tcMar>
              <w:top w:w="100" w:type="dxa"/>
              <w:left w:w="100" w:type="dxa"/>
              <w:bottom w:w="100" w:type="dxa"/>
              <w:right w:w="100" w:type="dxa"/>
            </w:tcMar>
            <w:hideMark/>
          </w:tcPr>
          <w:p w14:paraId="590BB8F9"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10 (55,55)</w:t>
            </w:r>
          </w:p>
        </w:tc>
        <w:tc>
          <w:tcPr>
            <w:tcW w:w="0" w:type="auto"/>
            <w:tcBorders>
              <w:top w:val="single" w:sz="4" w:space="0" w:color="auto"/>
            </w:tcBorders>
            <w:tcMar>
              <w:top w:w="100" w:type="dxa"/>
              <w:left w:w="100" w:type="dxa"/>
              <w:bottom w:w="100" w:type="dxa"/>
              <w:right w:w="100" w:type="dxa"/>
            </w:tcMar>
            <w:hideMark/>
          </w:tcPr>
          <w:p w14:paraId="31C40119"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(30%)</w:t>
            </w:r>
          </w:p>
        </w:tc>
        <w:tc>
          <w:tcPr>
            <w:tcW w:w="0" w:type="auto"/>
            <w:tcBorders>
              <w:top w:val="single" w:sz="4" w:space="0" w:color="auto"/>
            </w:tcBorders>
            <w:tcMar>
              <w:top w:w="100" w:type="dxa"/>
              <w:left w:w="100" w:type="dxa"/>
              <w:bottom w:w="100" w:type="dxa"/>
              <w:right w:w="100" w:type="dxa"/>
            </w:tcMar>
            <w:hideMark/>
          </w:tcPr>
          <w:p w14:paraId="476AF15A"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7 (70%)</w:t>
            </w:r>
          </w:p>
        </w:tc>
        <w:tc>
          <w:tcPr>
            <w:tcW w:w="0" w:type="auto"/>
            <w:vMerge w:val="restart"/>
            <w:tcBorders>
              <w:top w:val="single" w:sz="4" w:space="0" w:color="auto"/>
            </w:tcBorders>
            <w:tcMar>
              <w:top w:w="100" w:type="dxa"/>
              <w:left w:w="100" w:type="dxa"/>
              <w:bottom w:w="100" w:type="dxa"/>
              <w:right w:w="100" w:type="dxa"/>
            </w:tcMar>
            <w:hideMark/>
          </w:tcPr>
          <w:p w14:paraId="6CB9D84B" w14:textId="77777777" w:rsidR="002907D1" w:rsidRPr="002907D1" w:rsidRDefault="002907D1" w:rsidP="002907D1">
            <w:pPr>
              <w:rPr>
                <w:rFonts w:ascii="Arial" w:hAnsi="Arial" w:cs="Arial"/>
                <w:lang w:val="pt-BR" w:eastAsia="pt-BR"/>
              </w:rPr>
            </w:pPr>
          </w:p>
          <w:p w14:paraId="30ABA3D7"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0,2888</w:t>
            </w:r>
          </w:p>
        </w:tc>
      </w:tr>
      <w:tr w:rsidR="002907D1" w:rsidRPr="002907D1" w14:paraId="1220CFEA" w14:textId="77777777" w:rsidTr="00554E19">
        <w:trPr>
          <w:trHeight w:val="227"/>
        </w:trPr>
        <w:tc>
          <w:tcPr>
            <w:tcW w:w="2551" w:type="dxa"/>
            <w:tcBorders>
              <w:bottom w:val="single" w:sz="4" w:space="0" w:color="auto"/>
            </w:tcBorders>
            <w:tcMar>
              <w:top w:w="100" w:type="dxa"/>
              <w:left w:w="100" w:type="dxa"/>
              <w:bottom w:w="100" w:type="dxa"/>
              <w:right w:w="100" w:type="dxa"/>
            </w:tcMar>
            <w:hideMark/>
          </w:tcPr>
          <w:p w14:paraId="36C5B6DD" w14:textId="77777777" w:rsidR="002907D1" w:rsidRPr="002907D1" w:rsidRDefault="002907D1" w:rsidP="00554E19">
            <w:pPr>
              <w:rPr>
                <w:rFonts w:ascii="Arial" w:hAnsi="Arial" w:cs="Arial"/>
                <w:lang w:val="pt-BR" w:eastAsia="pt-BR"/>
              </w:rPr>
            </w:pPr>
            <w:r w:rsidRPr="002907D1">
              <w:rPr>
                <w:rFonts w:ascii="Arial" w:hAnsi="Arial" w:cs="Arial"/>
                <w:color w:val="000000"/>
                <w:lang w:val="pt-BR" w:eastAsia="pt-BR"/>
              </w:rPr>
              <w:t>Female</w:t>
            </w:r>
          </w:p>
        </w:tc>
        <w:tc>
          <w:tcPr>
            <w:tcW w:w="0" w:type="auto"/>
            <w:tcBorders>
              <w:bottom w:val="single" w:sz="4" w:space="0" w:color="auto"/>
            </w:tcBorders>
            <w:tcMar>
              <w:top w:w="100" w:type="dxa"/>
              <w:left w:w="100" w:type="dxa"/>
              <w:bottom w:w="100" w:type="dxa"/>
              <w:right w:w="100" w:type="dxa"/>
            </w:tcMar>
            <w:hideMark/>
          </w:tcPr>
          <w:p w14:paraId="5A04FF32"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8 (44,45)</w:t>
            </w:r>
          </w:p>
        </w:tc>
        <w:tc>
          <w:tcPr>
            <w:tcW w:w="0" w:type="auto"/>
            <w:tcBorders>
              <w:bottom w:val="single" w:sz="4" w:space="0" w:color="auto"/>
            </w:tcBorders>
            <w:tcMar>
              <w:top w:w="100" w:type="dxa"/>
              <w:left w:w="100" w:type="dxa"/>
              <w:bottom w:w="100" w:type="dxa"/>
              <w:right w:w="100" w:type="dxa"/>
            </w:tcMar>
            <w:hideMark/>
          </w:tcPr>
          <w:p w14:paraId="0CBF02E0"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Borders>
              <w:bottom w:val="single" w:sz="4" w:space="0" w:color="auto"/>
            </w:tcBorders>
            <w:tcMar>
              <w:top w:w="100" w:type="dxa"/>
              <w:left w:w="100" w:type="dxa"/>
              <w:bottom w:w="100" w:type="dxa"/>
              <w:right w:w="100" w:type="dxa"/>
            </w:tcMar>
            <w:hideMark/>
          </w:tcPr>
          <w:p w14:paraId="16DDF975"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8 (100%)</w:t>
            </w:r>
          </w:p>
        </w:tc>
        <w:tc>
          <w:tcPr>
            <w:tcW w:w="0" w:type="auto"/>
            <w:vMerge/>
            <w:tcBorders>
              <w:bottom w:val="single" w:sz="4" w:space="0" w:color="auto"/>
            </w:tcBorders>
            <w:vAlign w:val="center"/>
            <w:hideMark/>
          </w:tcPr>
          <w:p w14:paraId="5CB7CC2D" w14:textId="77777777" w:rsidR="002907D1" w:rsidRPr="002907D1" w:rsidRDefault="002907D1" w:rsidP="002907D1">
            <w:pPr>
              <w:rPr>
                <w:rFonts w:ascii="Arial" w:hAnsi="Arial" w:cs="Arial"/>
                <w:lang w:val="pt-BR" w:eastAsia="pt-BR"/>
              </w:rPr>
            </w:pPr>
          </w:p>
        </w:tc>
      </w:tr>
      <w:tr w:rsidR="002907D1" w:rsidRPr="002907D1" w14:paraId="20E62DDE" w14:textId="77777777" w:rsidTr="00554E19">
        <w:trPr>
          <w:trHeight w:val="227"/>
        </w:trPr>
        <w:tc>
          <w:tcPr>
            <w:tcW w:w="2551" w:type="dxa"/>
            <w:tcBorders>
              <w:top w:val="single" w:sz="4" w:space="0" w:color="auto"/>
              <w:bottom w:val="single" w:sz="4" w:space="0" w:color="auto"/>
            </w:tcBorders>
            <w:tcMar>
              <w:top w:w="100" w:type="dxa"/>
              <w:left w:w="100" w:type="dxa"/>
              <w:bottom w:w="100" w:type="dxa"/>
              <w:right w:w="100" w:type="dxa"/>
            </w:tcMar>
            <w:hideMark/>
          </w:tcPr>
          <w:p w14:paraId="0FD4F743" w14:textId="77777777" w:rsidR="002907D1" w:rsidRPr="002907D1" w:rsidRDefault="002907D1" w:rsidP="002907D1">
            <w:pPr>
              <w:rPr>
                <w:rFonts w:ascii="Arial" w:hAnsi="Arial" w:cs="Arial"/>
                <w:lang w:val="pt-BR" w:eastAsia="pt-BR"/>
              </w:rPr>
            </w:pPr>
            <w:r w:rsidRPr="002907D1">
              <w:rPr>
                <w:rFonts w:ascii="Arial" w:hAnsi="Arial" w:cs="Arial"/>
                <w:b/>
                <w:bCs/>
                <w:color w:val="000000"/>
                <w:lang w:val="pt-BR" w:eastAsia="pt-BR"/>
              </w:rPr>
              <w:t xml:space="preserve">Age group </w:t>
            </w:r>
            <w:r w:rsidRPr="002907D1">
              <w:rPr>
                <w:rFonts w:ascii="Arial" w:hAnsi="Arial" w:cs="Arial"/>
                <w:color w:val="000000"/>
                <w:lang w:val="pt-BR" w:eastAsia="pt-BR"/>
              </w:rPr>
              <w:t>(n=18)</w:t>
            </w:r>
          </w:p>
        </w:tc>
        <w:tc>
          <w:tcPr>
            <w:tcW w:w="0" w:type="auto"/>
            <w:tcBorders>
              <w:top w:val="single" w:sz="4" w:space="0" w:color="auto"/>
              <w:bottom w:val="single" w:sz="4" w:space="0" w:color="auto"/>
            </w:tcBorders>
            <w:tcMar>
              <w:top w:w="100" w:type="dxa"/>
              <w:left w:w="100" w:type="dxa"/>
              <w:bottom w:w="100" w:type="dxa"/>
              <w:right w:w="100" w:type="dxa"/>
            </w:tcMar>
            <w:hideMark/>
          </w:tcPr>
          <w:p w14:paraId="781E821B" w14:textId="77777777" w:rsidR="002907D1" w:rsidRPr="002907D1" w:rsidRDefault="002907D1" w:rsidP="002907D1">
            <w:pPr>
              <w:rPr>
                <w:rFonts w:ascii="Arial" w:hAnsi="Arial" w:cs="Arial"/>
                <w:lang w:val="pt-BR" w:eastAsia="pt-BR"/>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45722B90" w14:textId="77777777" w:rsidR="002907D1" w:rsidRPr="002907D1" w:rsidRDefault="002907D1" w:rsidP="002907D1">
            <w:pPr>
              <w:rPr>
                <w:rFonts w:ascii="Arial" w:hAnsi="Arial" w:cs="Arial"/>
                <w:lang w:val="pt-BR" w:eastAsia="pt-BR"/>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47FE0090" w14:textId="77777777" w:rsidR="002907D1" w:rsidRPr="002907D1" w:rsidRDefault="002907D1" w:rsidP="002907D1">
            <w:pPr>
              <w:rPr>
                <w:rFonts w:ascii="Arial" w:hAnsi="Arial" w:cs="Arial"/>
                <w:lang w:val="pt-BR" w:eastAsia="pt-BR"/>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76687890" w14:textId="77777777" w:rsidR="002907D1" w:rsidRPr="002907D1" w:rsidRDefault="002907D1" w:rsidP="002907D1">
            <w:pPr>
              <w:rPr>
                <w:rFonts w:ascii="Arial" w:hAnsi="Arial" w:cs="Arial"/>
                <w:lang w:val="pt-BR" w:eastAsia="pt-BR"/>
              </w:rPr>
            </w:pPr>
          </w:p>
        </w:tc>
      </w:tr>
      <w:tr w:rsidR="002907D1" w:rsidRPr="002907D1" w14:paraId="26E866D3" w14:textId="77777777" w:rsidTr="00554E19">
        <w:trPr>
          <w:trHeight w:val="227"/>
        </w:trPr>
        <w:tc>
          <w:tcPr>
            <w:tcW w:w="2551" w:type="dxa"/>
            <w:tcBorders>
              <w:top w:val="single" w:sz="4" w:space="0" w:color="auto"/>
            </w:tcBorders>
            <w:tcMar>
              <w:top w:w="100" w:type="dxa"/>
              <w:left w:w="100" w:type="dxa"/>
              <w:bottom w:w="100" w:type="dxa"/>
              <w:right w:w="100" w:type="dxa"/>
            </w:tcMar>
            <w:hideMark/>
          </w:tcPr>
          <w:p w14:paraId="397A535F" w14:textId="77777777" w:rsidR="002907D1" w:rsidRPr="002907D1" w:rsidRDefault="002907D1" w:rsidP="002907D1">
            <w:pPr>
              <w:ind w:left="283"/>
              <w:rPr>
                <w:rFonts w:ascii="Arial" w:hAnsi="Arial" w:cs="Arial"/>
                <w:lang w:val="pt-BR" w:eastAsia="pt-BR"/>
              </w:rPr>
            </w:pPr>
            <w:r w:rsidRPr="002907D1">
              <w:rPr>
                <w:rFonts w:ascii="Arial" w:hAnsi="Arial" w:cs="Arial"/>
                <w:color w:val="000000"/>
                <w:lang w:val="pt-BR" w:eastAsia="pt-BR"/>
              </w:rPr>
              <w:t>&lt; 40 years</w:t>
            </w:r>
          </w:p>
        </w:tc>
        <w:tc>
          <w:tcPr>
            <w:tcW w:w="0" w:type="auto"/>
            <w:tcBorders>
              <w:top w:val="single" w:sz="4" w:space="0" w:color="auto"/>
            </w:tcBorders>
            <w:tcMar>
              <w:top w:w="100" w:type="dxa"/>
              <w:left w:w="100" w:type="dxa"/>
              <w:bottom w:w="100" w:type="dxa"/>
              <w:right w:w="100" w:type="dxa"/>
            </w:tcMar>
            <w:hideMark/>
          </w:tcPr>
          <w:p w14:paraId="24DD466B"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(11,12)</w:t>
            </w:r>
          </w:p>
        </w:tc>
        <w:tc>
          <w:tcPr>
            <w:tcW w:w="0" w:type="auto"/>
            <w:tcBorders>
              <w:top w:val="single" w:sz="4" w:space="0" w:color="auto"/>
            </w:tcBorders>
            <w:tcMar>
              <w:top w:w="100" w:type="dxa"/>
              <w:left w:w="100" w:type="dxa"/>
              <w:bottom w:w="100" w:type="dxa"/>
              <w:right w:w="100" w:type="dxa"/>
            </w:tcMar>
            <w:hideMark/>
          </w:tcPr>
          <w:p w14:paraId="57E347B8"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Borders>
              <w:top w:val="single" w:sz="4" w:space="0" w:color="auto"/>
            </w:tcBorders>
            <w:tcMar>
              <w:top w:w="100" w:type="dxa"/>
              <w:left w:w="100" w:type="dxa"/>
              <w:bottom w:w="100" w:type="dxa"/>
              <w:right w:w="100" w:type="dxa"/>
            </w:tcMar>
            <w:hideMark/>
          </w:tcPr>
          <w:p w14:paraId="4543374F"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2 (100%)</w:t>
            </w:r>
          </w:p>
        </w:tc>
        <w:tc>
          <w:tcPr>
            <w:tcW w:w="0" w:type="auto"/>
            <w:tcBorders>
              <w:top w:val="single" w:sz="4" w:space="0" w:color="auto"/>
            </w:tcBorders>
            <w:tcMar>
              <w:top w:w="100" w:type="dxa"/>
              <w:left w:w="100" w:type="dxa"/>
              <w:bottom w:w="100" w:type="dxa"/>
              <w:right w:w="100" w:type="dxa"/>
            </w:tcMar>
            <w:hideMark/>
          </w:tcPr>
          <w:p w14:paraId="3EADA6E5" w14:textId="77777777" w:rsidR="002907D1" w:rsidRPr="002907D1" w:rsidRDefault="002907D1" w:rsidP="002907D1">
            <w:pPr>
              <w:rPr>
                <w:rFonts w:ascii="Arial" w:hAnsi="Arial" w:cs="Arial"/>
                <w:lang w:val="pt-BR" w:eastAsia="pt-BR"/>
              </w:rPr>
            </w:pPr>
          </w:p>
        </w:tc>
      </w:tr>
      <w:tr w:rsidR="002907D1" w:rsidRPr="002907D1" w14:paraId="4752F47E" w14:textId="77777777" w:rsidTr="00554E19">
        <w:trPr>
          <w:trHeight w:val="227"/>
        </w:trPr>
        <w:tc>
          <w:tcPr>
            <w:tcW w:w="2551" w:type="dxa"/>
            <w:tcMar>
              <w:top w:w="100" w:type="dxa"/>
              <w:left w:w="100" w:type="dxa"/>
              <w:bottom w:w="100" w:type="dxa"/>
              <w:right w:w="100" w:type="dxa"/>
            </w:tcMar>
            <w:hideMark/>
          </w:tcPr>
          <w:p w14:paraId="3CBD7901" w14:textId="77777777" w:rsidR="002907D1" w:rsidRPr="002907D1" w:rsidRDefault="002907D1" w:rsidP="002907D1">
            <w:pPr>
              <w:ind w:left="283"/>
              <w:rPr>
                <w:rFonts w:ascii="Arial" w:hAnsi="Arial" w:cs="Arial"/>
                <w:lang w:val="pt-BR" w:eastAsia="pt-BR"/>
              </w:rPr>
            </w:pPr>
            <w:r w:rsidRPr="002907D1">
              <w:rPr>
                <w:rFonts w:ascii="Arial" w:hAnsi="Arial" w:cs="Arial"/>
                <w:color w:val="000000"/>
                <w:lang w:val="pt-BR" w:eastAsia="pt-BR"/>
              </w:rPr>
              <w:t>40 to 60 years old</w:t>
            </w:r>
          </w:p>
        </w:tc>
        <w:tc>
          <w:tcPr>
            <w:tcW w:w="0" w:type="auto"/>
            <w:tcMar>
              <w:top w:w="100" w:type="dxa"/>
              <w:left w:w="100" w:type="dxa"/>
              <w:bottom w:w="100" w:type="dxa"/>
              <w:right w:w="100" w:type="dxa"/>
            </w:tcMar>
            <w:hideMark/>
          </w:tcPr>
          <w:p w14:paraId="4BD7F8B9"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4 (22,22)</w:t>
            </w:r>
          </w:p>
        </w:tc>
        <w:tc>
          <w:tcPr>
            <w:tcW w:w="0" w:type="auto"/>
            <w:tcMar>
              <w:top w:w="100" w:type="dxa"/>
              <w:left w:w="100" w:type="dxa"/>
              <w:bottom w:w="100" w:type="dxa"/>
              <w:right w:w="100" w:type="dxa"/>
            </w:tcMar>
            <w:hideMark/>
          </w:tcPr>
          <w:p w14:paraId="376DB77C"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 (0%)</w:t>
            </w:r>
          </w:p>
        </w:tc>
        <w:tc>
          <w:tcPr>
            <w:tcW w:w="0" w:type="auto"/>
            <w:tcMar>
              <w:top w:w="100" w:type="dxa"/>
              <w:left w:w="100" w:type="dxa"/>
              <w:bottom w:w="100" w:type="dxa"/>
              <w:right w:w="100" w:type="dxa"/>
            </w:tcMar>
            <w:hideMark/>
          </w:tcPr>
          <w:p w14:paraId="0724E791"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4 (100%)</w:t>
            </w:r>
          </w:p>
        </w:tc>
        <w:tc>
          <w:tcPr>
            <w:tcW w:w="0" w:type="auto"/>
            <w:tcMar>
              <w:top w:w="100" w:type="dxa"/>
              <w:left w:w="100" w:type="dxa"/>
              <w:bottom w:w="100" w:type="dxa"/>
              <w:right w:w="100" w:type="dxa"/>
            </w:tcMar>
            <w:hideMark/>
          </w:tcPr>
          <w:p w14:paraId="2DD45F26"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0,4066</w:t>
            </w:r>
          </w:p>
        </w:tc>
      </w:tr>
      <w:tr w:rsidR="002907D1" w:rsidRPr="002907D1" w14:paraId="598DDA37" w14:textId="77777777" w:rsidTr="00554E19">
        <w:trPr>
          <w:trHeight w:val="227"/>
        </w:trPr>
        <w:tc>
          <w:tcPr>
            <w:tcW w:w="2551" w:type="dxa"/>
            <w:tcBorders>
              <w:bottom w:val="single" w:sz="8" w:space="0" w:color="000000"/>
            </w:tcBorders>
            <w:tcMar>
              <w:top w:w="100" w:type="dxa"/>
              <w:left w:w="100" w:type="dxa"/>
              <w:bottom w:w="100" w:type="dxa"/>
              <w:right w:w="100" w:type="dxa"/>
            </w:tcMar>
            <w:hideMark/>
          </w:tcPr>
          <w:p w14:paraId="547A6EBF" w14:textId="77777777" w:rsidR="002907D1" w:rsidRPr="002907D1" w:rsidRDefault="002907D1" w:rsidP="002907D1">
            <w:pPr>
              <w:ind w:left="283"/>
              <w:rPr>
                <w:rFonts w:ascii="Arial" w:hAnsi="Arial" w:cs="Arial"/>
                <w:lang w:val="pt-BR" w:eastAsia="pt-BR"/>
              </w:rPr>
            </w:pPr>
            <w:r w:rsidRPr="002907D1">
              <w:rPr>
                <w:rFonts w:ascii="Arial" w:hAnsi="Arial" w:cs="Arial"/>
                <w:color w:val="000000"/>
                <w:lang w:val="pt-BR" w:eastAsia="pt-BR"/>
              </w:rPr>
              <w:t>&gt; 60 years old</w:t>
            </w:r>
          </w:p>
        </w:tc>
        <w:tc>
          <w:tcPr>
            <w:tcW w:w="0" w:type="auto"/>
            <w:tcBorders>
              <w:bottom w:val="single" w:sz="8" w:space="0" w:color="000000"/>
            </w:tcBorders>
            <w:tcMar>
              <w:top w:w="100" w:type="dxa"/>
              <w:left w:w="100" w:type="dxa"/>
              <w:bottom w:w="100" w:type="dxa"/>
              <w:right w:w="100" w:type="dxa"/>
            </w:tcMar>
            <w:hideMark/>
          </w:tcPr>
          <w:p w14:paraId="77F78195"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12 (66,66)</w:t>
            </w:r>
          </w:p>
        </w:tc>
        <w:tc>
          <w:tcPr>
            <w:tcW w:w="0" w:type="auto"/>
            <w:tcBorders>
              <w:bottom w:val="single" w:sz="8" w:space="0" w:color="000000"/>
            </w:tcBorders>
            <w:tcMar>
              <w:top w:w="100" w:type="dxa"/>
              <w:left w:w="100" w:type="dxa"/>
              <w:bottom w:w="100" w:type="dxa"/>
              <w:right w:w="100" w:type="dxa"/>
            </w:tcMar>
            <w:hideMark/>
          </w:tcPr>
          <w:p w14:paraId="6D33160E"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3 (25%)</w:t>
            </w:r>
          </w:p>
        </w:tc>
        <w:tc>
          <w:tcPr>
            <w:tcW w:w="0" w:type="auto"/>
            <w:tcBorders>
              <w:bottom w:val="single" w:sz="8" w:space="0" w:color="000000"/>
            </w:tcBorders>
            <w:tcMar>
              <w:top w:w="100" w:type="dxa"/>
              <w:left w:w="100" w:type="dxa"/>
              <w:bottom w:w="100" w:type="dxa"/>
              <w:right w:w="100" w:type="dxa"/>
            </w:tcMar>
            <w:hideMark/>
          </w:tcPr>
          <w:p w14:paraId="5BE20AB3" w14:textId="77777777" w:rsidR="002907D1" w:rsidRPr="002907D1" w:rsidRDefault="002907D1" w:rsidP="002907D1">
            <w:pPr>
              <w:jc w:val="center"/>
              <w:rPr>
                <w:rFonts w:ascii="Arial" w:hAnsi="Arial" w:cs="Arial"/>
                <w:lang w:val="pt-BR" w:eastAsia="pt-BR"/>
              </w:rPr>
            </w:pPr>
            <w:r w:rsidRPr="002907D1">
              <w:rPr>
                <w:rFonts w:ascii="Arial" w:hAnsi="Arial" w:cs="Arial"/>
                <w:color w:val="000000"/>
                <w:lang w:val="pt-BR" w:eastAsia="pt-BR"/>
              </w:rPr>
              <w:t>9 (75%)</w:t>
            </w:r>
          </w:p>
        </w:tc>
        <w:tc>
          <w:tcPr>
            <w:tcW w:w="0" w:type="auto"/>
            <w:tcBorders>
              <w:bottom w:val="single" w:sz="8" w:space="0" w:color="000000"/>
            </w:tcBorders>
            <w:tcMar>
              <w:top w:w="100" w:type="dxa"/>
              <w:left w:w="100" w:type="dxa"/>
              <w:bottom w:w="100" w:type="dxa"/>
              <w:right w:w="100" w:type="dxa"/>
            </w:tcMar>
            <w:hideMark/>
          </w:tcPr>
          <w:p w14:paraId="09C1595C" w14:textId="77777777" w:rsidR="002907D1" w:rsidRPr="002907D1" w:rsidRDefault="002907D1" w:rsidP="002907D1">
            <w:pPr>
              <w:rPr>
                <w:rFonts w:ascii="Arial" w:hAnsi="Arial" w:cs="Arial"/>
                <w:lang w:val="pt-BR" w:eastAsia="pt-BR"/>
              </w:rPr>
            </w:pPr>
          </w:p>
        </w:tc>
      </w:tr>
    </w:tbl>
    <w:p w14:paraId="31F947DF" w14:textId="77777777" w:rsidR="002907D1" w:rsidRPr="002907D1" w:rsidRDefault="002907D1" w:rsidP="002907D1">
      <w:pPr>
        <w:rPr>
          <w:rFonts w:ascii="Arial" w:hAnsi="Arial" w:cs="Arial"/>
          <w:lang w:val="pt-BR" w:eastAsia="pt-BR"/>
        </w:rPr>
      </w:pPr>
      <w:r w:rsidRPr="002907D1">
        <w:rPr>
          <w:rFonts w:ascii="Arial" w:hAnsi="Arial" w:cs="Arial"/>
          <w:color w:val="000000"/>
          <w:lang w:val="pt-BR" w:eastAsia="pt-BR"/>
        </w:rPr>
        <w:t>χ</w:t>
      </w:r>
      <w:r w:rsidRPr="002907D1">
        <w:rPr>
          <w:rFonts w:ascii="Arial" w:hAnsi="Arial" w:cs="Arial"/>
          <w:color w:val="000000"/>
          <w:vertAlign w:val="superscript"/>
          <w:lang w:val="pt-BR" w:eastAsia="pt-BR"/>
        </w:rPr>
        <w:t>2</w:t>
      </w:r>
      <w:r w:rsidRPr="002907D1">
        <w:rPr>
          <w:rFonts w:ascii="Arial" w:hAnsi="Arial" w:cs="Arial"/>
          <w:color w:val="000000"/>
          <w:lang w:val="pt-BR" w:eastAsia="pt-BR"/>
        </w:rPr>
        <w:t xml:space="preserve"> - Pearson's chi-squared;</w:t>
      </w:r>
    </w:p>
    <w:p w14:paraId="592C86B2" w14:textId="77777777" w:rsidR="002907D1" w:rsidRDefault="002907D1" w:rsidP="002907D1">
      <w:pPr>
        <w:pStyle w:val="Body"/>
        <w:spacing w:after="0"/>
        <w:rPr>
          <w:rFonts w:ascii="Arial" w:hAnsi="Arial" w:cs="Arial"/>
        </w:rPr>
      </w:pPr>
    </w:p>
    <w:p w14:paraId="5FAC4D64" w14:textId="77777777" w:rsidR="00554E19" w:rsidRPr="00554E19" w:rsidRDefault="00554E19" w:rsidP="00554E19">
      <w:pPr>
        <w:pStyle w:val="Body"/>
        <w:ind w:firstLine="720"/>
        <w:rPr>
          <w:rFonts w:ascii="Arial" w:hAnsi="Arial" w:cs="Arial"/>
        </w:rPr>
      </w:pPr>
      <w:r w:rsidRPr="00554E19">
        <w:rPr>
          <w:rFonts w:ascii="Arial" w:hAnsi="Arial" w:cs="Arial"/>
        </w:rPr>
        <w:t xml:space="preserve">The mortality rate of the patients included in this study was 80%. Although it is an extremely high percentage, according to the survey by Fujitani and collaborators [21], mortality associated with P. aeruginosa infection in the respiratory tract can range from 42.1% to 87%. The same authors further discuss that the mortality rate that is in fact attributable to infection varies between 32 and 42.8%, even if patients receive adequate antimicrobial therapy. This percentage is reduced by the presence of comorbidities, </w:t>
      </w:r>
      <w:r w:rsidRPr="00554E19">
        <w:rPr>
          <w:rFonts w:ascii="Arial" w:hAnsi="Arial" w:cs="Arial"/>
        </w:rPr>
        <w:lastRenderedPageBreak/>
        <w:t>pathologies and other problems that weaken the body and lead to death, a situation that hinders the statistical analysis of the impact of nosocomial infections.</w:t>
      </w:r>
    </w:p>
    <w:p w14:paraId="7021ECC3" w14:textId="77777777" w:rsidR="00554E19" w:rsidRPr="00554E19" w:rsidRDefault="00554E19" w:rsidP="00554E19">
      <w:pPr>
        <w:pStyle w:val="Body"/>
        <w:ind w:firstLine="720"/>
        <w:rPr>
          <w:rFonts w:ascii="Arial" w:hAnsi="Arial" w:cs="Arial"/>
        </w:rPr>
      </w:pPr>
      <w:r w:rsidRPr="00554E19">
        <w:rPr>
          <w:rFonts w:ascii="Arial" w:hAnsi="Arial" w:cs="Arial"/>
        </w:rPr>
        <w:t>The statistical association of the clinical outcome with the variables sex (p= 0.2888) was not statistically significant, p-value &lt; 0.05. Other studies in the literature also do not show significance in this relationship with the gender variable, since there is no consensus among the published data on the prevalence of sex in hospital admissions, which may vary according to region and hospital institution, for example [22]. Regarding the association between the outcome and the age group, p = 0.4066 was obtained, indicating no significance in the relationship. This is justified because, although the elderly population is more vulnerable, other factors associated with the health condition of patients prevail in this relationship with mortality, regardless of age [23].</w:t>
      </w:r>
    </w:p>
    <w:p w14:paraId="76270AF5" w14:textId="6084E335" w:rsidR="00554E19" w:rsidRPr="002907D1" w:rsidRDefault="00554E19" w:rsidP="00554E19">
      <w:pPr>
        <w:pStyle w:val="Body"/>
        <w:spacing w:after="0"/>
        <w:rPr>
          <w:rFonts w:ascii="Arial" w:hAnsi="Arial" w:cs="Arial"/>
        </w:rPr>
      </w:pPr>
      <w:r w:rsidRPr="00554E19">
        <w:rPr>
          <w:rFonts w:ascii="Arial" w:hAnsi="Arial" w:cs="Arial"/>
        </w:rPr>
        <w:tab/>
        <w:t>A relevant limitation of this article was the difficulty in finding other studies that developed a statistical analysis on P. aeruginosa strains isolated in respiratory samples, since, although relevant, it is a line of research with in-depth analysis of a biological sample and a microorganism, while the most common clinical microbiology studies specify only one of these. Another important point refers to the place of study, since the hospital in question belongs to the tertiary level and performs activities at the quaternary level, therefore, most of the patients treated and, consequently, included in this study, have serious and/or delicate health conditions from a medical point of view.</w:t>
      </w:r>
    </w:p>
    <w:p w14:paraId="3A82E85B" w14:textId="77777777" w:rsidR="00790ADA" w:rsidRPr="00FB3A86" w:rsidRDefault="00790ADA" w:rsidP="00441B6F">
      <w:pPr>
        <w:pStyle w:val="Body"/>
        <w:spacing w:after="0"/>
        <w:rPr>
          <w:rFonts w:ascii="Arial" w:hAnsi="Arial" w:cs="Arial"/>
        </w:rPr>
      </w:pPr>
    </w:p>
    <w:p w14:paraId="4B18B4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DD9992A" w14:textId="77777777" w:rsidR="00790ADA" w:rsidRPr="00FB3A86" w:rsidRDefault="00790ADA" w:rsidP="00441B6F">
      <w:pPr>
        <w:pStyle w:val="ConcHead"/>
        <w:spacing w:after="0"/>
        <w:jc w:val="both"/>
        <w:rPr>
          <w:rFonts w:ascii="Arial" w:hAnsi="Arial" w:cs="Arial"/>
        </w:rPr>
      </w:pPr>
    </w:p>
    <w:p w14:paraId="70AB184B" w14:textId="2922EC4E" w:rsidR="00790ADA" w:rsidRDefault="00554E19" w:rsidP="00554E19">
      <w:pPr>
        <w:pStyle w:val="Body"/>
        <w:spacing w:after="0"/>
        <w:ind w:firstLine="720"/>
        <w:rPr>
          <w:rFonts w:ascii="Arial" w:hAnsi="Arial" w:cs="Arial"/>
        </w:rPr>
      </w:pPr>
      <w:r w:rsidRPr="00554E19">
        <w:rPr>
          <w:rFonts w:ascii="Arial" w:hAnsi="Arial" w:cs="Arial"/>
        </w:rPr>
        <w:t xml:space="preserve">This study shows high mortality rates and detection of </w:t>
      </w:r>
      <w:proofErr w:type="spellStart"/>
      <w:r w:rsidRPr="00554E19">
        <w:rPr>
          <w:rFonts w:ascii="Arial" w:hAnsi="Arial" w:cs="Arial"/>
        </w:rPr>
        <w:t>carbapenemases</w:t>
      </w:r>
      <w:proofErr w:type="spellEnd"/>
      <w:r w:rsidRPr="00554E19">
        <w:rPr>
          <w:rFonts w:ascii="Arial" w:hAnsi="Arial" w:cs="Arial"/>
        </w:rPr>
        <w:t xml:space="preserve"> in patients admitted to intensive care units and presenting with a healthcare-associated Pseudomonas aeruginosa respiratory tract infection in a reference hospital from Ceará, Brazil. The reduction in the effectiveness of new antimicrobial therapies, such as ceftazidime-avibactam, to treat isolates with enzyme resistance mechanisms is an important warning data for hospital infection and control committees. Therefore, these data reinforce the relevance of nosocomial infections for public health and the constant need to improve and review HAI control and prevention practices in order to improve the care offered to patients.</w:t>
      </w:r>
    </w:p>
    <w:p w14:paraId="0B38984B" w14:textId="77777777" w:rsidR="00554E19" w:rsidRPr="00FB3A86" w:rsidRDefault="00554E19" w:rsidP="00554E19">
      <w:pPr>
        <w:pStyle w:val="Body"/>
        <w:spacing w:after="0"/>
        <w:ind w:firstLine="720"/>
        <w:rPr>
          <w:rFonts w:ascii="Arial" w:hAnsi="Arial" w:cs="Arial"/>
        </w:rPr>
      </w:pPr>
    </w:p>
    <w:p w14:paraId="2EF9A9DD" w14:textId="77777777" w:rsidR="00315186" w:rsidRPr="00315186" w:rsidRDefault="00315186" w:rsidP="00441B6F"/>
    <w:p w14:paraId="3AF6601F" w14:textId="77777777" w:rsidR="00315186" w:rsidRPr="00315186" w:rsidRDefault="00315186" w:rsidP="00441B6F"/>
    <w:p w14:paraId="19EB88E9" w14:textId="77777777" w:rsidR="002E25A4" w:rsidRDefault="002E25A4" w:rsidP="002E25A4">
      <w:pPr>
        <w:pStyle w:val="ReferHead"/>
        <w:spacing w:after="0"/>
        <w:jc w:val="both"/>
        <w:rPr>
          <w:rFonts w:ascii="Arial" w:hAnsi="Arial" w:cs="Arial"/>
          <w:b w:val="0"/>
          <w:caps w:val="0"/>
          <w:sz w:val="20"/>
        </w:rPr>
      </w:pPr>
    </w:p>
    <w:p w14:paraId="526CC051"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11AC55C" w14:textId="77777777" w:rsidR="002B685A" w:rsidRPr="002B685A" w:rsidRDefault="002B685A" w:rsidP="00441B6F">
      <w:pPr>
        <w:pStyle w:val="ReferHead"/>
        <w:spacing w:after="0"/>
        <w:jc w:val="both"/>
        <w:rPr>
          <w:rFonts w:ascii="Arial" w:hAnsi="Arial" w:cs="Arial"/>
          <w:bCs/>
        </w:rPr>
      </w:pPr>
    </w:p>
    <w:p w14:paraId="60947294" w14:textId="4D50ECA6" w:rsidR="001A29D8" w:rsidRDefault="00442065" w:rsidP="00442065">
      <w:pPr>
        <w:pStyle w:val="ReferHead"/>
        <w:spacing w:after="0"/>
        <w:ind w:firstLine="720"/>
        <w:jc w:val="both"/>
        <w:rPr>
          <w:rFonts w:ascii="Arial" w:hAnsi="Arial" w:cs="Arial"/>
          <w:b w:val="0"/>
          <w:caps w:val="0"/>
          <w:sz w:val="20"/>
        </w:rPr>
      </w:pPr>
      <w:r w:rsidRPr="00442065">
        <w:rPr>
          <w:rFonts w:ascii="Arial" w:hAnsi="Arial" w:cs="Arial"/>
          <w:b w:val="0"/>
          <w:caps w:val="0"/>
          <w:sz w:val="20"/>
        </w:rPr>
        <w:t>All authors declare that written informed consent was obtained from the patient (or other approved parties) for publication of this article.</w:t>
      </w:r>
    </w:p>
    <w:p w14:paraId="39FC88AF" w14:textId="77777777" w:rsidR="005C784C" w:rsidRDefault="005C784C" w:rsidP="00441B6F">
      <w:pPr>
        <w:pStyle w:val="ReferHead"/>
        <w:spacing w:after="0"/>
        <w:jc w:val="both"/>
        <w:rPr>
          <w:rFonts w:ascii="Arial" w:hAnsi="Arial" w:cs="Arial"/>
          <w:b w:val="0"/>
          <w:caps w:val="0"/>
          <w:sz w:val="20"/>
        </w:rPr>
      </w:pPr>
    </w:p>
    <w:p w14:paraId="2814712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34594E6" w14:textId="77777777" w:rsidR="005C784C" w:rsidRPr="002B685A" w:rsidRDefault="005C784C" w:rsidP="00441B6F">
      <w:pPr>
        <w:pStyle w:val="ReferHead"/>
        <w:spacing w:after="0"/>
        <w:jc w:val="both"/>
        <w:rPr>
          <w:rFonts w:ascii="Arial" w:hAnsi="Arial" w:cs="Arial"/>
          <w:bCs/>
        </w:rPr>
      </w:pPr>
    </w:p>
    <w:p w14:paraId="3EEE2F3C" w14:textId="1D6E55A2" w:rsidR="0041027F" w:rsidRDefault="00442065" w:rsidP="00442065">
      <w:pPr>
        <w:pStyle w:val="ReferHead"/>
        <w:spacing w:after="0"/>
        <w:ind w:firstLine="720"/>
        <w:jc w:val="both"/>
        <w:rPr>
          <w:rFonts w:ascii="Arial" w:hAnsi="Arial" w:cs="Arial"/>
          <w:b w:val="0"/>
          <w:caps w:val="0"/>
          <w:sz w:val="20"/>
        </w:rPr>
      </w:pPr>
      <w:r w:rsidRPr="00442065">
        <w:rPr>
          <w:rFonts w:ascii="Arial" w:hAnsi="Arial" w:cs="Arial"/>
          <w:b w:val="0"/>
          <w:caps w:val="0"/>
          <w:sz w:val="20"/>
        </w:rPr>
        <w:t xml:space="preserve">This research belongs to an Umbrella Project approved by the Research Ethics Committee of the Federal University of Ceará/Walter </w:t>
      </w:r>
      <w:proofErr w:type="spellStart"/>
      <w:r w:rsidRPr="00442065">
        <w:rPr>
          <w:rFonts w:ascii="Arial" w:hAnsi="Arial" w:cs="Arial"/>
          <w:b w:val="0"/>
          <w:caps w:val="0"/>
          <w:sz w:val="20"/>
        </w:rPr>
        <w:t>Cantídio</w:t>
      </w:r>
      <w:proofErr w:type="spellEnd"/>
      <w:r w:rsidRPr="00442065">
        <w:rPr>
          <w:rFonts w:ascii="Arial" w:hAnsi="Arial" w:cs="Arial"/>
          <w:b w:val="0"/>
          <w:caps w:val="0"/>
          <w:sz w:val="20"/>
        </w:rPr>
        <w:t xml:space="preserve"> University Hospital, according to approval opinion number 3.717.757. The research was developed in accordance with the requirements of Resolution No. 466 of December 12, 2012, of the National Health Council (CNS) of the Ministry of Health, considering the respect for human dignity and the special protection due to participants in scientific research involving human beings.</w:t>
      </w:r>
    </w:p>
    <w:p w14:paraId="71D16A00" w14:textId="77777777" w:rsidR="0039391D" w:rsidRPr="00F469F0" w:rsidRDefault="0039391D" w:rsidP="00442065">
      <w:pPr>
        <w:pStyle w:val="ReferHead"/>
        <w:spacing w:after="0"/>
        <w:ind w:firstLine="720"/>
        <w:jc w:val="both"/>
        <w:rPr>
          <w:rFonts w:ascii="Arial" w:hAnsi="Arial" w:cs="Arial"/>
          <w:b w:val="0"/>
          <w:caps w:val="0"/>
          <w:sz w:val="20"/>
          <w:u w:val="single"/>
        </w:rPr>
      </w:pPr>
    </w:p>
    <w:p w14:paraId="5296DD4C" w14:textId="77777777" w:rsidR="00860000" w:rsidRDefault="00860000" w:rsidP="00441B6F">
      <w:pPr>
        <w:pStyle w:val="ReferHead"/>
        <w:spacing w:after="0"/>
        <w:jc w:val="both"/>
        <w:rPr>
          <w:rFonts w:ascii="Arial" w:hAnsi="Arial" w:cs="Arial"/>
        </w:rPr>
      </w:pPr>
    </w:p>
    <w:p w14:paraId="00B497E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347D51" w14:textId="77777777" w:rsidR="00790ADA" w:rsidRPr="00FB3A86" w:rsidRDefault="00790ADA" w:rsidP="00441B6F">
      <w:pPr>
        <w:pStyle w:val="ReferHead"/>
        <w:spacing w:after="0"/>
        <w:jc w:val="both"/>
        <w:rPr>
          <w:rFonts w:ascii="Arial" w:hAnsi="Arial" w:cs="Arial"/>
        </w:rPr>
      </w:pPr>
    </w:p>
    <w:p w14:paraId="1E1AAFC4" w14:textId="114CAC45" w:rsidR="00442065" w:rsidRPr="00442065" w:rsidRDefault="00442065" w:rsidP="00442065">
      <w:pPr>
        <w:pStyle w:val="Body"/>
        <w:rPr>
          <w:rFonts w:ascii="Arial" w:hAnsi="Arial" w:cs="Arial"/>
        </w:rPr>
      </w:pPr>
      <w:r w:rsidRPr="00442065">
        <w:rPr>
          <w:rFonts w:ascii="Arial" w:hAnsi="Arial" w:cs="Arial"/>
        </w:rPr>
        <w:t>1. Silva JKB, Cabral JR, Monteiro EPG, Cordeiro MFFD, Freire DA, Oliveira RC. Microbiological and clinical profile of health-related infections in a hospital in Pernambuco. Rev. de Fr. Care is Fundamental, v. 13, p. 1277-1282, 2021. DOI: https://doi.org/10.9789/2175-5361.rpcfo.v13.9697</w:t>
      </w:r>
    </w:p>
    <w:p w14:paraId="23DC60DC" w14:textId="468A23DE" w:rsidR="00442065" w:rsidRPr="00442065" w:rsidRDefault="00442065" w:rsidP="00442065">
      <w:pPr>
        <w:pStyle w:val="Body"/>
        <w:rPr>
          <w:rFonts w:ascii="Arial" w:hAnsi="Arial" w:cs="Arial"/>
        </w:rPr>
      </w:pPr>
      <w:r w:rsidRPr="00442065">
        <w:rPr>
          <w:rFonts w:ascii="Arial" w:hAnsi="Arial" w:cs="Arial"/>
        </w:rPr>
        <w:t xml:space="preserve">2. Camargo LKIO, Caretaker MM, </w:t>
      </w:r>
      <w:proofErr w:type="spellStart"/>
      <w:r w:rsidRPr="00442065">
        <w:rPr>
          <w:rFonts w:ascii="Arial" w:hAnsi="Arial" w:cs="Arial"/>
        </w:rPr>
        <w:t>Gagliani</w:t>
      </w:r>
      <w:proofErr w:type="spellEnd"/>
      <w:r w:rsidRPr="00442065">
        <w:rPr>
          <w:rFonts w:ascii="Arial" w:hAnsi="Arial" w:cs="Arial"/>
        </w:rPr>
        <w:t xml:space="preserve"> LH. Review: Analysis of the situation of healthcare-associated infections (HAIs) in Brazil. UNILUS Ensino e Pesquisa, v. 16, n. 45, p. 203-223, 2020.</w:t>
      </w:r>
    </w:p>
    <w:p w14:paraId="426BE6A2" w14:textId="4FFD047D" w:rsidR="00442065" w:rsidRPr="00442065" w:rsidRDefault="00442065" w:rsidP="00442065">
      <w:pPr>
        <w:pStyle w:val="Body"/>
        <w:rPr>
          <w:rFonts w:ascii="Arial" w:hAnsi="Arial" w:cs="Arial"/>
        </w:rPr>
      </w:pPr>
      <w:r w:rsidRPr="00442065">
        <w:rPr>
          <w:rFonts w:ascii="Arial" w:hAnsi="Arial" w:cs="Arial"/>
        </w:rPr>
        <w:t xml:space="preserve">3. OMS. </w:t>
      </w:r>
      <w:proofErr w:type="spellStart"/>
      <w:r w:rsidRPr="00442065">
        <w:rPr>
          <w:rFonts w:ascii="Arial" w:hAnsi="Arial" w:cs="Arial"/>
        </w:rPr>
        <w:t>Organização</w:t>
      </w:r>
      <w:proofErr w:type="spellEnd"/>
      <w:r w:rsidRPr="00442065">
        <w:rPr>
          <w:rFonts w:ascii="Arial" w:hAnsi="Arial" w:cs="Arial"/>
        </w:rPr>
        <w:t xml:space="preserve"> Mundial da </w:t>
      </w:r>
      <w:proofErr w:type="spellStart"/>
      <w:r w:rsidRPr="00442065">
        <w:rPr>
          <w:rFonts w:ascii="Arial" w:hAnsi="Arial" w:cs="Arial"/>
        </w:rPr>
        <w:t>Saúde</w:t>
      </w:r>
      <w:proofErr w:type="spellEnd"/>
      <w:r w:rsidRPr="00442065">
        <w:rPr>
          <w:rFonts w:ascii="Arial" w:hAnsi="Arial" w:cs="Arial"/>
        </w:rPr>
        <w:t>. Global report on infection prevention and control: executive summary. Geneva: World Health Organization; 2022.</w:t>
      </w:r>
    </w:p>
    <w:p w14:paraId="66145503" w14:textId="5D2E30F4" w:rsidR="00442065" w:rsidRPr="00442065" w:rsidRDefault="00442065" w:rsidP="00442065">
      <w:pPr>
        <w:pStyle w:val="Body"/>
        <w:rPr>
          <w:rFonts w:ascii="Arial" w:hAnsi="Arial" w:cs="Arial"/>
        </w:rPr>
      </w:pPr>
      <w:r w:rsidRPr="00442065">
        <w:rPr>
          <w:rFonts w:ascii="Arial" w:hAnsi="Arial" w:cs="Arial"/>
        </w:rPr>
        <w:t>4. Silva LS, Leite CA, Simões MRL, Azevedo DSS. Profile of healthcare-associated infections in an intensive care unit in Minas Gerais. Rev. of Epidemiology and Infection Control, v. 9, n. 4, p. 264-269, 2019.</w:t>
      </w:r>
    </w:p>
    <w:p w14:paraId="7D7D6430" w14:textId="09705665" w:rsidR="00442065" w:rsidRPr="00442065" w:rsidRDefault="00442065" w:rsidP="00442065">
      <w:pPr>
        <w:pStyle w:val="Body"/>
        <w:rPr>
          <w:rFonts w:ascii="Arial" w:hAnsi="Arial" w:cs="Arial"/>
        </w:rPr>
      </w:pPr>
      <w:r w:rsidRPr="00442065">
        <w:rPr>
          <w:rFonts w:ascii="Arial" w:hAnsi="Arial" w:cs="Arial"/>
        </w:rPr>
        <w:t xml:space="preserve">5. </w:t>
      </w:r>
      <w:proofErr w:type="spellStart"/>
      <w:r w:rsidRPr="00442065">
        <w:rPr>
          <w:rFonts w:ascii="Arial" w:hAnsi="Arial" w:cs="Arial"/>
        </w:rPr>
        <w:t>Abushaheen</w:t>
      </w:r>
      <w:proofErr w:type="spellEnd"/>
      <w:r w:rsidRPr="00442065">
        <w:rPr>
          <w:rFonts w:ascii="Arial" w:hAnsi="Arial" w:cs="Arial"/>
        </w:rPr>
        <w:t xml:space="preserve"> MA et al. </w:t>
      </w:r>
      <w:proofErr w:type="gramStart"/>
      <w:r w:rsidRPr="00442065">
        <w:rPr>
          <w:rFonts w:ascii="Arial" w:hAnsi="Arial" w:cs="Arial"/>
        </w:rPr>
        <w:t>Antimicrobial</w:t>
      </w:r>
      <w:proofErr w:type="gramEnd"/>
      <w:r w:rsidRPr="00442065">
        <w:rPr>
          <w:rFonts w:ascii="Arial" w:hAnsi="Arial" w:cs="Arial"/>
        </w:rPr>
        <w:t xml:space="preserve"> resistance, mechanisms and its clinical significance. Disease-a-Month, v. 66, n. 6, 2020. DOI: https://doi.org/10.1016/j.disamonth.2020.100971</w:t>
      </w:r>
    </w:p>
    <w:p w14:paraId="268D1BD0" w14:textId="4503B3AB" w:rsidR="00442065" w:rsidRPr="00442065" w:rsidRDefault="00442065" w:rsidP="00442065">
      <w:pPr>
        <w:pStyle w:val="Body"/>
        <w:rPr>
          <w:rFonts w:ascii="Arial" w:hAnsi="Arial" w:cs="Arial"/>
        </w:rPr>
      </w:pPr>
      <w:r w:rsidRPr="00442065">
        <w:rPr>
          <w:rFonts w:ascii="Arial" w:hAnsi="Arial" w:cs="Arial"/>
        </w:rPr>
        <w:t>6. Batista WS et al. Microbiological profile of patients hospitalized in the intensive care unit of a public hospital in Baixada Maranhão. Research, Society and Development, v. 11, n. 11, 2022. DOI: https://doi.org/10.33448/rsd-v11i11.33883</w:t>
      </w:r>
    </w:p>
    <w:p w14:paraId="174F7F16" w14:textId="5EBBBD74" w:rsidR="00442065" w:rsidRPr="00442065" w:rsidRDefault="00442065" w:rsidP="00442065">
      <w:pPr>
        <w:pStyle w:val="Body"/>
        <w:rPr>
          <w:rFonts w:ascii="Arial" w:hAnsi="Arial" w:cs="Arial"/>
        </w:rPr>
      </w:pPr>
      <w:r w:rsidRPr="00442065">
        <w:rPr>
          <w:rFonts w:ascii="Arial" w:hAnsi="Arial" w:cs="Arial"/>
        </w:rPr>
        <w:t>7. Diggle SP, Whiteley M. Microbe Profile: Pseudomonas aeruginosa: opportunistic pathogen and lab rat. Microbiology, v. 166, n. 1, p. 30, 2020. DOI: https://doi.org/10.1099/mic.0.00086</w:t>
      </w:r>
    </w:p>
    <w:p w14:paraId="124BE0DC" w14:textId="41AAB8B1" w:rsidR="00442065" w:rsidRPr="00442065" w:rsidRDefault="00442065" w:rsidP="00442065">
      <w:pPr>
        <w:pStyle w:val="Body"/>
        <w:rPr>
          <w:rFonts w:ascii="Arial" w:hAnsi="Arial" w:cs="Arial"/>
        </w:rPr>
      </w:pPr>
      <w:r w:rsidRPr="00442065">
        <w:rPr>
          <w:rFonts w:ascii="Arial" w:hAnsi="Arial" w:cs="Arial"/>
        </w:rPr>
        <w:t xml:space="preserve">8. Qin S et al. Pseudomonas aeruginosa: pathogenesis, virulence factors, antibiotic resistance, interaction with host, technology advances and emerging therapeutics. Sig </w:t>
      </w:r>
      <w:proofErr w:type="spellStart"/>
      <w:r w:rsidRPr="00442065">
        <w:rPr>
          <w:rFonts w:ascii="Arial" w:hAnsi="Arial" w:cs="Arial"/>
        </w:rPr>
        <w:t>Transduct</w:t>
      </w:r>
      <w:proofErr w:type="spellEnd"/>
      <w:r w:rsidRPr="00442065">
        <w:rPr>
          <w:rFonts w:ascii="Arial" w:hAnsi="Arial" w:cs="Arial"/>
        </w:rPr>
        <w:t xml:space="preserve"> Target Ther, v. 7, n. 199, 2022. DOI: https://doi.org/10.1038/s41392-022-01056-1</w:t>
      </w:r>
    </w:p>
    <w:p w14:paraId="4483B42A" w14:textId="45FE66AF" w:rsidR="00442065" w:rsidRPr="00442065" w:rsidRDefault="00442065" w:rsidP="00442065">
      <w:pPr>
        <w:pStyle w:val="Body"/>
        <w:rPr>
          <w:rFonts w:ascii="Arial" w:hAnsi="Arial" w:cs="Arial"/>
        </w:rPr>
      </w:pPr>
      <w:r w:rsidRPr="00442065">
        <w:rPr>
          <w:rFonts w:ascii="Arial" w:hAnsi="Arial" w:cs="Arial"/>
        </w:rPr>
        <w:t>9. Dalmolin J et al. Mechanisms of expression of antibiotic resistance and public health. UNIPAR Health Sciences Archives, v. 26, n. 3, 2022. DOI: https://doi.org/10.25110/arqsaude.v26i3.2022.8851</w:t>
      </w:r>
    </w:p>
    <w:p w14:paraId="1DEE9D50" w14:textId="6C80C55A" w:rsidR="00442065" w:rsidRPr="00442065" w:rsidRDefault="00442065" w:rsidP="00442065">
      <w:pPr>
        <w:pStyle w:val="Body"/>
        <w:rPr>
          <w:rFonts w:ascii="Arial" w:hAnsi="Arial" w:cs="Arial"/>
        </w:rPr>
      </w:pPr>
      <w:r w:rsidRPr="00442065">
        <w:rPr>
          <w:rFonts w:ascii="Arial" w:hAnsi="Arial" w:cs="Arial"/>
        </w:rPr>
        <w:lastRenderedPageBreak/>
        <w:t>10. Boyd SE, Livermore DM, Hooper DC, Hope WW. Metallo-β-lactamases: structure, function, epidemiology, treatment options, and the development pipeline. Antimicrobial agents and chemotherapy, v. 64, n. 10, 2020. DOI: https://doi.org/10.1128/aac.00397-20</w:t>
      </w:r>
    </w:p>
    <w:p w14:paraId="6E6CA769" w14:textId="253707E8" w:rsidR="00442065" w:rsidRPr="00442065" w:rsidRDefault="00442065" w:rsidP="00442065">
      <w:pPr>
        <w:pStyle w:val="Body"/>
        <w:rPr>
          <w:rFonts w:ascii="Arial" w:hAnsi="Arial" w:cs="Arial"/>
        </w:rPr>
      </w:pPr>
      <w:r w:rsidRPr="00442065">
        <w:rPr>
          <w:rFonts w:ascii="Arial" w:hAnsi="Arial" w:cs="Arial"/>
        </w:rPr>
        <w:t>11. Yang X, Lai Y, Li C, Yang J, Jia M, Sheng J. Molecular epidemiology of Pseudomonas aeruginosa isolated in patients with lower respiratory tract infections admitted to the ICU. Brazilian Journal of Biology, v. 81, p. 351-360, 2020. DOI: https://doi.org/10.1590/1519-6984.226309</w:t>
      </w:r>
    </w:p>
    <w:p w14:paraId="37EDA278" w14:textId="18EC6AA7" w:rsidR="00442065" w:rsidRPr="00442065" w:rsidRDefault="00442065" w:rsidP="00442065">
      <w:pPr>
        <w:pStyle w:val="Body"/>
        <w:rPr>
          <w:rFonts w:ascii="Arial" w:hAnsi="Arial" w:cs="Arial"/>
        </w:rPr>
      </w:pPr>
      <w:r w:rsidRPr="00442065">
        <w:rPr>
          <w:rFonts w:ascii="Arial" w:hAnsi="Arial" w:cs="Arial"/>
        </w:rPr>
        <w:t xml:space="preserve">12. </w:t>
      </w:r>
      <w:proofErr w:type="spellStart"/>
      <w:r w:rsidRPr="00442065">
        <w:rPr>
          <w:rFonts w:ascii="Arial" w:hAnsi="Arial" w:cs="Arial"/>
        </w:rPr>
        <w:t>Nangino</w:t>
      </w:r>
      <w:proofErr w:type="spellEnd"/>
      <w:r w:rsidRPr="00442065">
        <w:rPr>
          <w:rFonts w:ascii="Arial" w:hAnsi="Arial" w:cs="Arial"/>
        </w:rPr>
        <w:t xml:space="preserve"> GO, Oliveira CD, Correia PC, Machado NM, Dias ATB. Financial impact of nosocomial infections in intensive care units of a philanthropic hospital in Minas Gerais. Rev. Bras. de </w:t>
      </w:r>
      <w:proofErr w:type="spellStart"/>
      <w:r w:rsidRPr="00442065">
        <w:rPr>
          <w:rFonts w:ascii="Arial" w:hAnsi="Arial" w:cs="Arial"/>
        </w:rPr>
        <w:t>Terapia</w:t>
      </w:r>
      <w:proofErr w:type="spellEnd"/>
      <w:r w:rsidRPr="00442065">
        <w:rPr>
          <w:rFonts w:ascii="Arial" w:hAnsi="Arial" w:cs="Arial"/>
        </w:rPr>
        <w:t xml:space="preserve"> </w:t>
      </w:r>
      <w:proofErr w:type="spellStart"/>
      <w:r w:rsidRPr="00442065">
        <w:rPr>
          <w:rFonts w:ascii="Arial" w:hAnsi="Arial" w:cs="Arial"/>
        </w:rPr>
        <w:t>Intensiva</w:t>
      </w:r>
      <w:proofErr w:type="spellEnd"/>
      <w:r w:rsidRPr="00442065">
        <w:rPr>
          <w:rFonts w:ascii="Arial" w:hAnsi="Arial" w:cs="Arial"/>
        </w:rPr>
        <w:t>, v. 24, p. 357-361, 2012. DOI: https://doi.org/10.1590/S0103-507X2012000400011</w:t>
      </w:r>
    </w:p>
    <w:p w14:paraId="3DBBCDEC" w14:textId="0E3A7845" w:rsidR="00442065" w:rsidRPr="00442065" w:rsidRDefault="00442065" w:rsidP="00442065">
      <w:pPr>
        <w:pStyle w:val="Body"/>
        <w:rPr>
          <w:rFonts w:ascii="Arial" w:hAnsi="Arial" w:cs="Arial"/>
        </w:rPr>
      </w:pPr>
      <w:r w:rsidRPr="00442065">
        <w:rPr>
          <w:rFonts w:ascii="Arial" w:hAnsi="Arial" w:cs="Arial"/>
        </w:rPr>
        <w:t xml:space="preserve">13. Bassetti M, Vena A, </w:t>
      </w:r>
      <w:proofErr w:type="spellStart"/>
      <w:r w:rsidRPr="00442065">
        <w:rPr>
          <w:rFonts w:ascii="Arial" w:hAnsi="Arial" w:cs="Arial"/>
        </w:rPr>
        <w:t>Croxatto</w:t>
      </w:r>
      <w:proofErr w:type="spellEnd"/>
      <w:r w:rsidRPr="00442065">
        <w:rPr>
          <w:rFonts w:ascii="Arial" w:hAnsi="Arial" w:cs="Arial"/>
        </w:rPr>
        <w:t xml:space="preserve"> A, Righi E, </w:t>
      </w:r>
      <w:proofErr w:type="spellStart"/>
      <w:r w:rsidRPr="00442065">
        <w:rPr>
          <w:rFonts w:ascii="Arial" w:hAnsi="Arial" w:cs="Arial"/>
        </w:rPr>
        <w:t>Guery</w:t>
      </w:r>
      <w:proofErr w:type="spellEnd"/>
      <w:r w:rsidRPr="00442065">
        <w:rPr>
          <w:rFonts w:ascii="Arial" w:hAnsi="Arial" w:cs="Arial"/>
        </w:rPr>
        <w:t xml:space="preserve"> B. How to manage Pseudomonas aeruginosa infections. Drugs in context, v. 7, 2018. DOI: https://doi.org/10.7573/dic.212527</w:t>
      </w:r>
    </w:p>
    <w:p w14:paraId="377813BC" w14:textId="487C3378" w:rsidR="00442065" w:rsidRPr="00442065" w:rsidRDefault="00442065" w:rsidP="00442065">
      <w:pPr>
        <w:pStyle w:val="Body"/>
        <w:rPr>
          <w:rFonts w:ascii="Arial" w:hAnsi="Arial" w:cs="Arial"/>
        </w:rPr>
      </w:pPr>
      <w:r w:rsidRPr="00442065">
        <w:rPr>
          <w:rFonts w:ascii="Arial" w:hAnsi="Arial" w:cs="Arial"/>
        </w:rPr>
        <w:t xml:space="preserve">14. Bastos IDM et al. Bacterial profile of microbiological samples from patients admitted to the Surgical Clinic of a University Hospital in Pernambuco. VITTALLE - Rev. de </w:t>
      </w:r>
      <w:proofErr w:type="spellStart"/>
      <w:r w:rsidRPr="00442065">
        <w:rPr>
          <w:rFonts w:ascii="Arial" w:hAnsi="Arial" w:cs="Arial"/>
        </w:rPr>
        <w:t>Ciências</w:t>
      </w:r>
      <w:proofErr w:type="spellEnd"/>
      <w:r w:rsidRPr="00442065">
        <w:rPr>
          <w:rFonts w:ascii="Arial" w:hAnsi="Arial" w:cs="Arial"/>
        </w:rPr>
        <w:t xml:space="preserve"> da </w:t>
      </w:r>
      <w:proofErr w:type="spellStart"/>
      <w:r w:rsidRPr="00442065">
        <w:rPr>
          <w:rFonts w:ascii="Arial" w:hAnsi="Arial" w:cs="Arial"/>
        </w:rPr>
        <w:t>Saúde</w:t>
      </w:r>
      <w:proofErr w:type="spellEnd"/>
      <w:r w:rsidRPr="00442065">
        <w:rPr>
          <w:rFonts w:ascii="Arial" w:hAnsi="Arial" w:cs="Arial"/>
        </w:rPr>
        <w:t>, v. 32, n. 1, p. 108-121, 2020.</w:t>
      </w:r>
    </w:p>
    <w:p w14:paraId="71AF37ED" w14:textId="50ABE41E" w:rsidR="00442065" w:rsidRPr="00442065" w:rsidRDefault="00442065" w:rsidP="00442065">
      <w:pPr>
        <w:pStyle w:val="Body"/>
        <w:rPr>
          <w:rFonts w:ascii="Arial" w:hAnsi="Arial" w:cs="Arial"/>
        </w:rPr>
      </w:pPr>
      <w:r w:rsidRPr="00442065">
        <w:rPr>
          <w:rFonts w:ascii="Arial" w:hAnsi="Arial" w:cs="Arial"/>
        </w:rPr>
        <w:t>15. Dias MLS, Molinaro CGS, Aragão LCM, Lima EM, Correal JCD. Comparative analysis of bacterial resistance of bacteremia-causing microorganisms in critically ill patients in the pre-pandemic and COVID-19 periods in a private tertiary hospital in Rio de Janeiro. The Brazilian Journal of Infectious Diseases, v. 26, p. 102227, 2022. DOI: https://doi.org/10.1016/j.bjid.2021.102227</w:t>
      </w:r>
    </w:p>
    <w:p w14:paraId="538980A8" w14:textId="04D56BD9" w:rsidR="00442065" w:rsidRPr="00442065" w:rsidRDefault="00442065" w:rsidP="00442065">
      <w:pPr>
        <w:pStyle w:val="Body"/>
        <w:rPr>
          <w:rFonts w:ascii="Arial" w:hAnsi="Arial" w:cs="Arial"/>
        </w:rPr>
      </w:pPr>
      <w:r w:rsidRPr="00442065">
        <w:rPr>
          <w:rFonts w:ascii="Arial" w:hAnsi="Arial" w:cs="Arial"/>
        </w:rPr>
        <w:t>16. Soriano A, Carmeli Y, Omrani A, Moore LSP, Tawadrous M, Irani P. Ceftazidime-avibactam for the treatment of serious Gram-negative infections with limited treatment options: a systematic literature review. Infectious diseases and therapy, v. 10, p. 1989-2034, 2021. DOI: https://doi.org/10.1007/s40121-021-00507-6</w:t>
      </w:r>
    </w:p>
    <w:p w14:paraId="38B97AC7" w14:textId="79243BFD" w:rsidR="00442065" w:rsidRPr="00442065" w:rsidRDefault="00442065" w:rsidP="00442065">
      <w:pPr>
        <w:pStyle w:val="Body"/>
        <w:rPr>
          <w:rFonts w:ascii="Arial" w:hAnsi="Arial" w:cs="Arial"/>
        </w:rPr>
      </w:pPr>
      <w:r w:rsidRPr="00442065">
        <w:rPr>
          <w:rFonts w:ascii="Arial" w:hAnsi="Arial" w:cs="Arial"/>
        </w:rPr>
        <w:t xml:space="preserve">17. </w:t>
      </w:r>
      <w:proofErr w:type="spellStart"/>
      <w:r w:rsidRPr="00442065">
        <w:rPr>
          <w:rFonts w:ascii="Arial" w:hAnsi="Arial" w:cs="Arial"/>
        </w:rPr>
        <w:t>Santevecchi</w:t>
      </w:r>
      <w:proofErr w:type="spellEnd"/>
      <w:r w:rsidRPr="00442065">
        <w:rPr>
          <w:rFonts w:ascii="Arial" w:hAnsi="Arial" w:cs="Arial"/>
        </w:rPr>
        <w:t xml:space="preserve"> BA, Smith TT, </w:t>
      </w:r>
      <w:proofErr w:type="spellStart"/>
      <w:r w:rsidRPr="00442065">
        <w:rPr>
          <w:rFonts w:ascii="Arial" w:hAnsi="Arial" w:cs="Arial"/>
        </w:rPr>
        <w:t>Macvane</w:t>
      </w:r>
      <w:proofErr w:type="spellEnd"/>
      <w:r w:rsidRPr="00442065">
        <w:rPr>
          <w:rFonts w:ascii="Arial" w:hAnsi="Arial" w:cs="Arial"/>
        </w:rPr>
        <w:t xml:space="preserve"> SH. Clinical experience with ceftazidime/avibactam for treatment of antibiotic-resistant organisms other than Klebsiella pneumoniae. International journal of antimicrobial agents, v. 51, n. 4, p. 629-635, 2018. DOI: https://doi.org/10.1016/j.ijantimicag.2018.01.016</w:t>
      </w:r>
    </w:p>
    <w:p w14:paraId="4C829EE5" w14:textId="60B3452B" w:rsidR="00442065" w:rsidRPr="00442065" w:rsidRDefault="00442065" w:rsidP="00442065">
      <w:pPr>
        <w:pStyle w:val="Body"/>
        <w:rPr>
          <w:rFonts w:ascii="Arial" w:hAnsi="Arial" w:cs="Arial"/>
        </w:rPr>
      </w:pPr>
      <w:r w:rsidRPr="00442065">
        <w:rPr>
          <w:rFonts w:ascii="Arial" w:hAnsi="Arial" w:cs="Arial"/>
        </w:rPr>
        <w:t xml:space="preserve">18. </w:t>
      </w:r>
      <w:proofErr w:type="spellStart"/>
      <w:r w:rsidRPr="00442065">
        <w:rPr>
          <w:rFonts w:ascii="Arial" w:hAnsi="Arial" w:cs="Arial"/>
        </w:rPr>
        <w:t>Tenover</w:t>
      </w:r>
      <w:proofErr w:type="spellEnd"/>
      <w:r w:rsidRPr="00442065">
        <w:rPr>
          <w:rFonts w:ascii="Arial" w:hAnsi="Arial" w:cs="Arial"/>
        </w:rPr>
        <w:t xml:space="preserve"> FC, Nicolau DP, Gill CM. Carbapenemase-producing Pseudomonas aeruginosa–an emerging challenge. Emerging microbes &amp; infections, v. 11, n. 1, p. 811-814, 2022. DOI: https://doi.org/10.1080/22221751.2022.2048972</w:t>
      </w:r>
    </w:p>
    <w:p w14:paraId="60BDBAF2" w14:textId="1A31A577" w:rsidR="00442065" w:rsidRPr="00442065" w:rsidRDefault="00442065" w:rsidP="00442065">
      <w:pPr>
        <w:pStyle w:val="Body"/>
        <w:rPr>
          <w:rFonts w:ascii="Arial" w:hAnsi="Arial" w:cs="Arial"/>
        </w:rPr>
      </w:pPr>
      <w:r w:rsidRPr="00442065">
        <w:rPr>
          <w:rFonts w:ascii="Arial" w:hAnsi="Arial" w:cs="Arial"/>
        </w:rPr>
        <w:t xml:space="preserve">19. Yoon EJ, Jeong SH. Mobile </w:t>
      </w:r>
      <w:proofErr w:type="spellStart"/>
      <w:r w:rsidRPr="00442065">
        <w:rPr>
          <w:rFonts w:ascii="Arial" w:hAnsi="Arial" w:cs="Arial"/>
        </w:rPr>
        <w:t>carbapenemase</w:t>
      </w:r>
      <w:proofErr w:type="spellEnd"/>
      <w:r w:rsidRPr="00442065">
        <w:rPr>
          <w:rFonts w:ascii="Arial" w:hAnsi="Arial" w:cs="Arial"/>
        </w:rPr>
        <w:t xml:space="preserve"> genes in Pseudomonas aeruginosa. Frontiers in microbiology, v. 12, p. 614058, 2021. DOI: https://doi.org/10.3389/fmicb.2021.614058</w:t>
      </w:r>
    </w:p>
    <w:p w14:paraId="14AF243E" w14:textId="521BF471" w:rsidR="00442065" w:rsidRPr="00442065" w:rsidRDefault="00442065" w:rsidP="00442065">
      <w:pPr>
        <w:pStyle w:val="Body"/>
        <w:rPr>
          <w:rFonts w:ascii="Arial" w:hAnsi="Arial" w:cs="Arial"/>
        </w:rPr>
      </w:pPr>
      <w:r w:rsidRPr="00442065">
        <w:rPr>
          <w:rFonts w:ascii="Arial" w:hAnsi="Arial" w:cs="Arial"/>
        </w:rPr>
        <w:t xml:space="preserve">20. Bella BD et al. Resistance to ceftazidime/avibactam in infections and </w:t>
      </w:r>
      <w:proofErr w:type="spellStart"/>
      <w:r w:rsidRPr="00442065">
        <w:rPr>
          <w:rFonts w:ascii="Arial" w:hAnsi="Arial" w:cs="Arial"/>
        </w:rPr>
        <w:t>colonisations</w:t>
      </w:r>
      <w:proofErr w:type="spellEnd"/>
      <w:r w:rsidRPr="00442065">
        <w:rPr>
          <w:rFonts w:ascii="Arial" w:hAnsi="Arial" w:cs="Arial"/>
        </w:rPr>
        <w:t xml:space="preserve"> by KPC-producing </w:t>
      </w:r>
      <w:proofErr w:type="spellStart"/>
      <w:r w:rsidRPr="00442065">
        <w:rPr>
          <w:rFonts w:ascii="Arial" w:hAnsi="Arial" w:cs="Arial"/>
        </w:rPr>
        <w:t>Enterobacterales</w:t>
      </w:r>
      <w:proofErr w:type="spellEnd"/>
      <w:r w:rsidRPr="00442065">
        <w:rPr>
          <w:rFonts w:ascii="Arial" w:hAnsi="Arial" w:cs="Arial"/>
        </w:rPr>
        <w:t>: a systematic review of observational clinical studies. Journal of Global Antimicrobial Resistance, v. 25, p. 268-281, 2021. DOI: https://doi.org/10.1016/j.jgar.2021.04.001</w:t>
      </w:r>
    </w:p>
    <w:p w14:paraId="2019D60A" w14:textId="350C96A1" w:rsidR="00442065" w:rsidRPr="00442065" w:rsidRDefault="00442065" w:rsidP="00442065">
      <w:pPr>
        <w:pStyle w:val="Body"/>
        <w:rPr>
          <w:rFonts w:ascii="Arial" w:hAnsi="Arial" w:cs="Arial"/>
        </w:rPr>
      </w:pPr>
      <w:r w:rsidRPr="00F1757B">
        <w:rPr>
          <w:rFonts w:ascii="Arial" w:hAnsi="Arial" w:cs="Arial"/>
          <w:lang w:val="de-DE"/>
        </w:rPr>
        <w:t xml:space="preserve">21. Fujitani S, Sun HY, Yu VL, Weingarten JA. </w:t>
      </w:r>
      <w:r w:rsidRPr="00442065">
        <w:rPr>
          <w:rFonts w:ascii="Arial" w:hAnsi="Arial" w:cs="Arial"/>
        </w:rPr>
        <w:t>Pneumonia due to Pseudomonas aeruginosa: part I: epidemiology, clinical diagnosis, and source. Chest, v. 139, n. 4, p. 909-919, 2011. DOI: https://doi.org/10.1378/chest.10-0166</w:t>
      </w:r>
    </w:p>
    <w:p w14:paraId="0042C09C" w14:textId="42CB95BF" w:rsidR="00442065" w:rsidRPr="00442065" w:rsidRDefault="00442065" w:rsidP="00442065">
      <w:pPr>
        <w:pStyle w:val="Body"/>
        <w:rPr>
          <w:rFonts w:ascii="Arial" w:hAnsi="Arial" w:cs="Arial"/>
        </w:rPr>
      </w:pPr>
      <w:r w:rsidRPr="00442065">
        <w:rPr>
          <w:rFonts w:ascii="Arial" w:hAnsi="Arial" w:cs="Arial"/>
        </w:rPr>
        <w:lastRenderedPageBreak/>
        <w:t xml:space="preserve">22. </w:t>
      </w:r>
      <w:proofErr w:type="spellStart"/>
      <w:r w:rsidRPr="00442065">
        <w:rPr>
          <w:rFonts w:ascii="Arial" w:hAnsi="Arial" w:cs="Arial"/>
        </w:rPr>
        <w:t>Garbuio</w:t>
      </w:r>
      <w:proofErr w:type="spellEnd"/>
      <w:r w:rsidRPr="00442065">
        <w:rPr>
          <w:rFonts w:ascii="Arial" w:hAnsi="Arial" w:cs="Arial"/>
        </w:rPr>
        <w:t xml:space="preserve"> DC, </w:t>
      </w:r>
      <w:proofErr w:type="spellStart"/>
      <w:r w:rsidRPr="00442065">
        <w:rPr>
          <w:rFonts w:ascii="Arial" w:hAnsi="Arial" w:cs="Arial"/>
        </w:rPr>
        <w:t>Baldavia</w:t>
      </w:r>
      <w:proofErr w:type="spellEnd"/>
      <w:r w:rsidRPr="00442065">
        <w:rPr>
          <w:rFonts w:ascii="Arial" w:hAnsi="Arial" w:cs="Arial"/>
        </w:rPr>
        <w:t xml:space="preserve"> NE, Silva RB, Lino AA. Characterization of healthcare-associated infections in an adult intensive care unit. Rev. of Epidemiology and Infection Control, v. 12, n. 1, 24 May 2022. DOI: https://doi.org/10.17058/reci.v12i1.16471</w:t>
      </w:r>
    </w:p>
    <w:p w14:paraId="6187CA6A" w14:textId="2BE06175" w:rsidR="00441B6F" w:rsidRDefault="00442065" w:rsidP="00442065">
      <w:pPr>
        <w:pStyle w:val="Body"/>
        <w:spacing w:after="0"/>
      </w:pPr>
      <w:r w:rsidRPr="00442065">
        <w:rPr>
          <w:rFonts w:ascii="Arial" w:hAnsi="Arial" w:cs="Arial"/>
        </w:rPr>
        <w:t>23. Alvares FA, Oliveira CS, Alves DCI, Braun G. Ventilator-associated pneumonia: incidence, microbial etiology, and antimicrobial resistance profile. Rev. of Epidemiology and Infection Control, v. 11, n. 4, 29 mar. 2022. DOI: https://doi.org/10.17058/reci.v11i4.16781</w:t>
      </w:r>
    </w:p>
    <w:p w14:paraId="72CC526F" w14:textId="2E786027" w:rsidR="004D4277" w:rsidRPr="00FB3A86" w:rsidRDefault="004D4277" w:rsidP="00441B6F">
      <w:pPr>
        <w:pStyle w:val="Appendix"/>
        <w:spacing w:after="0"/>
        <w:jc w:val="both"/>
        <w:rPr>
          <w:rFonts w:ascii="Arial" w:hAnsi="Arial" w:cs="Arial"/>
          <w:b w:val="0"/>
        </w:rPr>
        <w:sectPr w:rsidR="004D4277" w:rsidRPr="00FB3A86" w:rsidSect="00F1757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383681C" w14:textId="77777777" w:rsidR="00B01FCD" w:rsidRPr="00FB3A86" w:rsidRDefault="00B01FCD" w:rsidP="00441B6F">
      <w:pPr>
        <w:pStyle w:val="Appendix"/>
        <w:spacing w:after="0"/>
        <w:jc w:val="both"/>
        <w:rPr>
          <w:rFonts w:ascii="Arial" w:hAnsi="Arial" w:cs="Arial"/>
          <w:b w:val="0"/>
        </w:rPr>
      </w:pPr>
    </w:p>
    <w:sectPr w:rsidR="00B01FCD" w:rsidRPr="00FB3A86" w:rsidSect="00F175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00B7A" w14:textId="77777777" w:rsidR="00FA075A" w:rsidRDefault="00FA075A" w:rsidP="00C37E61">
      <w:r>
        <w:separator/>
      </w:r>
    </w:p>
  </w:endnote>
  <w:endnote w:type="continuationSeparator" w:id="0">
    <w:p w14:paraId="5D89C00A" w14:textId="77777777" w:rsidR="00FA075A" w:rsidRDefault="00FA07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B716" w14:textId="77777777" w:rsidR="00F1757B" w:rsidRDefault="00F17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BBC04" w14:textId="77777777" w:rsidR="00F1757B" w:rsidRDefault="00F17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25297" w14:textId="77777777" w:rsidR="009E048A" w:rsidRDefault="009E048A">
    <w:pPr>
      <w:pStyle w:val="Footer"/>
      <w:rPr>
        <w:rFonts w:ascii="Arial" w:hAnsi="Arial" w:cs="Arial"/>
        <w:sz w:val="16"/>
      </w:rPr>
    </w:pPr>
  </w:p>
  <w:p w14:paraId="58B72D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6C3987" w14:textId="77777777" w:rsidR="009E048A" w:rsidRDefault="009E048A">
    <w:pPr>
      <w:pStyle w:val="Footer"/>
      <w:rPr>
        <w:rFonts w:ascii="Arial" w:hAnsi="Arial" w:cs="Arial"/>
        <w:sz w:val="16"/>
      </w:rPr>
    </w:pPr>
  </w:p>
  <w:p w14:paraId="00E791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19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47D06" w14:textId="77777777" w:rsidR="00FA075A" w:rsidRDefault="00FA075A" w:rsidP="00C37E61">
      <w:r>
        <w:separator/>
      </w:r>
    </w:p>
  </w:footnote>
  <w:footnote w:type="continuationSeparator" w:id="0">
    <w:p w14:paraId="1679FB34" w14:textId="77777777" w:rsidR="00FA075A" w:rsidRDefault="00FA07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0A962" w14:textId="4AFF3D97" w:rsidR="00F1757B" w:rsidRDefault="00F1757B">
    <w:pPr>
      <w:pStyle w:val="Header"/>
    </w:pPr>
    <w:r>
      <w:rPr>
        <w:noProof/>
      </w:rPr>
      <w:pict w14:anchorId="3E90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061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2D859" w14:textId="66C3464B" w:rsidR="00F1757B" w:rsidRDefault="00F1757B">
    <w:pPr>
      <w:pStyle w:val="Header"/>
    </w:pPr>
    <w:r>
      <w:rPr>
        <w:noProof/>
      </w:rPr>
      <w:pict w14:anchorId="29777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061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B68E" w14:textId="1359C0AB" w:rsidR="00296529" w:rsidRPr="00296529" w:rsidRDefault="00F1757B" w:rsidP="00296529">
    <w:pPr>
      <w:ind w:left="2160"/>
      <w:jc w:val="center"/>
      <w:rPr>
        <w:rFonts w:ascii="Times New Roman" w:eastAsia="Calibri" w:hAnsi="Times New Roman"/>
        <w:i/>
        <w:sz w:val="18"/>
        <w:szCs w:val="22"/>
      </w:rPr>
    </w:pPr>
    <w:r>
      <w:rPr>
        <w:noProof/>
      </w:rPr>
      <w:pict w14:anchorId="45FC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061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F6382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D536D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A4B3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763D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156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3F5F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89977" w14:textId="2F5242DA" w:rsidR="00F1757B" w:rsidRDefault="00F1757B">
    <w:pPr>
      <w:pStyle w:val="Header"/>
    </w:pPr>
    <w:r>
      <w:rPr>
        <w:noProof/>
      </w:rPr>
      <w:pict w14:anchorId="5EAD0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061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987D" w14:textId="7866ECE6" w:rsidR="00F1757B" w:rsidRDefault="00F1757B">
    <w:pPr>
      <w:pStyle w:val="Header"/>
    </w:pPr>
    <w:r>
      <w:rPr>
        <w:noProof/>
      </w:rPr>
      <w:pict w14:anchorId="2B445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061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3CF3" w14:textId="05EE1E49" w:rsidR="00F1757B" w:rsidRDefault="00F1757B">
    <w:pPr>
      <w:pStyle w:val="Header"/>
    </w:pPr>
    <w:r>
      <w:rPr>
        <w:noProof/>
      </w:rPr>
      <w:pict w14:anchorId="78483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061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670691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4857417">
    <w:abstractNumId w:val="15"/>
  </w:num>
  <w:num w:numId="3" w16cid:durableId="155608403">
    <w:abstractNumId w:val="23"/>
  </w:num>
  <w:num w:numId="4" w16cid:durableId="15444423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5815280">
    <w:abstractNumId w:val="7"/>
  </w:num>
  <w:num w:numId="6" w16cid:durableId="1171411213">
    <w:abstractNumId w:val="6"/>
  </w:num>
  <w:num w:numId="7" w16cid:durableId="523062198">
    <w:abstractNumId w:val="1"/>
  </w:num>
  <w:num w:numId="8" w16cid:durableId="1271939698">
    <w:abstractNumId w:val="12"/>
  </w:num>
  <w:num w:numId="9" w16cid:durableId="1461415675">
    <w:abstractNumId w:val="25"/>
  </w:num>
  <w:num w:numId="10" w16cid:durableId="1040975216">
    <w:abstractNumId w:val="2"/>
  </w:num>
  <w:num w:numId="11" w16cid:durableId="280461050">
    <w:abstractNumId w:val="18"/>
  </w:num>
  <w:num w:numId="12" w16cid:durableId="514157017">
    <w:abstractNumId w:val="3"/>
  </w:num>
  <w:num w:numId="13" w16cid:durableId="322779941">
    <w:abstractNumId w:val="17"/>
  </w:num>
  <w:num w:numId="14" w16cid:durableId="457993692">
    <w:abstractNumId w:val="8"/>
  </w:num>
  <w:num w:numId="15" w16cid:durableId="1609191686">
    <w:abstractNumId w:val="21"/>
  </w:num>
  <w:num w:numId="16" w16cid:durableId="1671906046">
    <w:abstractNumId w:val="5"/>
  </w:num>
  <w:num w:numId="17" w16cid:durableId="1236356118">
    <w:abstractNumId w:val="22"/>
  </w:num>
  <w:num w:numId="18" w16cid:durableId="519397470">
    <w:abstractNumId w:val="14"/>
  </w:num>
  <w:num w:numId="19" w16cid:durableId="30689205">
    <w:abstractNumId w:val="28"/>
  </w:num>
  <w:num w:numId="20" w16cid:durableId="1406565872">
    <w:abstractNumId w:val="11"/>
  </w:num>
  <w:num w:numId="21" w16cid:durableId="1415736302">
    <w:abstractNumId w:val="9"/>
  </w:num>
  <w:num w:numId="22" w16cid:durableId="571163966">
    <w:abstractNumId w:val="13"/>
  </w:num>
  <w:num w:numId="23" w16cid:durableId="159779568">
    <w:abstractNumId w:val="19"/>
  </w:num>
  <w:num w:numId="24" w16cid:durableId="1575704984">
    <w:abstractNumId w:val="26"/>
  </w:num>
  <w:num w:numId="25" w16cid:durableId="1409305991">
    <w:abstractNumId w:val="4"/>
  </w:num>
  <w:num w:numId="26" w16cid:durableId="1717511570">
    <w:abstractNumId w:val="16"/>
  </w:num>
  <w:num w:numId="27" w16cid:durableId="1764305198">
    <w:abstractNumId w:val="20"/>
  </w:num>
  <w:num w:numId="28" w16cid:durableId="268855743">
    <w:abstractNumId w:val="27"/>
  </w:num>
  <w:num w:numId="29" w16cid:durableId="798495351">
    <w:abstractNumId w:val="24"/>
  </w:num>
  <w:num w:numId="30" w16cid:durableId="1483160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7F1B"/>
    <w:rsid w:val="000A47FA"/>
    <w:rsid w:val="000A65D3"/>
    <w:rsid w:val="000B1E33"/>
    <w:rsid w:val="000D689F"/>
    <w:rsid w:val="000E7B7B"/>
    <w:rsid w:val="000E7D62"/>
    <w:rsid w:val="00103357"/>
    <w:rsid w:val="00123C9F"/>
    <w:rsid w:val="00126190"/>
    <w:rsid w:val="00130F17"/>
    <w:rsid w:val="001320BF"/>
    <w:rsid w:val="001578A0"/>
    <w:rsid w:val="00163BC4"/>
    <w:rsid w:val="00167DB7"/>
    <w:rsid w:val="00191062"/>
    <w:rsid w:val="00192B72"/>
    <w:rsid w:val="001A29D8"/>
    <w:rsid w:val="001A5CAA"/>
    <w:rsid w:val="001B0427"/>
    <w:rsid w:val="001D3A51"/>
    <w:rsid w:val="001E10D2"/>
    <w:rsid w:val="001E25B4"/>
    <w:rsid w:val="001E44FE"/>
    <w:rsid w:val="001F29A4"/>
    <w:rsid w:val="00200595"/>
    <w:rsid w:val="00204835"/>
    <w:rsid w:val="00231920"/>
    <w:rsid w:val="0023195C"/>
    <w:rsid w:val="0024282C"/>
    <w:rsid w:val="00243546"/>
    <w:rsid w:val="002460DC"/>
    <w:rsid w:val="00250985"/>
    <w:rsid w:val="002556F6"/>
    <w:rsid w:val="00283105"/>
    <w:rsid w:val="00284C4C"/>
    <w:rsid w:val="002907D1"/>
    <w:rsid w:val="00296529"/>
    <w:rsid w:val="002B27FB"/>
    <w:rsid w:val="002B685A"/>
    <w:rsid w:val="002C57D2"/>
    <w:rsid w:val="002E0D56"/>
    <w:rsid w:val="002E25A4"/>
    <w:rsid w:val="00315186"/>
    <w:rsid w:val="0033343E"/>
    <w:rsid w:val="003512C2"/>
    <w:rsid w:val="00371FB6"/>
    <w:rsid w:val="003763C1"/>
    <w:rsid w:val="00376BBE"/>
    <w:rsid w:val="0039224F"/>
    <w:rsid w:val="0039391D"/>
    <w:rsid w:val="003A43A4"/>
    <w:rsid w:val="003A7E18"/>
    <w:rsid w:val="003C4C86"/>
    <w:rsid w:val="003C6258"/>
    <w:rsid w:val="003E2904"/>
    <w:rsid w:val="00401927"/>
    <w:rsid w:val="00404674"/>
    <w:rsid w:val="0041027F"/>
    <w:rsid w:val="00412475"/>
    <w:rsid w:val="00423789"/>
    <w:rsid w:val="00440F43"/>
    <w:rsid w:val="00441B6F"/>
    <w:rsid w:val="00442065"/>
    <w:rsid w:val="00446221"/>
    <w:rsid w:val="00450E62"/>
    <w:rsid w:val="004539DB"/>
    <w:rsid w:val="00471A80"/>
    <w:rsid w:val="004B620C"/>
    <w:rsid w:val="004D305E"/>
    <w:rsid w:val="004D4277"/>
    <w:rsid w:val="00502516"/>
    <w:rsid w:val="00505F06"/>
    <w:rsid w:val="00506828"/>
    <w:rsid w:val="0053056E"/>
    <w:rsid w:val="00554E19"/>
    <w:rsid w:val="00554FDA"/>
    <w:rsid w:val="005C784C"/>
    <w:rsid w:val="005D17F6"/>
    <w:rsid w:val="005E5539"/>
    <w:rsid w:val="00602BF5"/>
    <w:rsid w:val="00617FDD"/>
    <w:rsid w:val="0062622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4F9"/>
    <w:rsid w:val="0070082C"/>
    <w:rsid w:val="00722339"/>
    <w:rsid w:val="007369E6"/>
    <w:rsid w:val="00746E59"/>
    <w:rsid w:val="00754C9A"/>
    <w:rsid w:val="0075599A"/>
    <w:rsid w:val="00761D52"/>
    <w:rsid w:val="0077749E"/>
    <w:rsid w:val="00790ADA"/>
    <w:rsid w:val="007D2288"/>
    <w:rsid w:val="007E088F"/>
    <w:rsid w:val="007E5E94"/>
    <w:rsid w:val="007F7B32"/>
    <w:rsid w:val="00804BC2"/>
    <w:rsid w:val="0081431A"/>
    <w:rsid w:val="0083216F"/>
    <w:rsid w:val="00860000"/>
    <w:rsid w:val="00863BD3"/>
    <w:rsid w:val="00866D66"/>
    <w:rsid w:val="008671C6"/>
    <w:rsid w:val="0086764C"/>
    <w:rsid w:val="00875803"/>
    <w:rsid w:val="008A102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15E"/>
    <w:rsid w:val="00A94063"/>
    <w:rsid w:val="00AA6219"/>
    <w:rsid w:val="00AA74E0"/>
    <w:rsid w:val="00AB703F"/>
    <w:rsid w:val="00AC4D9A"/>
    <w:rsid w:val="00AC6BB8"/>
    <w:rsid w:val="00AE008F"/>
    <w:rsid w:val="00B01FCD"/>
    <w:rsid w:val="00B1776C"/>
    <w:rsid w:val="00B52896"/>
    <w:rsid w:val="00B95236"/>
    <w:rsid w:val="00B96BD9"/>
    <w:rsid w:val="00BA1B01"/>
    <w:rsid w:val="00BA2641"/>
    <w:rsid w:val="00BB37AA"/>
    <w:rsid w:val="00BC53A0"/>
    <w:rsid w:val="00BE62AD"/>
    <w:rsid w:val="00BF121F"/>
    <w:rsid w:val="00BF1F80"/>
    <w:rsid w:val="00BF7BFF"/>
    <w:rsid w:val="00C166EF"/>
    <w:rsid w:val="00C17EB0"/>
    <w:rsid w:val="00C27F5F"/>
    <w:rsid w:val="00C30A0F"/>
    <w:rsid w:val="00C37E61"/>
    <w:rsid w:val="00C70F1B"/>
    <w:rsid w:val="00C71A47"/>
    <w:rsid w:val="00C7464C"/>
    <w:rsid w:val="00C85588"/>
    <w:rsid w:val="00CD4A92"/>
    <w:rsid w:val="00CD6755"/>
    <w:rsid w:val="00CD6856"/>
    <w:rsid w:val="00CE0089"/>
    <w:rsid w:val="00CE793C"/>
    <w:rsid w:val="00D173F1"/>
    <w:rsid w:val="00D22A6B"/>
    <w:rsid w:val="00D8295D"/>
    <w:rsid w:val="00DC2A65"/>
    <w:rsid w:val="00DE15F0"/>
    <w:rsid w:val="00DE5663"/>
    <w:rsid w:val="00DE78AA"/>
    <w:rsid w:val="00E053D0"/>
    <w:rsid w:val="00E15994"/>
    <w:rsid w:val="00E3114E"/>
    <w:rsid w:val="00E31A70"/>
    <w:rsid w:val="00E35B02"/>
    <w:rsid w:val="00E40A99"/>
    <w:rsid w:val="00E46A3C"/>
    <w:rsid w:val="00E66496"/>
    <w:rsid w:val="00E66B35"/>
    <w:rsid w:val="00E66E10"/>
    <w:rsid w:val="00E769F6"/>
    <w:rsid w:val="00E8407C"/>
    <w:rsid w:val="00E84F3C"/>
    <w:rsid w:val="00EA012C"/>
    <w:rsid w:val="00ED0288"/>
    <w:rsid w:val="00EE52CB"/>
    <w:rsid w:val="00EF581D"/>
    <w:rsid w:val="00EF7FD8"/>
    <w:rsid w:val="00F06F59"/>
    <w:rsid w:val="00F1757B"/>
    <w:rsid w:val="00F17988"/>
    <w:rsid w:val="00F469F0"/>
    <w:rsid w:val="00F53273"/>
    <w:rsid w:val="00F755E4"/>
    <w:rsid w:val="00F77D02"/>
    <w:rsid w:val="00FA075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DCD1AA6"/>
  <w15:docId w15:val="{0CA61CED-5806-4BF4-B95F-BBFB1E43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rmalWeb">
    <w:name w:val="Normal (Web)"/>
    <w:basedOn w:val="Normal"/>
    <w:uiPriority w:val="99"/>
    <w:unhideWhenUsed/>
    <w:rsid w:val="004B620C"/>
    <w:pPr>
      <w:spacing w:before="100" w:beforeAutospacing="1" w:after="100" w:afterAutospacing="1"/>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5257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6689778">
      <w:bodyDiv w:val="1"/>
      <w:marLeft w:val="0"/>
      <w:marRight w:val="0"/>
      <w:marTop w:val="0"/>
      <w:marBottom w:val="0"/>
      <w:divBdr>
        <w:top w:val="none" w:sz="0" w:space="0" w:color="auto"/>
        <w:left w:val="none" w:sz="0" w:space="0" w:color="auto"/>
        <w:bottom w:val="none" w:sz="0" w:space="0" w:color="auto"/>
        <w:right w:val="none" w:sz="0" w:space="0" w:color="auto"/>
      </w:divBdr>
    </w:div>
    <w:div w:id="5533935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1587185">
      <w:bodyDiv w:val="1"/>
      <w:marLeft w:val="0"/>
      <w:marRight w:val="0"/>
      <w:marTop w:val="0"/>
      <w:marBottom w:val="0"/>
      <w:divBdr>
        <w:top w:val="none" w:sz="0" w:space="0" w:color="auto"/>
        <w:left w:val="none" w:sz="0" w:space="0" w:color="auto"/>
        <w:bottom w:val="none" w:sz="0" w:space="0" w:color="auto"/>
        <w:right w:val="none" w:sz="0" w:space="0" w:color="auto"/>
      </w:divBdr>
    </w:div>
    <w:div w:id="15578623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91517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11</Pages>
  <Words>4285</Words>
  <Characters>24426</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28654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9</cp:revision>
  <cp:lastPrinted>1999-07-06T11:00:00Z</cp:lastPrinted>
  <dcterms:created xsi:type="dcterms:W3CDTF">2014-10-25T14:34:00Z</dcterms:created>
  <dcterms:modified xsi:type="dcterms:W3CDTF">2024-07-03T08:31:00Z</dcterms:modified>
</cp:coreProperties>
</file>