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E75FE" w14:textId="18A4C22C" w:rsidR="00C35BF4" w:rsidRPr="0025609D" w:rsidRDefault="00E36C60" w:rsidP="008E6021">
      <w:pPr>
        <w:spacing w:line="360" w:lineRule="auto"/>
        <w:jc w:val="center"/>
        <w:rPr>
          <w:rFonts w:asciiTheme="majorHAnsi" w:hAnsiTheme="majorHAnsi" w:cstheme="majorHAnsi"/>
          <w:b/>
          <w:sz w:val="24"/>
          <w:szCs w:val="24"/>
        </w:rPr>
      </w:pPr>
      <w:r w:rsidRPr="00E36C60">
        <w:rPr>
          <w:rFonts w:asciiTheme="majorHAnsi" w:hAnsiTheme="majorHAnsi" w:cstheme="majorHAnsi"/>
          <w:b/>
          <w:sz w:val="24"/>
          <w:szCs w:val="24"/>
        </w:rPr>
        <w:t>Factors Influencing M</w:t>
      </w:r>
      <w:r w:rsidR="00E055F2">
        <w:rPr>
          <w:rFonts w:asciiTheme="majorHAnsi" w:hAnsiTheme="majorHAnsi" w:cstheme="majorHAnsi"/>
          <w:b/>
          <w:sz w:val="24"/>
          <w:szCs w:val="24"/>
        </w:rPr>
        <w:t>en’s</w:t>
      </w:r>
      <w:r w:rsidRPr="00E36C60">
        <w:rPr>
          <w:rFonts w:asciiTheme="majorHAnsi" w:hAnsiTheme="majorHAnsi" w:cstheme="majorHAnsi"/>
          <w:b/>
          <w:sz w:val="24"/>
          <w:szCs w:val="24"/>
        </w:rPr>
        <w:t xml:space="preserve"> Participation in Seaweed Farming in Zanzibar</w:t>
      </w:r>
      <w:r w:rsidR="00313129">
        <w:rPr>
          <w:rFonts w:asciiTheme="majorHAnsi" w:hAnsiTheme="majorHAnsi" w:cstheme="majorHAnsi"/>
          <w:b/>
          <w:sz w:val="24"/>
          <w:szCs w:val="24"/>
        </w:rPr>
        <w:t>, Tanzania</w:t>
      </w:r>
      <w:r w:rsidR="00C35BF4" w:rsidRPr="0025609D">
        <w:rPr>
          <w:rFonts w:asciiTheme="majorHAnsi" w:hAnsiTheme="majorHAnsi" w:cstheme="majorHAnsi"/>
          <w:b/>
          <w:sz w:val="24"/>
          <w:szCs w:val="24"/>
        </w:rPr>
        <w:t xml:space="preserve">: </w:t>
      </w:r>
      <w:r w:rsidR="00212425">
        <w:rPr>
          <w:rFonts w:asciiTheme="majorHAnsi" w:hAnsiTheme="majorHAnsi" w:cstheme="majorHAnsi"/>
          <w:b/>
          <w:sz w:val="24"/>
          <w:szCs w:val="24"/>
        </w:rPr>
        <w:t xml:space="preserve">Empirical Analysis </w:t>
      </w:r>
      <w:r w:rsidR="00C84105" w:rsidRPr="0025609D">
        <w:rPr>
          <w:rFonts w:asciiTheme="majorHAnsi" w:hAnsiTheme="majorHAnsi" w:cstheme="majorHAnsi"/>
          <w:b/>
          <w:sz w:val="24"/>
          <w:szCs w:val="24"/>
        </w:rPr>
        <w:t>from a</w:t>
      </w:r>
      <w:r w:rsidR="00C35BF4" w:rsidRPr="0025609D">
        <w:rPr>
          <w:rFonts w:asciiTheme="majorHAnsi" w:hAnsiTheme="majorHAnsi" w:cstheme="majorHAnsi"/>
          <w:b/>
          <w:sz w:val="24"/>
          <w:szCs w:val="24"/>
        </w:rPr>
        <w:t xml:space="preserve"> </w:t>
      </w:r>
      <w:r w:rsidR="00C84105" w:rsidRPr="0025609D">
        <w:rPr>
          <w:rFonts w:asciiTheme="majorHAnsi" w:hAnsiTheme="majorHAnsi" w:cstheme="majorHAnsi"/>
          <w:b/>
          <w:sz w:val="24"/>
          <w:szCs w:val="24"/>
        </w:rPr>
        <w:t>Logit Model</w:t>
      </w:r>
    </w:p>
    <w:p w14:paraId="3E204E74" w14:textId="77777777" w:rsidR="00AA11B5" w:rsidRDefault="00AA11B5" w:rsidP="008E6021">
      <w:pPr>
        <w:spacing w:line="360" w:lineRule="auto"/>
        <w:jc w:val="both"/>
        <w:rPr>
          <w:rFonts w:asciiTheme="majorHAnsi" w:hAnsiTheme="majorHAnsi" w:cstheme="majorHAnsi"/>
          <w:b/>
          <w:sz w:val="24"/>
          <w:szCs w:val="24"/>
        </w:rPr>
      </w:pPr>
    </w:p>
    <w:p w14:paraId="1D96FBAF" w14:textId="51BC4141" w:rsidR="0067347F" w:rsidRPr="0025609D" w:rsidRDefault="0067347F"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Abstract</w:t>
      </w:r>
    </w:p>
    <w:p w14:paraId="4187FCFB" w14:textId="62F7BF9B" w:rsidR="00B46CAB" w:rsidRPr="0025609D" w:rsidRDefault="00C90BA1"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Seaweed farming is a crucial economic activity in Zanzibar, Tanzania, </w:t>
      </w:r>
      <w:r w:rsidR="00013F2E" w:rsidRPr="0025609D">
        <w:rPr>
          <w:rFonts w:asciiTheme="majorHAnsi" w:eastAsia="Times New Roman" w:hAnsiTheme="majorHAnsi" w:cstheme="majorHAnsi"/>
          <w:sz w:val="24"/>
          <w:szCs w:val="24"/>
        </w:rPr>
        <w:t xml:space="preserve">as it </w:t>
      </w:r>
      <w:r w:rsidRPr="0025609D">
        <w:rPr>
          <w:rFonts w:asciiTheme="majorHAnsi" w:eastAsia="Times New Roman" w:hAnsiTheme="majorHAnsi" w:cstheme="majorHAnsi"/>
          <w:sz w:val="24"/>
          <w:szCs w:val="24"/>
        </w:rPr>
        <w:t>provid</w:t>
      </w:r>
      <w:r w:rsidR="00013F2E" w:rsidRPr="0025609D">
        <w:rPr>
          <w:rFonts w:asciiTheme="majorHAnsi" w:eastAsia="Times New Roman" w:hAnsiTheme="majorHAnsi" w:cstheme="majorHAnsi"/>
          <w:sz w:val="24"/>
          <w:szCs w:val="24"/>
        </w:rPr>
        <w:t>es</w:t>
      </w:r>
      <w:r w:rsidRPr="0025609D">
        <w:rPr>
          <w:rFonts w:asciiTheme="majorHAnsi" w:eastAsia="Times New Roman" w:hAnsiTheme="majorHAnsi" w:cstheme="majorHAnsi"/>
          <w:sz w:val="24"/>
          <w:szCs w:val="24"/>
        </w:rPr>
        <w:t xml:space="preserve"> employment and income opportunities. However, male involvement in the sector remains low despite governmental initiatives to promote inclusivity. This study used a cross-sectional research design to examine the factors influencing m</w:t>
      </w:r>
      <w:r w:rsidR="00013F2E" w:rsidRPr="0025609D">
        <w:rPr>
          <w:rFonts w:asciiTheme="majorHAnsi" w:eastAsia="Times New Roman" w:hAnsiTheme="majorHAnsi" w:cstheme="majorHAnsi"/>
          <w:sz w:val="24"/>
          <w:szCs w:val="24"/>
        </w:rPr>
        <w:t>ale</w:t>
      </w:r>
      <w:r w:rsidRPr="0025609D">
        <w:rPr>
          <w:rFonts w:asciiTheme="majorHAnsi" w:eastAsia="Times New Roman" w:hAnsiTheme="majorHAnsi" w:cstheme="majorHAnsi"/>
          <w:sz w:val="24"/>
          <w:szCs w:val="24"/>
        </w:rPr>
        <w:t xml:space="preserve"> participation in seaweed farming in Zanzibar. Data w</w:t>
      </w:r>
      <w:r w:rsidR="00013F2E" w:rsidRPr="0025609D">
        <w:rPr>
          <w:rFonts w:asciiTheme="majorHAnsi" w:eastAsia="Times New Roman" w:hAnsiTheme="majorHAnsi" w:cstheme="majorHAnsi"/>
          <w:sz w:val="24"/>
          <w:szCs w:val="24"/>
        </w:rPr>
        <w:t>ere</w:t>
      </w:r>
      <w:r w:rsidRPr="0025609D">
        <w:rPr>
          <w:rFonts w:asciiTheme="majorHAnsi" w:eastAsia="Times New Roman" w:hAnsiTheme="majorHAnsi" w:cstheme="majorHAnsi"/>
          <w:sz w:val="24"/>
          <w:szCs w:val="24"/>
        </w:rPr>
        <w:t xml:space="preserve"> gathered </w:t>
      </w:r>
      <w:r w:rsidR="00013F2E" w:rsidRPr="0025609D">
        <w:rPr>
          <w:rFonts w:asciiTheme="majorHAnsi" w:eastAsia="Times New Roman" w:hAnsiTheme="majorHAnsi" w:cstheme="majorHAnsi"/>
          <w:sz w:val="24"/>
          <w:szCs w:val="24"/>
        </w:rPr>
        <w:t>using</w:t>
      </w:r>
      <w:r w:rsidRPr="0025609D">
        <w:rPr>
          <w:rFonts w:asciiTheme="majorHAnsi" w:eastAsia="Times New Roman" w:hAnsiTheme="majorHAnsi" w:cstheme="majorHAnsi"/>
          <w:sz w:val="24"/>
          <w:szCs w:val="24"/>
        </w:rPr>
        <w:t xml:space="preserve"> structured questionnaires from 150 men in the </w:t>
      </w:r>
      <w:proofErr w:type="spellStart"/>
      <w:r w:rsidRPr="0025609D">
        <w:rPr>
          <w:rFonts w:asciiTheme="majorHAnsi" w:eastAsia="Times New Roman" w:hAnsiTheme="majorHAnsi" w:cstheme="majorHAnsi"/>
          <w:sz w:val="24"/>
          <w:szCs w:val="24"/>
        </w:rPr>
        <w:t>Jambiani</w:t>
      </w:r>
      <w:proofErr w:type="spellEnd"/>
      <w:r w:rsidRPr="0025609D">
        <w:rPr>
          <w:rFonts w:asciiTheme="majorHAnsi" w:eastAsia="Times New Roman" w:hAnsiTheme="majorHAnsi" w:cstheme="majorHAnsi"/>
          <w:sz w:val="24"/>
          <w:szCs w:val="24"/>
        </w:rPr>
        <w:t xml:space="preserve">, </w:t>
      </w:r>
      <w:proofErr w:type="spellStart"/>
      <w:r w:rsidRPr="0025609D">
        <w:rPr>
          <w:rFonts w:asciiTheme="majorHAnsi" w:eastAsia="Times New Roman" w:hAnsiTheme="majorHAnsi" w:cstheme="majorHAnsi"/>
          <w:sz w:val="24"/>
          <w:szCs w:val="24"/>
        </w:rPr>
        <w:t>Bwejuu</w:t>
      </w:r>
      <w:proofErr w:type="spellEnd"/>
      <w:r w:rsidRPr="0025609D">
        <w:rPr>
          <w:rFonts w:asciiTheme="majorHAnsi" w:eastAsia="Times New Roman" w:hAnsiTheme="majorHAnsi" w:cstheme="majorHAnsi"/>
          <w:sz w:val="24"/>
          <w:szCs w:val="24"/>
        </w:rPr>
        <w:t>, and Paje wards. The study found that only 22% of men participate</w:t>
      </w:r>
      <w:r w:rsidR="00013F2E" w:rsidRPr="0025609D">
        <w:rPr>
          <w:rFonts w:asciiTheme="majorHAnsi" w:eastAsia="Times New Roman" w:hAnsiTheme="majorHAnsi" w:cstheme="majorHAnsi"/>
          <w:sz w:val="24"/>
          <w:szCs w:val="24"/>
        </w:rPr>
        <w:t>d</w:t>
      </w:r>
      <w:r w:rsidRPr="0025609D">
        <w:rPr>
          <w:rFonts w:asciiTheme="majorHAnsi" w:eastAsia="Times New Roman" w:hAnsiTheme="majorHAnsi" w:cstheme="majorHAnsi"/>
          <w:sz w:val="24"/>
          <w:szCs w:val="24"/>
        </w:rPr>
        <w:t xml:space="preserve"> in seaweed farming, with 78% abstaining largely due to entrenched gender norms. Logistic regression analysis identified significant predictors of m</w:t>
      </w:r>
      <w:r w:rsidR="00A50EAC" w:rsidRPr="0025609D">
        <w:rPr>
          <w:rFonts w:asciiTheme="majorHAnsi" w:eastAsia="Times New Roman" w:hAnsiTheme="majorHAnsi" w:cstheme="majorHAnsi"/>
          <w:sz w:val="24"/>
          <w:szCs w:val="24"/>
        </w:rPr>
        <w:t>ale</w:t>
      </w:r>
      <w:r w:rsidRPr="0025609D">
        <w:rPr>
          <w:rFonts w:asciiTheme="majorHAnsi" w:eastAsia="Times New Roman" w:hAnsiTheme="majorHAnsi" w:cstheme="majorHAnsi"/>
          <w:sz w:val="24"/>
          <w:szCs w:val="24"/>
        </w:rPr>
        <w:t xml:space="preserve"> participation, including educational attainment, price and marketing dynamics, input costs, cultural constraints, climate change and health-related challenges, and harvest season unpredictability. The study concludes that socio-cultural and economic barriers limit men's participation. It recommends interventions</w:t>
      </w:r>
      <w:r w:rsidR="00A50EAC"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such as gender-sensitive awareness campaigns, market improvements, financial support for input costs, and climate adaptation strategies to promote sustainable farming practices</w:t>
      </w:r>
      <w:r w:rsidR="00423B5D" w:rsidRPr="0025609D">
        <w:rPr>
          <w:rFonts w:asciiTheme="majorHAnsi" w:eastAsia="Times New Roman" w:hAnsiTheme="majorHAnsi" w:cstheme="majorHAnsi"/>
          <w:sz w:val="24"/>
          <w:szCs w:val="24"/>
        </w:rPr>
        <w:t>.</w:t>
      </w:r>
    </w:p>
    <w:p w14:paraId="17E1E048" w14:textId="1324930B" w:rsidR="00C90BA1" w:rsidRPr="0025609D" w:rsidRDefault="000614EA" w:rsidP="00C90BA1">
      <w:pPr>
        <w:spacing w:before="100" w:beforeAutospacing="1" w:after="100" w:afterAutospacing="1" w:line="360" w:lineRule="auto"/>
        <w:jc w:val="both"/>
        <w:rPr>
          <w:rFonts w:asciiTheme="majorHAnsi" w:eastAsia="Times New Roman" w:hAnsiTheme="majorHAnsi" w:cstheme="majorHAnsi"/>
          <w:i/>
          <w:sz w:val="24"/>
          <w:szCs w:val="24"/>
        </w:rPr>
      </w:pPr>
      <w:r w:rsidRPr="0025609D">
        <w:rPr>
          <w:rFonts w:asciiTheme="majorHAnsi" w:eastAsia="Times New Roman" w:hAnsiTheme="majorHAnsi" w:cstheme="majorHAnsi"/>
          <w:b/>
          <w:sz w:val="24"/>
          <w:szCs w:val="24"/>
        </w:rPr>
        <w:t xml:space="preserve">Keywords: </w:t>
      </w:r>
      <w:r w:rsidRPr="0025609D">
        <w:rPr>
          <w:rFonts w:asciiTheme="majorHAnsi" w:eastAsia="Times New Roman" w:hAnsiTheme="majorHAnsi" w:cstheme="majorHAnsi"/>
          <w:i/>
          <w:sz w:val="24"/>
          <w:szCs w:val="24"/>
        </w:rPr>
        <w:t>seaweed</w:t>
      </w:r>
      <w:r w:rsidR="008E6021" w:rsidRPr="0025609D">
        <w:rPr>
          <w:rFonts w:asciiTheme="majorHAnsi" w:eastAsia="Times New Roman" w:hAnsiTheme="majorHAnsi" w:cstheme="majorHAnsi"/>
          <w:i/>
          <w:sz w:val="24"/>
          <w:szCs w:val="24"/>
        </w:rPr>
        <w:t xml:space="preserve"> farming</w:t>
      </w:r>
      <w:r w:rsidRPr="0025609D">
        <w:rPr>
          <w:rFonts w:asciiTheme="majorHAnsi" w:eastAsia="Times New Roman" w:hAnsiTheme="majorHAnsi" w:cstheme="majorHAnsi"/>
          <w:i/>
          <w:sz w:val="24"/>
          <w:szCs w:val="24"/>
        </w:rPr>
        <w:t xml:space="preserve">, </w:t>
      </w:r>
      <w:r w:rsidR="00094006" w:rsidRPr="0025609D">
        <w:rPr>
          <w:rFonts w:asciiTheme="majorHAnsi" w:eastAsia="Times New Roman" w:hAnsiTheme="majorHAnsi" w:cstheme="majorHAnsi"/>
          <w:i/>
          <w:sz w:val="24"/>
          <w:szCs w:val="24"/>
        </w:rPr>
        <w:t xml:space="preserve">women empowerment, </w:t>
      </w:r>
      <w:r w:rsidRPr="0025609D">
        <w:rPr>
          <w:rFonts w:asciiTheme="majorHAnsi" w:eastAsia="Times New Roman" w:hAnsiTheme="majorHAnsi" w:cstheme="majorHAnsi"/>
          <w:i/>
          <w:sz w:val="24"/>
          <w:szCs w:val="24"/>
        </w:rPr>
        <w:t>gender disparity, men</w:t>
      </w:r>
      <w:r w:rsidR="00E26134">
        <w:rPr>
          <w:rFonts w:asciiTheme="majorHAnsi" w:eastAsia="Times New Roman" w:hAnsiTheme="majorHAnsi" w:cstheme="majorHAnsi"/>
          <w:i/>
          <w:sz w:val="24"/>
          <w:szCs w:val="24"/>
        </w:rPr>
        <w:t>’s</w:t>
      </w:r>
      <w:r w:rsidRPr="0025609D">
        <w:rPr>
          <w:rFonts w:asciiTheme="majorHAnsi" w:eastAsia="Times New Roman" w:hAnsiTheme="majorHAnsi" w:cstheme="majorHAnsi"/>
          <w:i/>
          <w:sz w:val="24"/>
          <w:szCs w:val="24"/>
        </w:rPr>
        <w:t xml:space="preserve"> participation, </w:t>
      </w:r>
      <w:r w:rsidR="00646180" w:rsidRPr="0025609D">
        <w:rPr>
          <w:rFonts w:asciiTheme="majorHAnsi" w:eastAsia="Times New Roman" w:hAnsiTheme="majorHAnsi" w:cstheme="majorHAnsi"/>
          <w:i/>
          <w:sz w:val="24"/>
          <w:szCs w:val="24"/>
        </w:rPr>
        <w:t>logi</w:t>
      </w:r>
      <w:r w:rsidR="00E26134">
        <w:rPr>
          <w:rFonts w:asciiTheme="majorHAnsi" w:eastAsia="Times New Roman" w:hAnsiTheme="majorHAnsi" w:cstheme="majorHAnsi"/>
          <w:i/>
          <w:sz w:val="24"/>
          <w:szCs w:val="24"/>
        </w:rPr>
        <w:t>t model</w:t>
      </w:r>
      <w:r w:rsidR="00FA58BD" w:rsidRPr="0025609D">
        <w:rPr>
          <w:rFonts w:asciiTheme="majorHAnsi" w:eastAsia="Times New Roman" w:hAnsiTheme="majorHAnsi" w:cstheme="majorHAnsi"/>
          <w:i/>
          <w:sz w:val="24"/>
          <w:szCs w:val="24"/>
        </w:rPr>
        <w:t xml:space="preserve">, </w:t>
      </w:r>
      <w:r w:rsidR="00313129">
        <w:rPr>
          <w:rFonts w:asciiTheme="majorHAnsi" w:eastAsia="Times New Roman" w:hAnsiTheme="majorHAnsi" w:cstheme="majorHAnsi"/>
          <w:i/>
          <w:sz w:val="24"/>
          <w:szCs w:val="24"/>
        </w:rPr>
        <w:t>Tanzania</w:t>
      </w:r>
    </w:p>
    <w:p w14:paraId="1483C40A" w14:textId="77777777" w:rsidR="00C90BA1" w:rsidRPr="0025609D" w:rsidRDefault="00C90BA1">
      <w:pPr>
        <w:rPr>
          <w:rFonts w:asciiTheme="majorHAnsi" w:eastAsia="Times New Roman" w:hAnsiTheme="majorHAnsi" w:cstheme="majorHAnsi"/>
          <w:i/>
          <w:sz w:val="24"/>
          <w:szCs w:val="24"/>
        </w:rPr>
      </w:pPr>
      <w:r w:rsidRPr="0025609D">
        <w:rPr>
          <w:rFonts w:asciiTheme="majorHAnsi" w:eastAsia="Times New Roman" w:hAnsiTheme="majorHAnsi" w:cstheme="majorHAnsi"/>
          <w:i/>
          <w:sz w:val="24"/>
          <w:szCs w:val="24"/>
        </w:rPr>
        <w:br w:type="page"/>
      </w:r>
    </w:p>
    <w:p w14:paraId="4442317B" w14:textId="4F65EEB7" w:rsidR="00B91268" w:rsidRPr="0025609D" w:rsidRDefault="00CC19B9" w:rsidP="00C90BA1">
      <w:pPr>
        <w:spacing w:before="100" w:beforeAutospacing="1" w:after="100" w:afterAutospacing="1" w:line="360" w:lineRule="auto"/>
        <w:jc w:val="both"/>
        <w:rPr>
          <w:rFonts w:asciiTheme="majorHAnsi" w:eastAsia="Times New Roman" w:hAnsiTheme="majorHAnsi" w:cstheme="majorHAnsi"/>
          <w:i/>
          <w:sz w:val="24"/>
          <w:szCs w:val="24"/>
        </w:rPr>
      </w:pPr>
      <w:r w:rsidRPr="0025609D">
        <w:rPr>
          <w:rFonts w:asciiTheme="majorHAnsi" w:hAnsiTheme="majorHAnsi" w:cstheme="majorHAnsi"/>
          <w:b/>
          <w:sz w:val="24"/>
          <w:szCs w:val="24"/>
        </w:rPr>
        <w:lastRenderedPageBreak/>
        <w:t>Introduction</w:t>
      </w:r>
    </w:p>
    <w:p w14:paraId="6EE2E543" w14:textId="77777777" w:rsidR="003521E9" w:rsidRPr="003521E9"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 xml:space="preserve">Seaweed farming is a significant agricultural enterprise supporting coastal communities globally. The seaweed is utilized in diverse products, ranging from food and cosmetics to fertilizers, highlighting its broad economic and practical value. Seaweed farming is a sustainable and low-impact aquaculture that has gained significant global traction over the past few decades. Its minimal environmental impact and ability to generate substantial income for coastal communities make it an attractive economic </w:t>
      </w:r>
      <w:proofErr w:type="spellStart"/>
      <w:r w:rsidRPr="003521E9">
        <w:rPr>
          <w:rFonts w:asciiTheme="majorHAnsi" w:eastAsia="Calibri" w:hAnsiTheme="majorHAnsi" w:cstheme="majorHAnsi"/>
          <w:kern w:val="2"/>
          <w:sz w:val="24"/>
          <w:szCs w:val="24"/>
          <w14:ligatures w14:val="standardContextual"/>
        </w:rPr>
        <w:t>endeavor</w:t>
      </w:r>
      <w:proofErr w:type="spellEnd"/>
      <w:r w:rsidRPr="003521E9">
        <w:rPr>
          <w:rFonts w:asciiTheme="majorHAnsi" w:eastAsia="Calibri" w:hAnsiTheme="majorHAnsi" w:cstheme="majorHAnsi"/>
          <w:kern w:val="2"/>
          <w:sz w:val="24"/>
          <w:szCs w:val="24"/>
          <w14:ligatures w14:val="standardContextual"/>
        </w:rPr>
        <w:t>, especially for countries with extensive coastlines. Leading producers such as Indonesia, the Philippines, and China have capitalized on the sector, creating employment for millions and contributing significantly to their local economies (Herawati et al., 2022; Castro, 2023; Zhang et al., 2023). Despite its global success, Seaweed farming in Africa, including Zanzibar, faces challenges such as climate change impacts, market fluctuations, and limited adaptation strategies (Hassan &amp; Othman, 2019). This results in low participation among men and underutilization of the industry as they switch to other potential initiatives.</w:t>
      </w:r>
    </w:p>
    <w:p w14:paraId="118225F7" w14:textId="77777777" w:rsidR="003521E9" w:rsidRPr="003521E9"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Seaweed farming has emerged as a crucial economic activity for coastal communities, particularly benefiting women who dominate this workforce. This sector provides livelihoods and empowers women through income generation and community engagement. In Zanzibar, 87.5% of women engaged in seaweed farming reported improved family incomes, enabling better access to education and basic amenities (</w:t>
      </w:r>
      <w:proofErr w:type="spellStart"/>
      <w:r w:rsidRPr="003521E9">
        <w:rPr>
          <w:rFonts w:asciiTheme="majorHAnsi" w:eastAsia="Calibri" w:hAnsiTheme="majorHAnsi" w:cstheme="majorHAnsi"/>
          <w:kern w:val="2"/>
          <w:sz w:val="24"/>
          <w:szCs w:val="24"/>
          <w14:ligatures w14:val="standardContextual"/>
        </w:rPr>
        <w:t>Kalumanga</w:t>
      </w:r>
      <w:proofErr w:type="spellEnd"/>
      <w:r w:rsidRPr="003521E9">
        <w:rPr>
          <w:rFonts w:asciiTheme="majorHAnsi" w:eastAsia="Calibri" w:hAnsiTheme="majorHAnsi" w:cstheme="majorHAnsi"/>
          <w:kern w:val="2"/>
          <w:sz w:val="24"/>
          <w:szCs w:val="24"/>
          <w14:ligatures w14:val="standardContextual"/>
        </w:rPr>
        <w:t xml:space="preserve">, 2024; </w:t>
      </w:r>
      <w:proofErr w:type="spellStart"/>
      <w:r w:rsidRPr="003521E9">
        <w:rPr>
          <w:rFonts w:asciiTheme="majorHAnsi" w:eastAsia="Calibri" w:hAnsiTheme="majorHAnsi" w:cstheme="majorHAnsi"/>
          <w:kern w:val="2"/>
          <w:sz w:val="24"/>
          <w:szCs w:val="24"/>
          <w14:ligatures w14:val="standardContextual"/>
        </w:rPr>
        <w:t>Syafrudin</w:t>
      </w:r>
      <w:proofErr w:type="spellEnd"/>
      <w:r w:rsidRPr="003521E9">
        <w:rPr>
          <w:rFonts w:asciiTheme="majorHAnsi" w:eastAsia="Calibri" w:hAnsiTheme="majorHAnsi" w:cstheme="majorHAnsi"/>
          <w:kern w:val="2"/>
          <w:sz w:val="24"/>
          <w:szCs w:val="24"/>
          <w14:ligatures w14:val="standardContextual"/>
        </w:rPr>
        <w:t xml:space="preserve"> et al., 2024). This justifies that women dominate the workforce and contribute to various efforts. The government has promoted seaweed farming as an avenue for poverty alleviation, particularly for women who face limited access to other forms of employment. While these efforts have resulted in notable progress for women’s economic empowerment, a significant gap remains: the underrepresentation of men. Despite its economic potential, seaweed farming has not attracted men on a large scale, raising critical questions about the economic potential that could be unlocked through more inclusive engagement. </w:t>
      </w:r>
    </w:p>
    <w:p w14:paraId="08D111C0" w14:textId="4F8BAB5F" w:rsidR="00217B2B" w:rsidRPr="0025609D"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Men’s participation in seaweed farming in Zanzibar is significantly lower than women (</w:t>
      </w:r>
      <w:proofErr w:type="spellStart"/>
      <w:r w:rsidRPr="003521E9">
        <w:rPr>
          <w:rFonts w:asciiTheme="majorHAnsi" w:eastAsia="Calibri" w:hAnsiTheme="majorHAnsi" w:cstheme="majorHAnsi"/>
          <w:kern w:val="2"/>
          <w:sz w:val="24"/>
          <w:szCs w:val="24"/>
          <w14:ligatures w14:val="standardContextual"/>
        </w:rPr>
        <w:t>Msuya</w:t>
      </w:r>
      <w:proofErr w:type="spellEnd"/>
      <w:r w:rsidRPr="003521E9">
        <w:rPr>
          <w:rFonts w:asciiTheme="majorHAnsi" w:eastAsia="Calibri" w:hAnsiTheme="majorHAnsi" w:cstheme="majorHAnsi"/>
          <w:kern w:val="2"/>
          <w:sz w:val="24"/>
          <w:szCs w:val="24"/>
          <w14:ligatures w14:val="standardContextual"/>
        </w:rPr>
        <w:t xml:space="preserve"> &amp; Hurtado, 2017). This trend is generally similar to the African context, as evidenced by (ibid). This gendered division of </w:t>
      </w:r>
      <w:proofErr w:type="spellStart"/>
      <w:r w:rsidRPr="003521E9">
        <w:rPr>
          <w:rFonts w:asciiTheme="majorHAnsi" w:eastAsia="Calibri" w:hAnsiTheme="majorHAnsi" w:cstheme="majorHAnsi"/>
          <w:kern w:val="2"/>
          <w:sz w:val="24"/>
          <w:szCs w:val="24"/>
          <w14:ligatures w14:val="standardContextual"/>
        </w:rPr>
        <w:t>labor</w:t>
      </w:r>
      <w:proofErr w:type="spellEnd"/>
      <w:r w:rsidRPr="003521E9">
        <w:rPr>
          <w:rFonts w:asciiTheme="majorHAnsi" w:eastAsia="Calibri" w:hAnsiTheme="majorHAnsi" w:cstheme="majorHAnsi"/>
          <w:kern w:val="2"/>
          <w:sz w:val="24"/>
          <w:szCs w:val="24"/>
          <w14:ligatures w14:val="standardContextual"/>
        </w:rPr>
        <w:t xml:space="preserve"> has historical roots in the socio-cultural dynamics of the region, where seaweed farming is perceived as a low-status job. There is a shift of men in Zanzibar towards more </w:t>
      </w:r>
      <w:r w:rsidRPr="003521E9">
        <w:rPr>
          <w:rFonts w:asciiTheme="majorHAnsi" w:eastAsia="Calibri" w:hAnsiTheme="majorHAnsi" w:cstheme="majorHAnsi"/>
          <w:kern w:val="2"/>
          <w:sz w:val="24"/>
          <w:szCs w:val="24"/>
          <w14:ligatures w14:val="standardContextual"/>
        </w:rPr>
        <w:lastRenderedPageBreak/>
        <w:t>prestigious or physically demanding sectors, such as fishing, construction, and tourism, reflecting socio-economic dynamics and changing livelihood strategies. Various factors, including income stability, gender roles, and the impact of tourism on traditional livelihoods, influence this transition. (</w:t>
      </w:r>
      <w:proofErr w:type="spellStart"/>
      <w:r w:rsidRPr="003521E9">
        <w:rPr>
          <w:rFonts w:asciiTheme="majorHAnsi" w:eastAsia="Calibri" w:hAnsiTheme="majorHAnsi" w:cstheme="majorHAnsi"/>
          <w:kern w:val="2"/>
          <w:sz w:val="24"/>
          <w:szCs w:val="24"/>
          <w14:ligatures w14:val="standardContextual"/>
        </w:rPr>
        <w:t>Avieli</w:t>
      </w:r>
      <w:proofErr w:type="spellEnd"/>
      <w:r w:rsidRPr="003521E9">
        <w:rPr>
          <w:rFonts w:asciiTheme="majorHAnsi" w:eastAsia="Calibri" w:hAnsiTheme="majorHAnsi" w:cstheme="majorHAnsi"/>
          <w:kern w:val="2"/>
          <w:sz w:val="24"/>
          <w:szCs w:val="24"/>
          <w14:ligatures w14:val="standardContextual"/>
        </w:rPr>
        <w:t xml:space="preserve"> &amp; </w:t>
      </w:r>
      <w:proofErr w:type="spellStart"/>
      <w:r w:rsidRPr="003521E9">
        <w:rPr>
          <w:rFonts w:asciiTheme="majorHAnsi" w:eastAsia="Calibri" w:hAnsiTheme="majorHAnsi" w:cstheme="majorHAnsi"/>
          <w:kern w:val="2"/>
          <w:sz w:val="24"/>
          <w:szCs w:val="24"/>
          <w14:ligatures w14:val="standardContextual"/>
        </w:rPr>
        <w:t>Sermoneta</w:t>
      </w:r>
      <w:proofErr w:type="spellEnd"/>
      <w:r w:rsidRPr="003521E9">
        <w:rPr>
          <w:rFonts w:asciiTheme="majorHAnsi" w:eastAsia="Calibri" w:hAnsiTheme="majorHAnsi" w:cstheme="majorHAnsi"/>
          <w:kern w:val="2"/>
          <w:sz w:val="24"/>
          <w:szCs w:val="24"/>
          <w14:ligatures w14:val="standardContextual"/>
        </w:rPr>
        <w:t xml:space="preserve">, 2020; </w:t>
      </w:r>
      <w:proofErr w:type="spellStart"/>
      <w:r w:rsidRPr="003521E9">
        <w:rPr>
          <w:rFonts w:asciiTheme="majorHAnsi" w:eastAsia="Calibri" w:hAnsiTheme="majorHAnsi" w:cstheme="majorHAnsi"/>
          <w:kern w:val="2"/>
          <w:sz w:val="24"/>
          <w:szCs w:val="24"/>
          <w14:ligatures w14:val="standardContextual"/>
        </w:rPr>
        <w:t>Benansio</w:t>
      </w:r>
      <w:proofErr w:type="spellEnd"/>
      <w:r w:rsidRPr="003521E9">
        <w:rPr>
          <w:rFonts w:asciiTheme="majorHAnsi" w:eastAsia="Calibri" w:hAnsiTheme="majorHAnsi" w:cstheme="majorHAnsi"/>
          <w:kern w:val="2"/>
          <w:sz w:val="24"/>
          <w:szCs w:val="24"/>
          <w14:ligatures w14:val="standardContextual"/>
        </w:rPr>
        <w:t xml:space="preserve"> et al., 2016; Pike et al., 2024). These initiatives generate higher financial gains and social standing, discouraging men from joining the seaweed farming workforce</w:t>
      </w:r>
      <w:r w:rsidR="00217B2B" w:rsidRPr="0025609D">
        <w:rPr>
          <w:rFonts w:asciiTheme="majorHAnsi" w:eastAsia="Calibri" w:hAnsiTheme="majorHAnsi" w:cstheme="majorHAnsi"/>
          <w:kern w:val="2"/>
          <w:sz w:val="24"/>
          <w:szCs w:val="24"/>
          <w14:ligatures w14:val="standardContextual"/>
        </w:rPr>
        <w:t xml:space="preserve">. </w:t>
      </w:r>
    </w:p>
    <w:p w14:paraId="635E3216"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Addressing men's participation in seaweed farming is challenging due to socio-cultural perspectives. These norms position men as primary breadwinners, expected to pursue activities with higher financial returns (</w:t>
      </w:r>
      <w:proofErr w:type="spellStart"/>
      <w:r w:rsidRPr="00576BB8">
        <w:rPr>
          <w:rFonts w:asciiTheme="majorHAnsi" w:eastAsia="Calibri" w:hAnsiTheme="majorHAnsi" w:cstheme="majorHAnsi"/>
          <w:kern w:val="2"/>
          <w:sz w:val="24"/>
          <w:szCs w:val="24"/>
          <w14:ligatures w14:val="standardContextual"/>
        </w:rPr>
        <w:t>Fröcklin</w:t>
      </w:r>
      <w:proofErr w:type="spellEnd"/>
      <w:r w:rsidRPr="00576BB8">
        <w:rPr>
          <w:rFonts w:asciiTheme="majorHAnsi" w:eastAsia="Calibri" w:hAnsiTheme="majorHAnsi" w:cstheme="majorHAnsi"/>
          <w:kern w:val="2"/>
          <w:sz w:val="24"/>
          <w:szCs w:val="24"/>
          <w14:ligatures w14:val="standardContextual"/>
        </w:rPr>
        <w:t xml:space="preserve"> et al., 2013). While seaweed farming offers steady income opportunities, it is seen as less lucrative than other economic initiatives men typically pursue (</w:t>
      </w:r>
      <w:proofErr w:type="spellStart"/>
      <w:r w:rsidRPr="00576BB8">
        <w:rPr>
          <w:rFonts w:asciiTheme="majorHAnsi" w:eastAsia="Calibri" w:hAnsiTheme="majorHAnsi" w:cstheme="majorHAnsi"/>
          <w:kern w:val="2"/>
          <w:sz w:val="24"/>
          <w:szCs w:val="24"/>
          <w14:ligatures w14:val="standardContextual"/>
        </w:rPr>
        <w:t>Msuya</w:t>
      </w:r>
      <w:proofErr w:type="spellEnd"/>
      <w:r w:rsidRPr="00576BB8">
        <w:rPr>
          <w:rFonts w:asciiTheme="majorHAnsi" w:eastAsia="Calibri" w:hAnsiTheme="majorHAnsi" w:cstheme="majorHAnsi"/>
          <w:kern w:val="2"/>
          <w:sz w:val="24"/>
          <w:szCs w:val="24"/>
          <w14:ligatures w14:val="standardContextual"/>
        </w:rPr>
        <w:t xml:space="preserve">, 2012). Moreover, access to resources such as capital, education, and technical support for men in this sector remains limited, further discouraging male involvement. These barriers not only impede male participation but also perpetuate traditional gender roles that restrict economic diversification within households. </w:t>
      </w:r>
    </w:p>
    <w:p w14:paraId="2FB46556"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The exclusion of men from seaweed farming has implications for the economic development of coastal communities. While the industry has empowered women, the potential to enhance household income through shared economic activities remains untapped. Men's involvement could significantly boost productivity and growth. This enhances household income diversification and economic resilience. This male participation could transform seaweed farming from a secondary industry to a primary economic activity, maximizing its impact on economic growth. It is crucial to recognize the importance of shared economic activities and the need for gender inclusivity in seaweed farming to harness its economic potential fully.</w:t>
      </w:r>
    </w:p>
    <w:p w14:paraId="36A06AEF"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Moreover, the structural barriers limiting men's participation go beyond cultural norms. Lack of access to capital, education, adequate funding, and technical support are issues that limit men's participation in the sector (</w:t>
      </w:r>
      <w:proofErr w:type="spellStart"/>
      <w:r w:rsidRPr="00576BB8">
        <w:rPr>
          <w:rFonts w:asciiTheme="majorHAnsi" w:eastAsia="Calibri" w:hAnsiTheme="majorHAnsi" w:cstheme="majorHAnsi"/>
          <w:kern w:val="2"/>
          <w:sz w:val="24"/>
          <w:szCs w:val="24"/>
          <w14:ligatures w14:val="standardContextual"/>
        </w:rPr>
        <w:t>Rubekie</w:t>
      </w:r>
      <w:proofErr w:type="spellEnd"/>
      <w:r w:rsidRPr="00576BB8">
        <w:rPr>
          <w:rFonts w:asciiTheme="majorHAnsi" w:eastAsia="Calibri" w:hAnsiTheme="majorHAnsi" w:cstheme="majorHAnsi"/>
          <w:kern w:val="2"/>
          <w:sz w:val="24"/>
          <w:szCs w:val="24"/>
          <w14:ligatures w14:val="standardContextual"/>
        </w:rPr>
        <w:t xml:space="preserve"> &amp; </w:t>
      </w:r>
      <w:proofErr w:type="spellStart"/>
      <w:r w:rsidRPr="00576BB8">
        <w:rPr>
          <w:rFonts w:asciiTheme="majorHAnsi" w:eastAsia="Calibri" w:hAnsiTheme="majorHAnsi" w:cstheme="majorHAnsi"/>
          <w:kern w:val="2"/>
          <w:sz w:val="24"/>
          <w:szCs w:val="24"/>
          <w14:ligatures w14:val="standardContextual"/>
        </w:rPr>
        <w:t>Bwathondi</w:t>
      </w:r>
      <w:proofErr w:type="spellEnd"/>
      <w:r w:rsidRPr="00576BB8">
        <w:rPr>
          <w:rFonts w:asciiTheme="majorHAnsi" w:eastAsia="Calibri" w:hAnsiTheme="majorHAnsi" w:cstheme="majorHAnsi"/>
          <w:kern w:val="2"/>
          <w:sz w:val="24"/>
          <w:szCs w:val="24"/>
          <w14:ligatures w14:val="standardContextual"/>
        </w:rPr>
        <w:t>, 2022). This can lead men to prefer other industries like fishing and tourism, which are more capital-intensive and socially regarded as more suitable for men. These structural barriers reinforce the notion that seaweed farming is not a viable or desirable option for men, further perpetuating their exclusion from this sector.</w:t>
      </w:r>
    </w:p>
    <w:p w14:paraId="433332BC"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lastRenderedPageBreak/>
        <w:t xml:space="preserve">This gendered division of </w:t>
      </w:r>
      <w:proofErr w:type="spellStart"/>
      <w:r w:rsidRPr="00576BB8">
        <w:rPr>
          <w:rFonts w:asciiTheme="majorHAnsi" w:eastAsia="Calibri" w:hAnsiTheme="majorHAnsi" w:cstheme="majorHAnsi"/>
          <w:kern w:val="2"/>
          <w:sz w:val="24"/>
          <w:szCs w:val="24"/>
          <w14:ligatures w14:val="standardContextual"/>
        </w:rPr>
        <w:t>labor</w:t>
      </w:r>
      <w:proofErr w:type="spellEnd"/>
      <w:r w:rsidRPr="00576BB8">
        <w:rPr>
          <w:rFonts w:asciiTheme="majorHAnsi" w:eastAsia="Calibri" w:hAnsiTheme="majorHAnsi" w:cstheme="majorHAnsi"/>
          <w:kern w:val="2"/>
          <w:sz w:val="24"/>
          <w:szCs w:val="24"/>
          <w14:ligatures w14:val="standardContextual"/>
        </w:rPr>
        <w:t xml:space="preserve"> affects the economic potential of seaweed farming and limits the opportunities for household income diversification. In households where men and women engage in diverse economic activities, income streams are stable and resilient against economic shocks (IMF, 2024). Seaweed farming could offer valuable diversification, especially with equal participation from both men and women. Nevertheless, the ongoing exclusion of men from seaweed farming limits these opportunities, constraining the economic benefits households and communities could otherwise enjoy.</w:t>
      </w:r>
    </w:p>
    <w:p w14:paraId="1E2E1CF5"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While a significant body of research has focused on women's empowerment through seaweed farming, a notable gap in the literature concerning the factors influencing men's participation remains. Addressing this concern is essential for fostering a more inclusive seaweed farming sector to maximize economic benefits for households and communities. Efforts to develop the seaweed farming industry in Zanzibar will likely remain constrained without addressing the challenges limiting men's participation. This constraint reduces opportunities for growth within the blue economy, gender equality, and economic resilience.</w:t>
      </w:r>
    </w:p>
    <w:p w14:paraId="6C2AC800" w14:textId="74554B57" w:rsidR="00217B2B" w:rsidRPr="0025609D"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Understanding the factors influencing men's participation in seaweed farming is vital for devising initiatives that promote gender equality and inclusivity in this industry. Researching factors influencing participation decisions can help bridge the participation gap and ensure that seaweed farming benefits the entire community. Therefore, this study addresses the gaps in exploring the factors influencing men's participation in seaweed farming in Zanzibar, Tanzania. Exploring this landscape can promote an inclusive and gender-balanced seaweed farming subsector. Promoting male participation can unlock the full economic potential of seaweed farming, thereby contributing to sustainable development and poverty alleviation in coastal communities.</w:t>
      </w:r>
    </w:p>
    <w:p w14:paraId="18880174" w14:textId="2897CA7F" w:rsidR="00834C4B" w:rsidRPr="0025609D" w:rsidRDefault="00C50A1F" w:rsidP="00217B2B">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Methods</w:t>
      </w:r>
    </w:p>
    <w:p w14:paraId="34AC6E7F" w14:textId="77777777" w:rsidR="00834C4B" w:rsidRPr="0025609D" w:rsidRDefault="00834C4B"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Research Design</w:t>
      </w:r>
    </w:p>
    <w:p w14:paraId="1A424B7B" w14:textId="77777777" w:rsidR="00DA4587" w:rsidRPr="0025609D" w:rsidRDefault="003B25C9"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This study utilized a cross-sectional research design to examine the </w:t>
      </w:r>
      <w:r w:rsidR="00661D9D" w:rsidRPr="0025609D">
        <w:rPr>
          <w:rFonts w:asciiTheme="majorHAnsi" w:eastAsia="Times New Roman" w:hAnsiTheme="majorHAnsi" w:cstheme="majorHAnsi"/>
          <w:sz w:val="24"/>
          <w:szCs w:val="24"/>
        </w:rPr>
        <w:t>factors influencing</w:t>
      </w:r>
      <w:r w:rsidRPr="0025609D">
        <w:rPr>
          <w:rFonts w:asciiTheme="majorHAnsi" w:eastAsia="Times New Roman" w:hAnsiTheme="majorHAnsi" w:cstheme="majorHAnsi"/>
          <w:sz w:val="24"/>
          <w:szCs w:val="24"/>
        </w:rPr>
        <w:t xml:space="preserve"> men's participation in seaweed farming in Zanzibar, Tanzania. The design was chosen because it allowed data collection si</w:t>
      </w:r>
      <w:r w:rsidR="000A7A92" w:rsidRPr="0025609D">
        <w:rPr>
          <w:rFonts w:asciiTheme="majorHAnsi" w:eastAsia="Times New Roman" w:hAnsiTheme="majorHAnsi" w:cstheme="majorHAnsi"/>
          <w:sz w:val="24"/>
          <w:szCs w:val="24"/>
        </w:rPr>
        <w:t>mu</w:t>
      </w:r>
      <w:r w:rsidRPr="0025609D">
        <w:rPr>
          <w:rFonts w:asciiTheme="majorHAnsi" w:eastAsia="Times New Roman" w:hAnsiTheme="majorHAnsi" w:cstheme="majorHAnsi"/>
          <w:sz w:val="24"/>
          <w:szCs w:val="24"/>
        </w:rPr>
        <w:t>lt</w:t>
      </w:r>
      <w:r w:rsidR="000A7A92" w:rsidRPr="0025609D">
        <w:rPr>
          <w:rFonts w:asciiTheme="majorHAnsi" w:eastAsia="Times New Roman" w:hAnsiTheme="majorHAnsi" w:cstheme="majorHAnsi"/>
          <w:sz w:val="24"/>
          <w:szCs w:val="24"/>
        </w:rPr>
        <w:t>an</w:t>
      </w:r>
      <w:r w:rsidRPr="0025609D">
        <w:rPr>
          <w:rFonts w:asciiTheme="majorHAnsi" w:eastAsia="Times New Roman" w:hAnsiTheme="majorHAnsi" w:cstheme="majorHAnsi"/>
          <w:sz w:val="24"/>
          <w:szCs w:val="24"/>
        </w:rPr>
        <w:t>e</w:t>
      </w:r>
      <w:r w:rsidR="000A7A92" w:rsidRPr="0025609D">
        <w:rPr>
          <w:rFonts w:asciiTheme="majorHAnsi" w:eastAsia="Times New Roman" w:hAnsiTheme="majorHAnsi" w:cstheme="majorHAnsi"/>
          <w:sz w:val="24"/>
          <w:szCs w:val="24"/>
        </w:rPr>
        <w:t>ously</w:t>
      </w:r>
      <w:r w:rsidRPr="0025609D">
        <w:rPr>
          <w:rFonts w:asciiTheme="majorHAnsi" w:eastAsia="Times New Roman" w:hAnsiTheme="majorHAnsi" w:cstheme="majorHAnsi"/>
          <w:sz w:val="24"/>
          <w:szCs w:val="24"/>
        </w:rPr>
        <w:t xml:space="preserve"> rather than over an extended period</w:t>
      </w:r>
      <w:r w:rsidR="000A7A92" w:rsidRPr="0025609D">
        <w:rPr>
          <w:rFonts w:asciiTheme="majorHAnsi" w:eastAsia="Times New Roman" w:hAnsiTheme="majorHAnsi" w:cstheme="majorHAnsi"/>
          <w:sz w:val="24"/>
          <w:szCs w:val="24"/>
        </w:rPr>
        <w:t xml:space="preserve"> (</w:t>
      </w:r>
      <w:proofErr w:type="spellStart"/>
      <w:r w:rsidR="000A7A92" w:rsidRPr="0025609D">
        <w:rPr>
          <w:rFonts w:asciiTheme="majorHAnsi" w:eastAsia="Times New Roman" w:hAnsiTheme="majorHAnsi" w:cstheme="majorHAnsi"/>
          <w:sz w:val="24"/>
          <w:szCs w:val="24"/>
        </w:rPr>
        <w:t>Sewando</w:t>
      </w:r>
      <w:proofErr w:type="spellEnd"/>
      <w:r w:rsidR="000A7A92" w:rsidRPr="0025609D">
        <w:rPr>
          <w:rFonts w:asciiTheme="majorHAnsi" w:eastAsia="Times New Roman" w:hAnsiTheme="majorHAnsi" w:cstheme="majorHAnsi"/>
          <w:sz w:val="24"/>
          <w:szCs w:val="24"/>
        </w:rPr>
        <w:t xml:space="preserve"> </w:t>
      </w:r>
      <w:r w:rsidR="000A7A92" w:rsidRPr="0025609D">
        <w:rPr>
          <w:rFonts w:asciiTheme="majorHAnsi" w:eastAsia="Times New Roman" w:hAnsiTheme="majorHAnsi" w:cstheme="majorHAnsi"/>
          <w:i/>
          <w:iCs/>
          <w:sz w:val="24"/>
          <w:szCs w:val="24"/>
        </w:rPr>
        <w:t>et al.,</w:t>
      </w:r>
      <w:r w:rsidR="000A7A92" w:rsidRPr="0025609D">
        <w:rPr>
          <w:rFonts w:asciiTheme="majorHAnsi" w:eastAsia="Times New Roman" w:hAnsiTheme="majorHAnsi" w:cstheme="majorHAnsi"/>
          <w:sz w:val="24"/>
          <w:szCs w:val="24"/>
        </w:rPr>
        <w:t xml:space="preserve"> 2022; </w:t>
      </w:r>
      <w:proofErr w:type="spellStart"/>
      <w:r w:rsidR="000A7A92" w:rsidRPr="0025609D">
        <w:rPr>
          <w:rFonts w:asciiTheme="majorHAnsi" w:eastAsia="Times New Roman" w:hAnsiTheme="majorHAnsi" w:cstheme="majorHAnsi"/>
          <w:sz w:val="24"/>
          <w:szCs w:val="24"/>
        </w:rPr>
        <w:t>Kilamlya</w:t>
      </w:r>
      <w:proofErr w:type="spellEnd"/>
      <w:r w:rsidR="000A7A92" w:rsidRPr="0025609D">
        <w:rPr>
          <w:rFonts w:asciiTheme="majorHAnsi" w:eastAsia="Times New Roman" w:hAnsiTheme="majorHAnsi" w:cstheme="majorHAnsi"/>
          <w:sz w:val="24"/>
          <w:szCs w:val="24"/>
        </w:rPr>
        <w:t xml:space="preserve"> &amp; </w:t>
      </w:r>
      <w:proofErr w:type="spellStart"/>
      <w:r w:rsidR="000A7A92" w:rsidRPr="0025609D">
        <w:rPr>
          <w:rFonts w:asciiTheme="majorHAnsi" w:eastAsia="Times New Roman" w:hAnsiTheme="majorHAnsi" w:cstheme="majorHAnsi"/>
          <w:sz w:val="24"/>
          <w:szCs w:val="24"/>
        </w:rPr>
        <w:t>Utonga</w:t>
      </w:r>
      <w:proofErr w:type="spellEnd"/>
      <w:r w:rsidR="000A7A92" w:rsidRPr="0025609D">
        <w:rPr>
          <w:rFonts w:asciiTheme="majorHAnsi" w:eastAsia="Times New Roman" w:hAnsiTheme="majorHAnsi" w:cstheme="majorHAnsi"/>
          <w:sz w:val="24"/>
          <w:szCs w:val="24"/>
        </w:rPr>
        <w:t>, 2024)</w:t>
      </w:r>
      <w:r w:rsidRPr="0025609D">
        <w:rPr>
          <w:rFonts w:asciiTheme="majorHAnsi" w:eastAsia="Times New Roman" w:hAnsiTheme="majorHAnsi" w:cstheme="majorHAnsi"/>
          <w:sz w:val="24"/>
          <w:szCs w:val="24"/>
        </w:rPr>
        <w:t xml:space="preserve">. This method is particularly effective for providing a snapshot of the </w:t>
      </w:r>
      <w:r w:rsidRPr="0025609D">
        <w:rPr>
          <w:rFonts w:asciiTheme="majorHAnsi" w:eastAsia="Times New Roman" w:hAnsiTheme="majorHAnsi" w:cstheme="majorHAnsi"/>
          <w:sz w:val="24"/>
          <w:szCs w:val="24"/>
        </w:rPr>
        <w:lastRenderedPageBreak/>
        <w:t xml:space="preserve">situation by capturing the current state of men's participation in seaweed farming, along with the various </w:t>
      </w:r>
      <w:r w:rsidR="00DA4587" w:rsidRPr="0025609D">
        <w:rPr>
          <w:rFonts w:asciiTheme="majorHAnsi" w:eastAsia="Times New Roman" w:hAnsiTheme="majorHAnsi" w:cstheme="majorHAnsi"/>
          <w:sz w:val="24"/>
          <w:szCs w:val="24"/>
        </w:rPr>
        <w:t>factors</w:t>
      </w:r>
      <w:r w:rsidRPr="0025609D">
        <w:rPr>
          <w:rFonts w:asciiTheme="majorHAnsi" w:eastAsia="Times New Roman" w:hAnsiTheme="majorHAnsi" w:cstheme="majorHAnsi"/>
          <w:sz w:val="24"/>
          <w:szCs w:val="24"/>
        </w:rPr>
        <w:t xml:space="preserve"> </w:t>
      </w:r>
      <w:r w:rsidR="00DA4587" w:rsidRPr="0025609D">
        <w:rPr>
          <w:rFonts w:asciiTheme="majorHAnsi" w:eastAsia="Times New Roman" w:hAnsiTheme="majorHAnsi" w:cstheme="majorHAnsi"/>
          <w:sz w:val="24"/>
          <w:szCs w:val="24"/>
        </w:rPr>
        <w:t>influencing</w:t>
      </w:r>
      <w:r w:rsidRPr="0025609D">
        <w:rPr>
          <w:rFonts w:asciiTheme="majorHAnsi" w:eastAsia="Times New Roman" w:hAnsiTheme="majorHAnsi" w:cstheme="majorHAnsi"/>
          <w:sz w:val="24"/>
          <w:szCs w:val="24"/>
        </w:rPr>
        <w:t xml:space="preserve"> it, all at once. The simultaneous data collection helps identify trends, relationships, and potential barriers or enablers that influence men’s involvement in this sector.</w:t>
      </w:r>
      <w:r w:rsidR="005218ED"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 xml:space="preserve">This approach is ideal when studying a specific phenomenon over a fixed period, as it offers a clear and efficient way to assess key factors in the context of seaweed farming without the need for long-term data tracking. </w:t>
      </w:r>
    </w:p>
    <w:p w14:paraId="6A9A70F1" w14:textId="038B838C" w:rsidR="00C10A02" w:rsidRPr="0025609D" w:rsidRDefault="00834C4B"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Study Area</w:t>
      </w:r>
    </w:p>
    <w:p w14:paraId="656F84B2" w14:textId="7B7C52D4" w:rsidR="00875FE2" w:rsidRPr="0025609D" w:rsidRDefault="00E662BB" w:rsidP="009F7AC2">
      <w:pPr>
        <w:spacing w:before="100" w:beforeAutospacing="1" w:after="100" w:afterAutospacing="1" w:line="360" w:lineRule="auto"/>
        <w:jc w:val="both"/>
        <w:rPr>
          <w:rFonts w:asciiTheme="majorHAnsi" w:eastAsia="Times New Roman" w:hAnsiTheme="majorHAnsi" w:cstheme="majorHAnsi"/>
          <w:sz w:val="24"/>
          <w:szCs w:val="24"/>
        </w:rPr>
      </w:pPr>
      <w:r w:rsidRPr="00E662BB">
        <w:rPr>
          <w:rFonts w:asciiTheme="majorHAnsi" w:eastAsia="Times New Roman" w:hAnsiTheme="majorHAnsi" w:cstheme="majorHAnsi"/>
          <w:sz w:val="24"/>
          <w:szCs w:val="24"/>
        </w:rPr>
        <w:t xml:space="preserve">The study was conducted in three coastal wards of Zanzibar—Paje, </w:t>
      </w:r>
      <w:proofErr w:type="spellStart"/>
      <w:r w:rsidRPr="00E662BB">
        <w:rPr>
          <w:rFonts w:asciiTheme="majorHAnsi" w:eastAsia="Times New Roman" w:hAnsiTheme="majorHAnsi" w:cstheme="majorHAnsi"/>
          <w:sz w:val="24"/>
          <w:szCs w:val="24"/>
        </w:rPr>
        <w:t>Bwejuu</w:t>
      </w:r>
      <w:proofErr w:type="spellEnd"/>
      <w:r w:rsidRPr="00E662BB">
        <w:rPr>
          <w:rFonts w:asciiTheme="majorHAnsi" w:eastAsia="Times New Roman" w:hAnsiTheme="majorHAnsi" w:cstheme="majorHAnsi"/>
          <w:sz w:val="24"/>
          <w:szCs w:val="24"/>
        </w:rPr>
        <w:t xml:space="preserve">, and </w:t>
      </w:r>
      <w:proofErr w:type="spellStart"/>
      <w:r w:rsidRPr="00E662BB">
        <w:rPr>
          <w:rFonts w:asciiTheme="majorHAnsi" w:eastAsia="Times New Roman" w:hAnsiTheme="majorHAnsi" w:cstheme="majorHAnsi"/>
          <w:sz w:val="24"/>
          <w:szCs w:val="24"/>
        </w:rPr>
        <w:t>Jambiani</w:t>
      </w:r>
      <w:proofErr w:type="spellEnd"/>
      <w:r w:rsidRPr="00E662BB">
        <w:rPr>
          <w:rFonts w:asciiTheme="majorHAnsi" w:eastAsia="Times New Roman" w:hAnsiTheme="majorHAnsi" w:cstheme="majorHAnsi"/>
          <w:sz w:val="24"/>
          <w:szCs w:val="24"/>
        </w:rPr>
        <w:t>—located on the southeast coast of Unguja Island. These wards are renowned for seaweed farming, a potential economic activity in Zanzibar (</w:t>
      </w:r>
      <w:proofErr w:type="spellStart"/>
      <w:r w:rsidRPr="00E662BB">
        <w:rPr>
          <w:rFonts w:asciiTheme="majorHAnsi" w:eastAsia="Times New Roman" w:hAnsiTheme="majorHAnsi" w:cstheme="majorHAnsi"/>
          <w:sz w:val="24"/>
          <w:szCs w:val="24"/>
        </w:rPr>
        <w:t>Kalumanga</w:t>
      </w:r>
      <w:proofErr w:type="spellEnd"/>
      <w:r w:rsidRPr="00E662BB">
        <w:rPr>
          <w:rFonts w:asciiTheme="majorHAnsi" w:eastAsia="Times New Roman" w:hAnsiTheme="majorHAnsi" w:cstheme="majorHAnsi"/>
          <w:sz w:val="24"/>
          <w:szCs w:val="24"/>
        </w:rPr>
        <w:t xml:space="preserve">, 2018). The areas were selected to examine the factors influencing men's participation in seaweed farming. This choice was based on their prominence in the industry and the socioeconomic and cultural dynamics that could create a conducive study environment. Paje and </w:t>
      </w:r>
      <w:proofErr w:type="spellStart"/>
      <w:r w:rsidRPr="00E662BB">
        <w:rPr>
          <w:rFonts w:asciiTheme="majorHAnsi" w:eastAsia="Times New Roman" w:hAnsiTheme="majorHAnsi" w:cstheme="majorHAnsi"/>
          <w:sz w:val="24"/>
          <w:szCs w:val="24"/>
        </w:rPr>
        <w:t>Bwejuu</w:t>
      </w:r>
      <w:proofErr w:type="spellEnd"/>
      <w:r w:rsidRPr="00E662BB">
        <w:rPr>
          <w:rFonts w:asciiTheme="majorHAnsi" w:eastAsia="Times New Roman" w:hAnsiTheme="majorHAnsi" w:cstheme="majorHAnsi"/>
          <w:sz w:val="24"/>
          <w:szCs w:val="24"/>
        </w:rPr>
        <w:t xml:space="preserve"> </w:t>
      </w:r>
      <w:proofErr w:type="spellStart"/>
      <w:r w:rsidRPr="00E662BB">
        <w:rPr>
          <w:rFonts w:asciiTheme="majorHAnsi" w:eastAsia="Times New Roman" w:hAnsiTheme="majorHAnsi" w:cstheme="majorHAnsi"/>
          <w:sz w:val="24"/>
          <w:szCs w:val="24"/>
        </w:rPr>
        <w:t>Jambiani</w:t>
      </w:r>
      <w:proofErr w:type="spellEnd"/>
      <w:r w:rsidRPr="00E662BB">
        <w:rPr>
          <w:rFonts w:asciiTheme="majorHAnsi" w:eastAsia="Times New Roman" w:hAnsiTheme="majorHAnsi" w:cstheme="majorHAnsi"/>
          <w:sz w:val="24"/>
          <w:szCs w:val="24"/>
        </w:rPr>
        <w:t xml:space="preserve"> are among the major seaweed producers in Zanzibar (Hamad &amp; Islam,2022; Largo et al., 2020).  These have a long history of seaweed farming in generating income. The economic dependence of these areas on seaweed farming makes them important sites for this study.</w:t>
      </w:r>
    </w:p>
    <w:p w14:paraId="4E2CCAFC" w14:textId="3D4A4616"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Target Population</w:t>
      </w:r>
    </w:p>
    <w:p w14:paraId="5B6F2EF8" w14:textId="0A051DB9" w:rsidR="00E33172" w:rsidRPr="0025609D" w:rsidRDefault="00175C05"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The </w:t>
      </w:r>
      <w:r w:rsidR="00F11F7B" w:rsidRPr="0025609D">
        <w:rPr>
          <w:rFonts w:asciiTheme="majorHAnsi" w:hAnsiTheme="majorHAnsi" w:cstheme="majorHAnsi"/>
          <w:sz w:val="24"/>
          <w:szCs w:val="24"/>
        </w:rPr>
        <w:t>s</w:t>
      </w:r>
      <w:r w:rsidRPr="0025609D">
        <w:rPr>
          <w:rFonts w:asciiTheme="majorHAnsi" w:hAnsiTheme="majorHAnsi" w:cstheme="majorHAnsi"/>
          <w:sz w:val="24"/>
          <w:szCs w:val="24"/>
        </w:rPr>
        <w:t>t</w:t>
      </w:r>
      <w:r w:rsidR="00F11F7B" w:rsidRPr="0025609D">
        <w:rPr>
          <w:rFonts w:asciiTheme="majorHAnsi" w:hAnsiTheme="majorHAnsi" w:cstheme="majorHAnsi"/>
          <w:sz w:val="24"/>
          <w:szCs w:val="24"/>
        </w:rPr>
        <w:t>udy</w:t>
      </w:r>
      <w:r w:rsidRPr="0025609D">
        <w:rPr>
          <w:rFonts w:asciiTheme="majorHAnsi" w:hAnsiTheme="majorHAnsi" w:cstheme="majorHAnsi"/>
          <w:sz w:val="24"/>
          <w:szCs w:val="24"/>
        </w:rPr>
        <w:t xml:space="preserve"> </w:t>
      </w:r>
      <w:r w:rsidR="00F11F7B" w:rsidRPr="0025609D">
        <w:rPr>
          <w:rFonts w:asciiTheme="majorHAnsi" w:hAnsiTheme="majorHAnsi" w:cstheme="majorHAnsi"/>
          <w:sz w:val="24"/>
          <w:szCs w:val="24"/>
        </w:rPr>
        <w:t>f</w:t>
      </w:r>
      <w:r w:rsidRPr="0025609D">
        <w:rPr>
          <w:rFonts w:asciiTheme="majorHAnsi" w:hAnsiTheme="majorHAnsi" w:cstheme="majorHAnsi"/>
          <w:sz w:val="24"/>
          <w:szCs w:val="24"/>
        </w:rPr>
        <w:t>o</w:t>
      </w:r>
      <w:r w:rsidR="00F11F7B" w:rsidRPr="0025609D">
        <w:rPr>
          <w:rFonts w:asciiTheme="majorHAnsi" w:hAnsiTheme="majorHAnsi" w:cstheme="majorHAnsi"/>
          <w:sz w:val="24"/>
          <w:szCs w:val="24"/>
        </w:rPr>
        <w:t>c</w:t>
      </w:r>
      <w:r w:rsidRPr="0025609D">
        <w:rPr>
          <w:rFonts w:asciiTheme="majorHAnsi" w:hAnsiTheme="majorHAnsi" w:cstheme="majorHAnsi"/>
          <w:sz w:val="24"/>
          <w:szCs w:val="24"/>
        </w:rPr>
        <w:t>u</w:t>
      </w:r>
      <w:r w:rsidR="00F11F7B" w:rsidRPr="0025609D">
        <w:rPr>
          <w:rFonts w:asciiTheme="majorHAnsi" w:hAnsiTheme="majorHAnsi" w:cstheme="majorHAnsi"/>
          <w:sz w:val="24"/>
          <w:szCs w:val="24"/>
        </w:rPr>
        <w:t xml:space="preserve">sed </w:t>
      </w:r>
      <w:r w:rsidRPr="0025609D">
        <w:rPr>
          <w:rFonts w:asciiTheme="majorHAnsi" w:hAnsiTheme="majorHAnsi" w:cstheme="majorHAnsi"/>
          <w:sz w:val="24"/>
          <w:szCs w:val="24"/>
        </w:rPr>
        <w:t>on a</w:t>
      </w:r>
      <w:r w:rsidR="00F11F7B" w:rsidRPr="0025609D">
        <w:rPr>
          <w:rFonts w:asciiTheme="majorHAnsi" w:hAnsiTheme="majorHAnsi" w:cstheme="majorHAnsi"/>
          <w:sz w:val="24"/>
          <w:szCs w:val="24"/>
        </w:rPr>
        <w:t>dult</w:t>
      </w:r>
      <w:r w:rsidRPr="0025609D">
        <w:rPr>
          <w:rFonts w:asciiTheme="majorHAnsi" w:hAnsiTheme="majorHAnsi" w:cstheme="majorHAnsi"/>
          <w:sz w:val="24"/>
          <w:szCs w:val="24"/>
        </w:rPr>
        <w:t xml:space="preserve"> </w:t>
      </w:r>
      <w:r w:rsidRPr="0025609D">
        <w:rPr>
          <w:rFonts w:asciiTheme="majorHAnsi" w:hAnsiTheme="majorHAnsi" w:cstheme="majorHAnsi"/>
          <w:bCs/>
          <w:sz w:val="24"/>
          <w:szCs w:val="24"/>
        </w:rPr>
        <w:t>males (aged 18 and o</w:t>
      </w:r>
      <w:r w:rsidR="00F11F7B" w:rsidRPr="0025609D">
        <w:rPr>
          <w:rFonts w:asciiTheme="majorHAnsi" w:hAnsiTheme="majorHAnsi" w:cstheme="majorHAnsi"/>
          <w:bCs/>
          <w:sz w:val="24"/>
          <w:szCs w:val="24"/>
        </w:rPr>
        <w:t>ld</w:t>
      </w:r>
      <w:r w:rsidRPr="0025609D">
        <w:rPr>
          <w:rFonts w:asciiTheme="majorHAnsi" w:hAnsiTheme="majorHAnsi" w:cstheme="majorHAnsi"/>
          <w:bCs/>
          <w:sz w:val="24"/>
          <w:szCs w:val="24"/>
        </w:rPr>
        <w:t>e</w:t>
      </w:r>
      <w:r w:rsidR="00F11F7B" w:rsidRPr="0025609D">
        <w:rPr>
          <w:rFonts w:asciiTheme="majorHAnsi" w:hAnsiTheme="majorHAnsi" w:cstheme="majorHAnsi"/>
          <w:bCs/>
          <w:sz w:val="24"/>
          <w:szCs w:val="24"/>
        </w:rPr>
        <w:t>r</w:t>
      </w:r>
      <w:r w:rsidRPr="0025609D">
        <w:rPr>
          <w:rFonts w:asciiTheme="majorHAnsi" w:hAnsiTheme="majorHAnsi" w:cstheme="majorHAnsi"/>
          <w:bCs/>
          <w:sz w:val="24"/>
          <w:szCs w:val="24"/>
        </w:rPr>
        <w:t>)</w:t>
      </w:r>
      <w:r w:rsidRPr="0025609D">
        <w:rPr>
          <w:rFonts w:asciiTheme="majorHAnsi" w:hAnsiTheme="majorHAnsi" w:cstheme="majorHAnsi"/>
          <w:sz w:val="24"/>
          <w:szCs w:val="24"/>
        </w:rPr>
        <w:t xml:space="preserve"> </w:t>
      </w:r>
      <w:r w:rsidR="00F11F7B" w:rsidRPr="0025609D">
        <w:rPr>
          <w:rFonts w:asciiTheme="majorHAnsi" w:hAnsiTheme="majorHAnsi" w:cstheme="majorHAnsi"/>
          <w:sz w:val="24"/>
          <w:szCs w:val="24"/>
        </w:rPr>
        <w:t>l</w:t>
      </w:r>
      <w:r w:rsidRPr="0025609D">
        <w:rPr>
          <w:rFonts w:asciiTheme="majorHAnsi" w:hAnsiTheme="majorHAnsi" w:cstheme="majorHAnsi"/>
          <w:sz w:val="24"/>
          <w:szCs w:val="24"/>
        </w:rPr>
        <w:t>i</w:t>
      </w:r>
      <w:r w:rsidR="00F11F7B" w:rsidRPr="0025609D">
        <w:rPr>
          <w:rFonts w:asciiTheme="majorHAnsi" w:hAnsiTheme="majorHAnsi" w:cstheme="majorHAnsi"/>
          <w:sz w:val="24"/>
          <w:szCs w:val="24"/>
        </w:rPr>
        <w:t>v</w:t>
      </w:r>
      <w:r w:rsidRPr="0025609D">
        <w:rPr>
          <w:rFonts w:asciiTheme="majorHAnsi" w:hAnsiTheme="majorHAnsi" w:cstheme="majorHAnsi"/>
          <w:sz w:val="24"/>
          <w:szCs w:val="24"/>
        </w:rPr>
        <w:t xml:space="preserve">ing in coastal communities where seaweed farming is </w:t>
      </w:r>
      <w:r w:rsidR="00F11F7B" w:rsidRPr="0025609D">
        <w:rPr>
          <w:rFonts w:asciiTheme="majorHAnsi" w:hAnsiTheme="majorHAnsi" w:cstheme="majorHAnsi"/>
          <w:sz w:val="24"/>
          <w:szCs w:val="24"/>
        </w:rPr>
        <w:t>commo</w:t>
      </w:r>
      <w:r w:rsidRPr="0025609D">
        <w:rPr>
          <w:rFonts w:asciiTheme="majorHAnsi" w:hAnsiTheme="majorHAnsi" w:cstheme="majorHAnsi"/>
          <w:sz w:val="24"/>
          <w:szCs w:val="24"/>
        </w:rPr>
        <w:t xml:space="preserve">n. </w:t>
      </w:r>
      <w:r w:rsidR="00F11F7B" w:rsidRPr="0025609D">
        <w:rPr>
          <w:rFonts w:asciiTheme="majorHAnsi" w:hAnsiTheme="majorHAnsi" w:cstheme="majorHAnsi"/>
          <w:sz w:val="24"/>
          <w:szCs w:val="24"/>
        </w:rPr>
        <w:t>In a</w:t>
      </w:r>
      <w:r w:rsidR="0068772C" w:rsidRPr="0025609D">
        <w:rPr>
          <w:rFonts w:asciiTheme="majorHAnsi" w:hAnsiTheme="majorHAnsi" w:cstheme="majorHAnsi"/>
          <w:sz w:val="24"/>
          <w:szCs w:val="24"/>
        </w:rPr>
        <w:t>ddition, key informants such as local leaders, extension officers, and representatives from seaweed farming associations were included to p</w:t>
      </w:r>
      <w:r w:rsidR="00F11F7B" w:rsidRPr="0025609D">
        <w:rPr>
          <w:rFonts w:asciiTheme="majorHAnsi" w:hAnsiTheme="majorHAnsi" w:cstheme="majorHAnsi"/>
          <w:sz w:val="24"/>
          <w:szCs w:val="24"/>
        </w:rPr>
        <w:t>rovid</w:t>
      </w:r>
      <w:r w:rsidR="0068772C" w:rsidRPr="0025609D">
        <w:rPr>
          <w:rFonts w:asciiTheme="majorHAnsi" w:hAnsiTheme="majorHAnsi" w:cstheme="majorHAnsi"/>
          <w:sz w:val="24"/>
          <w:szCs w:val="24"/>
        </w:rPr>
        <w:t xml:space="preserve">e </w:t>
      </w:r>
      <w:r w:rsidR="00F11F7B" w:rsidRPr="0025609D">
        <w:rPr>
          <w:rFonts w:asciiTheme="majorHAnsi" w:hAnsiTheme="majorHAnsi" w:cstheme="majorHAnsi"/>
          <w:sz w:val="24"/>
          <w:szCs w:val="24"/>
        </w:rPr>
        <w:t>addi</w:t>
      </w:r>
      <w:r w:rsidR="0068772C" w:rsidRPr="0025609D">
        <w:rPr>
          <w:rFonts w:asciiTheme="majorHAnsi" w:hAnsiTheme="majorHAnsi" w:cstheme="majorHAnsi"/>
          <w:sz w:val="24"/>
          <w:szCs w:val="24"/>
        </w:rPr>
        <w:t>t</w:t>
      </w:r>
      <w:r w:rsidR="00F11F7B" w:rsidRPr="0025609D">
        <w:rPr>
          <w:rFonts w:asciiTheme="majorHAnsi" w:hAnsiTheme="majorHAnsi" w:cstheme="majorHAnsi"/>
          <w:sz w:val="24"/>
          <w:szCs w:val="24"/>
        </w:rPr>
        <w:t>ional</w:t>
      </w:r>
      <w:r w:rsidR="0068772C" w:rsidRPr="0025609D">
        <w:rPr>
          <w:rFonts w:asciiTheme="majorHAnsi" w:hAnsiTheme="majorHAnsi" w:cstheme="majorHAnsi"/>
          <w:sz w:val="24"/>
          <w:szCs w:val="24"/>
        </w:rPr>
        <w:t xml:space="preserve"> information</w:t>
      </w:r>
      <w:r w:rsidR="00F11F7B" w:rsidRPr="0025609D">
        <w:rPr>
          <w:rFonts w:asciiTheme="majorHAnsi" w:hAnsiTheme="majorHAnsi" w:cstheme="majorHAnsi"/>
          <w:sz w:val="24"/>
          <w:szCs w:val="24"/>
        </w:rPr>
        <w:t xml:space="preserve"> for the study</w:t>
      </w:r>
      <w:r w:rsidRPr="0025609D">
        <w:rPr>
          <w:rFonts w:asciiTheme="majorHAnsi" w:hAnsiTheme="majorHAnsi" w:cstheme="majorHAnsi"/>
          <w:sz w:val="24"/>
          <w:szCs w:val="24"/>
        </w:rPr>
        <w:t>.</w:t>
      </w:r>
    </w:p>
    <w:p w14:paraId="2A389232" w14:textId="2C1C7988"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Sample Size and Sampling Technique</w:t>
      </w:r>
    </w:p>
    <w:p w14:paraId="3DC17C4D" w14:textId="6794D5E1" w:rsidR="000E7DD3" w:rsidRPr="0025609D" w:rsidRDefault="000E7DD3" w:rsidP="008E6021">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 xml:space="preserve">The study employed a sample size of 150 men. Due to the absence of reliable data on the total number of men engaged in or excluded from seaweed farming, the sample was evenly distributed across three wards: Paje, </w:t>
      </w:r>
      <w:proofErr w:type="spellStart"/>
      <w:r w:rsidRPr="0025609D">
        <w:rPr>
          <w:rFonts w:asciiTheme="majorHAnsi" w:hAnsiTheme="majorHAnsi" w:cstheme="majorHAnsi"/>
          <w:bCs/>
          <w:sz w:val="24"/>
          <w:szCs w:val="24"/>
        </w:rPr>
        <w:t>Bwejuu</w:t>
      </w:r>
      <w:proofErr w:type="spellEnd"/>
      <w:r w:rsidRPr="0025609D">
        <w:rPr>
          <w:rFonts w:asciiTheme="majorHAnsi" w:hAnsiTheme="majorHAnsi" w:cstheme="majorHAnsi"/>
          <w:bCs/>
          <w:sz w:val="24"/>
          <w:szCs w:val="24"/>
        </w:rPr>
        <w:t xml:space="preserve">, and </w:t>
      </w:r>
      <w:proofErr w:type="spellStart"/>
      <w:r w:rsidRPr="0025609D">
        <w:rPr>
          <w:rFonts w:asciiTheme="majorHAnsi" w:hAnsiTheme="majorHAnsi" w:cstheme="majorHAnsi"/>
          <w:bCs/>
          <w:sz w:val="24"/>
          <w:szCs w:val="24"/>
        </w:rPr>
        <w:t>Jambiani</w:t>
      </w:r>
      <w:proofErr w:type="spellEnd"/>
      <w:r w:rsidRPr="0025609D">
        <w:rPr>
          <w:rFonts w:asciiTheme="majorHAnsi" w:hAnsiTheme="majorHAnsi" w:cstheme="majorHAnsi"/>
          <w:bCs/>
          <w:sz w:val="24"/>
          <w:szCs w:val="24"/>
        </w:rPr>
        <w:t>. We used simple random sampling to ensure fair and unbiased representation, selecting 50 men from each ward. This method was chosen to avoid selection bias and capture a balanced perspective on seaweed farmers and non-participants, allowing for more robust comparisons across the groups.</w:t>
      </w:r>
    </w:p>
    <w:p w14:paraId="4C67A443" w14:textId="5111F436"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lastRenderedPageBreak/>
        <w:t>Data Collection Methods</w:t>
      </w:r>
    </w:p>
    <w:p w14:paraId="593AD7BE" w14:textId="2BA5591D" w:rsidR="00303D3D" w:rsidRPr="0025609D" w:rsidRDefault="00303D3D" w:rsidP="0065304A">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A survey was co</w:t>
      </w:r>
      <w:r w:rsidR="002F05D7" w:rsidRPr="0025609D">
        <w:rPr>
          <w:rFonts w:asciiTheme="majorHAnsi" w:hAnsiTheme="majorHAnsi" w:cstheme="majorHAnsi"/>
          <w:sz w:val="24"/>
          <w:szCs w:val="24"/>
        </w:rPr>
        <w:t>nd</w:t>
      </w:r>
      <w:r w:rsidRPr="0025609D">
        <w:rPr>
          <w:rFonts w:asciiTheme="majorHAnsi" w:hAnsiTheme="majorHAnsi" w:cstheme="majorHAnsi"/>
          <w:sz w:val="24"/>
          <w:szCs w:val="24"/>
        </w:rPr>
        <w:t>u</w:t>
      </w:r>
      <w:r w:rsidR="002F05D7" w:rsidRPr="0025609D">
        <w:rPr>
          <w:rFonts w:asciiTheme="majorHAnsi" w:hAnsiTheme="majorHAnsi" w:cstheme="majorHAnsi"/>
          <w:sz w:val="24"/>
          <w:szCs w:val="24"/>
        </w:rPr>
        <w:t>c</w:t>
      </w:r>
      <w:r w:rsidRPr="0025609D">
        <w:rPr>
          <w:rFonts w:asciiTheme="majorHAnsi" w:hAnsiTheme="majorHAnsi" w:cstheme="majorHAnsi"/>
          <w:sz w:val="24"/>
          <w:szCs w:val="24"/>
        </w:rPr>
        <w:t>t</w:t>
      </w:r>
      <w:r w:rsidR="002F05D7" w:rsidRPr="0025609D">
        <w:rPr>
          <w:rFonts w:asciiTheme="majorHAnsi" w:hAnsiTheme="majorHAnsi" w:cstheme="majorHAnsi"/>
          <w:sz w:val="24"/>
          <w:szCs w:val="24"/>
        </w:rPr>
        <w:t>ed</w:t>
      </w:r>
      <w:r w:rsidRPr="0025609D">
        <w:rPr>
          <w:rFonts w:asciiTheme="majorHAnsi" w:hAnsiTheme="majorHAnsi" w:cstheme="majorHAnsi"/>
          <w:sz w:val="24"/>
          <w:szCs w:val="24"/>
        </w:rPr>
        <w:t xml:space="preserve"> among 150 male respondents to gather demographic information and socio-economic data, including education, income, and resource</w:t>
      </w:r>
      <w:r w:rsidR="002F05D7" w:rsidRPr="0025609D">
        <w:rPr>
          <w:rFonts w:asciiTheme="majorHAnsi" w:hAnsiTheme="majorHAnsi" w:cstheme="majorHAnsi"/>
          <w:sz w:val="24"/>
          <w:szCs w:val="24"/>
        </w:rPr>
        <w:t xml:space="preserve"> acces</w:t>
      </w:r>
      <w:r w:rsidRPr="0025609D">
        <w:rPr>
          <w:rFonts w:asciiTheme="majorHAnsi" w:hAnsiTheme="majorHAnsi" w:cstheme="majorHAnsi"/>
          <w:sz w:val="24"/>
          <w:szCs w:val="24"/>
        </w:rPr>
        <w:t>s. The survey featured a mix of closed-ended and open-ended questions to capture a wide range of responses. It specifically aimed to gather information on demographic characteristics such as age, education level, marital status, and occupation. Additionally, it sought to understand the factors influencing participation in seaweed farming, encompassing cultural norms, economic challenges, and environmental constraints.</w:t>
      </w:r>
    </w:p>
    <w:p w14:paraId="1BC2F642" w14:textId="49C89247" w:rsidR="0065304A" w:rsidRPr="0025609D" w:rsidRDefault="0065304A" w:rsidP="0065304A">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Ethical Considerations</w:t>
      </w:r>
    </w:p>
    <w:p w14:paraId="031CA870" w14:textId="3A4AFCC4" w:rsidR="005C2E7E" w:rsidRPr="0025609D" w:rsidRDefault="005C2E7E"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Before collecting data, we obtained e</w:t>
      </w:r>
      <w:r w:rsidR="0065304A" w:rsidRPr="0025609D">
        <w:rPr>
          <w:rFonts w:asciiTheme="majorHAnsi" w:hAnsiTheme="majorHAnsi" w:cstheme="majorHAnsi"/>
          <w:sz w:val="24"/>
          <w:szCs w:val="24"/>
        </w:rPr>
        <w:t xml:space="preserve">thical approval from </w:t>
      </w:r>
      <w:r w:rsidRPr="0025609D">
        <w:rPr>
          <w:rFonts w:asciiTheme="majorHAnsi" w:hAnsiTheme="majorHAnsi" w:cstheme="majorHAnsi"/>
          <w:sz w:val="24"/>
          <w:szCs w:val="24"/>
        </w:rPr>
        <w:t>the</w:t>
      </w:r>
      <w:r w:rsidR="00790523" w:rsidRPr="0025609D">
        <w:rPr>
          <w:rFonts w:asciiTheme="majorHAnsi" w:hAnsiTheme="majorHAnsi" w:cstheme="majorHAnsi"/>
          <w:sz w:val="24"/>
          <w:szCs w:val="24"/>
        </w:rPr>
        <w:t xml:space="preserve"> South District </w:t>
      </w:r>
      <w:r w:rsidR="000362B6" w:rsidRPr="0025609D">
        <w:rPr>
          <w:rFonts w:asciiTheme="majorHAnsi" w:hAnsiTheme="majorHAnsi" w:cstheme="majorHAnsi"/>
          <w:sz w:val="24"/>
          <w:szCs w:val="24"/>
        </w:rPr>
        <w:t>C</w:t>
      </w:r>
      <w:r w:rsidR="00790523" w:rsidRPr="0025609D">
        <w:rPr>
          <w:rFonts w:asciiTheme="majorHAnsi" w:hAnsiTheme="majorHAnsi" w:cstheme="majorHAnsi"/>
          <w:sz w:val="24"/>
          <w:szCs w:val="24"/>
        </w:rPr>
        <w:t xml:space="preserve">ouncil in the South Unguja Region, </w:t>
      </w:r>
      <w:r w:rsidR="000362B6" w:rsidRPr="0025609D">
        <w:rPr>
          <w:rFonts w:asciiTheme="majorHAnsi" w:hAnsiTheme="majorHAnsi" w:cstheme="majorHAnsi"/>
          <w:sz w:val="24"/>
          <w:szCs w:val="24"/>
        </w:rPr>
        <w:t>Zanzibar</w:t>
      </w:r>
      <w:r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W</w:t>
      </w:r>
      <w:r w:rsidR="0065304A" w:rsidRPr="0025609D">
        <w:rPr>
          <w:rFonts w:asciiTheme="majorHAnsi" w:hAnsiTheme="majorHAnsi" w:cstheme="majorHAnsi"/>
          <w:sz w:val="24"/>
          <w:szCs w:val="24"/>
        </w:rPr>
        <w:t>e</w:t>
      </w:r>
      <w:r w:rsidRPr="0025609D">
        <w:rPr>
          <w:rFonts w:asciiTheme="majorHAnsi" w:hAnsiTheme="majorHAnsi" w:cstheme="majorHAnsi"/>
          <w:sz w:val="24"/>
          <w:szCs w:val="24"/>
        </w:rPr>
        <w:t xml:space="preserve"> ensu</w:t>
      </w:r>
      <w:r w:rsidR="0065304A" w:rsidRPr="0025609D">
        <w:rPr>
          <w:rFonts w:asciiTheme="majorHAnsi" w:hAnsiTheme="majorHAnsi" w:cstheme="majorHAnsi"/>
          <w:sz w:val="24"/>
          <w:szCs w:val="24"/>
        </w:rPr>
        <w:t>re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65304A" w:rsidRPr="0025609D">
        <w:rPr>
          <w:rFonts w:asciiTheme="majorHAnsi" w:hAnsiTheme="majorHAnsi" w:cstheme="majorHAnsi"/>
          <w:sz w:val="24"/>
          <w:szCs w:val="24"/>
        </w:rPr>
        <w:t xml:space="preserve">at </w:t>
      </w:r>
      <w:r w:rsidRPr="0025609D">
        <w:rPr>
          <w:rFonts w:asciiTheme="majorHAnsi" w:hAnsiTheme="majorHAnsi" w:cstheme="majorHAnsi"/>
          <w:sz w:val="24"/>
          <w:szCs w:val="24"/>
        </w:rPr>
        <w:t>a</w:t>
      </w:r>
      <w:r w:rsidR="0065304A" w:rsidRPr="0025609D">
        <w:rPr>
          <w:rFonts w:asciiTheme="majorHAnsi" w:hAnsiTheme="majorHAnsi" w:cstheme="majorHAnsi"/>
          <w:sz w:val="24"/>
          <w:szCs w:val="24"/>
        </w:rPr>
        <w:t>ll</w:t>
      </w:r>
      <w:r w:rsidRPr="0025609D">
        <w:rPr>
          <w:rFonts w:asciiTheme="majorHAnsi" w:hAnsiTheme="majorHAnsi" w:cstheme="majorHAnsi"/>
          <w:sz w:val="24"/>
          <w:szCs w:val="24"/>
        </w:rPr>
        <w:t xml:space="preserve"> par</w:t>
      </w:r>
      <w:r w:rsidR="0065304A" w:rsidRPr="0025609D">
        <w:rPr>
          <w:rFonts w:asciiTheme="majorHAnsi" w:hAnsiTheme="majorHAnsi" w:cstheme="majorHAnsi"/>
          <w:sz w:val="24"/>
          <w:szCs w:val="24"/>
        </w:rPr>
        <w:t>ti</w:t>
      </w:r>
      <w:r w:rsidRPr="0025609D">
        <w:rPr>
          <w:rFonts w:asciiTheme="majorHAnsi" w:hAnsiTheme="majorHAnsi" w:cstheme="majorHAnsi"/>
          <w:sz w:val="24"/>
          <w:szCs w:val="24"/>
        </w:rPr>
        <w:t>cipa</w:t>
      </w:r>
      <w:r w:rsidR="0065304A" w:rsidRPr="0025609D">
        <w:rPr>
          <w:rFonts w:asciiTheme="majorHAnsi" w:hAnsiTheme="majorHAnsi" w:cstheme="majorHAnsi"/>
          <w:sz w:val="24"/>
          <w:szCs w:val="24"/>
        </w:rPr>
        <w:t>n</w:t>
      </w:r>
      <w:r w:rsidRPr="0025609D">
        <w:rPr>
          <w:rFonts w:asciiTheme="majorHAnsi" w:hAnsiTheme="majorHAnsi" w:cstheme="majorHAnsi"/>
          <w:sz w:val="24"/>
          <w:szCs w:val="24"/>
        </w:rPr>
        <w:t>ts</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provid</w:t>
      </w:r>
      <w:r w:rsidR="0065304A" w:rsidRPr="0025609D">
        <w:rPr>
          <w:rFonts w:asciiTheme="majorHAnsi" w:hAnsiTheme="majorHAnsi" w:cstheme="majorHAnsi"/>
          <w:sz w:val="24"/>
          <w:szCs w:val="24"/>
        </w:rPr>
        <w:t>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i</w:t>
      </w:r>
      <w:r w:rsidR="0065304A" w:rsidRPr="0025609D">
        <w:rPr>
          <w:rFonts w:asciiTheme="majorHAnsi" w:hAnsiTheme="majorHAnsi" w:cstheme="majorHAnsi"/>
          <w:sz w:val="24"/>
          <w:szCs w:val="24"/>
        </w:rPr>
        <w:t>nformed consent</w:t>
      </w:r>
      <w:r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u</w:t>
      </w:r>
      <w:r w:rsidR="0065304A" w:rsidRPr="0025609D">
        <w:rPr>
          <w:rFonts w:asciiTheme="majorHAnsi" w:hAnsiTheme="majorHAnsi" w:cstheme="majorHAnsi"/>
          <w:sz w:val="24"/>
          <w:szCs w:val="24"/>
        </w:rPr>
        <w:t>nd</w:t>
      </w:r>
      <w:r w:rsidRPr="0025609D">
        <w:rPr>
          <w:rFonts w:asciiTheme="majorHAnsi" w:hAnsiTheme="majorHAnsi" w:cstheme="majorHAnsi"/>
          <w:sz w:val="24"/>
          <w:szCs w:val="24"/>
        </w:rPr>
        <w:t>e</w:t>
      </w:r>
      <w:r w:rsidR="0065304A" w:rsidRPr="0025609D">
        <w:rPr>
          <w:rFonts w:asciiTheme="majorHAnsi" w:hAnsiTheme="majorHAnsi" w:cstheme="majorHAnsi"/>
          <w:sz w:val="24"/>
          <w:szCs w:val="24"/>
        </w:rPr>
        <w:t>r</w:t>
      </w:r>
      <w:r w:rsidRPr="0025609D">
        <w:rPr>
          <w:rFonts w:asciiTheme="majorHAnsi" w:hAnsiTheme="majorHAnsi" w:cstheme="majorHAnsi"/>
          <w:sz w:val="24"/>
          <w:szCs w:val="24"/>
        </w:rPr>
        <w:t>s</w:t>
      </w:r>
      <w:r w:rsidR="0065304A" w:rsidRPr="0025609D">
        <w:rPr>
          <w:rFonts w:asciiTheme="majorHAnsi" w:hAnsiTheme="majorHAnsi" w:cstheme="majorHAnsi"/>
          <w:sz w:val="24"/>
          <w:szCs w:val="24"/>
        </w:rPr>
        <w:t>t</w:t>
      </w:r>
      <w:r w:rsidR="000362B6" w:rsidRPr="0025609D">
        <w:rPr>
          <w:rFonts w:asciiTheme="majorHAnsi" w:hAnsiTheme="majorHAnsi" w:cstheme="majorHAnsi"/>
          <w:sz w:val="24"/>
          <w:szCs w:val="24"/>
        </w:rPr>
        <w:t>oo</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the </w:t>
      </w:r>
      <w:r w:rsidRPr="0025609D">
        <w:rPr>
          <w:rFonts w:asciiTheme="majorHAnsi" w:hAnsiTheme="majorHAnsi" w:cstheme="majorHAnsi"/>
          <w:sz w:val="24"/>
          <w:szCs w:val="24"/>
        </w:rPr>
        <w:t>p</w:t>
      </w:r>
      <w:r w:rsidR="0065304A" w:rsidRPr="0025609D">
        <w:rPr>
          <w:rFonts w:asciiTheme="majorHAnsi" w:hAnsiTheme="majorHAnsi" w:cstheme="majorHAnsi"/>
          <w:sz w:val="24"/>
          <w:szCs w:val="24"/>
        </w:rPr>
        <w:t>ur</w:t>
      </w:r>
      <w:r w:rsidRPr="0025609D">
        <w:rPr>
          <w:rFonts w:asciiTheme="majorHAnsi" w:hAnsiTheme="majorHAnsi" w:cstheme="majorHAnsi"/>
          <w:sz w:val="24"/>
          <w:szCs w:val="24"/>
        </w:rPr>
        <w:t>po</w:t>
      </w:r>
      <w:r w:rsidR="0065304A" w:rsidRPr="0025609D">
        <w:rPr>
          <w:rFonts w:asciiTheme="majorHAnsi" w:hAnsiTheme="majorHAnsi" w:cstheme="majorHAnsi"/>
          <w:sz w:val="24"/>
          <w:szCs w:val="24"/>
        </w:rPr>
        <w:t>s</w:t>
      </w:r>
      <w:r w:rsidRPr="0025609D">
        <w:rPr>
          <w:rFonts w:asciiTheme="majorHAnsi" w:hAnsiTheme="majorHAnsi" w:cstheme="majorHAnsi"/>
          <w:sz w:val="24"/>
          <w:szCs w:val="24"/>
        </w:rPr>
        <w:t xml:space="preserve">e </w:t>
      </w:r>
      <w:r w:rsidR="0065304A" w:rsidRPr="0025609D">
        <w:rPr>
          <w:rFonts w:asciiTheme="majorHAnsi" w:hAnsiTheme="majorHAnsi" w:cstheme="majorHAnsi"/>
          <w:sz w:val="24"/>
          <w:szCs w:val="24"/>
        </w:rPr>
        <w:t>o</w:t>
      </w:r>
      <w:r w:rsidRPr="0025609D">
        <w:rPr>
          <w:rFonts w:asciiTheme="majorHAnsi" w:hAnsiTheme="majorHAnsi" w:cstheme="majorHAnsi"/>
          <w:sz w:val="24"/>
          <w:szCs w:val="24"/>
        </w:rPr>
        <w:t>f</w:t>
      </w:r>
      <w:r w:rsidR="0065304A" w:rsidRPr="0025609D">
        <w:rPr>
          <w:rFonts w:asciiTheme="majorHAnsi" w:hAnsiTheme="majorHAnsi" w:cstheme="majorHAnsi"/>
          <w:sz w:val="24"/>
          <w:szCs w:val="24"/>
        </w:rPr>
        <w:t xml:space="preserve"> the study</w:t>
      </w:r>
      <w:r w:rsidR="000362B6"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and </w:t>
      </w:r>
      <w:r w:rsidR="000362B6" w:rsidRPr="0025609D">
        <w:rPr>
          <w:rFonts w:asciiTheme="majorHAnsi" w:hAnsiTheme="majorHAnsi" w:cstheme="majorHAnsi"/>
          <w:sz w:val="24"/>
          <w:szCs w:val="24"/>
        </w:rPr>
        <w:t>w</w:t>
      </w:r>
      <w:r w:rsidR="0065304A" w:rsidRPr="0025609D">
        <w:rPr>
          <w:rFonts w:asciiTheme="majorHAnsi" w:hAnsiTheme="majorHAnsi" w:cstheme="majorHAnsi"/>
          <w:sz w:val="24"/>
          <w:szCs w:val="24"/>
        </w:rPr>
        <w:t>er</w:t>
      </w:r>
      <w:r w:rsidR="000362B6" w:rsidRPr="0025609D">
        <w:rPr>
          <w:rFonts w:asciiTheme="majorHAnsi" w:hAnsiTheme="majorHAnsi" w:cstheme="majorHAnsi"/>
          <w:sz w:val="24"/>
          <w:szCs w:val="24"/>
        </w:rPr>
        <w:t>e</w:t>
      </w:r>
      <w:r w:rsidR="0065304A" w:rsidRPr="0025609D">
        <w:rPr>
          <w:rFonts w:asciiTheme="majorHAnsi" w:hAnsiTheme="majorHAnsi" w:cstheme="majorHAnsi"/>
          <w:sz w:val="24"/>
          <w:szCs w:val="24"/>
        </w:rPr>
        <w:t xml:space="preserve"> </w:t>
      </w:r>
      <w:r w:rsidR="000362B6" w:rsidRPr="0025609D">
        <w:rPr>
          <w:rFonts w:asciiTheme="majorHAnsi" w:hAnsiTheme="majorHAnsi" w:cstheme="majorHAnsi"/>
          <w:sz w:val="24"/>
          <w:szCs w:val="24"/>
        </w:rPr>
        <w:t>ent</w:t>
      </w:r>
      <w:r w:rsidR="0065304A" w:rsidRPr="0025609D">
        <w:rPr>
          <w:rFonts w:asciiTheme="majorHAnsi" w:hAnsiTheme="majorHAnsi" w:cstheme="majorHAnsi"/>
          <w:sz w:val="24"/>
          <w:szCs w:val="24"/>
        </w:rPr>
        <w:t>it</w:t>
      </w:r>
      <w:r w:rsidR="000362B6" w:rsidRPr="0025609D">
        <w:rPr>
          <w:rFonts w:asciiTheme="majorHAnsi" w:hAnsiTheme="majorHAnsi" w:cstheme="majorHAnsi"/>
          <w:sz w:val="24"/>
          <w:szCs w:val="24"/>
        </w:rPr>
        <w:t>led</w:t>
      </w:r>
      <w:r w:rsidR="0065304A" w:rsidRPr="0025609D">
        <w:rPr>
          <w:rFonts w:asciiTheme="majorHAnsi" w:hAnsiTheme="majorHAnsi" w:cstheme="majorHAnsi"/>
          <w:sz w:val="24"/>
          <w:szCs w:val="24"/>
        </w:rPr>
        <w:t xml:space="preserve"> to withdraw at any </w:t>
      </w:r>
      <w:r w:rsidRPr="0025609D">
        <w:rPr>
          <w:rFonts w:asciiTheme="majorHAnsi" w:hAnsiTheme="majorHAnsi" w:cstheme="majorHAnsi"/>
          <w:sz w:val="24"/>
          <w:szCs w:val="24"/>
        </w:rPr>
        <w:t xml:space="preserve">time. To </w:t>
      </w:r>
      <w:r w:rsidR="0065304A" w:rsidRPr="0025609D">
        <w:rPr>
          <w:rFonts w:asciiTheme="majorHAnsi" w:hAnsiTheme="majorHAnsi" w:cstheme="majorHAnsi"/>
          <w:sz w:val="24"/>
          <w:szCs w:val="24"/>
        </w:rPr>
        <w:t>p</w:t>
      </w:r>
      <w:r w:rsidRPr="0025609D">
        <w:rPr>
          <w:rFonts w:asciiTheme="majorHAnsi" w:hAnsiTheme="majorHAnsi" w:cstheme="majorHAnsi"/>
          <w:sz w:val="24"/>
          <w:szCs w:val="24"/>
        </w:rPr>
        <w:t>r</w:t>
      </w:r>
      <w:r w:rsidR="0065304A" w:rsidRPr="0025609D">
        <w:rPr>
          <w:rFonts w:asciiTheme="majorHAnsi" w:hAnsiTheme="majorHAnsi" w:cstheme="majorHAnsi"/>
          <w:sz w:val="24"/>
          <w:szCs w:val="24"/>
        </w:rPr>
        <w:t>o</w:t>
      </w:r>
      <w:r w:rsidRPr="0025609D">
        <w:rPr>
          <w:rFonts w:asciiTheme="majorHAnsi" w:hAnsiTheme="majorHAnsi" w:cstheme="majorHAnsi"/>
          <w:sz w:val="24"/>
          <w:szCs w:val="24"/>
        </w:rPr>
        <w:t>tect privacy, we ma</w:t>
      </w:r>
      <w:r w:rsidR="0065304A" w:rsidRPr="0025609D">
        <w:rPr>
          <w:rFonts w:asciiTheme="majorHAnsi" w:hAnsiTheme="majorHAnsi" w:cstheme="majorHAnsi"/>
          <w:sz w:val="24"/>
          <w:szCs w:val="24"/>
        </w:rPr>
        <w:t>int</w:t>
      </w:r>
      <w:r w:rsidRPr="0025609D">
        <w:rPr>
          <w:rFonts w:asciiTheme="majorHAnsi" w:hAnsiTheme="majorHAnsi" w:cstheme="majorHAnsi"/>
          <w:sz w:val="24"/>
          <w:szCs w:val="24"/>
        </w:rPr>
        <w:t>ained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a</w:t>
      </w:r>
      <w:r w:rsidR="0065304A" w:rsidRPr="0025609D">
        <w:rPr>
          <w:rFonts w:asciiTheme="majorHAnsi" w:hAnsiTheme="majorHAnsi" w:cstheme="majorHAnsi"/>
          <w:sz w:val="24"/>
          <w:szCs w:val="24"/>
        </w:rPr>
        <w:t xml:space="preserve">nonymity and confidentiality and securely </w:t>
      </w:r>
      <w:r w:rsidRPr="0025609D">
        <w:rPr>
          <w:rFonts w:asciiTheme="majorHAnsi" w:hAnsiTheme="majorHAnsi" w:cstheme="majorHAnsi"/>
          <w:sz w:val="24"/>
          <w:szCs w:val="24"/>
        </w:rPr>
        <w:t>s</w:t>
      </w:r>
      <w:r w:rsidR="0065304A" w:rsidRPr="0025609D">
        <w:rPr>
          <w:rFonts w:asciiTheme="majorHAnsi" w:hAnsiTheme="majorHAnsi" w:cstheme="majorHAnsi"/>
          <w:sz w:val="24"/>
          <w:szCs w:val="24"/>
        </w:rPr>
        <w:t>tore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a</w:t>
      </w:r>
      <w:r w:rsidRPr="0025609D">
        <w:rPr>
          <w:rFonts w:asciiTheme="majorHAnsi" w:hAnsiTheme="majorHAnsi" w:cstheme="majorHAnsi"/>
          <w:sz w:val="24"/>
          <w:szCs w:val="24"/>
        </w:rPr>
        <w:t>ll data</w:t>
      </w:r>
      <w:r w:rsidR="000523E0" w:rsidRPr="0025609D">
        <w:rPr>
          <w:rFonts w:asciiTheme="majorHAnsi" w:hAnsiTheme="majorHAnsi" w:cstheme="majorHAnsi"/>
          <w:sz w:val="24"/>
          <w:szCs w:val="24"/>
        </w:rPr>
        <w:t>.</w:t>
      </w:r>
    </w:p>
    <w:p w14:paraId="5FB47655" w14:textId="2079FE47" w:rsidR="00742DE6" w:rsidRPr="0025609D" w:rsidRDefault="00742DE6"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Data Analysis</w:t>
      </w:r>
    </w:p>
    <w:p w14:paraId="26FC331F" w14:textId="77777777" w:rsidR="004C5846" w:rsidRPr="0025609D" w:rsidRDefault="004C5846" w:rsidP="004C5846">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Descriptive Statistics</w:t>
      </w:r>
    </w:p>
    <w:p w14:paraId="7B38BEE4" w14:textId="5CC126D1" w:rsidR="00010042" w:rsidRPr="0025609D" w:rsidRDefault="004C5846"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The </w:t>
      </w:r>
      <w:r w:rsidR="00CA3660" w:rsidRPr="0025609D">
        <w:rPr>
          <w:rFonts w:asciiTheme="majorHAnsi" w:hAnsiTheme="majorHAnsi" w:cstheme="majorHAnsi"/>
          <w:sz w:val="24"/>
          <w:szCs w:val="24"/>
        </w:rPr>
        <w:t>ini</w:t>
      </w:r>
      <w:r w:rsidRPr="0025609D">
        <w:rPr>
          <w:rFonts w:asciiTheme="majorHAnsi" w:hAnsiTheme="majorHAnsi" w:cstheme="majorHAnsi"/>
          <w:sz w:val="24"/>
          <w:szCs w:val="24"/>
        </w:rPr>
        <w:t>t</w:t>
      </w:r>
      <w:r w:rsidR="00CA3660" w:rsidRPr="0025609D">
        <w:rPr>
          <w:rFonts w:asciiTheme="majorHAnsi" w:hAnsiTheme="majorHAnsi" w:cstheme="majorHAnsi"/>
          <w:sz w:val="24"/>
          <w:szCs w:val="24"/>
        </w:rPr>
        <w:t>i</w:t>
      </w:r>
      <w:r w:rsidRPr="0025609D">
        <w:rPr>
          <w:rFonts w:asciiTheme="majorHAnsi" w:hAnsiTheme="majorHAnsi" w:cstheme="majorHAnsi"/>
          <w:sz w:val="24"/>
          <w:szCs w:val="24"/>
        </w:rPr>
        <w:t>a</w:t>
      </w:r>
      <w:r w:rsidR="00CA3660" w:rsidRPr="0025609D">
        <w:rPr>
          <w:rFonts w:asciiTheme="majorHAnsi" w:hAnsiTheme="majorHAnsi" w:cstheme="majorHAnsi"/>
          <w:sz w:val="24"/>
          <w:szCs w:val="24"/>
        </w:rPr>
        <w:t>l</w:t>
      </w:r>
      <w:r w:rsidRPr="0025609D">
        <w:rPr>
          <w:rFonts w:asciiTheme="majorHAnsi" w:hAnsiTheme="majorHAnsi" w:cstheme="majorHAnsi"/>
          <w:sz w:val="24"/>
          <w:szCs w:val="24"/>
        </w:rPr>
        <w:t xml:space="preserve"> </w:t>
      </w:r>
      <w:r w:rsidR="00CA3660" w:rsidRPr="0025609D">
        <w:rPr>
          <w:rFonts w:asciiTheme="majorHAnsi" w:hAnsiTheme="majorHAnsi" w:cstheme="majorHAnsi"/>
          <w:sz w:val="24"/>
          <w:szCs w:val="24"/>
        </w:rPr>
        <w:t>ph</w:t>
      </w:r>
      <w:r w:rsidRPr="0025609D">
        <w:rPr>
          <w:rFonts w:asciiTheme="majorHAnsi" w:hAnsiTheme="majorHAnsi" w:cstheme="majorHAnsi"/>
          <w:sz w:val="24"/>
          <w:szCs w:val="24"/>
        </w:rPr>
        <w:t>as</w:t>
      </w:r>
      <w:r w:rsidR="00CA3660" w:rsidRPr="0025609D">
        <w:rPr>
          <w:rFonts w:asciiTheme="majorHAnsi" w:hAnsiTheme="majorHAnsi" w:cstheme="majorHAnsi"/>
          <w:sz w:val="24"/>
          <w:szCs w:val="24"/>
        </w:rPr>
        <w:t>e</w:t>
      </w:r>
      <w:r w:rsidRPr="0025609D">
        <w:rPr>
          <w:rFonts w:asciiTheme="majorHAnsi" w:hAnsiTheme="majorHAnsi" w:cstheme="majorHAnsi"/>
          <w:sz w:val="24"/>
          <w:szCs w:val="24"/>
        </w:rPr>
        <w:t xml:space="preserve"> </w:t>
      </w:r>
      <w:r w:rsidR="00507F3A" w:rsidRPr="0025609D">
        <w:rPr>
          <w:rFonts w:asciiTheme="majorHAnsi" w:hAnsiTheme="majorHAnsi" w:cstheme="majorHAnsi"/>
          <w:sz w:val="24"/>
          <w:szCs w:val="24"/>
        </w:rPr>
        <w:t>o</w:t>
      </w:r>
      <w:r w:rsidR="00CA3660" w:rsidRPr="0025609D">
        <w:rPr>
          <w:rFonts w:asciiTheme="majorHAnsi" w:hAnsiTheme="majorHAnsi" w:cstheme="majorHAnsi"/>
          <w:sz w:val="24"/>
          <w:szCs w:val="24"/>
        </w:rPr>
        <w:t>f</w:t>
      </w:r>
      <w:r w:rsidR="00507F3A" w:rsidRPr="0025609D">
        <w:rPr>
          <w:rFonts w:asciiTheme="majorHAnsi" w:hAnsiTheme="majorHAnsi" w:cstheme="majorHAnsi"/>
          <w:sz w:val="24"/>
          <w:szCs w:val="24"/>
        </w:rPr>
        <w:t xml:space="preserve"> th</w:t>
      </w:r>
      <w:r w:rsidR="00CA3660" w:rsidRPr="0025609D">
        <w:rPr>
          <w:rFonts w:asciiTheme="majorHAnsi" w:hAnsiTheme="majorHAnsi" w:cstheme="majorHAnsi"/>
          <w:sz w:val="24"/>
          <w:szCs w:val="24"/>
        </w:rPr>
        <w:t>e</w:t>
      </w:r>
      <w:r w:rsidR="00507F3A" w:rsidRPr="0025609D">
        <w:rPr>
          <w:rFonts w:asciiTheme="majorHAnsi" w:hAnsiTheme="majorHAnsi" w:cstheme="majorHAnsi"/>
          <w:sz w:val="24"/>
          <w:szCs w:val="24"/>
        </w:rPr>
        <w:t xml:space="preserve"> study </w:t>
      </w:r>
      <w:r w:rsidR="00CA3660" w:rsidRPr="0025609D">
        <w:rPr>
          <w:rFonts w:asciiTheme="majorHAnsi" w:hAnsiTheme="majorHAnsi" w:cstheme="majorHAnsi"/>
          <w:sz w:val="24"/>
          <w:szCs w:val="24"/>
        </w:rPr>
        <w:t>involv</w:t>
      </w:r>
      <w:r w:rsidRPr="0025609D">
        <w:rPr>
          <w:rFonts w:asciiTheme="majorHAnsi" w:hAnsiTheme="majorHAnsi" w:cstheme="majorHAnsi"/>
          <w:sz w:val="24"/>
          <w:szCs w:val="24"/>
        </w:rPr>
        <w:t>e</w:t>
      </w:r>
      <w:r w:rsidR="00CA3660" w:rsidRPr="0025609D">
        <w:rPr>
          <w:rFonts w:asciiTheme="majorHAnsi" w:hAnsiTheme="majorHAnsi" w:cstheme="majorHAnsi"/>
          <w:sz w:val="24"/>
          <w:szCs w:val="24"/>
        </w:rPr>
        <w:t xml:space="preserve">d </w:t>
      </w:r>
      <w:proofErr w:type="spellStart"/>
      <w:r w:rsidR="00507F3A" w:rsidRPr="0025609D">
        <w:rPr>
          <w:rFonts w:asciiTheme="majorHAnsi" w:hAnsiTheme="majorHAnsi" w:cstheme="majorHAnsi"/>
          <w:sz w:val="24"/>
          <w:szCs w:val="24"/>
        </w:rPr>
        <w:t>an</w:t>
      </w:r>
      <w:r w:rsidR="00CA3660" w:rsidRPr="0025609D">
        <w:rPr>
          <w:rFonts w:asciiTheme="majorHAnsi" w:hAnsiTheme="majorHAnsi" w:cstheme="majorHAnsi"/>
          <w:sz w:val="24"/>
          <w:szCs w:val="24"/>
        </w:rPr>
        <w:t>alyz</w:t>
      </w:r>
      <w:r w:rsidRPr="0025609D">
        <w:rPr>
          <w:rFonts w:asciiTheme="majorHAnsi" w:hAnsiTheme="majorHAnsi" w:cstheme="majorHAnsi"/>
          <w:sz w:val="24"/>
          <w:szCs w:val="24"/>
        </w:rPr>
        <w:t>i</w:t>
      </w:r>
      <w:r w:rsidR="00CA3660" w:rsidRPr="0025609D">
        <w:rPr>
          <w:rFonts w:asciiTheme="majorHAnsi" w:hAnsiTheme="majorHAnsi" w:cstheme="majorHAnsi"/>
          <w:sz w:val="24"/>
          <w:szCs w:val="24"/>
        </w:rPr>
        <w:t>ng</w:t>
      </w:r>
      <w:proofErr w:type="spellEnd"/>
      <w:r w:rsidR="00CA3660"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CA3660" w:rsidRPr="0025609D">
        <w:rPr>
          <w:rFonts w:asciiTheme="majorHAnsi" w:hAnsiTheme="majorHAnsi" w:cstheme="majorHAnsi"/>
          <w:sz w:val="24"/>
          <w:szCs w:val="24"/>
        </w:rPr>
        <w:t>e data using</w:t>
      </w:r>
      <w:r w:rsidRPr="0025609D">
        <w:rPr>
          <w:rFonts w:asciiTheme="majorHAnsi" w:hAnsiTheme="majorHAnsi" w:cstheme="majorHAnsi"/>
          <w:sz w:val="24"/>
          <w:szCs w:val="24"/>
        </w:rPr>
        <w:t xml:space="preserve"> descriptive statistics to summarize the demographic characteristics of the respondents. The primary o</w:t>
      </w:r>
      <w:r w:rsidR="00CA3660" w:rsidRPr="0025609D">
        <w:rPr>
          <w:rFonts w:asciiTheme="majorHAnsi" w:hAnsiTheme="majorHAnsi" w:cstheme="majorHAnsi"/>
          <w:sz w:val="24"/>
          <w:szCs w:val="24"/>
        </w:rPr>
        <w:t>bje</w:t>
      </w:r>
      <w:r w:rsidRPr="0025609D">
        <w:rPr>
          <w:rFonts w:asciiTheme="majorHAnsi" w:hAnsiTheme="majorHAnsi" w:cstheme="majorHAnsi"/>
          <w:sz w:val="24"/>
          <w:szCs w:val="24"/>
        </w:rPr>
        <w:t>c</w:t>
      </w:r>
      <w:r w:rsidR="00CA3660" w:rsidRPr="0025609D">
        <w:rPr>
          <w:rFonts w:asciiTheme="majorHAnsi" w:hAnsiTheme="majorHAnsi" w:cstheme="majorHAnsi"/>
          <w:sz w:val="24"/>
          <w:szCs w:val="24"/>
        </w:rPr>
        <w:t>tive</w:t>
      </w:r>
      <w:r w:rsidRPr="0025609D">
        <w:rPr>
          <w:rFonts w:asciiTheme="majorHAnsi" w:hAnsiTheme="majorHAnsi" w:cstheme="majorHAnsi"/>
          <w:sz w:val="24"/>
          <w:szCs w:val="24"/>
        </w:rPr>
        <w:t xml:space="preserve"> of this analysis </w:t>
      </w:r>
      <w:r w:rsidR="00105F25" w:rsidRPr="0025609D">
        <w:rPr>
          <w:rFonts w:asciiTheme="majorHAnsi" w:hAnsiTheme="majorHAnsi" w:cstheme="majorHAnsi"/>
          <w:sz w:val="24"/>
          <w:szCs w:val="24"/>
        </w:rPr>
        <w:t>wa</w:t>
      </w:r>
      <w:r w:rsidRPr="0025609D">
        <w:rPr>
          <w:rFonts w:asciiTheme="majorHAnsi" w:hAnsiTheme="majorHAnsi" w:cstheme="majorHAnsi"/>
          <w:sz w:val="24"/>
          <w:szCs w:val="24"/>
        </w:rPr>
        <w:t xml:space="preserve">s to present </w:t>
      </w:r>
      <w:r w:rsidR="00CA3660" w:rsidRPr="0025609D">
        <w:rPr>
          <w:rFonts w:asciiTheme="majorHAnsi" w:hAnsiTheme="majorHAnsi" w:cstheme="majorHAnsi"/>
          <w:sz w:val="24"/>
          <w:szCs w:val="24"/>
        </w:rPr>
        <w:t xml:space="preserve">the </w:t>
      </w:r>
      <w:r w:rsidRPr="0025609D">
        <w:rPr>
          <w:rFonts w:asciiTheme="majorHAnsi" w:hAnsiTheme="majorHAnsi" w:cstheme="majorHAnsi"/>
          <w:sz w:val="24"/>
          <w:szCs w:val="24"/>
        </w:rPr>
        <w:t xml:space="preserve">data </w:t>
      </w:r>
      <w:r w:rsidR="00CA3660" w:rsidRPr="0025609D">
        <w:rPr>
          <w:rFonts w:asciiTheme="majorHAnsi" w:hAnsiTheme="majorHAnsi" w:cstheme="majorHAnsi"/>
          <w:sz w:val="24"/>
          <w:szCs w:val="24"/>
        </w:rPr>
        <w:t>clear</w:t>
      </w:r>
      <w:r w:rsidR="002F05D7" w:rsidRPr="0025609D">
        <w:rPr>
          <w:rFonts w:asciiTheme="majorHAnsi" w:hAnsiTheme="majorHAnsi" w:cstheme="majorHAnsi"/>
          <w:sz w:val="24"/>
          <w:szCs w:val="24"/>
        </w:rPr>
        <w:t>ly</w:t>
      </w:r>
      <w:r w:rsidR="00CA3660" w:rsidRPr="0025609D">
        <w:rPr>
          <w:rFonts w:asciiTheme="majorHAnsi" w:hAnsiTheme="majorHAnsi" w:cstheme="majorHAnsi"/>
          <w:sz w:val="24"/>
          <w:szCs w:val="24"/>
        </w:rPr>
        <w:t xml:space="preserve"> a</w:t>
      </w:r>
      <w:r w:rsidRPr="0025609D">
        <w:rPr>
          <w:rFonts w:asciiTheme="majorHAnsi" w:hAnsiTheme="majorHAnsi" w:cstheme="majorHAnsi"/>
          <w:sz w:val="24"/>
          <w:szCs w:val="24"/>
        </w:rPr>
        <w:t>n</w:t>
      </w:r>
      <w:r w:rsidR="00CA3660" w:rsidRPr="0025609D">
        <w:rPr>
          <w:rFonts w:asciiTheme="majorHAnsi" w:hAnsiTheme="majorHAnsi" w:cstheme="majorHAnsi"/>
          <w:sz w:val="24"/>
          <w:szCs w:val="24"/>
        </w:rPr>
        <w:t>d</w:t>
      </w:r>
      <w:r w:rsidRPr="0025609D">
        <w:rPr>
          <w:rFonts w:asciiTheme="majorHAnsi" w:hAnsiTheme="majorHAnsi" w:cstheme="majorHAnsi"/>
          <w:sz w:val="24"/>
          <w:szCs w:val="24"/>
        </w:rPr>
        <w:t xml:space="preserve"> easily interpretabl</w:t>
      </w:r>
      <w:r w:rsidR="002F05D7" w:rsidRPr="0025609D">
        <w:rPr>
          <w:rFonts w:asciiTheme="majorHAnsi" w:hAnsiTheme="majorHAnsi" w:cstheme="majorHAnsi"/>
          <w:sz w:val="24"/>
          <w:szCs w:val="24"/>
        </w:rPr>
        <w:t>y</w:t>
      </w:r>
      <w:r w:rsidR="00CA3660" w:rsidRPr="0025609D">
        <w:rPr>
          <w:rFonts w:asciiTheme="majorHAnsi" w:hAnsiTheme="majorHAnsi" w:cstheme="majorHAnsi"/>
          <w:sz w:val="24"/>
          <w:szCs w:val="24"/>
        </w:rPr>
        <w:t>,</w:t>
      </w:r>
      <w:r w:rsidRPr="0025609D">
        <w:rPr>
          <w:rFonts w:asciiTheme="majorHAnsi" w:hAnsiTheme="majorHAnsi" w:cstheme="majorHAnsi"/>
          <w:sz w:val="24"/>
          <w:szCs w:val="24"/>
        </w:rPr>
        <w:t xml:space="preserve"> </w:t>
      </w:r>
      <w:r w:rsidR="00CA3660" w:rsidRPr="0025609D">
        <w:rPr>
          <w:rFonts w:asciiTheme="majorHAnsi" w:hAnsiTheme="majorHAnsi" w:cstheme="majorHAnsi"/>
          <w:sz w:val="24"/>
          <w:szCs w:val="24"/>
        </w:rPr>
        <w:t>employ</w:t>
      </w:r>
      <w:r w:rsidRPr="0025609D">
        <w:rPr>
          <w:rFonts w:asciiTheme="majorHAnsi" w:hAnsiTheme="majorHAnsi" w:cstheme="majorHAnsi"/>
          <w:sz w:val="24"/>
          <w:szCs w:val="24"/>
        </w:rPr>
        <w:t>ing frequencies and percentages.</w:t>
      </w:r>
      <w:r w:rsidR="00CA3660"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Demographic characteristics like age, gender, education level, and household size </w:t>
      </w:r>
      <w:r w:rsidR="00105F25" w:rsidRPr="0025609D">
        <w:rPr>
          <w:rFonts w:asciiTheme="majorHAnsi" w:hAnsiTheme="majorHAnsi" w:cstheme="majorHAnsi"/>
          <w:sz w:val="24"/>
          <w:szCs w:val="24"/>
        </w:rPr>
        <w:t>provide</w:t>
      </w:r>
      <w:r w:rsidRPr="0025609D">
        <w:rPr>
          <w:rFonts w:asciiTheme="majorHAnsi" w:hAnsiTheme="majorHAnsi" w:cstheme="majorHAnsi"/>
          <w:sz w:val="24"/>
          <w:szCs w:val="24"/>
        </w:rPr>
        <w:t xml:space="preserve"> an overview of the respondent population.</w:t>
      </w:r>
      <w:r w:rsidR="00F40A49" w:rsidRPr="0025609D">
        <w:rPr>
          <w:rFonts w:asciiTheme="majorHAnsi" w:hAnsiTheme="majorHAnsi" w:cstheme="majorHAnsi"/>
          <w:sz w:val="24"/>
          <w:szCs w:val="24"/>
        </w:rPr>
        <w:t xml:space="preserve"> </w:t>
      </w:r>
      <w:r w:rsidRPr="0025609D">
        <w:rPr>
          <w:rFonts w:asciiTheme="majorHAnsi" w:hAnsiTheme="majorHAnsi" w:cstheme="majorHAnsi"/>
          <w:sz w:val="24"/>
          <w:szCs w:val="24"/>
        </w:rPr>
        <w:t>For example, frequencies show the number of respondents who have completed primary education, while percentages help understand the relative proportion of men engaged in seaweed farming. This provide</w:t>
      </w:r>
      <w:r w:rsidR="00FE570E" w:rsidRPr="0025609D">
        <w:rPr>
          <w:rFonts w:asciiTheme="majorHAnsi" w:hAnsiTheme="majorHAnsi" w:cstheme="majorHAnsi"/>
          <w:sz w:val="24"/>
          <w:szCs w:val="24"/>
        </w:rPr>
        <w:t>d</w:t>
      </w:r>
      <w:r w:rsidRPr="0025609D">
        <w:rPr>
          <w:rFonts w:asciiTheme="majorHAnsi" w:hAnsiTheme="majorHAnsi" w:cstheme="majorHAnsi"/>
          <w:sz w:val="24"/>
          <w:szCs w:val="24"/>
        </w:rPr>
        <w:t xml:space="preserve"> a clear picture of the sample composition before </w:t>
      </w:r>
      <w:r w:rsidR="00010042" w:rsidRPr="0025609D">
        <w:rPr>
          <w:rFonts w:asciiTheme="majorHAnsi" w:hAnsiTheme="majorHAnsi" w:cstheme="majorHAnsi"/>
          <w:sz w:val="24"/>
          <w:szCs w:val="24"/>
        </w:rPr>
        <w:t>exploring</w:t>
      </w:r>
      <w:r w:rsidRPr="0025609D">
        <w:rPr>
          <w:rFonts w:asciiTheme="majorHAnsi" w:hAnsiTheme="majorHAnsi" w:cstheme="majorHAnsi"/>
          <w:sz w:val="24"/>
          <w:szCs w:val="24"/>
        </w:rPr>
        <w:t xml:space="preserve"> </w:t>
      </w:r>
      <w:r w:rsidR="00FE570E" w:rsidRPr="0025609D">
        <w:rPr>
          <w:rFonts w:asciiTheme="majorHAnsi" w:hAnsiTheme="majorHAnsi" w:cstheme="majorHAnsi"/>
          <w:sz w:val="24"/>
          <w:szCs w:val="24"/>
        </w:rPr>
        <w:t>the study.</w:t>
      </w:r>
    </w:p>
    <w:p w14:paraId="03B97547" w14:textId="1B4DBE2D" w:rsidR="00156BAE" w:rsidRPr="0025609D" w:rsidRDefault="00A41F43"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Model Specification for Men's Participation in Seaweed Farming</w:t>
      </w:r>
    </w:p>
    <w:p w14:paraId="10858384" w14:textId="1AB5E579" w:rsidR="00A41F43" w:rsidRPr="0025609D" w:rsidRDefault="00E24DB9" w:rsidP="005B3AA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The study used </w:t>
      </w:r>
      <w:r w:rsidR="00FE570E" w:rsidRPr="0025609D">
        <w:rPr>
          <w:rFonts w:asciiTheme="majorHAnsi" w:hAnsiTheme="majorHAnsi" w:cstheme="majorHAnsi"/>
          <w:sz w:val="24"/>
          <w:szCs w:val="24"/>
        </w:rPr>
        <w:t xml:space="preserve">a </w:t>
      </w:r>
      <w:r w:rsidR="00681632" w:rsidRPr="0025609D">
        <w:rPr>
          <w:rFonts w:asciiTheme="majorHAnsi" w:hAnsiTheme="majorHAnsi" w:cstheme="majorHAnsi"/>
          <w:sz w:val="24"/>
          <w:szCs w:val="24"/>
        </w:rPr>
        <w:t>binary logistic regression (</w:t>
      </w:r>
      <w:r w:rsidR="00FE570E" w:rsidRPr="0025609D">
        <w:rPr>
          <w:rFonts w:asciiTheme="majorHAnsi" w:hAnsiTheme="majorHAnsi" w:cstheme="majorHAnsi"/>
          <w:sz w:val="24"/>
          <w:szCs w:val="24"/>
        </w:rPr>
        <w:t>logit model</w:t>
      </w:r>
      <w:r w:rsidR="00681632" w:rsidRPr="0025609D">
        <w:rPr>
          <w:rFonts w:asciiTheme="majorHAnsi" w:hAnsiTheme="majorHAnsi" w:cstheme="majorHAnsi"/>
          <w:sz w:val="24"/>
          <w:szCs w:val="24"/>
        </w:rPr>
        <w:t>)</w:t>
      </w:r>
      <w:r w:rsidR="00FE570E" w:rsidRPr="0025609D">
        <w:rPr>
          <w:rFonts w:asciiTheme="majorHAnsi" w:hAnsiTheme="majorHAnsi" w:cstheme="majorHAnsi"/>
          <w:sz w:val="24"/>
          <w:szCs w:val="24"/>
        </w:rPr>
        <w:t xml:space="preserve"> </w:t>
      </w:r>
      <w:r w:rsidRPr="0025609D">
        <w:rPr>
          <w:rFonts w:asciiTheme="majorHAnsi" w:hAnsiTheme="majorHAnsi" w:cstheme="majorHAnsi"/>
          <w:sz w:val="24"/>
          <w:szCs w:val="24"/>
        </w:rPr>
        <w:t>to examine the factors influencing men's participation in seaweed farming</w:t>
      </w:r>
      <w:r w:rsidR="0031273B" w:rsidRPr="0025609D">
        <w:rPr>
          <w:rFonts w:asciiTheme="majorHAnsi" w:hAnsiTheme="majorHAnsi" w:cstheme="majorHAnsi"/>
          <w:sz w:val="24"/>
          <w:szCs w:val="24"/>
        </w:rPr>
        <w:t xml:space="preserve"> in the study area</w:t>
      </w:r>
      <w:r w:rsidRPr="0025609D">
        <w:rPr>
          <w:rFonts w:asciiTheme="majorHAnsi" w:hAnsiTheme="majorHAnsi" w:cstheme="majorHAnsi"/>
          <w:sz w:val="24"/>
          <w:szCs w:val="24"/>
        </w:rPr>
        <w:t xml:space="preserve">. This method </w:t>
      </w:r>
      <w:r w:rsidR="0031273B" w:rsidRPr="0025609D">
        <w:rPr>
          <w:rFonts w:asciiTheme="majorHAnsi" w:hAnsiTheme="majorHAnsi" w:cstheme="majorHAnsi"/>
          <w:sz w:val="24"/>
          <w:szCs w:val="24"/>
        </w:rPr>
        <w:t>i</w:t>
      </w:r>
      <w:r w:rsidRPr="0025609D">
        <w:rPr>
          <w:rFonts w:asciiTheme="majorHAnsi" w:hAnsiTheme="majorHAnsi" w:cstheme="majorHAnsi"/>
          <w:sz w:val="24"/>
          <w:szCs w:val="24"/>
        </w:rPr>
        <w:t xml:space="preserve">s ideal for </w:t>
      </w:r>
      <w:proofErr w:type="spellStart"/>
      <w:r w:rsidRPr="0025609D">
        <w:rPr>
          <w:rFonts w:asciiTheme="majorHAnsi" w:hAnsiTheme="majorHAnsi" w:cstheme="majorHAnsi"/>
          <w:sz w:val="24"/>
          <w:szCs w:val="24"/>
        </w:rPr>
        <w:t>analyzing</w:t>
      </w:r>
      <w:proofErr w:type="spellEnd"/>
      <w:r w:rsidRPr="0025609D">
        <w:rPr>
          <w:rFonts w:asciiTheme="majorHAnsi" w:hAnsiTheme="majorHAnsi" w:cstheme="majorHAnsi"/>
          <w:sz w:val="24"/>
          <w:szCs w:val="24"/>
        </w:rPr>
        <w:t xml:space="preserve"> models with binary outcomes, such as participation or non-participation. The model quantified the likelihood of men participating in seaweed farming and </w:t>
      </w:r>
      <w:r w:rsidR="00681632" w:rsidRPr="0025609D">
        <w:rPr>
          <w:rFonts w:asciiTheme="majorHAnsi" w:hAnsiTheme="majorHAnsi" w:cstheme="majorHAnsi"/>
          <w:sz w:val="24"/>
          <w:szCs w:val="24"/>
        </w:rPr>
        <w:t>examined</w:t>
      </w:r>
      <w:r w:rsidRPr="0025609D">
        <w:rPr>
          <w:rFonts w:asciiTheme="majorHAnsi" w:hAnsiTheme="majorHAnsi" w:cstheme="majorHAnsi"/>
          <w:sz w:val="24"/>
          <w:szCs w:val="24"/>
        </w:rPr>
        <w:t xml:space="preserve"> the influence of </w:t>
      </w:r>
      <w:r w:rsidR="00681632" w:rsidRPr="0025609D">
        <w:rPr>
          <w:rFonts w:asciiTheme="majorHAnsi" w:hAnsiTheme="majorHAnsi" w:cstheme="majorHAnsi"/>
          <w:sz w:val="24"/>
          <w:szCs w:val="24"/>
        </w:rPr>
        <w:t>the</w:t>
      </w:r>
      <w:r w:rsidRPr="0025609D">
        <w:rPr>
          <w:rFonts w:asciiTheme="majorHAnsi" w:hAnsiTheme="majorHAnsi" w:cstheme="majorHAnsi"/>
          <w:sz w:val="24"/>
          <w:szCs w:val="24"/>
        </w:rPr>
        <w:t xml:space="preserve"> factors on this </w:t>
      </w:r>
      <w:r w:rsidRPr="0025609D">
        <w:rPr>
          <w:rFonts w:asciiTheme="majorHAnsi" w:hAnsiTheme="majorHAnsi" w:cstheme="majorHAnsi"/>
          <w:sz w:val="24"/>
          <w:szCs w:val="24"/>
        </w:rPr>
        <w:lastRenderedPageBreak/>
        <w:t xml:space="preserve">likelihood. </w:t>
      </w:r>
      <w:proofErr w:type="spellStart"/>
      <w:r w:rsidRPr="0025609D">
        <w:rPr>
          <w:rFonts w:asciiTheme="majorHAnsi" w:hAnsiTheme="majorHAnsi" w:cstheme="majorHAnsi"/>
          <w:sz w:val="24"/>
          <w:szCs w:val="24"/>
        </w:rPr>
        <w:t>Kilamlya</w:t>
      </w:r>
      <w:proofErr w:type="spellEnd"/>
      <w:r w:rsidRPr="0025609D">
        <w:rPr>
          <w:rFonts w:asciiTheme="majorHAnsi" w:hAnsiTheme="majorHAnsi" w:cstheme="majorHAnsi"/>
          <w:sz w:val="24"/>
          <w:szCs w:val="24"/>
        </w:rPr>
        <w:t xml:space="preserve"> and </w:t>
      </w:r>
      <w:proofErr w:type="spellStart"/>
      <w:r w:rsidRPr="0025609D">
        <w:rPr>
          <w:rFonts w:asciiTheme="majorHAnsi" w:hAnsiTheme="majorHAnsi" w:cstheme="majorHAnsi"/>
          <w:sz w:val="24"/>
          <w:szCs w:val="24"/>
        </w:rPr>
        <w:t>Utonga</w:t>
      </w:r>
      <w:proofErr w:type="spellEnd"/>
      <w:r w:rsidRPr="0025609D">
        <w:rPr>
          <w:rFonts w:asciiTheme="majorHAnsi" w:hAnsiTheme="majorHAnsi" w:cstheme="majorHAnsi"/>
          <w:sz w:val="24"/>
          <w:szCs w:val="24"/>
        </w:rPr>
        <w:t xml:space="preserve"> (2024) note that </w:t>
      </w:r>
      <w:r w:rsidR="00681632" w:rsidRPr="0025609D">
        <w:rPr>
          <w:rFonts w:asciiTheme="majorHAnsi" w:hAnsiTheme="majorHAnsi" w:cstheme="majorHAnsi"/>
          <w:sz w:val="24"/>
          <w:szCs w:val="24"/>
        </w:rPr>
        <w:t xml:space="preserve">the </w:t>
      </w:r>
      <w:r w:rsidR="007B036D" w:rsidRPr="0025609D">
        <w:rPr>
          <w:rFonts w:asciiTheme="majorHAnsi" w:hAnsiTheme="majorHAnsi" w:cstheme="majorHAnsi"/>
          <w:sz w:val="24"/>
          <w:szCs w:val="24"/>
        </w:rPr>
        <w:t>technique</w:t>
      </w:r>
      <w:r w:rsidR="00681632"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is well-suited for </w:t>
      </w:r>
      <w:r w:rsidR="00BE7273" w:rsidRPr="0025609D">
        <w:rPr>
          <w:rFonts w:asciiTheme="majorHAnsi" w:hAnsiTheme="majorHAnsi" w:cstheme="majorHAnsi"/>
          <w:sz w:val="24"/>
          <w:szCs w:val="24"/>
        </w:rPr>
        <w:t>analysing</w:t>
      </w:r>
      <w:r w:rsidRPr="0025609D">
        <w:rPr>
          <w:rFonts w:asciiTheme="majorHAnsi" w:hAnsiTheme="majorHAnsi" w:cstheme="majorHAnsi"/>
          <w:sz w:val="24"/>
          <w:szCs w:val="24"/>
        </w:rPr>
        <w:t xml:space="preserve"> models with limited dependent variables and binary outcomes</w:t>
      </w:r>
      <w:r w:rsidR="007B036D" w:rsidRPr="0025609D">
        <w:rPr>
          <w:rFonts w:asciiTheme="majorHAnsi" w:hAnsiTheme="majorHAnsi" w:cstheme="majorHAnsi"/>
          <w:sz w:val="24"/>
          <w:szCs w:val="24"/>
        </w:rPr>
        <w:t>. This</w:t>
      </w:r>
      <w:r w:rsidRPr="0025609D">
        <w:rPr>
          <w:rFonts w:asciiTheme="majorHAnsi" w:hAnsiTheme="majorHAnsi" w:cstheme="majorHAnsi"/>
          <w:sz w:val="24"/>
          <w:szCs w:val="24"/>
        </w:rPr>
        <w:t xml:space="preserve"> mak</w:t>
      </w:r>
      <w:r w:rsidR="007B036D" w:rsidRPr="0025609D">
        <w:rPr>
          <w:rFonts w:asciiTheme="majorHAnsi" w:hAnsiTheme="majorHAnsi" w:cstheme="majorHAnsi"/>
          <w:sz w:val="24"/>
          <w:szCs w:val="24"/>
        </w:rPr>
        <w:t>es</w:t>
      </w:r>
      <w:r w:rsidRPr="0025609D">
        <w:rPr>
          <w:rFonts w:asciiTheme="majorHAnsi" w:hAnsiTheme="majorHAnsi" w:cstheme="majorHAnsi"/>
          <w:sz w:val="24"/>
          <w:szCs w:val="24"/>
        </w:rPr>
        <w:t xml:space="preserve"> it relevant for this study. The model successfully captured </w:t>
      </w:r>
      <w:r w:rsidR="006C6DCF" w:rsidRPr="0025609D">
        <w:rPr>
          <w:rFonts w:asciiTheme="majorHAnsi" w:hAnsiTheme="majorHAnsi" w:cstheme="majorHAnsi"/>
          <w:sz w:val="24"/>
          <w:szCs w:val="24"/>
        </w:rPr>
        <w:t>the</w:t>
      </w:r>
      <w:r w:rsidR="00BC70AE" w:rsidRPr="0025609D">
        <w:rPr>
          <w:rFonts w:asciiTheme="majorHAnsi" w:hAnsiTheme="majorHAnsi" w:cstheme="majorHAnsi"/>
          <w:sz w:val="24"/>
          <w:szCs w:val="24"/>
        </w:rPr>
        <w:t xml:space="preserve"> </w:t>
      </w:r>
      <w:r w:rsidR="007B036D" w:rsidRPr="0025609D">
        <w:rPr>
          <w:rFonts w:asciiTheme="majorHAnsi" w:hAnsiTheme="majorHAnsi" w:cstheme="majorHAnsi"/>
          <w:sz w:val="24"/>
          <w:szCs w:val="24"/>
        </w:rPr>
        <w:t>factors</w:t>
      </w:r>
      <w:r w:rsidRPr="0025609D">
        <w:rPr>
          <w:rFonts w:asciiTheme="majorHAnsi" w:hAnsiTheme="majorHAnsi" w:cstheme="majorHAnsi"/>
          <w:sz w:val="24"/>
          <w:szCs w:val="24"/>
        </w:rPr>
        <w:t xml:space="preserve"> </w:t>
      </w:r>
      <w:r w:rsidR="006C6DCF" w:rsidRPr="0025609D">
        <w:rPr>
          <w:rFonts w:asciiTheme="majorHAnsi" w:hAnsiTheme="majorHAnsi" w:cstheme="majorHAnsi"/>
          <w:sz w:val="24"/>
          <w:szCs w:val="24"/>
        </w:rPr>
        <w:t>that </w:t>
      </w:r>
      <w:r w:rsidRPr="0025609D">
        <w:rPr>
          <w:rFonts w:asciiTheme="majorHAnsi" w:hAnsiTheme="majorHAnsi" w:cstheme="majorHAnsi"/>
          <w:sz w:val="24"/>
          <w:szCs w:val="24"/>
        </w:rPr>
        <w:t>influence the likelihood of men engaging in seaweed farming.</w:t>
      </w:r>
    </w:p>
    <w:p w14:paraId="3978A615" w14:textId="78F4D6D8" w:rsidR="00BC70AE" w:rsidRPr="0025609D" w:rsidRDefault="00EC6D0C" w:rsidP="00EC6D0C">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Given that the dependent variable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Pr="0025609D">
        <w:rPr>
          <w:rFonts w:asciiTheme="majorHAnsi" w:hAnsiTheme="majorHAnsi" w:cstheme="majorHAnsi"/>
          <w:sz w:val="24"/>
          <w:szCs w:val="24"/>
        </w:rPr>
        <w:t xml:space="preserve"> is binary, the logit model </w:t>
      </w:r>
      <w:r w:rsidR="00DB715C" w:rsidRPr="0025609D">
        <w:rPr>
          <w:rFonts w:asciiTheme="majorHAnsi" w:hAnsiTheme="majorHAnsi" w:cstheme="majorHAnsi"/>
          <w:sz w:val="24"/>
          <w:szCs w:val="24"/>
        </w:rPr>
        <w:t>wa</w:t>
      </w:r>
      <w:r w:rsidRPr="0025609D">
        <w:rPr>
          <w:rFonts w:asciiTheme="majorHAnsi" w:hAnsiTheme="majorHAnsi" w:cstheme="majorHAnsi"/>
          <w:sz w:val="24"/>
          <w:szCs w:val="24"/>
        </w:rPr>
        <w:t>s suitable for determining the factors influenc</w:t>
      </w:r>
      <w:r w:rsidR="00DB715C" w:rsidRPr="0025609D">
        <w:rPr>
          <w:rFonts w:asciiTheme="majorHAnsi" w:hAnsiTheme="majorHAnsi" w:cstheme="majorHAnsi"/>
          <w:sz w:val="24"/>
          <w:szCs w:val="24"/>
        </w:rPr>
        <w:t>ing the</w:t>
      </w:r>
      <w:r w:rsidRPr="0025609D">
        <w:rPr>
          <w:rFonts w:asciiTheme="majorHAnsi" w:hAnsiTheme="majorHAnsi" w:cstheme="majorHAnsi"/>
          <w:sz w:val="24"/>
          <w:szCs w:val="24"/>
        </w:rPr>
        <w:t xml:space="preserve"> participation. </w:t>
      </w:r>
      <w:r w:rsidR="002F05D7" w:rsidRPr="0025609D">
        <w:rPr>
          <w:rFonts w:asciiTheme="majorHAnsi" w:hAnsiTheme="majorHAnsi" w:cstheme="majorHAnsi"/>
          <w:sz w:val="24"/>
          <w:szCs w:val="24"/>
        </w:rPr>
        <w:t>T</w:t>
      </w:r>
      <w:r w:rsidRPr="0025609D">
        <w:rPr>
          <w:rFonts w:asciiTheme="majorHAnsi" w:hAnsiTheme="majorHAnsi" w:cstheme="majorHAnsi"/>
          <w:sz w:val="24"/>
          <w:szCs w:val="24"/>
        </w:rPr>
        <w:t xml:space="preserve">he logit function transforms the binary outcome into a continuous variable that can be </w:t>
      </w:r>
      <w:r w:rsidR="00BE7273" w:rsidRPr="0025609D">
        <w:rPr>
          <w:rFonts w:asciiTheme="majorHAnsi" w:hAnsiTheme="majorHAnsi" w:cstheme="majorHAnsi"/>
          <w:sz w:val="24"/>
          <w:szCs w:val="24"/>
        </w:rPr>
        <w:t>modelled</w:t>
      </w:r>
      <w:r w:rsidRPr="0025609D">
        <w:rPr>
          <w:rFonts w:asciiTheme="majorHAnsi" w:hAnsiTheme="majorHAnsi" w:cstheme="majorHAnsi"/>
          <w:sz w:val="24"/>
          <w:szCs w:val="24"/>
        </w:rPr>
        <w:t xml:space="preserve"> linearly.</w:t>
      </w:r>
      <w:r w:rsidR="00E36CD5"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3F2F63" w:rsidRPr="0025609D">
        <w:rPr>
          <w:rFonts w:asciiTheme="majorHAnsi" w:hAnsiTheme="majorHAnsi" w:cstheme="majorHAnsi"/>
          <w:sz w:val="24"/>
          <w:szCs w:val="24"/>
        </w:rPr>
        <w:t>erefore, the</w:t>
      </w:r>
      <w:r w:rsidRPr="0025609D">
        <w:rPr>
          <w:rFonts w:asciiTheme="majorHAnsi" w:hAnsiTheme="majorHAnsi" w:cstheme="majorHAnsi"/>
          <w:sz w:val="24"/>
          <w:szCs w:val="24"/>
        </w:rPr>
        <w:t xml:space="preserve"> model is specified as follows:</w:t>
      </w:r>
    </w:p>
    <w:p w14:paraId="7F1C1DBD" w14:textId="762003F5" w:rsidR="00E36CD5" w:rsidRPr="0025609D" w:rsidRDefault="00E36CD5" w:rsidP="00E36CD5">
      <w:pPr>
        <w:spacing w:after="0"/>
        <w:jc w:val="both"/>
        <w:rPr>
          <w:rFonts w:asciiTheme="majorHAnsi" w:eastAsia="Times New Roman" w:hAnsiTheme="majorHAnsi" w:cstheme="majorHAnsi"/>
          <w:lang w:eastAsia="en-GB"/>
        </w:rPr>
      </w:pPr>
      <w:bookmarkStart w:id="0" w:name="_Hlk180337023"/>
      <m:oMathPara>
        <m:oMathParaPr>
          <m:jc m:val="center"/>
        </m:oMathParaPr>
        <m:oMath>
          <m:r>
            <w:rPr>
              <w:rFonts w:ascii="Cambria Math" w:eastAsia="Times New Roman" w:hAnsi="Cambria Math" w:cstheme="majorHAnsi"/>
              <w:lang w:eastAsia="en-GB"/>
            </w:rPr>
            <m:t>log</m:t>
          </m:r>
          <m:d>
            <m:dPr>
              <m:ctrlPr>
                <w:rPr>
                  <w:rFonts w:ascii="Cambria Math" w:eastAsia="Times New Roman" w:hAnsi="Cambria Math" w:cstheme="majorHAnsi"/>
                  <w:i/>
                  <w:lang w:eastAsia="en-GB"/>
                </w:rPr>
              </m:ctrlPr>
            </m:dPr>
            <m:e>
              <m:f>
                <m:fPr>
                  <m:ctrlPr>
                    <w:rPr>
                      <w:rFonts w:ascii="Cambria Math" w:eastAsia="Times New Roman" w:hAnsi="Cambria Math" w:cstheme="majorHAnsi"/>
                      <w:i/>
                      <w:lang w:eastAsia="en-GB"/>
                    </w:rPr>
                  </m:ctrlPr>
                </m:fPr>
                <m:num>
                  <w:bookmarkStart w:id="1" w:name="_Hlk180336730"/>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w:bookmarkEnd w:id="1"/>
                </m:num>
                <m:den>
                  <w:bookmarkStart w:id="2" w:name="_Hlk180336927"/>
                  <m:r>
                    <w:rPr>
                      <w:rFonts w:ascii="Cambria Math" w:eastAsia="Times New Roman" w:hAnsi="Cambria Math" w:cstheme="majorHAnsi"/>
                      <w:lang w:eastAsia="en-GB"/>
                    </w:rPr>
                    <m:t>1-</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w:bookmarkEnd w:id="2"/>
                </m:den>
              </m:f>
            </m:e>
          </m:d>
          <w:bookmarkEnd w:id="0"/>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0</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1i</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2</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2</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10</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10i</m:t>
              </m:r>
            </m:sub>
          </m:sSub>
          <m:r>
            <w:rPr>
              <w:rFonts w:ascii="Cambria Math" w:eastAsia="Times New Roman" w:hAnsi="Cambria Math" w:cstheme="majorHAnsi"/>
              <w:lang w:eastAsia="en-GB"/>
            </w:rPr>
            <m:t>+</m:t>
          </m:r>
          <m:sSub>
            <m:sSubPr>
              <m:ctrlPr>
                <w:rPr>
                  <w:rStyle w:val="mord"/>
                  <w:rFonts w:ascii="Cambria Math" w:hAnsi="Cambria Math" w:cstheme="majorHAnsi"/>
                </w:rPr>
              </m:ctrlPr>
            </m:sSubPr>
            <m:e>
              <m:r>
                <m:rPr>
                  <m:sty m:val="p"/>
                </m:rPr>
                <w:rPr>
                  <w:rStyle w:val="mord"/>
                  <w:rFonts w:ascii="Cambria Math" w:hAnsi="Cambria Math" w:cstheme="majorHAnsi"/>
                </w:rPr>
                <m:t>ε</m:t>
              </m:r>
              <m:r>
                <m:rPr>
                  <m:sty m:val="p"/>
                </m:rPr>
                <w:rPr>
                  <w:rStyle w:val="vlist-s"/>
                  <w:rFonts w:ascii="Cambria Math" w:hAnsi="Cambria Math" w:cstheme="majorHAnsi"/>
                </w:rPr>
                <m:t>​</m:t>
              </m:r>
            </m:e>
            <m:sub>
              <m:r>
                <w:rPr>
                  <w:rStyle w:val="mord"/>
                  <w:rFonts w:ascii="Cambria Math" w:hAnsi="Cambria Math" w:cstheme="majorHAnsi"/>
                </w:rPr>
                <m:t>i</m:t>
              </m:r>
            </m:sub>
          </m:sSub>
          <m:r>
            <w:rPr>
              <w:rFonts w:ascii="Cambria Math" w:eastAsia="Times New Roman" w:hAnsi="Cambria Math" w:cstheme="majorHAnsi"/>
              <w:lang w:eastAsia="en-GB"/>
            </w:rPr>
            <m:t xml:space="preserve"> </m:t>
          </m:r>
        </m:oMath>
      </m:oMathPara>
    </w:p>
    <w:p w14:paraId="098CA5D5" w14:textId="5BCAECC7" w:rsidR="00E36CD5" w:rsidRPr="0025609D" w:rsidRDefault="006A3A8B" w:rsidP="00EC6D0C">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Where:</w:t>
      </w:r>
    </w:p>
    <w:p w14:paraId="7C8D6D25" w14:textId="4B8B484A" w:rsidR="00607A30"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006A3A8B" w:rsidRPr="0025609D">
        <w:rPr>
          <w:rFonts w:asciiTheme="majorHAnsi" w:eastAsiaTheme="minorEastAsia" w:hAnsiTheme="majorHAnsi" w:cstheme="majorHAnsi"/>
          <w:lang w:eastAsia="en-GB"/>
        </w:rPr>
        <w:t xml:space="preserve"> </w:t>
      </w:r>
      <w:r w:rsidR="00721B71" w:rsidRPr="0025609D">
        <w:rPr>
          <w:rFonts w:asciiTheme="majorHAnsi" w:eastAsiaTheme="minorEastAsia" w:hAnsiTheme="majorHAnsi" w:cstheme="majorHAnsi"/>
          <w:lang w:eastAsia="en-GB"/>
        </w:rPr>
        <w:t xml:space="preserve">is the probability of participation </w:t>
      </w:r>
      <w:r w:rsidR="00FA74C3" w:rsidRPr="0025609D">
        <w:rPr>
          <w:rFonts w:asciiTheme="majorHAnsi" w:eastAsiaTheme="minorEastAsia" w:hAnsiTheme="majorHAnsi" w:cstheme="majorHAnsi"/>
          <w:lang w:eastAsia="en-GB"/>
        </w:rPr>
        <w:t>in</w:t>
      </w:r>
      <w:r w:rsidR="00721B71" w:rsidRPr="0025609D">
        <w:rPr>
          <w:rFonts w:asciiTheme="majorHAnsi" w:eastAsiaTheme="minorEastAsia" w:hAnsiTheme="majorHAnsi" w:cstheme="majorHAnsi"/>
          <w:lang w:eastAsia="en-GB"/>
        </w:rPr>
        <w:t xml:space="preserve"> the </w:t>
      </w:r>
      <m:oMath>
        <m:r>
          <w:rPr>
            <w:rFonts w:ascii="Cambria Math" w:eastAsia="Times New Roman" w:hAnsi="Cambria Math" w:cstheme="majorHAnsi"/>
            <w:lang w:eastAsia="en-GB"/>
          </w:rPr>
          <m:t>i</m:t>
        </m:r>
      </m:oMath>
      <w:r w:rsidR="00721B71" w:rsidRPr="0025609D">
        <w:rPr>
          <w:rFonts w:asciiTheme="majorHAnsi" w:eastAsiaTheme="minorEastAsia" w:hAnsiTheme="majorHAnsi" w:cstheme="majorHAnsi"/>
          <w:i/>
          <w:iCs/>
          <w:vertAlign w:val="superscript"/>
          <w:lang w:eastAsia="en-GB"/>
        </w:rPr>
        <w:t>th</w:t>
      </w:r>
      <w:r w:rsidR="00721B71" w:rsidRPr="0025609D">
        <w:rPr>
          <w:rFonts w:asciiTheme="majorHAnsi" w:hAnsiTheme="majorHAnsi" w:cstheme="majorHAnsi"/>
          <w:sz w:val="24"/>
          <w:szCs w:val="24"/>
        </w:rPr>
        <w:t xml:space="preserve"> man, and  </w:t>
      </w:r>
      <m:oMath>
        <m:r>
          <w:rPr>
            <w:rFonts w:ascii="Cambria Math" w:eastAsia="Times New Roman" w:hAnsi="Cambria Math" w:cstheme="majorHAnsi"/>
            <w:lang w:eastAsia="en-GB"/>
          </w:rPr>
          <m:t>1-</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00122DA0" w:rsidRPr="0025609D">
        <w:rPr>
          <w:rFonts w:asciiTheme="majorHAnsi" w:eastAsiaTheme="minorEastAsia" w:hAnsiTheme="majorHAnsi" w:cstheme="majorHAnsi"/>
          <w:lang w:eastAsia="en-GB"/>
        </w:rPr>
        <w:t xml:space="preserve"> is the probability of non-participation.</w:t>
      </w:r>
    </w:p>
    <w:p w14:paraId="29715D6B" w14:textId="51CCC796" w:rsidR="00683644" w:rsidRPr="0025609D" w:rsidRDefault="00683644"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r>
          <w:rPr>
            <w:rFonts w:ascii="Cambria Math" w:eastAsiaTheme="minorEastAsia" w:hAnsi="Cambria Math" w:cstheme="majorHAnsi"/>
            <w:lang w:eastAsia="en-GB"/>
          </w:rPr>
          <m:t>log</m:t>
        </m:r>
        <m:d>
          <m:dPr>
            <m:ctrlPr>
              <w:rPr>
                <w:rFonts w:ascii="Cambria Math" w:eastAsiaTheme="minorEastAsia" w:hAnsi="Cambria Math" w:cstheme="majorHAnsi"/>
                <w:i/>
                <w:lang w:eastAsia="en-GB"/>
              </w:rPr>
            </m:ctrlPr>
          </m:dPr>
          <m:e>
            <m:f>
              <m:fPr>
                <m:ctrlPr>
                  <w:rPr>
                    <w:rFonts w:ascii="Cambria Math" w:eastAsiaTheme="minorEastAsia" w:hAnsi="Cambria Math" w:cstheme="majorHAnsi"/>
                    <w:i/>
                    <w:lang w:eastAsia="en-GB"/>
                  </w:rPr>
                </m:ctrlPr>
              </m:fPr>
              <m:num>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P</m:t>
                    </m:r>
                  </m:e>
                  <m:sub>
                    <m:r>
                      <w:rPr>
                        <w:rFonts w:ascii="Cambria Math" w:eastAsiaTheme="minorEastAsia" w:hAnsi="Cambria Math" w:cstheme="majorHAnsi"/>
                        <w:lang w:eastAsia="en-GB"/>
                      </w:rPr>
                      <m:t>i</m:t>
                    </m:r>
                  </m:sub>
                </m:sSub>
              </m:num>
              <m:den>
                <m:r>
                  <w:rPr>
                    <w:rFonts w:ascii="Cambria Math" w:eastAsiaTheme="minorEastAsia" w:hAnsi="Cambria Math" w:cstheme="majorHAnsi"/>
                    <w:lang w:eastAsia="en-GB"/>
                  </w:rPr>
                  <m:t>1-</m:t>
                </m:r>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P</m:t>
                    </m:r>
                  </m:e>
                  <m:sub>
                    <m:r>
                      <w:rPr>
                        <w:rFonts w:ascii="Cambria Math" w:eastAsiaTheme="minorEastAsia" w:hAnsi="Cambria Math" w:cstheme="majorHAnsi"/>
                        <w:lang w:eastAsia="en-GB"/>
                      </w:rPr>
                      <m:t>i</m:t>
                    </m:r>
                  </m:sub>
                </m:sSub>
              </m:den>
            </m:f>
          </m:e>
        </m:d>
        <m:r>
          <w:rPr>
            <w:rFonts w:ascii="Cambria Math" w:eastAsiaTheme="minorEastAsia" w:hAnsi="Cambria Math" w:cstheme="majorHAnsi"/>
            <w:lang w:eastAsia="en-GB"/>
          </w:rPr>
          <m:t xml:space="preserve"> </m:t>
        </m:r>
      </m:oMath>
      <w:r w:rsidRPr="0025609D">
        <w:rPr>
          <w:rFonts w:asciiTheme="majorHAnsi" w:eastAsiaTheme="minorEastAsia" w:hAnsiTheme="majorHAnsi" w:cstheme="majorHAnsi"/>
          <w:lang w:eastAsia="en-GB"/>
        </w:rPr>
        <w:t>represents the log-odds ratio of participating in seaweed farming.</w:t>
      </w:r>
    </w:p>
    <w:p w14:paraId="7DEA8BEA" w14:textId="47064E2D" w:rsidR="008C6B5A"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β</m:t>
            </m:r>
          </m:e>
          <m:sub>
            <m:r>
              <w:rPr>
                <w:rFonts w:ascii="Cambria Math" w:eastAsiaTheme="minorEastAsia" w:hAnsi="Cambria Math" w:cstheme="majorHAnsi"/>
                <w:lang w:eastAsia="en-GB"/>
              </w:rPr>
              <m:t>0</m:t>
            </m:r>
          </m:sub>
        </m:sSub>
      </m:oMath>
      <w:r w:rsidR="0097228B" w:rsidRPr="0025609D">
        <w:rPr>
          <w:rFonts w:asciiTheme="majorHAnsi" w:eastAsiaTheme="minorEastAsia" w:hAnsiTheme="majorHAnsi" w:cstheme="majorHAnsi"/>
          <w:lang w:eastAsia="en-GB"/>
        </w:rPr>
        <w:t xml:space="preserve"> </w:t>
      </w:r>
      <w:r w:rsidR="008C6B5A" w:rsidRPr="0025609D">
        <w:rPr>
          <w:rFonts w:asciiTheme="majorHAnsi" w:eastAsiaTheme="minorEastAsia" w:hAnsiTheme="majorHAnsi" w:cstheme="majorHAnsi"/>
          <w:lang w:eastAsia="en-GB"/>
        </w:rPr>
        <w:t>is the intercept or constant term, representing the baseline odds when all independent variables are zero.</w:t>
      </w:r>
    </w:p>
    <w:p w14:paraId="1224FE8B" w14:textId="3BF871EA" w:rsidR="008C6B5A" w:rsidRPr="0025609D" w:rsidRDefault="00000000" w:rsidP="002F08A5">
      <w:pPr>
        <w:pStyle w:val="ListParagraph"/>
        <w:numPr>
          <w:ilvl w:val="1"/>
          <w:numId w:val="10"/>
        </w:numPr>
        <w:spacing w:line="360" w:lineRule="auto"/>
        <w:ind w:left="993"/>
        <w:jc w:val="both"/>
        <w:rPr>
          <w:rFonts w:asciiTheme="majorHAnsi" w:hAnsiTheme="majorHAnsi" w:cstheme="majorHAnsi"/>
        </w:rPr>
      </w:pP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m:t>
            </m:r>
          </m:sub>
        </m:sSub>
      </m:oMath>
      <w:r w:rsidR="0097228B" w:rsidRPr="0025609D">
        <w:rPr>
          <w:rFonts w:asciiTheme="majorHAnsi" w:eastAsiaTheme="minorEastAsia" w:hAnsiTheme="majorHAnsi" w:cstheme="majorHAnsi"/>
          <w:lang w:eastAsia="en-GB"/>
        </w:rPr>
        <w:t xml:space="preserv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2</m:t>
            </m:r>
          </m:sub>
        </m:sSub>
      </m:oMath>
      <w:r w:rsidR="0097228B" w:rsidRPr="0025609D">
        <w:rPr>
          <w:rFonts w:asciiTheme="majorHAnsi" w:eastAsiaTheme="minorEastAsia" w:hAnsiTheme="majorHAnsi" w:cstheme="majorHAnsi"/>
          <w:lang w:eastAsia="en-GB"/>
        </w:rPr>
        <w:t>,</w:t>
      </w:r>
      <w:r w:rsidR="00FE1B7E" w:rsidRPr="0025609D">
        <w:rPr>
          <w:rFonts w:asciiTheme="majorHAnsi" w:eastAsiaTheme="minorEastAsia" w:hAnsiTheme="majorHAnsi" w:cstheme="majorHAnsi"/>
          <w:lang w:eastAsia="en-GB"/>
        </w:rPr>
        <w:t xml:space="preserv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10</m:t>
            </m:r>
          </m:sub>
        </m:sSub>
      </m:oMath>
      <w:r w:rsidR="00FE1B7E" w:rsidRPr="0025609D">
        <w:rPr>
          <w:rFonts w:asciiTheme="majorHAnsi" w:hAnsiTheme="majorHAnsi" w:cstheme="majorHAnsi"/>
        </w:rPr>
        <w:t xml:space="preserve"> a</w:t>
      </w:r>
      <w:r w:rsidR="008C6B5A" w:rsidRPr="0025609D">
        <w:rPr>
          <w:rFonts w:asciiTheme="majorHAnsi" w:eastAsiaTheme="minorEastAsia" w:hAnsiTheme="majorHAnsi" w:cstheme="majorHAnsi"/>
          <w:lang w:eastAsia="en-GB"/>
        </w:rPr>
        <w:t>re the coefficients representing the effect of each independent variable on the log</w:t>
      </w:r>
      <w:r w:rsidR="009C5D49" w:rsidRPr="0025609D">
        <w:rPr>
          <w:rFonts w:asciiTheme="majorHAnsi" w:eastAsiaTheme="minorEastAsia" w:hAnsiTheme="majorHAnsi" w:cstheme="majorHAnsi"/>
          <w:lang w:eastAsia="en-GB"/>
        </w:rPr>
        <w:t xml:space="preserve"> </w:t>
      </w:r>
      <w:r w:rsidR="008C6B5A" w:rsidRPr="0025609D">
        <w:rPr>
          <w:rFonts w:asciiTheme="majorHAnsi" w:eastAsiaTheme="minorEastAsia" w:hAnsiTheme="majorHAnsi" w:cstheme="majorHAnsi"/>
          <w:lang w:eastAsia="en-GB"/>
        </w:rPr>
        <w:t>odds of participating in seaweed farming</w:t>
      </w:r>
      <w:r w:rsidR="009C5D49" w:rsidRPr="0025609D">
        <w:rPr>
          <w:rFonts w:asciiTheme="majorHAnsi" w:eastAsiaTheme="minorEastAsia" w:hAnsiTheme="majorHAnsi" w:cstheme="majorHAnsi"/>
          <w:lang w:eastAsia="en-GB"/>
        </w:rPr>
        <w:t>.</w:t>
      </w:r>
    </w:p>
    <w:p w14:paraId="1F072044" w14:textId="0AC2F990" w:rsidR="008C6B5A"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1i</m:t>
            </m:r>
          </m:sub>
        </m:sSub>
      </m:oMath>
      <w:r w:rsidR="00FE1B7E" w:rsidRPr="0025609D">
        <w:rPr>
          <w:rFonts w:asciiTheme="majorHAnsi" w:eastAsiaTheme="minorEastAsia" w:hAnsiTheme="majorHAnsi" w:cstheme="majorHAnsi"/>
          <w:lang w:eastAsia="en-GB"/>
        </w:rPr>
        <w:t xml:space="preserve">, </w:t>
      </w: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2i</m:t>
            </m:r>
          </m:sub>
        </m:sSub>
      </m:oMath>
      <w:r w:rsidR="00FE1B7E" w:rsidRPr="0025609D">
        <w:rPr>
          <w:rFonts w:asciiTheme="majorHAnsi" w:eastAsiaTheme="minorEastAsia" w:hAnsiTheme="majorHAnsi" w:cstheme="majorHAnsi"/>
          <w:lang w:eastAsia="en-GB"/>
        </w:rPr>
        <w:t xml:space="preserve">,…, </w:t>
      </w: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10i</m:t>
            </m:r>
          </m:sub>
        </m:sSub>
        <m:r>
          <w:rPr>
            <w:rFonts w:ascii="Cambria Math" w:eastAsiaTheme="minorEastAsia" w:hAnsi="Cambria Math" w:cstheme="majorHAnsi"/>
            <w:lang w:eastAsia="en-GB"/>
          </w:rPr>
          <m:t xml:space="preserve"> </m:t>
        </m:r>
      </m:oMath>
      <w:r w:rsidR="009C5D49" w:rsidRPr="0025609D">
        <w:rPr>
          <w:rFonts w:asciiTheme="majorHAnsi" w:eastAsiaTheme="minorEastAsia" w:hAnsiTheme="majorHAnsi" w:cstheme="majorHAnsi"/>
          <w:lang w:eastAsia="en-GB"/>
        </w:rPr>
        <w:t>the independent variables represent</w:t>
      </w:r>
      <w:r w:rsidR="008C6B5A" w:rsidRPr="0025609D">
        <w:rPr>
          <w:rFonts w:asciiTheme="majorHAnsi" w:eastAsiaTheme="minorEastAsia" w:hAnsiTheme="majorHAnsi" w:cstheme="majorHAnsi"/>
          <w:lang w:eastAsia="en-GB"/>
        </w:rPr>
        <w:t xml:space="preserve"> the education level, household size, price and marketing, input cost, </w:t>
      </w:r>
      <w:proofErr w:type="spellStart"/>
      <w:r w:rsidR="008C6B5A" w:rsidRPr="0025609D">
        <w:rPr>
          <w:rFonts w:asciiTheme="majorHAnsi" w:eastAsiaTheme="minorEastAsia" w:hAnsiTheme="majorHAnsi" w:cstheme="majorHAnsi"/>
          <w:lang w:eastAsia="en-GB"/>
        </w:rPr>
        <w:t>labor</w:t>
      </w:r>
      <w:proofErr w:type="spellEnd"/>
      <w:r w:rsidR="008C6B5A" w:rsidRPr="0025609D">
        <w:rPr>
          <w:rFonts w:asciiTheme="majorHAnsi" w:eastAsiaTheme="minorEastAsia" w:hAnsiTheme="majorHAnsi" w:cstheme="majorHAnsi"/>
          <w:lang w:eastAsia="en-GB"/>
        </w:rPr>
        <w:t xml:space="preserve"> intensity, harvest period, government support, climate change and health issues, and cultural constraints for the</w:t>
      </w:r>
      <w:r w:rsidR="003A4625" w:rsidRPr="0025609D">
        <w:rPr>
          <w:rFonts w:asciiTheme="majorHAnsi" w:eastAsiaTheme="minorEastAsia" w:hAnsiTheme="majorHAnsi" w:cstheme="majorHAnsi"/>
          <w:lang w:eastAsia="en-GB"/>
        </w:rPr>
        <w:t xml:space="preserve"> </w:t>
      </w:r>
      <w:proofErr w:type="spellStart"/>
      <w:r w:rsidR="003A4625" w:rsidRPr="0025609D">
        <w:rPr>
          <w:rFonts w:asciiTheme="majorHAnsi" w:eastAsiaTheme="minorEastAsia" w:hAnsiTheme="majorHAnsi" w:cstheme="majorHAnsi"/>
          <w:i/>
          <w:iCs/>
          <w:lang w:eastAsia="en-GB"/>
        </w:rPr>
        <w:t>i</w:t>
      </w:r>
      <w:r w:rsidR="003A4625" w:rsidRPr="0025609D">
        <w:rPr>
          <w:rFonts w:asciiTheme="majorHAnsi" w:eastAsiaTheme="minorEastAsia" w:hAnsiTheme="majorHAnsi" w:cstheme="majorHAnsi"/>
          <w:i/>
          <w:iCs/>
          <w:vertAlign w:val="superscript"/>
          <w:lang w:eastAsia="en-GB"/>
        </w:rPr>
        <w:t>th</w:t>
      </w:r>
      <w:proofErr w:type="spellEnd"/>
      <w:r w:rsidR="003A4625" w:rsidRPr="0025609D">
        <w:rPr>
          <w:rFonts w:asciiTheme="majorHAnsi" w:eastAsiaTheme="minorEastAsia" w:hAnsiTheme="majorHAnsi" w:cstheme="majorHAnsi"/>
          <w:i/>
          <w:iCs/>
          <w:vertAlign w:val="superscript"/>
          <w:lang w:eastAsia="en-GB"/>
        </w:rPr>
        <w:t xml:space="preserve"> </w:t>
      </w:r>
      <w:r w:rsidR="003A4625" w:rsidRPr="0025609D">
        <w:rPr>
          <w:rFonts w:asciiTheme="majorHAnsi" w:eastAsiaTheme="minorEastAsia" w:hAnsiTheme="majorHAnsi" w:cstheme="majorHAnsi"/>
          <w:lang w:eastAsia="en-GB"/>
        </w:rPr>
        <w:t>man.</w:t>
      </w:r>
    </w:p>
    <w:p w14:paraId="7CEA0740" w14:textId="388E2F10" w:rsidR="00D17EA1"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lang w:eastAsia="en-GB"/>
              </w:rPr>
            </m:ctrlPr>
          </m:sSubPr>
          <m:e>
            <m:r>
              <m:rPr>
                <m:sty m:val="p"/>
              </m:rPr>
              <w:rPr>
                <w:rFonts w:ascii="Cambria Math" w:eastAsiaTheme="minorEastAsia" w:hAnsi="Cambria Math" w:cstheme="majorHAnsi"/>
                <w:lang w:eastAsia="en-GB"/>
              </w:rPr>
              <m:t>ε​</m:t>
            </m:r>
          </m:e>
          <m:sub>
            <m:r>
              <w:rPr>
                <w:rFonts w:ascii="Cambria Math" w:eastAsiaTheme="minorEastAsia" w:hAnsi="Cambria Math" w:cstheme="majorHAnsi"/>
                <w:lang w:eastAsia="en-GB"/>
              </w:rPr>
              <m:t>i</m:t>
            </m:r>
          </m:sub>
        </m:sSub>
        <m:r>
          <w:rPr>
            <w:rFonts w:ascii="Cambria Math" w:eastAsiaTheme="minorEastAsia" w:hAnsi="Cambria Math" w:cstheme="majorHAnsi"/>
            <w:lang w:eastAsia="en-GB"/>
          </w:rPr>
          <m:t xml:space="preserve"> </m:t>
        </m:r>
      </m:oMath>
      <w:r w:rsidR="00D17EA1" w:rsidRPr="0025609D">
        <w:rPr>
          <w:rFonts w:asciiTheme="majorHAnsi" w:eastAsiaTheme="minorEastAsia" w:hAnsiTheme="majorHAnsi" w:cstheme="majorHAnsi"/>
          <w:lang w:eastAsia="en-GB"/>
        </w:rPr>
        <w:t>is the error term, capturing the variation in the decision to participate in seaweed farming that is not explained by the independent variables.</w:t>
      </w:r>
      <w:r w:rsidR="001E08A2" w:rsidRPr="0025609D">
        <w:rPr>
          <w:rFonts w:asciiTheme="majorHAnsi" w:eastAsiaTheme="minorEastAsia" w:hAnsiTheme="majorHAnsi" w:cstheme="majorHAnsi"/>
          <w:lang w:eastAsia="en-GB"/>
        </w:rPr>
        <w:t xml:space="preserve"> </w:t>
      </w:r>
      <w:r w:rsidR="009C5D49" w:rsidRPr="0025609D">
        <w:rPr>
          <w:rFonts w:asciiTheme="majorHAnsi" w:eastAsiaTheme="minorEastAsia" w:hAnsiTheme="majorHAnsi" w:cstheme="majorHAnsi"/>
          <w:lang w:eastAsia="en-GB"/>
        </w:rPr>
        <w:t xml:space="preserve"> </w:t>
      </w:r>
    </w:p>
    <w:p w14:paraId="119D837A" w14:textId="60530F45" w:rsidR="00607A30" w:rsidRPr="0025609D" w:rsidRDefault="009D6722" w:rsidP="005B3AA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Data and Description of Variables</w:t>
      </w:r>
    </w:p>
    <w:p w14:paraId="2B6795D2" w14:textId="43E1892F" w:rsidR="009D6722" w:rsidRPr="0025609D" w:rsidRDefault="009D6722" w:rsidP="009D6722">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The de</w:t>
      </w:r>
      <w:r w:rsidR="001C1DF7" w:rsidRPr="0025609D">
        <w:rPr>
          <w:rFonts w:asciiTheme="majorHAnsi" w:hAnsiTheme="majorHAnsi" w:cstheme="majorHAnsi"/>
          <w:sz w:val="24"/>
          <w:szCs w:val="24"/>
        </w:rPr>
        <w:t>scription</w:t>
      </w:r>
      <w:r w:rsidRPr="0025609D">
        <w:rPr>
          <w:rFonts w:asciiTheme="majorHAnsi" w:hAnsiTheme="majorHAnsi" w:cstheme="majorHAnsi"/>
          <w:sz w:val="24"/>
          <w:szCs w:val="24"/>
        </w:rPr>
        <w:t xml:space="preserve"> of the variables used in the analysis</w:t>
      </w:r>
      <w:r w:rsidR="001C1DF7" w:rsidRPr="0025609D">
        <w:rPr>
          <w:rFonts w:asciiTheme="majorHAnsi" w:hAnsiTheme="majorHAnsi" w:cstheme="majorHAnsi"/>
          <w:sz w:val="24"/>
          <w:szCs w:val="24"/>
        </w:rPr>
        <w:t xml:space="preserve"> framework</w:t>
      </w:r>
      <w:r w:rsidRPr="0025609D">
        <w:rPr>
          <w:rFonts w:asciiTheme="majorHAnsi" w:hAnsiTheme="majorHAnsi" w:cstheme="majorHAnsi"/>
          <w:sz w:val="24"/>
          <w:szCs w:val="24"/>
        </w:rPr>
        <w:t xml:space="preserve"> </w:t>
      </w:r>
      <w:r w:rsidR="00D90CD4" w:rsidRPr="0025609D">
        <w:rPr>
          <w:rFonts w:asciiTheme="majorHAnsi" w:hAnsiTheme="majorHAnsi" w:cstheme="majorHAnsi"/>
          <w:sz w:val="24"/>
          <w:szCs w:val="24"/>
        </w:rPr>
        <w:t>is</w:t>
      </w:r>
      <w:r w:rsidRPr="0025609D">
        <w:rPr>
          <w:rFonts w:asciiTheme="majorHAnsi" w:hAnsiTheme="majorHAnsi" w:cstheme="majorHAnsi"/>
          <w:sz w:val="24"/>
          <w:szCs w:val="24"/>
        </w:rPr>
        <w:t xml:space="preserve"> pr</w:t>
      </w:r>
      <w:r w:rsidR="00994608" w:rsidRPr="0025609D">
        <w:rPr>
          <w:rFonts w:asciiTheme="majorHAnsi" w:hAnsiTheme="majorHAnsi" w:cstheme="majorHAnsi"/>
          <w:sz w:val="24"/>
          <w:szCs w:val="24"/>
        </w:rPr>
        <w:t>ovid</w:t>
      </w:r>
      <w:r w:rsidRPr="0025609D">
        <w:rPr>
          <w:rFonts w:asciiTheme="majorHAnsi" w:hAnsiTheme="majorHAnsi" w:cstheme="majorHAnsi"/>
          <w:sz w:val="24"/>
          <w:szCs w:val="24"/>
        </w:rPr>
        <w:t>ed in Table 1.</w:t>
      </w:r>
    </w:p>
    <w:p w14:paraId="7F4C1193" w14:textId="0F58FCCB" w:rsidR="0040773A" w:rsidRPr="0025609D" w:rsidRDefault="00F462E4" w:rsidP="008E6021">
      <w:pPr>
        <w:pStyle w:val="NormalWeb"/>
        <w:spacing w:line="360" w:lineRule="auto"/>
        <w:rPr>
          <w:rFonts w:asciiTheme="majorHAnsi" w:hAnsiTheme="majorHAnsi" w:cstheme="majorHAnsi"/>
          <w:b/>
          <w:lang w:val="en-US" w:eastAsia="en-US"/>
        </w:rPr>
      </w:pPr>
      <w:r w:rsidRPr="0025609D">
        <w:rPr>
          <w:rFonts w:asciiTheme="majorHAnsi" w:hAnsiTheme="majorHAnsi" w:cstheme="majorHAnsi"/>
          <w:b/>
        </w:rPr>
        <w:t xml:space="preserve">Table 1: Description and Measurement of Variables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3029"/>
        <w:gridCol w:w="1112"/>
        <w:gridCol w:w="2605"/>
        <w:gridCol w:w="945"/>
      </w:tblGrid>
      <w:tr w:rsidR="00CC245A" w:rsidRPr="0025609D" w14:paraId="06437CCA" w14:textId="77777777" w:rsidTr="0040773A">
        <w:trPr>
          <w:tblHeader/>
          <w:tblCellSpacing w:w="15" w:type="dxa"/>
        </w:trPr>
        <w:tc>
          <w:tcPr>
            <w:tcW w:w="0" w:type="auto"/>
            <w:tcBorders>
              <w:top w:val="single" w:sz="4" w:space="0" w:color="auto"/>
              <w:bottom w:val="single" w:sz="4" w:space="0" w:color="auto"/>
            </w:tcBorders>
            <w:vAlign w:val="center"/>
            <w:hideMark/>
          </w:tcPr>
          <w:p w14:paraId="244B204D"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Variable</w:t>
            </w:r>
          </w:p>
        </w:tc>
        <w:tc>
          <w:tcPr>
            <w:tcW w:w="0" w:type="auto"/>
            <w:tcBorders>
              <w:top w:val="single" w:sz="4" w:space="0" w:color="auto"/>
              <w:bottom w:val="single" w:sz="4" w:space="0" w:color="auto"/>
            </w:tcBorders>
            <w:vAlign w:val="center"/>
            <w:hideMark/>
          </w:tcPr>
          <w:p w14:paraId="7122F306"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Description</w:t>
            </w:r>
          </w:p>
        </w:tc>
        <w:tc>
          <w:tcPr>
            <w:tcW w:w="0" w:type="auto"/>
            <w:tcBorders>
              <w:top w:val="single" w:sz="4" w:space="0" w:color="auto"/>
              <w:bottom w:val="single" w:sz="4" w:space="0" w:color="auto"/>
            </w:tcBorders>
            <w:vAlign w:val="center"/>
            <w:hideMark/>
          </w:tcPr>
          <w:p w14:paraId="64D23134"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Type of Variable</w:t>
            </w:r>
          </w:p>
        </w:tc>
        <w:tc>
          <w:tcPr>
            <w:tcW w:w="0" w:type="auto"/>
            <w:tcBorders>
              <w:top w:val="single" w:sz="4" w:space="0" w:color="auto"/>
              <w:bottom w:val="single" w:sz="4" w:space="0" w:color="auto"/>
            </w:tcBorders>
            <w:vAlign w:val="center"/>
            <w:hideMark/>
          </w:tcPr>
          <w:p w14:paraId="6EB673D3"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Measurement</w:t>
            </w:r>
          </w:p>
        </w:tc>
        <w:tc>
          <w:tcPr>
            <w:tcW w:w="0" w:type="auto"/>
            <w:tcBorders>
              <w:top w:val="single" w:sz="4" w:space="0" w:color="auto"/>
              <w:bottom w:val="single" w:sz="4" w:space="0" w:color="auto"/>
            </w:tcBorders>
            <w:vAlign w:val="center"/>
            <w:hideMark/>
          </w:tcPr>
          <w:p w14:paraId="688660FB"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Expected Sign</w:t>
            </w:r>
          </w:p>
        </w:tc>
      </w:tr>
      <w:tr w:rsidR="00CC245A" w:rsidRPr="0025609D" w14:paraId="4E13B5AD" w14:textId="77777777" w:rsidTr="0040773A">
        <w:trPr>
          <w:tblCellSpacing w:w="15" w:type="dxa"/>
        </w:trPr>
        <w:tc>
          <w:tcPr>
            <w:tcW w:w="0" w:type="auto"/>
            <w:vAlign w:val="center"/>
            <w:hideMark/>
          </w:tcPr>
          <w:p w14:paraId="661711A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Intercept</w:t>
            </w:r>
          </w:p>
        </w:tc>
        <w:tc>
          <w:tcPr>
            <w:tcW w:w="0" w:type="auto"/>
            <w:vAlign w:val="center"/>
            <w:hideMark/>
          </w:tcPr>
          <w:p w14:paraId="1E0DC77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constant term in the regression equation</w:t>
            </w:r>
          </w:p>
        </w:tc>
        <w:tc>
          <w:tcPr>
            <w:tcW w:w="0" w:type="auto"/>
            <w:vAlign w:val="center"/>
            <w:hideMark/>
          </w:tcPr>
          <w:p w14:paraId="11AA84EA"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55B9C69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w:t>
            </w:r>
          </w:p>
        </w:tc>
        <w:tc>
          <w:tcPr>
            <w:tcW w:w="0" w:type="auto"/>
            <w:vAlign w:val="center"/>
            <w:hideMark/>
          </w:tcPr>
          <w:p w14:paraId="5303A66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N/A</w:t>
            </w:r>
          </w:p>
        </w:tc>
      </w:tr>
      <w:tr w:rsidR="00CC245A" w:rsidRPr="0025609D" w14:paraId="16D52C67" w14:textId="77777777" w:rsidTr="0040773A">
        <w:trPr>
          <w:tblCellSpacing w:w="15" w:type="dxa"/>
        </w:trPr>
        <w:tc>
          <w:tcPr>
            <w:tcW w:w="0" w:type="auto"/>
            <w:vAlign w:val="center"/>
            <w:hideMark/>
          </w:tcPr>
          <w:p w14:paraId="652D9C2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Education level</w:t>
            </w:r>
          </w:p>
        </w:tc>
        <w:tc>
          <w:tcPr>
            <w:tcW w:w="0" w:type="auto"/>
            <w:vAlign w:val="center"/>
            <w:hideMark/>
          </w:tcPr>
          <w:p w14:paraId="21CBF94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Level of formal education attained by men involved in seaweed farming</w:t>
            </w:r>
          </w:p>
        </w:tc>
        <w:tc>
          <w:tcPr>
            <w:tcW w:w="0" w:type="auto"/>
            <w:vAlign w:val="center"/>
            <w:hideMark/>
          </w:tcPr>
          <w:p w14:paraId="2927F237"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7C83E96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No formal education, 2 = Primary, 3 = Secondary, 4 = Tertiary</w:t>
            </w:r>
          </w:p>
        </w:tc>
        <w:tc>
          <w:tcPr>
            <w:tcW w:w="0" w:type="auto"/>
            <w:vAlign w:val="center"/>
            <w:hideMark/>
          </w:tcPr>
          <w:p w14:paraId="6B9D911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70B4BA4E" w14:textId="77777777" w:rsidTr="0040773A">
        <w:trPr>
          <w:tblCellSpacing w:w="15" w:type="dxa"/>
        </w:trPr>
        <w:tc>
          <w:tcPr>
            <w:tcW w:w="0" w:type="auto"/>
            <w:vAlign w:val="center"/>
            <w:hideMark/>
          </w:tcPr>
          <w:p w14:paraId="0B1532A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lastRenderedPageBreak/>
              <w:t>Household size</w:t>
            </w:r>
          </w:p>
        </w:tc>
        <w:tc>
          <w:tcPr>
            <w:tcW w:w="0" w:type="auto"/>
            <w:vAlign w:val="center"/>
            <w:hideMark/>
          </w:tcPr>
          <w:p w14:paraId="4745E6B9"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Number of people in a household</w:t>
            </w:r>
          </w:p>
        </w:tc>
        <w:tc>
          <w:tcPr>
            <w:tcW w:w="0" w:type="auto"/>
            <w:vAlign w:val="center"/>
            <w:hideMark/>
          </w:tcPr>
          <w:p w14:paraId="5FB112C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272B739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Number of household members</w:t>
            </w:r>
          </w:p>
        </w:tc>
        <w:tc>
          <w:tcPr>
            <w:tcW w:w="0" w:type="auto"/>
            <w:vAlign w:val="center"/>
            <w:hideMark/>
          </w:tcPr>
          <w:p w14:paraId="48FEC41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5D3DAC93" w14:textId="77777777" w:rsidTr="0040773A">
        <w:trPr>
          <w:tblCellSpacing w:w="15" w:type="dxa"/>
        </w:trPr>
        <w:tc>
          <w:tcPr>
            <w:tcW w:w="0" w:type="auto"/>
            <w:vAlign w:val="center"/>
            <w:hideMark/>
          </w:tcPr>
          <w:p w14:paraId="605C456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Price and marketing</w:t>
            </w:r>
          </w:p>
        </w:tc>
        <w:tc>
          <w:tcPr>
            <w:tcW w:w="0" w:type="auto"/>
            <w:vAlign w:val="center"/>
            <w:hideMark/>
          </w:tcPr>
          <w:p w14:paraId="4EDEB4F7" w14:textId="2E38EA59"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xml:space="preserve">The availability of </w:t>
            </w:r>
            <w:r w:rsidR="00BD3B8B" w:rsidRPr="0025609D">
              <w:rPr>
                <w:rFonts w:asciiTheme="majorHAnsi" w:eastAsia="Times New Roman" w:hAnsiTheme="majorHAnsi" w:cstheme="majorHAnsi"/>
                <w:sz w:val="20"/>
                <w:szCs w:val="20"/>
              </w:rPr>
              <w:t>the </w:t>
            </w:r>
            <w:r w:rsidRPr="0025609D">
              <w:rPr>
                <w:rFonts w:asciiTheme="majorHAnsi" w:eastAsia="Times New Roman" w:hAnsiTheme="majorHAnsi" w:cstheme="majorHAnsi"/>
                <w:sz w:val="20"/>
                <w:szCs w:val="20"/>
              </w:rPr>
              <w:t>market and the pricing for seaweed products</w:t>
            </w:r>
          </w:p>
        </w:tc>
        <w:tc>
          <w:tcPr>
            <w:tcW w:w="0" w:type="auto"/>
            <w:vAlign w:val="center"/>
            <w:hideMark/>
          </w:tcPr>
          <w:p w14:paraId="50D144F1"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074EA9E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Poor, 2 = Fair, 3 = Good</w:t>
            </w:r>
          </w:p>
        </w:tc>
        <w:tc>
          <w:tcPr>
            <w:tcW w:w="0" w:type="auto"/>
            <w:vAlign w:val="center"/>
            <w:hideMark/>
          </w:tcPr>
          <w:p w14:paraId="6FD86F9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7A093D56" w14:textId="77777777" w:rsidTr="0040773A">
        <w:trPr>
          <w:tblCellSpacing w:w="15" w:type="dxa"/>
        </w:trPr>
        <w:tc>
          <w:tcPr>
            <w:tcW w:w="0" w:type="auto"/>
            <w:vAlign w:val="center"/>
            <w:hideMark/>
          </w:tcPr>
          <w:p w14:paraId="22127093"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Input cost</w:t>
            </w:r>
          </w:p>
        </w:tc>
        <w:tc>
          <w:tcPr>
            <w:tcW w:w="0" w:type="auto"/>
            <w:vAlign w:val="center"/>
            <w:hideMark/>
          </w:tcPr>
          <w:p w14:paraId="387583D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cost involved in purchasing inputs for seaweed farming</w:t>
            </w:r>
          </w:p>
        </w:tc>
        <w:tc>
          <w:tcPr>
            <w:tcW w:w="0" w:type="auto"/>
            <w:vAlign w:val="center"/>
            <w:hideMark/>
          </w:tcPr>
          <w:p w14:paraId="0F4F4059"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6E64521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Amount of money spent on inputs (Tanzanian Shillings)</w:t>
            </w:r>
          </w:p>
        </w:tc>
        <w:tc>
          <w:tcPr>
            <w:tcW w:w="0" w:type="auto"/>
            <w:vAlign w:val="center"/>
            <w:hideMark/>
          </w:tcPr>
          <w:p w14:paraId="19AF6D8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1B440F1B" w14:textId="77777777" w:rsidTr="0040773A">
        <w:trPr>
          <w:tblCellSpacing w:w="15" w:type="dxa"/>
        </w:trPr>
        <w:tc>
          <w:tcPr>
            <w:tcW w:w="0" w:type="auto"/>
            <w:vAlign w:val="center"/>
            <w:hideMark/>
          </w:tcPr>
          <w:p w14:paraId="4F830B0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Labour intensity</w:t>
            </w:r>
          </w:p>
        </w:tc>
        <w:tc>
          <w:tcPr>
            <w:tcW w:w="0" w:type="auto"/>
            <w:vAlign w:val="center"/>
            <w:hideMark/>
          </w:tcPr>
          <w:p w14:paraId="714AA58A" w14:textId="203F7D31"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xml:space="preserve">The level of effort and </w:t>
            </w:r>
            <w:proofErr w:type="spellStart"/>
            <w:r w:rsidRPr="0025609D">
              <w:rPr>
                <w:rFonts w:asciiTheme="majorHAnsi" w:eastAsia="Times New Roman" w:hAnsiTheme="majorHAnsi" w:cstheme="majorHAnsi"/>
                <w:sz w:val="20"/>
                <w:szCs w:val="20"/>
              </w:rPr>
              <w:t>labor</w:t>
            </w:r>
            <w:proofErr w:type="spellEnd"/>
            <w:r w:rsidRPr="0025609D">
              <w:rPr>
                <w:rFonts w:asciiTheme="majorHAnsi" w:eastAsia="Times New Roman" w:hAnsiTheme="majorHAnsi" w:cstheme="majorHAnsi"/>
                <w:sz w:val="20"/>
                <w:szCs w:val="20"/>
              </w:rPr>
              <w:t xml:space="preserve"> required for seaweed farming</w:t>
            </w:r>
          </w:p>
        </w:tc>
        <w:tc>
          <w:tcPr>
            <w:tcW w:w="0" w:type="auto"/>
            <w:vAlign w:val="center"/>
            <w:hideMark/>
          </w:tcPr>
          <w:p w14:paraId="57BDA07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20C19620"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in hours or difficulty rating</w:t>
            </w:r>
          </w:p>
        </w:tc>
        <w:tc>
          <w:tcPr>
            <w:tcW w:w="0" w:type="auto"/>
            <w:vAlign w:val="center"/>
            <w:hideMark/>
          </w:tcPr>
          <w:p w14:paraId="3DA91980"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661CF865" w14:textId="77777777" w:rsidTr="0040773A">
        <w:trPr>
          <w:tblCellSpacing w:w="15" w:type="dxa"/>
        </w:trPr>
        <w:tc>
          <w:tcPr>
            <w:tcW w:w="0" w:type="auto"/>
            <w:vAlign w:val="center"/>
            <w:hideMark/>
          </w:tcPr>
          <w:p w14:paraId="1D043CDA"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Harvest period</w:t>
            </w:r>
          </w:p>
        </w:tc>
        <w:tc>
          <w:tcPr>
            <w:tcW w:w="0" w:type="auto"/>
            <w:vAlign w:val="center"/>
            <w:hideMark/>
          </w:tcPr>
          <w:p w14:paraId="469F39F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length of time taken to harvest seaweed</w:t>
            </w:r>
          </w:p>
        </w:tc>
        <w:tc>
          <w:tcPr>
            <w:tcW w:w="0" w:type="auto"/>
            <w:vAlign w:val="center"/>
            <w:hideMark/>
          </w:tcPr>
          <w:p w14:paraId="657F3FC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5DBE6B9D"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in months or weeks</w:t>
            </w:r>
          </w:p>
        </w:tc>
        <w:tc>
          <w:tcPr>
            <w:tcW w:w="0" w:type="auto"/>
            <w:vAlign w:val="center"/>
            <w:hideMark/>
          </w:tcPr>
          <w:p w14:paraId="6D335A5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58154DD3" w14:textId="77777777" w:rsidTr="0040773A">
        <w:trPr>
          <w:tblCellSpacing w:w="15" w:type="dxa"/>
        </w:trPr>
        <w:tc>
          <w:tcPr>
            <w:tcW w:w="0" w:type="auto"/>
            <w:vAlign w:val="center"/>
            <w:hideMark/>
          </w:tcPr>
          <w:p w14:paraId="0072173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Government support</w:t>
            </w:r>
          </w:p>
        </w:tc>
        <w:tc>
          <w:tcPr>
            <w:tcW w:w="0" w:type="auto"/>
            <w:vAlign w:val="center"/>
            <w:hideMark/>
          </w:tcPr>
          <w:p w14:paraId="33F1F26C"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Assistance provided by the government (financial, training, etc.)</w:t>
            </w:r>
          </w:p>
        </w:tc>
        <w:tc>
          <w:tcPr>
            <w:tcW w:w="0" w:type="auto"/>
            <w:vAlign w:val="center"/>
            <w:hideMark/>
          </w:tcPr>
          <w:p w14:paraId="63EDF7B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3B45350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by support score or assistance level</w:t>
            </w:r>
          </w:p>
        </w:tc>
        <w:tc>
          <w:tcPr>
            <w:tcW w:w="0" w:type="auto"/>
            <w:vAlign w:val="center"/>
            <w:hideMark/>
          </w:tcPr>
          <w:p w14:paraId="69114F1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2219C5F0" w14:textId="77777777" w:rsidTr="0040773A">
        <w:trPr>
          <w:tblCellSpacing w:w="15" w:type="dxa"/>
        </w:trPr>
        <w:tc>
          <w:tcPr>
            <w:tcW w:w="0" w:type="auto"/>
            <w:vAlign w:val="center"/>
            <w:hideMark/>
          </w:tcPr>
          <w:p w14:paraId="4457714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Climate change and health issues</w:t>
            </w:r>
          </w:p>
        </w:tc>
        <w:tc>
          <w:tcPr>
            <w:tcW w:w="0" w:type="auto"/>
            <w:vAlign w:val="center"/>
            <w:hideMark/>
          </w:tcPr>
          <w:p w14:paraId="69A120D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effect of climate change on seaweed farming and related health concerns</w:t>
            </w:r>
          </w:p>
        </w:tc>
        <w:tc>
          <w:tcPr>
            <w:tcW w:w="0" w:type="auto"/>
            <w:vAlign w:val="center"/>
            <w:hideMark/>
          </w:tcPr>
          <w:p w14:paraId="65757121"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Binary</w:t>
            </w:r>
          </w:p>
        </w:tc>
        <w:tc>
          <w:tcPr>
            <w:tcW w:w="0" w:type="auto"/>
            <w:vAlign w:val="center"/>
            <w:hideMark/>
          </w:tcPr>
          <w:p w14:paraId="6581F273"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 = No impact, 1 = Significant impact</w:t>
            </w:r>
          </w:p>
        </w:tc>
        <w:tc>
          <w:tcPr>
            <w:tcW w:w="0" w:type="auto"/>
            <w:vAlign w:val="center"/>
            <w:hideMark/>
          </w:tcPr>
          <w:p w14:paraId="453F227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6D76009B" w14:textId="77777777" w:rsidTr="00F462E4">
        <w:trPr>
          <w:tblCellSpacing w:w="15" w:type="dxa"/>
        </w:trPr>
        <w:tc>
          <w:tcPr>
            <w:tcW w:w="0" w:type="auto"/>
            <w:vAlign w:val="center"/>
            <w:hideMark/>
          </w:tcPr>
          <w:p w14:paraId="51CB3D1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Cultural constraint</w:t>
            </w:r>
          </w:p>
        </w:tc>
        <w:tc>
          <w:tcPr>
            <w:tcW w:w="0" w:type="auto"/>
            <w:vAlign w:val="center"/>
            <w:hideMark/>
          </w:tcPr>
          <w:p w14:paraId="7CF357F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influence of cultural factors restricting men’s participation in seaweed farming</w:t>
            </w:r>
          </w:p>
        </w:tc>
        <w:tc>
          <w:tcPr>
            <w:tcW w:w="0" w:type="auto"/>
            <w:vAlign w:val="center"/>
            <w:hideMark/>
          </w:tcPr>
          <w:p w14:paraId="1E82C34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198A29C7"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No constraint, 2 = Some constraint, 3 = High constraint</w:t>
            </w:r>
          </w:p>
        </w:tc>
        <w:tc>
          <w:tcPr>
            <w:tcW w:w="0" w:type="auto"/>
            <w:vAlign w:val="center"/>
            <w:hideMark/>
          </w:tcPr>
          <w:p w14:paraId="6471667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2F792508" w14:textId="77777777" w:rsidTr="0040773A">
        <w:trPr>
          <w:tblCellSpacing w:w="15" w:type="dxa"/>
        </w:trPr>
        <w:tc>
          <w:tcPr>
            <w:tcW w:w="0" w:type="auto"/>
            <w:tcBorders>
              <w:bottom w:val="single" w:sz="4" w:space="0" w:color="auto"/>
            </w:tcBorders>
            <w:vAlign w:val="center"/>
          </w:tcPr>
          <w:p w14:paraId="14A65C27" w14:textId="69949E64" w:rsidR="00F462E4" w:rsidRPr="0025609D" w:rsidRDefault="00F462E4" w:rsidP="00366171">
            <w:pPr>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Men’s participation</w:t>
            </w:r>
          </w:p>
        </w:tc>
        <w:tc>
          <w:tcPr>
            <w:tcW w:w="0" w:type="auto"/>
            <w:tcBorders>
              <w:bottom w:val="single" w:sz="4" w:space="0" w:color="auto"/>
            </w:tcBorders>
            <w:vAlign w:val="center"/>
          </w:tcPr>
          <w:p w14:paraId="4D29EFCB" w14:textId="149AC081"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possibility of men participating in seaweed farming</w:t>
            </w:r>
          </w:p>
        </w:tc>
        <w:tc>
          <w:tcPr>
            <w:tcW w:w="0" w:type="auto"/>
            <w:tcBorders>
              <w:bottom w:val="single" w:sz="4" w:space="0" w:color="auto"/>
            </w:tcBorders>
            <w:vAlign w:val="center"/>
          </w:tcPr>
          <w:p w14:paraId="5CE12C29" w14:textId="02343A17"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Binary</w:t>
            </w:r>
          </w:p>
        </w:tc>
        <w:tc>
          <w:tcPr>
            <w:tcW w:w="0" w:type="auto"/>
            <w:tcBorders>
              <w:bottom w:val="single" w:sz="4" w:space="0" w:color="auto"/>
            </w:tcBorders>
            <w:vAlign w:val="center"/>
          </w:tcPr>
          <w:p w14:paraId="4567FA5C" w14:textId="615F40A0"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=participate, and 0 =otherwise</w:t>
            </w:r>
          </w:p>
        </w:tc>
        <w:tc>
          <w:tcPr>
            <w:tcW w:w="0" w:type="auto"/>
            <w:tcBorders>
              <w:bottom w:val="single" w:sz="4" w:space="0" w:color="auto"/>
            </w:tcBorders>
            <w:vAlign w:val="center"/>
          </w:tcPr>
          <w:p w14:paraId="40FC709E" w14:textId="6EA3D77E" w:rsidR="00F462E4" w:rsidRPr="0025609D" w:rsidRDefault="003C0F63"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NA</w:t>
            </w:r>
          </w:p>
        </w:tc>
      </w:tr>
    </w:tbl>
    <w:p w14:paraId="30E5F016" w14:textId="4F1D3F4A" w:rsidR="00267D23" w:rsidRPr="0025609D" w:rsidRDefault="00F462E4" w:rsidP="008E6021">
      <w:pPr>
        <w:spacing w:line="360" w:lineRule="auto"/>
        <w:jc w:val="both"/>
        <w:rPr>
          <w:rFonts w:asciiTheme="majorHAnsi" w:hAnsiTheme="majorHAnsi" w:cstheme="majorHAnsi"/>
          <w:bCs/>
          <w:i/>
          <w:sz w:val="24"/>
          <w:szCs w:val="24"/>
        </w:rPr>
      </w:pPr>
      <w:r w:rsidRPr="0025609D">
        <w:rPr>
          <w:rFonts w:asciiTheme="majorHAnsi" w:hAnsiTheme="majorHAnsi" w:cstheme="majorHAnsi"/>
          <w:bCs/>
          <w:i/>
          <w:sz w:val="24"/>
          <w:szCs w:val="24"/>
        </w:rPr>
        <w:t>Source: Study construction, 2024</w:t>
      </w:r>
    </w:p>
    <w:p w14:paraId="47ACDCFC" w14:textId="76466554" w:rsidR="0073686B" w:rsidRPr="0025609D" w:rsidRDefault="00311E0A" w:rsidP="008E6021">
      <w:pPr>
        <w:spacing w:line="360" w:lineRule="auto"/>
        <w:rPr>
          <w:rFonts w:asciiTheme="majorHAnsi" w:hAnsiTheme="majorHAnsi" w:cstheme="majorHAnsi"/>
          <w:b/>
          <w:sz w:val="24"/>
          <w:szCs w:val="24"/>
        </w:rPr>
      </w:pPr>
      <w:r w:rsidRPr="0025609D">
        <w:rPr>
          <w:rFonts w:asciiTheme="majorHAnsi" w:hAnsiTheme="majorHAnsi" w:cstheme="majorHAnsi"/>
          <w:b/>
          <w:sz w:val="24"/>
          <w:szCs w:val="24"/>
        </w:rPr>
        <w:t>Results and Discussion</w:t>
      </w:r>
    </w:p>
    <w:p w14:paraId="4DA689FC" w14:textId="2677B081" w:rsidR="0073686B" w:rsidRPr="0025609D" w:rsidRDefault="0073686B" w:rsidP="008E6021">
      <w:pPr>
        <w:spacing w:line="360" w:lineRule="auto"/>
        <w:rPr>
          <w:rFonts w:asciiTheme="majorHAnsi" w:hAnsiTheme="majorHAnsi" w:cstheme="majorHAnsi"/>
          <w:b/>
          <w:sz w:val="24"/>
          <w:szCs w:val="24"/>
        </w:rPr>
      </w:pPr>
      <w:r w:rsidRPr="0025609D">
        <w:rPr>
          <w:rFonts w:asciiTheme="majorHAnsi" w:hAnsiTheme="majorHAnsi" w:cstheme="majorHAnsi"/>
          <w:b/>
          <w:sz w:val="24"/>
          <w:szCs w:val="24"/>
        </w:rPr>
        <w:t>Demographic profile of the surveyed respondents</w:t>
      </w:r>
    </w:p>
    <w:p w14:paraId="58BB0094" w14:textId="0CCBBF22" w:rsidR="00054D4D" w:rsidRPr="0025609D" w:rsidRDefault="00054D4D" w:rsidP="00054D4D">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Table 2 provides a demographic profile of the surveyed men, covering variables such as age, marital status, education level, and household size. These characteristics are essential for understanding the context of the sample involved in seaweed farming. The table highlights the distribution across these variables, which informs the analysis of participation in the study area.</w:t>
      </w:r>
    </w:p>
    <w:p w14:paraId="25DA6D9B" w14:textId="77777777" w:rsidR="00A71F4C" w:rsidRPr="0025609D" w:rsidRDefault="00A71F4C" w:rsidP="00A71F4C">
      <w:pPr>
        <w:spacing w:after="0"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Table 2: Demographic profile of the surveyed respondents</w:t>
      </w:r>
    </w:p>
    <w:tbl>
      <w:tblPr>
        <w:tblW w:w="5000" w:type="pct"/>
        <w:tblLook w:val="04A0" w:firstRow="1" w:lastRow="0" w:firstColumn="1" w:lastColumn="0" w:noHBand="0" w:noVBand="1"/>
      </w:tblPr>
      <w:tblGrid>
        <w:gridCol w:w="3260"/>
        <w:gridCol w:w="2284"/>
        <w:gridCol w:w="1908"/>
        <w:gridCol w:w="1908"/>
      </w:tblGrid>
      <w:tr w:rsidR="00A71F4C" w:rsidRPr="0025609D" w14:paraId="5A1DFB77" w14:textId="77777777" w:rsidTr="00AA0B76">
        <w:trPr>
          <w:trHeight w:val="300"/>
        </w:trPr>
        <w:tc>
          <w:tcPr>
            <w:tcW w:w="1741" w:type="pct"/>
            <w:tcBorders>
              <w:top w:val="single" w:sz="4" w:space="0" w:color="auto"/>
              <w:bottom w:val="single" w:sz="4" w:space="0" w:color="auto"/>
            </w:tcBorders>
            <w:shd w:val="clear" w:color="auto" w:fill="auto"/>
            <w:noWrap/>
            <w:vAlign w:val="center"/>
            <w:hideMark/>
          </w:tcPr>
          <w:p w14:paraId="47AB92B3"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Variable</w:t>
            </w:r>
          </w:p>
        </w:tc>
        <w:tc>
          <w:tcPr>
            <w:tcW w:w="1220" w:type="pct"/>
            <w:tcBorders>
              <w:top w:val="single" w:sz="4" w:space="0" w:color="auto"/>
              <w:bottom w:val="single" w:sz="4" w:space="0" w:color="auto"/>
            </w:tcBorders>
            <w:shd w:val="clear" w:color="auto" w:fill="auto"/>
            <w:noWrap/>
            <w:vAlign w:val="center"/>
            <w:hideMark/>
          </w:tcPr>
          <w:p w14:paraId="1C27AA2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Category</w:t>
            </w:r>
          </w:p>
        </w:tc>
        <w:tc>
          <w:tcPr>
            <w:tcW w:w="1019" w:type="pct"/>
            <w:tcBorders>
              <w:top w:val="single" w:sz="4" w:space="0" w:color="auto"/>
              <w:bottom w:val="single" w:sz="4" w:space="0" w:color="auto"/>
            </w:tcBorders>
            <w:shd w:val="clear" w:color="auto" w:fill="auto"/>
            <w:noWrap/>
            <w:vAlign w:val="center"/>
            <w:hideMark/>
          </w:tcPr>
          <w:p w14:paraId="38B68A4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Frequency</w:t>
            </w:r>
          </w:p>
        </w:tc>
        <w:tc>
          <w:tcPr>
            <w:tcW w:w="1019" w:type="pct"/>
            <w:tcBorders>
              <w:top w:val="single" w:sz="4" w:space="0" w:color="auto"/>
              <w:bottom w:val="single" w:sz="4" w:space="0" w:color="auto"/>
            </w:tcBorders>
            <w:shd w:val="clear" w:color="auto" w:fill="auto"/>
            <w:noWrap/>
            <w:vAlign w:val="center"/>
            <w:hideMark/>
          </w:tcPr>
          <w:p w14:paraId="4DE4B5C4"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Percent</w:t>
            </w:r>
          </w:p>
        </w:tc>
      </w:tr>
      <w:tr w:rsidR="00A71F4C" w:rsidRPr="0025609D" w14:paraId="6CCD7C68" w14:textId="77777777" w:rsidTr="00AA0B76">
        <w:trPr>
          <w:trHeight w:val="300"/>
        </w:trPr>
        <w:tc>
          <w:tcPr>
            <w:tcW w:w="1741" w:type="pct"/>
            <w:tcBorders>
              <w:top w:val="single" w:sz="4" w:space="0" w:color="auto"/>
            </w:tcBorders>
            <w:shd w:val="clear" w:color="auto" w:fill="auto"/>
            <w:noWrap/>
            <w:vAlign w:val="center"/>
            <w:hideMark/>
          </w:tcPr>
          <w:p w14:paraId="4B44E736"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Age</w:t>
            </w:r>
          </w:p>
        </w:tc>
        <w:tc>
          <w:tcPr>
            <w:tcW w:w="1220" w:type="pct"/>
            <w:tcBorders>
              <w:top w:val="single" w:sz="4" w:space="0" w:color="auto"/>
            </w:tcBorders>
            <w:shd w:val="clear" w:color="auto" w:fill="auto"/>
            <w:noWrap/>
            <w:vAlign w:val="center"/>
            <w:hideMark/>
          </w:tcPr>
          <w:p w14:paraId="2D66DA6F"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18 to 25</w:t>
            </w:r>
          </w:p>
        </w:tc>
        <w:tc>
          <w:tcPr>
            <w:tcW w:w="1019" w:type="pct"/>
            <w:tcBorders>
              <w:top w:val="single" w:sz="4" w:space="0" w:color="auto"/>
            </w:tcBorders>
            <w:shd w:val="clear" w:color="auto" w:fill="auto"/>
            <w:noWrap/>
            <w:vAlign w:val="center"/>
            <w:hideMark/>
          </w:tcPr>
          <w:p w14:paraId="5DD6A9AB"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13</w:t>
            </w:r>
          </w:p>
        </w:tc>
        <w:tc>
          <w:tcPr>
            <w:tcW w:w="1019" w:type="pct"/>
            <w:tcBorders>
              <w:top w:val="single" w:sz="4" w:space="0" w:color="auto"/>
            </w:tcBorders>
            <w:shd w:val="clear" w:color="auto" w:fill="auto"/>
            <w:noWrap/>
            <w:vAlign w:val="center"/>
            <w:hideMark/>
          </w:tcPr>
          <w:p w14:paraId="0F37DAB1"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9</w:t>
            </w:r>
          </w:p>
        </w:tc>
      </w:tr>
      <w:tr w:rsidR="00A71F4C" w:rsidRPr="0025609D" w14:paraId="039EE58B" w14:textId="77777777" w:rsidTr="00AA0B76">
        <w:trPr>
          <w:trHeight w:val="300"/>
        </w:trPr>
        <w:tc>
          <w:tcPr>
            <w:tcW w:w="1741" w:type="pct"/>
            <w:shd w:val="clear" w:color="auto" w:fill="auto"/>
            <w:noWrap/>
            <w:vAlign w:val="center"/>
            <w:hideMark/>
          </w:tcPr>
          <w:p w14:paraId="222AA64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5938EAD9"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26 to 33</w:t>
            </w:r>
          </w:p>
        </w:tc>
        <w:tc>
          <w:tcPr>
            <w:tcW w:w="1019" w:type="pct"/>
            <w:shd w:val="clear" w:color="auto" w:fill="auto"/>
            <w:noWrap/>
            <w:vAlign w:val="center"/>
            <w:hideMark/>
          </w:tcPr>
          <w:p w14:paraId="77965B7F"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53</w:t>
            </w:r>
          </w:p>
        </w:tc>
        <w:tc>
          <w:tcPr>
            <w:tcW w:w="1019" w:type="pct"/>
            <w:shd w:val="clear" w:color="auto" w:fill="auto"/>
            <w:noWrap/>
            <w:vAlign w:val="center"/>
            <w:hideMark/>
          </w:tcPr>
          <w:p w14:paraId="5E412114"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35</w:t>
            </w:r>
          </w:p>
        </w:tc>
      </w:tr>
      <w:tr w:rsidR="00A71F4C" w:rsidRPr="0025609D" w14:paraId="03BD2EE6" w14:textId="77777777" w:rsidTr="00AA0B76">
        <w:trPr>
          <w:trHeight w:val="300"/>
        </w:trPr>
        <w:tc>
          <w:tcPr>
            <w:tcW w:w="1741" w:type="pct"/>
            <w:shd w:val="clear" w:color="auto" w:fill="auto"/>
            <w:noWrap/>
            <w:vAlign w:val="center"/>
            <w:hideMark/>
          </w:tcPr>
          <w:p w14:paraId="01D8C0D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736ACC8C"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34 to 41</w:t>
            </w:r>
          </w:p>
        </w:tc>
        <w:tc>
          <w:tcPr>
            <w:tcW w:w="1019" w:type="pct"/>
            <w:shd w:val="clear" w:color="auto" w:fill="auto"/>
            <w:noWrap/>
            <w:vAlign w:val="center"/>
            <w:hideMark/>
          </w:tcPr>
          <w:p w14:paraId="63360BE6"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65</w:t>
            </w:r>
          </w:p>
        </w:tc>
        <w:tc>
          <w:tcPr>
            <w:tcW w:w="1019" w:type="pct"/>
            <w:shd w:val="clear" w:color="auto" w:fill="auto"/>
            <w:noWrap/>
            <w:vAlign w:val="center"/>
            <w:hideMark/>
          </w:tcPr>
          <w:p w14:paraId="2B735CD5"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43</w:t>
            </w:r>
          </w:p>
        </w:tc>
      </w:tr>
      <w:tr w:rsidR="00A71F4C" w:rsidRPr="0025609D" w14:paraId="2B558BC1" w14:textId="77777777" w:rsidTr="00AA0B76">
        <w:trPr>
          <w:trHeight w:val="300"/>
        </w:trPr>
        <w:tc>
          <w:tcPr>
            <w:tcW w:w="1741" w:type="pct"/>
            <w:shd w:val="clear" w:color="auto" w:fill="auto"/>
            <w:noWrap/>
            <w:vAlign w:val="center"/>
            <w:hideMark/>
          </w:tcPr>
          <w:p w14:paraId="0BBCE707"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68F7B73B"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≥50</w:t>
            </w:r>
          </w:p>
        </w:tc>
        <w:tc>
          <w:tcPr>
            <w:tcW w:w="1019" w:type="pct"/>
            <w:tcBorders>
              <w:bottom w:val="single" w:sz="4" w:space="0" w:color="auto"/>
            </w:tcBorders>
            <w:shd w:val="clear" w:color="auto" w:fill="auto"/>
            <w:noWrap/>
            <w:vAlign w:val="center"/>
            <w:hideMark/>
          </w:tcPr>
          <w:p w14:paraId="023D3B6A"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19</w:t>
            </w:r>
          </w:p>
        </w:tc>
        <w:tc>
          <w:tcPr>
            <w:tcW w:w="1019" w:type="pct"/>
            <w:tcBorders>
              <w:bottom w:val="single" w:sz="4" w:space="0" w:color="auto"/>
            </w:tcBorders>
            <w:shd w:val="clear" w:color="auto" w:fill="auto"/>
            <w:noWrap/>
            <w:vAlign w:val="center"/>
            <w:hideMark/>
          </w:tcPr>
          <w:p w14:paraId="021CF0FB"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13</w:t>
            </w:r>
          </w:p>
        </w:tc>
      </w:tr>
      <w:tr w:rsidR="00A71F4C" w:rsidRPr="0025609D" w14:paraId="06D6C567" w14:textId="77777777" w:rsidTr="00AA0B76">
        <w:trPr>
          <w:trHeight w:val="300"/>
        </w:trPr>
        <w:tc>
          <w:tcPr>
            <w:tcW w:w="1741" w:type="pct"/>
            <w:shd w:val="clear" w:color="auto" w:fill="auto"/>
            <w:noWrap/>
            <w:vAlign w:val="center"/>
            <w:hideMark/>
          </w:tcPr>
          <w:p w14:paraId="0BDF28E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Marital status</w:t>
            </w:r>
          </w:p>
        </w:tc>
        <w:tc>
          <w:tcPr>
            <w:tcW w:w="1220" w:type="pct"/>
            <w:tcBorders>
              <w:top w:val="single" w:sz="4" w:space="0" w:color="auto"/>
            </w:tcBorders>
            <w:shd w:val="clear" w:color="auto" w:fill="auto"/>
            <w:noWrap/>
            <w:vAlign w:val="center"/>
            <w:hideMark/>
          </w:tcPr>
          <w:p w14:paraId="0B31D8A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Single</w:t>
            </w:r>
          </w:p>
        </w:tc>
        <w:tc>
          <w:tcPr>
            <w:tcW w:w="1019" w:type="pct"/>
            <w:tcBorders>
              <w:top w:val="single" w:sz="4" w:space="0" w:color="auto"/>
            </w:tcBorders>
            <w:shd w:val="clear" w:color="auto" w:fill="auto"/>
            <w:noWrap/>
            <w:vAlign w:val="center"/>
            <w:hideMark/>
          </w:tcPr>
          <w:p w14:paraId="125230C1"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17</w:t>
            </w:r>
          </w:p>
        </w:tc>
        <w:tc>
          <w:tcPr>
            <w:tcW w:w="1019" w:type="pct"/>
            <w:tcBorders>
              <w:top w:val="single" w:sz="4" w:space="0" w:color="auto"/>
            </w:tcBorders>
            <w:shd w:val="clear" w:color="auto" w:fill="auto"/>
            <w:noWrap/>
            <w:vAlign w:val="center"/>
            <w:hideMark/>
          </w:tcPr>
          <w:p w14:paraId="76250FA9"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w:t>
            </w:r>
          </w:p>
        </w:tc>
      </w:tr>
      <w:tr w:rsidR="00A71F4C" w:rsidRPr="0025609D" w14:paraId="1DD1A94D" w14:textId="77777777" w:rsidTr="00AA0B76">
        <w:trPr>
          <w:trHeight w:val="300"/>
        </w:trPr>
        <w:tc>
          <w:tcPr>
            <w:tcW w:w="1741" w:type="pct"/>
            <w:shd w:val="clear" w:color="auto" w:fill="auto"/>
            <w:noWrap/>
            <w:vAlign w:val="center"/>
            <w:hideMark/>
          </w:tcPr>
          <w:p w14:paraId="785FAF65"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09D8B1A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Married</w:t>
            </w:r>
          </w:p>
        </w:tc>
        <w:tc>
          <w:tcPr>
            <w:tcW w:w="1019" w:type="pct"/>
            <w:shd w:val="clear" w:color="auto" w:fill="auto"/>
            <w:noWrap/>
            <w:vAlign w:val="center"/>
            <w:hideMark/>
          </w:tcPr>
          <w:p w14:paraId="59230B6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103</w:t>
            </w:r>
          </w:p>
        </w:tc>
        <w:tc>
          <w:tcPr>
            <w:tcW w:w="1019" w:type="pct"/>
            <w:shd w:val="clear" w:color="auto" w:fill="auto"/>
            <w:noWrap/>
            <w:vAlign w:val="center"/>
            <w:hideMark/>
          </w:tcPr>
          <w:p w14:paraId="30789AA6"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69</w:t>
            </w:r>
          </w:p>
        </w:tc>
      </w:tr>
      <w:tr w:rsidR="00A71F4C" w:rsidRPr="0025609D" w14:paraId="19DB90D1" w14:textId="77777777" w:rsidTr="00AA0B76">
        <w:trPr>
          <w:trHeight w:val="300"/>
        </w:trPr>
        <w:tc>
          <w:tcPr>
            <w:tcW w:w="1741" w:type="pct"/>
            <w:shd w:val="clear" w:color="auto" w:fill="auto"/>
            <w:noWrap/>
            <w:vAlign w:val="center"/>
            <w:hideMark/>
          </w:tcPr>
          <w:p w14:paraId="0F589E0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55B34F1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Widowed</w:t>
            </w:r>
          </w:p>
        </w:tc>
        <w:tc>
          <w:tcPr>
            <w:tcW w:w="1019" w:type="pct"/>
            <w:shd w:val="clear" w:color="auto" w:fill="auto"/>
            <w:noWrap/>
            <w:vAlign w:val="center"/>
            <w:hideMark/>
          </w:tcPr>
          <w:p w14:paraId="5AED989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9</w:t>
            </w:r>
          </w:p>
        </w:tc>
        <w:tc>
          <w:tcPr>
            <w:tcW w:w="1019" w:type="pct"/>
            <w:shd w:val="clear" w:color="auto" w:fill="auto"/>
            <w:noWrap/>
            <w:vAlign w:val="center"/>
            <w:hideMark/>
          </w:tcPr>
          <w:p w14:paraId="6804C3E2"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6</w:t>
            </w:r>
          </w:p>
        </w:tc>
      </w:tr>
      <w:tr w:rsidR="00A71F4C" w:rsidRPr="0025609D" w14:paraId="7562CEC7" w14:textId="77777777" w:rsidTr="00AA0B76">
        <w:trPr>
          <w:trHeight w:val="300"/>
        </w:trPr>
        <w:tc>
          <w:tcPr>
            <w:tcW w:w="1741" w:type="pct"/>
            <w:shd w:val="clear" w:color="auto" w:fill="auto"/>
            <w:noWrap/>
            <w:vAlign w:val="center"/>
            <w:hideMark/>
          </w:tcPr>
          <w:p w14:paraId="174F61F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5B6F0C5D"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Divorced</w:t>
            </w:r>
          </w:p>
        </w:tc>
        <w:tc>
          <w:tcPr>
            <w:tcW w:w="1019" w:type="pct"/>
            <w:tcBorders>
              <w:bottom w:val="single" w:sz="4" w:space="0" w:color="auto"/>
            </w:tcBorders>
            <w:shd w:val="clear" w:color="auto" w:fill="auto"/>
            <w:noWrap/>
            <w:vAlign w:val="center"/>
            <w:hideMark/>
          </w:tcPr>
          <w:p w14:paraId="4E3A236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w:t>
            </w:r>
          </w:p>
        </w:tc>
        <w:tc>
          <w:tcPr>
            <w:tcW w:w="1019" w:type="pct"/>
            <w:tcBorders>
              <w:bottom w:val="single" w:sz="4" w:space="0" w:color="auto"/>
            </w:tcBorders>
            <w:shd w:val="clear" w:color="auto" w:fill="auto"/>
            <w:noWrap/>
            <w:vAlign w:val="center"/>
            <w:hideMark/>
          </w:tcPr>
          <w:p w14:paraId="276C00AE"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14</w:t>
            </w:r>
          </w:p>
        </w:tc>
      </w:tr>
      <w:tr w:rsidR="00A71F4C" w:rsidRPr="0025609D" w14:paraId="6114003E" w14:textId="77777777" w:rsidTr="00AA0B76">
        <w:trPr>
          <w:trHeight w:val="300"/>
        </w:trPr>
        <w:tc>
          <w:tcPr>
            <w:tcW w:w="1741" w:type="pct"/>
            <w:shd w:val="clear" w:color="auto" w:fill="auto"/>
            <w:noWrap/>
            <w:vAlign w:val="center"/>
            <w:hideMark/>
          </w:tcPr>
          <w:p w14:paraId="6AA391A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Education</w:t>
            </w:r>
          </w:p>
        </w:tc>
        <w:tc>
          <w:tcPr>
            <w:tcW w:w="1220" w:type="pct"/>
            <w:tcBorders>
              <w:top w:val="single" w:sz="4" w:space="0" w:color="auto"/>
            </w:tcBorders>
            <w:shd w:val="clear" w:color="auto" w:fill="auto"/>
            <w:noWrap/>
            <w:vAlign w:val="center"/>
            <w:hideMark/>
          </w:tcPr>
          <w:p w14:paraId="2017296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Informal</w:t>
            </w:r>
          </w:p>
        </w:tc>
        <w:tc>
          <w:tcPr>
            <w:tcW w:w="1019" w:type="pct"/>
            <w:tcBorders>
              <w:top w:val="single" w:sz="4" w:space="0" w:color="auto"/>
            </w:tcBorders>
            <w:shd w:val="clear" w:color="auto" w:fill="auto"/>
            <w:noWrap/>
            <w:vAlign w:val="center"/>
            <w:hideMark/>
          </w:tcPr>
          <w:p w14:paraId="339C32AE"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8</w:t>
            </w:r>
          </w:p>
        </w:tc>
        <w:tc>
          <w:tcPr>
            <w:tcW w:w="1019" w:type="pct"/>
            <w:tcBorders>
              <w:top w:val="single" w:sz="4" w:space="0" w:color="auto"/>
            </w:tcBorders>
            <w:shd w:val="clear" w:color="auto" w:fill="auto"/>
            <w:noWrap/>
            <w:vAlign w:val="center"/>
            <w:hideMark/>
          </w:tcPr>
          <w:p w14:paraId="0A510406"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5</w:t>
            </w:r>
          </w:p>
        </w:tc>
      </w:tr>
      <w:tr w:rsidR="00A71F4C" w:rsidRPr="0025609D" w14:paraId="47A33148" w14:textId="77777777" w:rsidTr="00AA0B76">
        <w:trPr>
          <w:trHeight w:val="300"/>
        </w:trPr>
        <w:tc>
          <w:tcPr>
            <w:tcW w:w="1741" w:type="pct"/>
            <w:shd w:val="clear" w:color="auto" w:fill="auto"/>
            <w:noWrap/>
            <w:vAlign w:val="center"/>
            <w:hideMark/>
          </w:tcPr>
          <w:p w14:paraId="575A2ED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lastRenderedPageBreak/>
              <w:t> </w:t>
            </w:r>
          </w:p>
        </w:tc>
        <w:tc>
          <w:tcPr>
            <w:tcW w:w="1220" w:type="pct"/>
            <w:shd w:val="clear" w:color="auto" w:fill="auto"/>
            <w:noWrap/>
            <w:vAlign w:val="center"/>
            <w:hideMark/>
          </w:tcPr>
          <w:p w14:paraId="39C4435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Primary</w:t>
            </w:r>
          </w:p>
        </w:tc>
        <w:tc>
          <w:tcPr>
            <w:tcW w:w="1019" w:type="pct"/>
            <w:shd w:val="clear" w:color="auto" w:fill="auto"/>
            <w:noWrap/>
            <w:vAlign w:val="center"/>
            <w:hideMark/>
          </w:tcPr>
          <w:p w14:paraId="3958AB96"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95</w:t>
            </w:r>
          </w:p>
        </w:tc>
        <w:tc>
          <w:tcPr>
            <w:tcW w:w="1019" w:type="pct"/>
            <w:shd w:val="clear" w:color="auto" w:fill="auto"/>
            <w:noWrap/>
            <w:vAlign w:val="center"/>
            <w:hideMark/>
          </w:tcPr>
          <w:p w14:paraId="19BB75CE"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63</w:t>
            </w:r>
          </w:p>
        </w:tc>
      </w:tr>
      <w:tr w:rsidR="00A71F4C" w:rsidRPr="0025609D" w14:paraId="01AC20B9" w14:textId="77777777" w:rsidTr="00AA0B76">
        <w:trPr>
          <w:trHeight w:val="300"/>
        </w:trPr>
        <w:tc>
          <w:tcPr>
            <w:tcW w:w="1741" w:type="pct"/>
            <w:shd w:val="clear" w:color="auto" w:fill="auto"/>
            <w:noWrap/>
            <w:vAlign w:val="center"/>
            <w:hideMark/>
          </w:tcPr>
          <w:p w14:paraId="5AA68201"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40D63AF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Secondary</w:t>
            </w:r>
          </w:p>
        </w:tc>
        <w:tc>
          <w:tcPr>
            <w:tcW w:w="1019" w:type="pct"/>
            <w:shd w:val="clear" w:color="auto" w:fill="auto"/>
            <w:noWrap/>
            <w:vAlign w:val="center"/>
            <w:hideMark/>
          </w:tcPr>
          <w:p w14:paraId="75A06D44"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38</w:t>
            </w:r>
          </w:p>
        </w:tc>
        <w:tc>
          <w:tcPr>
            <w:tcW w:w="1019" w:type="pct"/>
            <w:shd w:val="clear" w:color="auto" w:fill="auto"/>
            <w:noWrap/>
            <w:vAlign w:val="center"/>
            <w:hideMark/>
          </w:tcPr>
          <w:p w14:paraId="268CC69C"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25</w:t>
            </w:r>
          </w:p>
        </w:tc>
      </w:tr>
      <w:tr w:rsidR="00A71F4C" w:rsidRPr="0025609D" w14:paraId="786D7871" w14:textId="77777777" w:rsidTr="00AA0B76">
        <w:trPr>
          <w:trHeight w:val="300"/>
        </w:trPr>
        <w:tc>
          <w:tcPr>
            <w:tcW w:w="1741" w:type="pct"/>
            <w:shd w:val="clear" w:color="auto" w:fill="auto"/>
            <w:noWrap/>
            <w:vAlign w:val="center"/>
            <w:hideMark/>
          </w:tcPr>
          <w:p w14:paraId="437008B6"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3C0B0E1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College</w:t>
            </w:r>
          </w:p>
        </w:tc>
        <w:tc>
          <w:tcPr>
            <w:tcW w:w="1019" w:type="pct"/>
            <w:tcBorders>
              <w:bottom w:val="single" w:sz="4" w:space="0" w:color="auto"/>
            </w:tcBorders>
            <w:shd w:val="clear" w:color="auto" w:fill="auto"/>
            <w:noWrap/>
            <w:vAlign w:val="center"/>
            <w:hideMark/>
          </w:tcPr>
          <w:p w14:paraId="0F28E014"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w:t>
            </w:r>
          </w:p>
        </w:tc>
        <w:tc>
          <w:tcPr>
            <w:tcW w:w="1019" w:type="pct"/>
            <w:tcBorders>
              <w:bottom w:val="single" w:sz="4" w:space="0" w:color="auto"/>
            </w:tcBorders>
            <w:shd w:val="clear" w:color="auto" w:fill="auto"/>
            <w:noWrap/>
            <w:vAlign w:val="center"/>
            <w:hideMark/>
          </w:tcPr>
          <w:p w14:paraId="2E291092"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w:t>
            </w:r>
          </w:p>
        </w:tc>
      </w:tr>
      <w:tr w:rsidR="00A71F4C" w:rsidRPr="0025609D" w14:paraId="406C7852" w14:textId="77777777" w:rsidTr="00AA0B76">
        <w:trPr>
          <w:trHeight w:val="300"/>
        </w:trPr>
        <w:tc>
          <w:tcPr>
            <w:tcW w:w="1741" w:type="pct"/>
            <w:shd w:val="clear" w:color="auto" w:fill="auto"/>
            <w:noWrap/>
            <w:vAlign w:val="center"/>
            <w:hideMark/>
          </w:tcPr>
          <w:p w14:paraId="1AB28B3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Household size</w:t>
            </w:r>
          </w:p>
        </w:tc>
        <w:tc>
          <w:tcPr>
            <w:tcW w:w="1220" w:type="pct"/>
            <w:tcBorders>
              <w:top w:val="single" w:sz="4" w:space="0" w:color="auto"/>
            </w:tcBorders>
            <w:shd w:val="clear" w:color="auto" w:fill="auto"/>
            <w:noWrap/>
            <w:vAlign w:val="center"/>
            <w:hideMark/>
          </w:tcPr>
          <w:p w14:paraId="4E93F36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to 3</w:t>
            </w:r>
          </w:p>
        </w:tc>
        <w:tc>
          <w:tcPr>
            <w:tcW w:w="1019" w:type="pct"/>
            <w:tcBorders>
              <w:top w:val="single" w:sz="4" w:space="0" w:color="auto"/>
            </w:tcBorders>
            <w:shd w:val="clear" w:color="auto" w:fill="auto"/>
            <w:noWrap/>
            <w:vAlign w:val="center"/>
            <w:hideMark/>
          </w:tcPr>
          <w:p w14:paraId="1CEEA81E"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14</w:t>
            </w:r>
          </w:p>
        </w:tc>
        <w:tc>
          <w:tcPr>
            <w:tcW w:w="1019" w:type="pct"/>
            <w:tcBorders>
              <w:top w:val="single" w:sz="4" w:space="0" w:color="auto"/>
            </w:tcBorders>
            <w:shd w:val="clear" w:color="auto" w:fill="auto"/>
            <w:noWrap/>
            <w:vAlign w:val="center"/>
            <w:hideMark/>
          </w:tcPr>
          <w:p w14:paraId="0AB4429F"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9</w:t>
            </w:r>
          </w:p>
        </w:tc>
      </w:tr>
      <w:tr w:rsidR="00A71F4C" w:rsidRPr="0025609D" w14:paraId="5DA54C9C" w14:textId="77777777" w:rsidTr="00AA0B76">
        <w:trPr>
          <w:trHeight w:val="300"/>
        </w:trPr>
        <w:tc>
          <w:tcPr>
            <w:tcW w:w="1741" w:type="pct"/>
            <w:shd w:val="clear" w:color="auto" w:fill="auto"/>
            <w:noWrap/>
            <w:vAlign w:val="center"/>
            <w:hideMark/>
          </w:tcPr>
          <w:p w14:paraId="1C50C239"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6137D5C7"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 to 6</w:t>
            </w:r>
          </w:p>
        </w:tc>
        <w:tc>
          <w:tcPr>
            <w:tcW w:w="1019" w:type="pct"/>
            <w:shd w:val="clear" w:color="auto" w:fill="auto"/>
            <w:noWrap/>
            <w:vAlign w:val="center"/>
            <w:hideMark/>
          </w:tcPr>
          <w:p w14:paraId="361121AA"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98</w:t>
            </w:r>
          </w:p>
        </w:tc>
        <w:tc>
          <w:tcPr>
            <w:tcW w:w="1019" w:type="pct"/>
            <w:shd w:val="clear" w:color="auto" w:fill="auto"/>
            <w:noWrap/>
            <w:vAlign w:val="center"/>
            <w:hideMark/>
          </w:tcPr>
          <w:p w14:paraId="4A453F96"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65</w:t>
            </w:r>
          </w:p>
        </w:tc>
      </w:tr>
      <w:tr w:rsidR="00A71F4C" w:rsidRPr="0025609D" w14:paraId="662AD433" w14:textId="77777777" w:rsidTr="00AA0B76">
        <w:trPr>
          <w:trHeight w:val="300"/>
        </w:trPr>
        <w:tc>
          <w:tcPr>
            <w:tcW w:w="1741" w:type="pct"/>
            <w:tcBorders>
              <w:bottom w:val="single" w:sz="4" w:space="0" w:color="auto"/>
            </w:tcBorders>
            <w:shd w:val="clear" w:color="auto" w:fill="auto"/>
            <w:noWrap/>
            <w:vAlign w:val="center"/>
            <w:hideMark/>
          </w:tcPr>
          <w:p w14:paraId="2978E4D3"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1DEF389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 to 10</w:t>
            </w:r>
          </w:p>
        </w:tc>
        <w:tc>
          <w:tcPr>
            <w:tcW w:w="1019" w:type="pct"/>
            <w:tcBorders>
              <w:bottom w:val="single" w:sz="4" w:space="0" w:color="auto"/>
            </w:tcBorders>
            <w:shd w:val="clear" w:color="auto" w:fill="auto"/>
            <w:noWrap/>
            <w:vAlign w:val="center"/>
            <w:hideMark/>
          </w:tcPr>
          <w:p w14:paraId="7D59B1D8"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38</w:t>
            </w:r>
          </w:p>
        </w:tc>
        <w:tc>
          <w:tcPr>
            <w:tcW w:w="1019" w:type="pct"/>
            <w:tcBorders>
              <w:bottom w:val="single" w:sz="4" w:space="0" w:color="auto"/>
            </w:tcBorders>
            <w:shd w:val="clear" w:color="auto" w:fill="auto"/>
            <w:noWrap/>
            <w:vAlign w:val="center"/>
            <w:hideMark/>
          </w:tcPr>
          <w:p w14:paraId="75089AE2"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25</w:t>
            </w:r>
          </w:p>
        </w:tc>
      </w:tr>
    </w:tbl>
    <w:p w14:paraId="141B8B5C" w14:textId="77777777" w:rsidR="00A71F4C" w:rsidRPr="0025609D" w:rsidRDefault="00A71F4C" w:rsidP="00A71F4C">
      <w:pPr>
        <w:spacing w:line="360" w:lineRule="auto"/>
        <w:rPr>
          <w:rFonts w:asciiTheme="majorHAnsi" w:hAnsiTheme="majorHAnsi" w:cstheme="majorHAnsi"/>
          <w:i/>
          <w:sz w:val="24"/>
          <w:szCs w:val="24"/>
        </w:rPr>
      </w:pPr>
      <w:r w:rsidRPr="0025609D">
        <w:rPr>
          <w:rFonts w:asciiTheme="majorHAnsi" w:hAnsiTheme="majorHAnsi" w:cstheme="majorHAnsi"/>
          <w:b/>
          <w:i/>
          <w:sz w:val="24"/>
          <w:szCs w:val="24"/>
        </w:rPr>
        <w:t>Source</w:t>
      </w:r>
      <w:r w:rsidRPr="0025609D">
        <w:rPr>
          <w:rFonts w:asciiTheme="majorHAnsi" w:hAnsiTheme="majorHAnsi" w:cstheme="majorHAnsi"/>
          <w:i/>
          <w:sz w:val="24"/>
          <w:szCs w:val="24"/>
        </w:rPr>
        <w:t>: Field Data, (2024)</w:t>
      </w:r>
    </w:p>
    <w:p w14:paraId="5D8E234F" w14:textId="7232EE3F" w:rsidR="007B1699" w:rsidRPr="0025609D" w:rsidRDefault="007B1699" w:rsidP="00716157">
      <w:pPr>
        <w:spacing w:before="120" w:after="120"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Age</w:t>
      </w:r>
    </w:p>
    <w:p w14:paraId="727C3C21" w14:textId="032B7A25" w:rsidR="00D74D8D" w:rsidRPr="0025609D" w:rsidRDefault="00D74D8D" w:rsidP="00716157">
      <w:pPr>
        <w:spacing w:after="0" w:line="360" w:lineRule="auto"/>
        <w:jc w:val="both"/>
        <w:rPr>
          <w:rFonts w:asciiTheme="majorHAnsi" w:eastAsia="Times New Roman" w:hAnsiTheme="majorHAnsi" w:cstheme="majorHAnsi"/>
          <w:sz w:val="24"/>
          <w:szCs w:val="24"/>
        </w:rPr>
      </w:pPr>
      <w:bookmarkStart w:id="3" w:name="_Hlk180411120"/>
      <w:r w:rsidRPr="0025609D">
        <w:rPr>
          <w:rFonts w:asciiTheme="majorHAnsi" w:eastAsia="Times New Roman" w:hAnsiTheme="majorHAnsi" w:cstheme="majorHAnsi"/>
          <w:sz w:val="24"/>
          <w:szCs w:val="24"/>
        </w:rPr>
        <w:t>The survey found that 43% of respondents are between 34 and 41 years old, indicating that most seaweed farmers were relatively mature. This suggests that these individuals may have more experience and greater access to resources for investing in seaweed farming. The lower participation rate of younger men (9%) may indicate a lack of interest in or access to seaweed farming as a livelihood strategy. Research indicates that younger farmers are often more open to adopting new practices, while older farmers may prefer traditional methods (</w:t>
      </w:r>
      <w:r w:rsidR="0069693A" w:rsidRPr="0025609D">
        <w:rPr>
          <w:rFonts w:asciiTheme="majorHAnsi" w:eastAsia="Times New Roman" w:hAnsiTheme="majorHAnsi" w:cstheme="majorHAnsi"/>
          <w:sz w:val="24"/>
          <w:szCs w:val="24"/>
        </w:rPr>
        <w:t>FAO, 2014</w:t>
      </w:r>
      <w:r w:rsidRPr="0025609D">
        <w:rPr>
          <w:rFonts w:asciiTheme="majorHAnsi" w:eastAsia="Times New Roman" w:hAnsiTheme="majorHAnsi" w:cstheme="majorHAnsi"/>
          <w:sz w:val="24"/>
          <w:szCs w:val="24"/>
        </w:rPr>
        <w:t>). In contrast, in this study, the predominance of mature individuals in seaweed farming could imply a preference for stability and traditional methods over experimentation, as maturity often brings a more cautious approach to new technologies. This aligns with findings in other agricultural sectors, where matured people dominate, such as maize farming, where matured individuals are more active and productive (</w:t>
      </w:r>
      <w:proofErr w:type="spellStart"/>
      <w:r w:rsidRPr="0025609D">
        <w:rPr>
          <w:rFonts w:asciiTheme="majorHAnsi" w:eastAsia="Times New Roman" w:hAnsiTheme="majorHAnsi" w:cstheme="majorHAnsi"/>
          <w:sz w:val="24"/>
          <w:szCs w:val="24"/>
        </w:rPr>
        <w:t>Utonga</w:t>
      </w:r>
      <w:proofErr w:type="spellEnd"/>
      <w:r w:rsidRPr="0025609D">
        <w:rPr>
          <w:rFonts w:asciiTheme="majorHAnsi" w:eastAsia="Times New Roman" w:hAnsiTheme="majorHAnsi" w:cstheme="majorHAnsi"/>
          <w:sz w:val="24"/>
          <w:szCs w:val="24"/>
        </w:rPr>
        <w:t>, 2022). The presence of mature farmers in seaweed farming suggests they may see it as a stable, sustainable livelihood due to their access to resources and experience.</w:t>
      </w:r>
    </w:p>
    <w:bookmarkEnd w:id="3"/>
    <w:p w14:paraId="181752E8" w14:textId="576AFCF9"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Marital Status</w:t>
      </w:r>
    </w:p>
    <w:p w14:paraId="4DD5BC58" w14:textId="1C799A9B" w:rsidR="00B307C8" w:rsidRPr="0025609D" w:rsidRDefault="008D3EDF" w:rsidP="008E6021">
      <w:pPr>
        <w:spacing w:before="100" w:beforeAutospacing="1" w:after="100" w:afterAutospacing="1" w:line="360" w:lineRule="auto"/>
        <w:jc w:val="both"/>
        <w:rPr>
          <w:rFonts w:asciiTheme="majorHAnsi" w:eastAsia="Times New Roman" w:hAnsiTheme="majorHAnsi" w:cstheme="majorHAnsi"/>
          <w:sz w:val="24"/>
          <w:szCs w:val="24"/>
        </w:rPr>
      </w:pPr>
      <w:r w:rsidRPr="008D3EDF">
        <w:rPr>
          <w:rFonts w:asciiTheme="majorHAnsi" w:eastAsia="Times New Roman" w:hAnsiTheme="majorHAnsi" w:cstheme="majorHAnsi"/>
          <w:sz w:val="24"/>
          <w:szCs w:val="24"/>
        </w:rPr>
        <w:t>The fact that 69% of the respondents are married suggests that family responsibilities may play an important role while engaging in seaweed farming. The engagement of married individuals in seaweed farming highlights the influence of family responsibilities on this livelihood. Seaweed farming is a crucial income source for families, often involving both spouses to enhance household income and ensure subsistence (</w:t>
      </w:r>
      <w:proofErr w:type="spellStart"/>
      <w:r w:rsidRPr="008D3EDF">
        <w:rPr>
          <w:rFonts w:asciiTheme="majorHAnsi" w:eastAsia="Times New Roman" w:hAnsiTheme="majorHAnsi" w:cstheme="majorHAnsi"/>
          <w:sz w:val="24"/>
          <w:szCs w:val="24"/>
        </w:rPr>
        <w:t>Apura</w:t>
      </w:r>
      <w:proofErr w:type="spellEnd"/>
      <w:r w:rsidRPr="008D3EDF">
        <w:rPr>
          <w:rFonts w:asciiTheme="majorHAnsi" w:eastAsia="Times New Roman" w:hAnsiTheme="majorHAnsi" w:cstheme="majorHAnsi"/>
          <w:sz w:val="24"/>
          <w:szCs w:val="24"/>
        </w:rPr>
        <w:t>, 2022)</w:t>
      </w:r>
      <w:r w:rsidR="00F27FA3" w:rsidRPr="0025609D">
        <w:rPr>
          <w:rFonts w:asciiTheme="majorHAnsi" w:eastAsia="Times New Roman" w:hAnsiTheme="majorHAnsi" w:cstheme="majorHAnsi"/>
          <w:sz w:val="24"/>
          <w:szCs w:val="24"/>
        </w:rPr>
        <w:t>.</w:t>
      </w:r>
    </w:p>
    <w:p w14:paraId="32B658D3" w14:textId="0B16B099"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Education Level</w:t>
      </w:r>
    </w:p>
    <w:p w14:paraId="62477D17" w14:textId="45C4F0DD" w:rsidR="00F41FA2" w:rsidRPr="0025609D" w:rsidRDefault="00F41FA2"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lastRenderedPageBreak/>
        <w:t xml:space="preserve">A significant </w:t>
      </w:r>
      <w:r w:rsidR="007A1994" w:rsidRPr="0025609D">
        <w:rPr>
          <w:rFonts w:asciiTheme="majorHAnsi" w:eastAsia="Times New Roman" w:hAnsiTheme="majorHAnsi" w:cstheme="majorHAnsi"/>
          <w:sz w:val="24"/>
          <w:szCs w:val="24"/>
        </w:rPr>
        <w:t>share</w:t>
      </w:r>
      <w:r w:rsidRPr="0025609D">
        <w:rPr>
          <w:rFonts w:asciiTheme="majorHAnsi" w:eastAsia="Times New Roman" w:hAnsiTheme="majorHAnsi" w:cstheme="majorHAnsi"/>
          <w:sz w:val="24"/>
          <w:szCs w:val="24"/>
        </w:rPr>
        <w:t xml:space="preserve"> of respondents</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63%</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only attained primary education, which could be a potential barrier to embracing </w:t>
      </w:r>
      <w:r w:rsidR="00B755A1" w:rsidRPr="0025609D">
        <w:rPr>
          <w:rFonts w:asciiTheme="majorHAnsi" w:eastAsia="Times New Roman" w:hAnsiTheme="majorHAnsi" w:cstheme="majorHAnsi"/>
          <w:sz w:val="24"/>
          <w:szCs w:val="24"/>
        </w:rPr>
        <w:t>modern</w:t>
      </w:r>
      <w:r w:rsidRPr="0025609D">
        <w:rPr>
          <w:rFonts w:asciiTheme="majorHAnsi" w:eastAsia="Times New Roman" w:hAnsiTheme="majorHAnsi" w:cstheme="majorHAnsi"/>
          <w:sz w:val="24"/>
          <w:szCs w:val="24"/>
        </w:rPr>
        <w:t xml:space="preserve"> farming techniques or accessing market information. The low levels of education may restrict men’s involvement in seaweed farming</w:t>
      </w:r>
      <w:r w:rsidR="00B755A1" w:rsidRPr="0025609D">
        <w:rPr>
          <w:rFonts w:asciiTheme="majorHAnsi" w:eastAsia="Times New Roman" w:hAnsiTheme="majorHAnsi" w:cstheme="majorHAnsi"/>
          <w:sz w:val="24"/>
          <w:szCs w:val="24"/>
        </w:rPr>
        <w:t xml:space="preserve">. </w:t>
      </w:r>
      <w:r w:rsidR="00022E9E" w:rsidRPr="0025609D">
        <w:rPr>
          <w:rFonts w:asciiTheme="majorHAnsi" w:eastAsia="Times New Roman" w:hAnsiTheme="majorHAnsi" w:cstheme="majorHAnsi"/>
          <w:sz w:val="24"/>
          <w:szCs w:val="24"/>
        </w:rPr>
        <w:t>Studies show that increased years of education significantly reduce adherence to traditional gender norms, particularly the belief that men should be the primary breadwinners (</w:t>
      </w:r>
      <w:proofErr w:type="spellStart"/>
      <w:r w:rsidR="00022E9E" w:rsidRPr="0025609D">
        <w:rPr>
          <w:rFonts w:asciiTheme="majorHAnsi" w:eastAsia="Times New Roman" w:hAnsiTheme="majorHAnsi" w:cstheme="majorHAnsi"/>
          <w:sz w:val="24"/>
          <w:szCs w:val="24"/>
        </w:rPr>
        <w:t>Ralsmark</w:t>
      </w:r>
      <w:proofErr w:type="spellEnd"/>
      <w:r w:rsidR="00022E9E" w:rsidRPr="0025609D">
        <w:rPr>
          <w:rFonts w:asciiTheme="majorHAnsi" w:eastAsia="Times New Roman" w:hAnsiTheme="majorHAnsi" w:cstheme="majorHAnsi"/>
          <w:sz w:val="24"/>
          <w:szCs w:val="24"/>
        </w:rPr>
        <w:t xml:space="preserve">, 2017). </w:t>
      </w:r>
      <w:r w:rsidR="00E13605" w:rsidRPr="0025609D">
        <w:rPr>
          <w:rFonts w:asciiTheme="majorHAnsi" w:eastAsia="Times New Roman" w:hAnsiTheme="majorHAnsi" w:cstheme="majorHAnsi"/>
          <w:sz w:val="24"/>
          <w:szCs w:val="24"/>
        </w:rPr>
        <w:t>A</w:t>
      </w:r>
      <w:r w:rsidR="0003374F" w:rsidRPr="0025609D">
        <w:rPr>
          <w:rFonts w:asciiTheme="majorHAnsi" w:eastAsia="Times New Roman" w:hAnsiTheme="majorHAnsi" w:cstheme="majorHAnsi"/>
          <w:sz w:val="24"/>
          <w:szCs w:val="24"/>
        </w:rPr>
        <w:t>d</w:t>
      </w:r>
      <w:r w:rsidR="00E13605" w:rsidRPr="0025609D">
        <w:rPr>
          <w:rFonts w:asciiTheme="majorHAnsi" w:eastAsia="Times New Roman" w:hAnsiTheme="majorHAnsi" w:cstheme="majorHAnsi"/>
          <w:sz w:val="24"/>
          <w:szCs w:val="24"/>
        </w:rPr>
        <w:t>diti</w:t>
      </w:r>
      <w:r w:rsidR="0003374F" w:rsidRPr="0025609D">
        <w:rPr>
          <w:rFonts w:asciiTheme="majorHAnsi" w:eastAsia="Times New Roman" w:hAnsiTheme="majorHAnsi" w:cstheme="majorHAnsi"/>
          <w:sz w:val="24"/>
          <w:szCs w:val="24"/>
        </w:rPr>
        <w:t>o</w:t>
      </w:r>
      <w:r w:rsidR="00E13605" w:rsidRPr="0025609D">
        <w:rPr>
          <w:rFonts w:asciiTheme="majorHAnsi" w:eastAsia="Times New Roman" w:hAnsiTheme="majorHAnsi" w:cstheme="majorHAnsi"/>
          <w:sz w:val="24"/>
          <w:szCs w:val="24"/>
        </w:rPr>
        <w:t>nally,</w:t>
      </w:r>
      <w:r w:rsidR="0003374F"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hi</w:t>
      </w:r>
      <w:r w:rsidR="0003374F" w:rsidRPr="0025609D">
        <w:rPr>
          <w:rFonts w:asciiTheme="majorHAnsi" w:eastAsia="Times New Roman" w:hAnsiTheme="majorHAnsi" w:cstheme="majorHAnsi"/>
          <w:sz w:val="24"/>
          <w:szCs w:val="24"/>
        </w:rPr>
        <w:t>g</w:t>
      </w:r>
      <w:r w:rsidR="00E13605" w:rsidRPr="0025609D">
        <w:rPr>
          <w:rFonts w:asciiTheme="majorHAnsi" w:eastAsia="Times New Roman" w:hAnsiTheme="majorHAnsi" w:cstheme="majorHAnsi"/>
          <w:sz w:val="24"/>
          <w:szCs w:val="24"/>
        </w:rPr>
        <w:t>he</w:t>
      </w:r>
      <w:r w:rsidR="0003374F" w:rsidRPr="0025609D">
        <w:rPr>
          <w:rFonts w:asciiTheme="majorHAnsi" w:eastAsia="Times New Roman" w:hAnsiTheme="majorHAnsi" w:cstheme="majorHAnsi"/>
          <w:sz w:val="24"/>
          <w:szCs w:val="24"/>
        </w:rPr>
        <w:t>r</w:t>
      </w:r>
      <w:r w:rsidR="00E13605" w:rsidRPr="0025609D">
        <w:rPr>
          <w:rFonts w:asciiTheme="majorHAnsi" w:eastAsia="Times New Roman" w:hAnsiTheme="majorHAnsi" w:cstheme="majorHAnsi"/>
          <w:sz w:val="24"/>
          <w:szCs w:val="24"/>
        </w:rPr>
        <w:t xml:space="preserve"> </w:t>
      </w:r>
      <w:r w:rsidR="00D237AB" w:rsidRPr="0025609D">
        <w:rPr>
          <w:rFonts w:asciiTheme="majorHAnsi" w:eastAsia="Times New Roman" w:hAnsiTheme="majorHAnsi" w:cstheme="majorHAnsi"/>
          <w:sz w:val="24"/>
          <w:szCs w:val="24"/>
        </w:rPr>
        <w:t xml:space="preserve">levels of </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duc</w:t>
      </w:r>
      <w:r w:rsidR="0003374F" w:rsidRPr="0025609D">
        <w:rPr>
          <w:rFonts w:asciiTheme="majorHAnsi" w:eastAsia="Times New Roman" w:hAnsiTheme="majorHAnsi" w:cstheme="majorHAnsi"/>
          <w:sz w:val="24"/>
          <w:szCs w:val="24"/>
        </w:rPr>
        <w:t>at</w:t>
      </w:r>
      <w:r w:rsidR="00E13605" w:rsidRPr="0025609D">
        <w:rPr>
          <w:rFonts w:asciiTheme="majorHAnsi" w:eastAsia="Times New Roman" w:hAnsiTheme="majorHAnsi" w:cstheme="majorHAnsi"/>
          <w:sz w:val="24"/>
          <w:szCs w:val="24"/>
        </w:rPr>
        <w:t>ion provid</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 xml:space="preserve"> opportu</w:t>
      </w:r>
      <w:r w:rsidR="0003374F" w:rsidRPr="0025609D">
        <w:rPr>
          <w:rFonts w:asciiTheme="majorHAnsi" w:eastAsia="Times New Roman" w:hAnsiTheme="majorHAnsi" w:cstheme="majorHAnsi"/>
          <w:sz w:val="24"/>
          <w:szCs w:val="24"/>
        </w:rPr>
        <w:t>n</w:t>
      </w:r>
      <w:r w:rsidR="00E13605" w:rsidRPr="0025609D">
        <w:rPr>
          <w:rFonts w:asciiTheme="majorHAnsi" w:eastAsia="Times New Roman" w:hAnsiTheme="majorHAnsi" w:cstheme="majorHAnsi"/>
          <w:sz w:val="24"/>
          <w:szCs w:val="24"/>
        </w:rPr>
        <w:t>iti</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s</w:t>
      </w:r>
      <w:r w:rsidR="0003374F"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t</w:t>
      </w:r>
      <w:r w:rsidR="0003374F" w:rsidRPr="0025609D">
        <w:rPr>
          <w:rFonts w:asciiTheme="majorHAnsi" w:eastAsia="Times New Roman" w:hAnsiTheme="majorHAnsi" w:cstheme="majorHAnsi"/>
          <w:sz w:val="24"/>
          <w:szCs w:val="24"/>
        </w:rPr>
        <w:t xml:space="preserve">o </w:t>
      </w:r>
      <w:r w:rsidR="002154F1" w:rsidRPr="0025609D">
        <w:rPr>
          <w:rFonts w:asciiTheme="majorHAnsi" w:eastAsia="Times New Roman" w:hAnsiTheme="majorHAnsi" w:cstheme="majorHAnsi"/>
          <w:sz w:val="24"/>
          <w:szCs w:val="24"/>
        </w:rPr>
        <w:t>in</w:t>
      </w:r>
      <w:r w:rsidR="00E13605" w:rsidRPr="0025609D">
        <w:rPr>
          <w:rFonts w:asciiTheme="majorHAnsi" w:eastAsia="Times New Roman" w:hAnsiTheme="majorHAnsi" w:cstheme="majorHAnsi"/>
          <w:sz w:val="24"/>
          <w:szCs w:val="24"/>
        </w:rPr>
        <w:t>fluence</w:t>
      </w:r>
      <w:r w:rsidR="002154F1"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de</w:t>
      </w:r>
      <w:r w:rsidR="002154F1" w:rsidRPr="0025609D">
        <w:rPr>
          <w:rFonts w:asciiTheme="majorHAnsi" w:eastAsia="Times New Roman" w:hAnsiTheme="majorHAnsi" w:cstheme="majorHAnsi"/>
          <w:sz w:val="24"/>
          <w:szCs w:val="24"/>
        </w:rPr>
        <w:t>c</w:t>
      </w:r>
      <w:r w:rsidR="00E13605" w:rsidRPr="0025609D">
        <w:rPr>
          <w:rFonts w:asciiTheme="majorHAnsi" w:eastAsia="Times New Roman" w:hAnsiTheme="majorHAnsi" w:cstheme="majorHAnsi"/>
          <w:sz w:val="24"/>
          <w:szCs w:val="24"/>
        </w:rPr>
        <w:t>isi</w:t>
      </w:r>
      <w:r w:rsidR="002154F1" w:rsidRPr="0025609D">
        <w:rPr>
          <w:rFonts w:asciiTheme="majorHAnsi" w:eastAsia="Times New Roman" w:hAnsiTheme="majorHAnsi" w:cstheme="majorHAnsi"/>
          <w:sz w:val="24"/>
          <w:szCs w:val="24"/>
        </w:rPr>
        <w:t>o</w:t>
      </w:r>
      <w:r w:rsidR="00E13605" w:rsidRPr="0025609D">
        <w:rPr>
          <w:rFonts w:asciiTheme="majorHAnsi" w:eastAsia="Times New Roman" w:hAnsiTheme="majorHAnsi" w:cstheme="majorHAnsi"/>
          <w:sz w:val="24"/>
          <w:szCs w:val="24"/>
        </w:rPr>
        <w:t>n-mak</w:t>
      </w:r>
      <w:r w:rsidR="002154F1" w:rsidRPr="0025609D">
        <w:rPr>
          <w:rFonts w:asciiTheme="majorHAnsi" w:eastAsia="Times New Roman" w:hAnsiTheme="majorHAnsi" w:cstheme="majorHAnsi"/>
          <w:sz w:val="24"/>
          <w:szCs w:val="24"/>
        </w:rPr>
        <w:t>i</w:t>
      </w:r>
      <w:r w:rsidR="00E13605" w:rsidRPr="0025609D">
        <w:rPr>
          <w:rFonts w:asciiTheme="majorHAnsi" w:eastAsia="Times New Roman" w:hAnsiTheme="majorHAnsi" w:cstheme="majorHAnsi"/>
          <w:sz w:val="24"/>
          <w:szCs w:val="24"/>
        </w:rPr>
        <w:t>ng</w:t>
      </w:r>
      <w:r w:rsidR="002154F1" w:rsidRPr="0025609D">
        <w:rPr>
          <w:rFonts w:asciiTheme="majorHAnsi" w:eastAsia="Times New Roman" w:hAnsiTheme="majorHAnsi" w:cstheme="majorHAnsi"/>
          <w:sz w:val="24"/>
          <w:szCs w:val="24"/>
        </w:rPr>
        <w:t xml:space="preserve"> and participation (</w:t>
      </w:r>
      <w:proofErr w:type="spellStart"/>
      <w:r w:rsidR="002154F1" w:rsidRPr="0025609D">
        <w:rPr>
          <w:rFonts w:asciiTheme="majorHAnsi" w:eastAsia="Times New Roman" w:hAnsiTheme="majorHAnsi" w:cstheme="majorHAnsi"/>
          <w:sz w:val="24"/>
          <w:szCs w:val="24"/>
        </w:rPr>
        <w:t>Kilamlya</w:t>
      </w:r>
      <w:proofErr w:type="spellEnd"/>
      <w:r w:rsidR="002154F1" w:rsidRPr="0025609D">
        <w:rPr>
          <w:rFonts w:asciiTheme="majorHAnsi" w:eastAsia="Times New Roman" w:hAnsiTheme="majorHAnsi" w:cstheme="majorHAnsi"/>
          <w:sz w:val="24"/>
          <w:szCs w:val="24"/>
        </w:rPr>
        <w:t xml:space="preserve"> &amp; </w:t>
      </w:r>
      <w:proofErr w:type="spellStart"/>
      <w:r w:rsidR="002154F1" w:rsidRPr="0025609D">
        <w:rPr>
          <w:rFonts w:asciiTheme="majorHAnsi" w:eastAsia="Times New Roman" w:hAnsiTheme="majorHAnsi" w:cstheme="majorHAnsi"/>
          <w:sz w:val="24"/>
          <w:szCs w:val="24"/>
        </w:rPr>
        <w:t>Utonga</w:t>
      </w:r>
      <w:proofErr w:type="spellEnd"/>
      <w:r w:rsidR="002154F1" w:rsidRPr="0025609D">
        <w:rPr>
          <w:rFonts w:asciiTheme="majorHAnsi" w:eastAsia="Times New Roman" w:hAnsiTheme="majorHAnsi" w:cstheme="majorHAnsi"/>
          <w:sz w:val="24"/>
          <w:szCs w:val="24"/>
        </w:rPr>
        <w:t>, 2024).</w:t>
      </w:r>
      <w:r w:rsidR="00E13605"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The small percentage of respondents with secondary or college education</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31%</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indicates a need for educational initiatives that could improve the skills of potential farmers.</w:t>
      </w:r>
    </w:p>
    <w:p w14:paraId="4178A2F9" w14:textId="0BC3D7A1"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Household Size</w:t>
      </w:r>
    </w:p>
    <w:p w14:paraId="10AF4500" w14:textId="05A7DD03" w:rsidR="00330A9D" w:rsidRPr="0025609D" w:rsidRDefault="0064353F" w:rsidP="00864562">
      <w:pPr>
        <w:spacing w:before="100" w:beforeAutospacing="1" w:after="100" w:afterAutospacing="1" w:line="360" w:lineRule="auto"/>
        <w:jc w:val="both"/>
        <w:rPr>
          <w:rFonts w:asciiTheme="majorHAnsi" w:hAnsiTheme="majorHAnsi" w:cstheme="majorHAnsi"/>
          <w:iCs/>
          <w:sz w:val="24"/>
          <w:szCs w:val="24"/>
        </w:rPr>
      </w:pPr>
      <w:r w:rsidRPr="0025609D">
        <w:rPr>
          <w:rFonts w:asciiTheme="majorHAnsi" w:eastAsia="Times New Roman" w:hAnsiTheme="majorHAnsi" w:cstheme="majorHAnsi"/>
          <w:sz w:val="24"/>
          <w:szCs w:val="24"/>
        </w:rPr>
        <w:t>The maj</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ri</w:t>
      </w:r>
      <w:r w:rsidR="007B1699" w:rsidRPr="0025609D">
        <w:rPr>
          <w:rFonts w:asciiTheme="majorHAnsi" w:eastAsia="Times New Roman" w:hAnsiTheme="majorHAnsi" w:cstheme="majorHAnsi"/>
          <w:sz w:val="24"/>
          <w:szCs w:val="24"/>
        </w:rPr>
        <w:t>t</w:t>
      </w:r>
      <w:r w:rsidRPr="0025609D">
        <w:rPr>
          <w:rFonts w:asciiTheme="majorHAnsi" w:eastAsia="Times New Roman" w:hAnsiTheme="majorHAnsi" w:cstheme="majorHAnsi"/>
          <w:sz w:val="24"/>
          <w:szCs w:val="24"/>
        </w:rPr>
        <w:t>y of</w:t>
      </w:r>
      <w:r w:rsidR="007B1699" w:rsidRPr="0025609D">
        <w:rPr>
          <w:rFonts w:asciiTheme="majorHAnsi" w:eastAsia="Times New Roman" w:hAnsiTheme="majorHAnsi" w:cstheme="majorHAnsi"/>
          <w:sz w:val="24"/>
          <w:szCs w:val="24"/>
        </w:rPr>
        <w:t xml:space="preserve"> respondents</w:t>
      </w:r>
      <w:r w:rsidR="00D90CD4" w:rsidRPr="0025609D">
        <w:rPr>
          <w:rFonts w:asciiTheme="majorHAnsi" w:eastAsia="Times New Roman" w:hAnsiTheme="majorHAnsi" w:cstheme="majorHAnsi"/>
          <w:sz w:val="24"/>
          <w:szCs w:val="24"/>
        </w:rPr>
        <w:t>,</w:t>
      </w:r>
      <w:r w:rsidR="007B1699" w:rsidRPr="0025609D">
        <w:rPr>
          <w:rFonts w:asciiTheme="majorHAnsi" w:eastAsia="Times New Roman" w:hAnsiTheme="majorHAnsi" w:cstheme="majorHAnsi"/>
          <w:sz w:val="24"/>
          <w:szCs w:val="24"/>
        </w:rPr>
        <w:t xml:space="preserve"> 65%</w:t>
      </w:r>
      <w:r w:rsidR="00D90CD4" w:rsidRPr="0025609D">
        <w:rPr>
          <w:rFonts w:asciiTheme="majorHAnsi" w:eastAsia="Times New Roman" w:hAnsiTheme="majorHAnsi" w:cstheme="majorHAnsi"/>
          <w:sz w:val="24"/>
          <w:szCs w:val="24"/>
        </w:rPr>
        <w:t>,</w:t>
      </w:r>
      <w:r w:rsidR="007B1699"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c</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me</w:t>
      </w:r>
      <w:r w:rsidR="007B1699"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fr</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m</w:t>
      </w:r>
      <w:r w:rsidR="007B1699" w:rsidRPr="0025609D">
        <w:rPr>
          <w:rFonts w:asciiTheme="majorHAnsi" w:eastAsia="Times New Roman" w:hAnsiTheme="majorHAnsi" w:cstheme="majorHAnsi"/>
          <w:sz w:val="24"/>
          <w:szCs w:val="24"/>
        </w:rPr>
        <w:t xml:space="preserve"> households with 4 to 6 members, </w:t>
      </w:r>
      <w:r w:rsidRPr="0025609D">
        <w:rPr>
          <w:rFonts w:asciiTheme="majorHAnsi" w:eastAsia="Times New Roman" w:hAnsiTheme="majorHAnsi" w:cstheme="majorHAnsi"/>
          <w:sz w:val="24"/>
          <w:szCs w:val="24"/>
        </w:rPr>
        <w:t>suggest</w:t>
      </w:r>
      <w:r w:rsidR="007B1699" w:rsidRPr="0025609D">
        <w:rPr>
          <w:rFonts w:asciiTheme="majorHAnsi" w:eastAsia="Times New Roman" w:hAnsiTheme="majorHAnsi" w:cstheme="majorHAnsi"/>
          <w:sz w:val="24"/>
          <w:szCs w:val="24"/>
        </w:rPr>
        <w:t>i</w:t>
      </w:r>
      <w:r w:rsidRPr="0025609D">
        <w:rPr>
          <w:rFonts w:asciiTheme="majorHAnsi" w:eastAsia="Times New Roman" w:hAnsiTheme="majorHAnsi" w:cstheme="majorHAnsi"/>
          <w:sz w:val="24"/>
          <w:szCs w:val="24"/>
        </w:rPr>
        <w:t>ng t</w:t>
      </w:r>
      <w:r w:rsidR="007B1699" w:rsidRPr="0025609D">
        <w:rPr>
          <w:rFonts w:asciiTheme="majorHAnsi" w:eastAsia="Times New Roman" w:hAnsiTheme="majorHAnsi" w:cstheme="majorHAnsi"/>
          <w:sz w:val="24"/>
          <w:szCs w:val="24"/>
        </w:rPr>
        <w:t xml:space="preserve">hat economic pressures </w:t>
      </w:r>
      <w:r w:rsidRPr="0025609D">
        <w:rPr>
          <w:rFonts w:asciiTheme="majorHAnsi" w:eastAsia="Times New Roman" w:hAnsiTheme="majorHAnsi" w:cstheme="majorHAnsi"/>
          <w:sz w:val="24"/>
          <w:szCs w:val="24"/>
        </w:rPr>
        <w:t xml:space="preserve">may </w:t>
      </w:r>
      <w:r w:rsidR="007B1699" w:rsidRPr="0025609D">
        <w:rPr>
          <w:rFonts w:asciiTheme="majorHAnsi" w:eastAsia="Times New Roman" w:hAnsiTheme="majorHAnsi" w:cstheme="majorHAnsi"/>
          <w:sz w:val="24"/>
          <w:szCs w:val="24"/>
        </w:rPr>
        <w:t>influenc</w:t>
      </w:r>
      <w:r w:rsidR="00F05754" w:rsidRPr="0025609D">
        <w:rPr>
          <w:rFonts w:asciiTheme="majorHAnsi" w:eastAsia="Times New Roman" w:hAnsiTheme="majorHAnsi" w:cstheme="majorHAnsi"/>
          <w:sz w:val="24"/>
          <w:szCs w:val="24"/>
        </w:rPr>
        <w:t>e</w:t>
      </w:r>
      <w:r w:rsidR="007B1699" w:rsidRPr="0025609D">
        <w:rPr>
          <w:rFonts w:asciiTheme="majorHAnsi" w:eastAsia="Times New Roman" w:hAnsiTheme="majorHAnsi" w:cstheme="majorHAnsi"/>
          <w:sz w:val="24"/>
          <w:szCs w:val="24"/>
        </w:rPr>
        <w:t xml:space="preserve"> their </w:t>
      </w:r>
      <w:r w:rsidRPr="0025609D">
        <w:rPr>
          <w:rFonts w:asciiTheme="majorHAnsi" w:eastAsia="Times New Roman" w:hAnsiTheme="majorHAnsi" w:cstheme="majorHAnsi"/>
          <w:sz w:val="24"/>
          <w:szCs w:val="24"/>
        </w:rPr>
        <w:t xml:space="preserve">decision to </w:t>
      </w:r>
      <w:r w:rsidR="007B1699" w:rsidRPr="0025609D">
        <w:rPr>
          <w:rFonts w:asciiTheme="majorHAnsi" w:eastAsia="Times New Roman" w:hAnsiTheme="majorHAnsi" w:cstheme="majorHAnsi"/>
          <w:sz w:val="24"/>
          <w:szCs w:val="24"/>
        </w:rPr>
        <w:t>participat</w:t>
      </w:r>
      <w:r w:rsidRPr="0025609D">
        <w:rPr>
          <w:rFonts w:asciiTheme="majorHAnsi" w:eastAsia="Times New Roman" w:hAnsiTheme="majorHAnsi" w:cstheme="majorHAnsi"/>
          <w:sz w:val="24"/>
          <w:szCs w:val="24"/>
        </w:rPr>
        <w:t>e</w:t>
      </w:r>
      <w:r w:rsidR="007B1699" w:rsidRPr="0025609D">
        <w:rPr>
          <w:rFonts w:asciiTheme="majorHAnsi" w:eastAsia="Times New Roman" w:hAnsiTheme="majorHAnsi" w:cstheme="majorHAnsi"/>
          <w:sz w:val="24"/>
          <w:szCs w:val="24"/>
        </w:rPr>
        <w:t xml:space="preserve"> in seaweed farming. </w:t>
      </w:r>
      <w:r w:rsidRPr="0025609D">
        <w:rPr>
          <w:rFonts w:asciiTheme="majorHAnsi" w:eastAsia="Times New Roman" w:hAnsiTheme="majorHAnsi" w:cstheme="majorHAnsi"/>
          <w:sz w:val="24"/>
          <w:szCs w:val="24"/>
        </w:rPr>
        <w:t>In l</w:t>
      </w:r>
      <w:r w:rsidR="007B1699" w:rsidRPr="0025609D">
        <w:rPr>
          <w:rFonts w:asciiTheme="majorHAnsi" w:eastAsia="Times New Roman" w:hAnsiTheme="majorHAnsi" w:cstheme="majorHAnsi"/>
          <w:sz w:val="24"/>
          <w:szCs w:val="24"/>
        </w:rPr>
        <w:t>arger households</w:t>
      </w:r>
      <w:r w:rsidRPr="0025609D">
        <w:rPr>
          <w:rFonts w:asciiTheme="majorHAnsi" w:eastAsia="Times New Roman" w:hAnsiTheme="majorHAnsi" w:cstheme="majorHAnsi"/>
          <w:sz w:val="24"/>
          <w:szCs w:val="24"/>
        </w:rPr>
        <w:t>, there</w:t>
      </w:r>
      <w:r w:rsidR="007B1699" w:rsidRPr="0025609D">
        <w:rPr>
          <w:rFonts w:asciiTheme="majorHAnsi" w:eastAsia="Times New Roman" w:hAnsiTheme="majorHAnsi" w:cstheme="majorHAnsi"/>
          <w:sz w:val="24"/>
          <w:szCs w:val="24"/>
        </w:rPr>
        <w:t xml:space="preserve"> may </w:t>
      </w:r>
      <w:r w:rsidRPr="0025609D">
        <w:rPr>
          <w:rFonts w:asciiTheme="majorHAnsi" w:eastAsia="Times New Roman" w:hAnsiTheme="majorHAnsi" w:cstheme="majorHAnsi"/>
          <w:sz w:val="24"/>
          <w:szCs w:val="24"/>
        </w:rPr>
        <w:t>b</w:t>
      </w:r>
      <w:r w:rsidR="007B1699" w:rsidRPr="0025609D">
        <w:rPr>
          <w:rFonts w:asciiTheme="majorHAnsi" w:eastAsia="Times New Roman" w:hAnsiTheme="majorHAnsi" w:cstheme="majorHAnsi"/>
          <w:sz w:val="24"/>
          <w:szCs w:val="24"/>
        </w:rPr>
        <w:t>e</w:t>
      </w:r>
      <w:r w:rsidRPr="0025609D">
        <w:rPr>
          <w:rFonts w:asciiTheme="majorHAnsi" w:eastAsia="Times New Roman" w:hAnsiTheme="majorHAnsi" w:cstheme="majorHAnsi"/>
          <w:sz w:val="24"/>
          <w:szCs w:val="24"/>
        </w:rPr>
        <w:t xml:space="preserve"> a</w:t>
      </w:r>
      <w:r w:rsidR="007B1699" w:rsidRPr="0025609D">
        <w:rPr>
          <w:rFonts w:asciiTheme="majorHAnsi" w:eastAsia="Times New Roman" w:hAnsiTheme="majorHAnsi" w:cstheme="majorHAnsi"/>
          <w:sz w:val="24"/>
          <w:szCs w:val="24"/>
        </w:rPr>
        <w:t xml:space="preserve"> greate</w:t>
      </w:r>
      <w:r w:rsidRPr="0025609D">
        <w:rPr>
          <w:rFonts w:asciiTheme="majorHAnsi" w:eastAsia="Times New Roman" w:hAnsiTheme="majorHAnsi" w:cstheme="majorHAnsi"/>
          <w:sz w:val="24"/>
          <w:szCs w:val="24"/>
        </w:rPr>
        <w:t>r need fo</w:t>
      </w:r>
      <w:r w:rsidR="007B1699" w:rsidRPr="0025609D">
        <w:rPr>
          <w:rFonts w:asciiTheme="majorHAnsi" w:eastAsia="Times New Roman" w:hAnsiTheme="majorHAnsi" w:cstheme="majorHAnsi"/>
          <w:sz w:val="24"/>
          <w:szCs w:val="24"/>
        </w:rPr>
        <w:t xml:space="preserve">r financial resources, leading men to </w:t>
      </w:r>
      <w:r w:rsidRPr="0025609D">
        <w:rPr>
          <w:rFonts w:asciiTheme="majorHAnsi" w:eastAsia="Times New Roman" w:hAnsiTheme="majorHAnsi" w:cstheme="majorHAnsi"/>
          <w:sz w:val="24"/>
          <w:szCs w:val="24"/>
        </w:rPr>
        <w:t>pur</w:t>
      </w:r>
      <w:r w:rsidR="007B1699" w:rsidRPr="0025609D">
        <w:rPr>
          <w:rFonts w:asciiTheme="majorHAnsi" w:eastAsia="Times New Roman" w:hAnsiTheme="majorHAnsi" w:cstheme="majorHAnsi"/>
          <w:sz w:val="24"/>
          <w:szCs w:val="24"/>
        </w:rPr>
        <w:t>s</w:t>
      </w:r>
      <w:r w:rsidRPr="0025609D">
        <w:rPr>
          <w:rFonts w:asciiTheme="majorHAnsi" w:eastAsia="Times New Roman" w:hAnsiTheme="majorHAnsi" w:cstheme="majorHAnsi"/>
          <w:sz w:val="24"/>
          <w:szCs w:val="24"/>
        </w:rPr>
        <w:t>u</w:t>
      </w:r>
      <w:r w:rsidR="007B1699" w:rsidRPr="0025609D">
        <w:rPr>
          <w:rFonts w:asciiTheme="majorHAnsi" w:eastAsia="Times New Roman" w:hAnsiTheme="majorHAnsi" w:cstheme="majorHAnsi"/>
          <w:sz w:val="24"/>
          <w:szCs w:val="24"/>
        </w:rPr>
        <w:t xml:space="preserve">e more immediate and </w:t>
      </w:r>
      <w:r w:rsidRPr="0025609D">
        <w:rPr>
          <w:rFonts w:asciiTheme="majorHAnsi" w:eastAsia="Times New Roman" w:hAnsiTheme="majorHAnsi" w:cstheme="majorHAnsi"/>
          <w:sz w:val="24"/>
          <w:szCs w:val="24"/>
        </w:rPr>
        <w:t>p</w:t>
      </w:r>
      <w:r w:rsidR="007B1699" w:rsidRPr="0025609D">
        <w:rPr>
          <w:rFonts w:asciiTheme="majorHAnsi" w:eastAsia="Times New Roman" w:hAnsiTheme="majorHAnsi" w:cstheme="majorHAnsi"/>
          <w:sz w:val="24"/>
          <w:szCs w:val="24"/>
        </w:rPr>
        <w:t>r</w:t>
      </w:r>
      <w:r w:rsidRPr="0025609D">
        <w:rPr>
          <w:rFonts w:asciiTheme="majorHAnsi" w:eastAsia="Times New Roman" w:hAnsiTheme="majorHAnsi" w:cstheme="majorHAnsi"/>
          <w:sz w:val="24"/>
          <w:szCs w:val="24"/>
        </w:rPr>
        <w:t>ofit</w:t>
      </w:r>
      <w:r w:rsidR="007B1699" w:rsidRPr="0025609D">
        <w:rPr>
          <w:rFonts w:asciiTheme="majorHAnsi" w:eastAsia="Times New Roman" w:hAnsiTheme="majorHAnsi" w:cstheme="majorHAnsi"/>
          <w:sz w:val="24"/>
          <w:szCs w:val="24"/>
        </w:rPr>
        <w:t>a</w:t>
      </w:r>
      <w:r w:rsidRPr="0025609D">
        <w:rPr>
          <w:rFonts w:asciiTheme="majorHAnsi" w:eastAsia="Times New Roman" w:hAnsiTheme="majorHAnsi" w:cstheme="majorHAnsi"/>
          <w:sz w:val="24"/>
          <w:szCs w:val="24"/>
        </w:rPr>
        <w:t>bl</w:t>
      </w:r>
      <w:r w:rsidR="007B1699" w:rsidRPr="0025609D">
        <w:rPr>
          <w:rFonts w:asciiTheme="majorHAnsi" w:eastAsia="Times New Roman" w:hAnsiTheme="majorHAnsi" w:cstheme="majorHAnsi"/>
          <w:sz w:val="24"/>
          <w:szCs w:val="24"/>
        </w:rPr>
        <w:t xml:space="preserve">e </w:t>
      </w:r>
      <w:r w:rsidRPr="0025609D">
        <w:rPr>
          <w:rFonts w:asciiTheme="majorHAnsi" w:eastAsia="Times New Roman" w:hAnsiTheme="majorHAnsi" w:cstheme="majorHAnsi"/>
          <w:sz w:val="24"/>
          <w:szCs w:val="24"/>
        </w:rPr>
        <w:t>j</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b</w:t>
      </w:r>
      <w:r w:rsidR="007B1699" w:rsidRPr="0025609D">
        <w:rPr>
          <w:rFonts w:asciiTheme="majorHAnsi" w:eastAsia="Times New Roman" w:hAnsiTheme="majorHAnsi" w:cstheme="majorHAnsi"/>
          <w:sz w:val="24"/>
          <w:szCs w:val="24"/>
        </w:rPr>
        <w:t xml:space="preserve"> opportunities instead of investing in seaweed farming. This o</w:t>
      </w:r>
      <w:r w:rsidRPr="0025609D">
        <w:rPr>
          <w:rFonts w:asciiTheme="majorHAnsi" w:eastAsia="Times New Roman" w:hAnsiTheme="majorHAnsi" w:cstheme="majorHAnsi"/>
          <w:sz w:val="24"/>
          <w:szCs w:val="24"/>
        </w:rPr>
        <w:t>bse</w:t>
      </w:r>
      <w:r w:rsidR="007B1699" w:rsidRPr="0025609D">
        <w:rPr>
          <w:rFonts w:asciiTheme="majorHAnsi" w:eastAsia="Times New Roman" w:hAnsiTheme="majorHAnsi" w:cstheme="majorHAnsi"/>
          <w:sz w:val="24"/>
          <w:szCs w:val="24"/>
        </w:rPr>
        <w:t>r</w:t>
      </w:r>
      <w:r w:rsidRPr="0025609D">
        <w:rPr>
          <w:rFonts w:asciiTheme="majorHAnsi" w:eastAsia="Times New Roman" w:hAnsiTheme="majorHAnsi" w:cstheme="majorHAnsi"/>
          <w:sz w:val="24"/>
          <w:szCs w:val="24"/>
        </w:rPr>
        <w:t>v</w:t>
      </w:r>
      <w:r w:rsidR="007B1699" w:rsidRPr="0025609D">
        <w:rPr>
          <w:rFonts w:asciiTheme="majorHAnsi" w:eastAsia="Times New Roman" w:hAnsiTheme="majorHAnsi" w:cstheme="majorHAnsi"/>
          <w:sz w:val="24"/>
          <w:szCs w:val="24"/>
        </w:rPr>
        <w:t>at</w:t>
      </w:r>
      <w:r w:rsidRPr="0025609D">
        <w:rPr>
          <w:rFonts w:asciiTheme="majorHAnsi" w:eastAsia="Times New Roman" w:hAnsiTheme="majorHAnsi" w:cstheme="majorHAnsi"/>
          <w:sz w:val="24"/>
          <w:szCs w:val="24"/>
        </w:rPr>
        <w:t>ion align</w:t>
      </w:r>
      <w:r w:rsidR="007B1699" w:rsidRPr="0025609D">
        <w:rPr>
          <w:rFonts w:asciiTheme="majorHAnsi" w:eastAsia="Times New Roman" w:hAnsiTheme="majorHAnsi" w:cstheme="majorHAnsi"/>
          <w:sz w:val="24"/>
          <w:szCs w:val="24"/>
        </w:rPr>
        <w:t xml:space="preserve">s with </w:t>
      </w:r>
      <w:r w:rsidRPr="0025609D">
        <w:rPr>
          <w:rFonts w:asciiTheme="majorHAnsi" w:eastAsia="Times New Roman" w:hAnsiTheme="majorHAnsi" w:cstheme="majorHAnsi"/>
          <w:sz w:val="24"/>
          <w:szCs w:val="24"/>
        </w:rPr>
        <w:t xml:space="preserve">research </w:t>
      </w:r>
      <w:r w:rsidR="007B1699" w:rsidRPr="0025609D">
        <w:rPr>
          <w:rFonts w:asciiTheme="majorHAnsi" w:eastAsia="Times New Roman" w:hAnsiTheme="majorHAnsi" w:cstheme="majorHAnsi"/>
          <w:sz w:val="24"/>
          <w:szCs w:val="24"/>
        </w:rPr>
        <w:t>indi</w:t>
      </w:r>
      <w:r w:rsidRPr="0025609D">
        <w:rPr>
          <w:rFonts w:asciiTheme="majorHAnsi" w:eastAsia="Times New Roman" w:hAnsiTheme="majorHAnsi" w:cstheme="majorHAnsi"/>
          <w:sz w:val="24"/>
          <w:szCs w:val="24"/>
        </w:rPr>
        <w:t>cati</w:t>
      </w:r>
      <w:r w:rsidR="007B1699" w:rsidRPr="0025609D">
        <w:rPr>
          <w:rFonts w:asciiTheme="majorHAnsi" w:eastAsia="Times New Roman" w:hAnsiTheme="majorHAnsi" w:cstheme="majorHAnsi"/>
          <w:sz w:val="24"/>
          <w:szCs w:val="24"/>
        </w:rPr>
        <w:t xml:space="preserve">ng that </w:t>
      </w:r>
      <w:r w:rsidR="0034341C" w:rsidRPr="0025609D">
        <w:rPr>
          <w:rFonts w:asciiTheme="majorHAnsi" w:eastAsia="Times New Roman" w:hAnsiTheme="majorHAnsi" w:cstheme="majorHAnsi"/>
          <w:sz w:val="24"/>
          <w:szCs w:val="24"/>
        </w:rPr>
        <w:t xml:space="preserve">Families with more members may prioritize essential needs over extracurricular participation, leading to reduced engagement in activities perceived as less </w:t>
      </w:r>
      <w:r w:rsidR="0071083E" w:rsidRPr="0025609D">
        <w:rPr>
          <w:rFonts w:asciiTheme="majorHAnsi" w:eastAsia="Times New Roman" w:hAnsiTheme="majorHAnsi" w:cstheme="majorHAnsi"/>
          <w:sz w:val="24"/>
          <w:szCs w:val="24"/>
        </w:rPr>
        <w:t>beneficial (</w:t>
      </w:r>
      <w:r w:rsidR="0034341C" w:rsidRPr="0025609D">
        <w:rPr>
          <w:rFonts w:asciiTheme="majorHAnsi" w:eastAsia="Times New Roman" w:hAnsiTheme="majorHAnsi" w:cstheme="majorHAnsi"/>
          <w:sz w:val="24"/>
          <w:szCs w:val="24"/>
        </w:rPr>
        <w:t>Hjalmarsson, 2022)</w:t>
      </w:r>
      <w:r w:rsidR="007B1699" w:rsidRPr="0025609D">
        <w:rPr>
          <w:rFonts w:asciiTheme="majorHAnsi" w:eastAsia="Times New Roman" w:hAnsiTheme="majorHAnsi" w:cstheme="majorHAnsi"/>
          <w:sz w:val="24"/>
          <w:szCs w:val="24"/>
        </w:rPr>
        <w:t>.</w:t>
      </w:r>
      <w:r w:rsidR="0034341C" w:rsidRPr="0025609D">
        <w:rPr>
          <w:rFonts w:asciiTheme="majorHAnsi" w:eastAsia="Times New Roman" w:hAnsiTheme="majorHAnsi" w:cstheme="majorHAnsi"/>
          <w:sz w:val="24"/>
          <w:szCs w:val="24"/>
        </w:rPr>
        <w:t xml:space="preserve"> This lower return can discourage investment in activities that do not yield significant benefits, as families may opt for more impactful opportunities instead.</w:t>
      </w:r>
    </w:p>
    <w:p w14:paraId="277D4CD5" w14:textId="737B83AB" w:rsidR="0073686B" w:rsidRPr="0025609D" w:rsidRDefault="007568B2" w:rsidP="00C505F0">
      <w:pPr>
        <w:spacing w:before="120" w:after="120" w:line="360" w:lineRule="auto"/>
        <w:outlineLvl w:val="2"/>
        <w:rPr>
          <w:rFonts w:asciiTheme="majorHAnsi" w:eastAsia="Times New Roman" w:hAnsiTheme="majorHAnsi" w:cstheme="majorHAnsi"/>
          <w:b/>
          <w:bCs/>
          <w:sz w:val="27"/>
          <w:szCs w:val="27"/>
        </w:rPr>
      </w:pPr>
      <w:r w:rsidRPr="0025609D">
        <w:rPr>
          <w:rFonts w:asciiTheme="majorHAnsi" w:eastAsia="Times New Roman" w:hAnsiTheme="majorHAnsi" w:cstheme="majorHAnsi"/>
          <w:b/>
          <w:bCs/>
          <w:sz w:val="27"/>
          <w:szCs w:val="27"/>
        </w:rPr>
        <w:t>M</w:t>
      </w:r>
      <w:r w:rsidR="0073686B" w:rsidRPr="0025609D">
        <w:rPr>
          <w:rFonts w:asciiTheme="majorHAnsi" w:eastAsia="Times New Roman" w:hAnsiTheme="majorHAnsi" w:cstheme="majorHAnsi"/>
          <w:b/>
          <w:bCs/>
          <w:sz w:val="27"/>
          <w:szCs w:val="27"/>
        </w:rPr>
        <w:t>en’s participation in seaweed farming</w:t>
      </w:r>
    </w:p>
    <w:p w14:paraId="3E5725D3" w14:textId="6275DE87" w:rsidR="00C505F0" w:rsidRPr="0025609D" w:rsidRDefault="00C505F0" w:rsidP="00C505F0">
      <w:pPr>
        <w:spacing w:before="240"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Table 3 summarizes the results of men’s participation in seaweed farming, </w:t>
      </w:r>
      <w:r w:rsidR="00637D42" w:rsidRPr="0025609D">
        <w:rPr>
          <w:rFonts w:asciiTheme="majorHAnsi" w:hAnsiTheme="majorHAnsi" w:cstheme="majorHAnsi"/>
          <w:sz w:val="24"/>
          <w:szCs w:val="24"/>
        </w:rPr>
        <w:t>sh</w:t>
      </w:r>
      <w:r w:rsidRPr="0025609D">
        <w:rPr>
          <w:rFonts w:asciiTheme="majorHAnsi" w:hAnsiTheme="majorHAnsi" w:cstheme="majorHAnsi"/>
          <w:sz w:val="24"/>
          <w:szCs w:val="24"/>
        </w:rPr>
        <w:t>o</w:t>
      </w:r>
      <w:r w:rsidR="00637D42" w:rsidRPr="0025609D">
        <w:rPr>
          <w:rFonts w:asciiTheme="majorHAnsi" w:hAnsiTheme="majorHAnsi" w:cstheme="majorHAnsi"/>
          <w:sz w:val="24"/>
          <w:szCs w:val="24"/>
        </w:rPr>
        <w:t>w</w:t>
      </w:r>
      <w:r w:rsidRPr="0025609D">
        <w:rPr>
          <w:rFonts w:asciiTheme="majorHAnsi" w:hAnsiTheme="majorHAnsi" w:cstheme="majorHAnsi"/>
          <w:sz w:val="24"/>
          <w:szCs w:val="24"/>
        </w:rPr>
        <w:t>ing their involvement across various aspects. The table presents variables such as engagement in seaweed farming, farm size, preferred farming methods, and sources of capital for farming. Each aspect highlights the scope of men’s participation</w:t>
      </w:r>
      <w:r w:rsidR="00834B9B"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in the </w:t>
      </w:r>
      <w:r w:rsidR="00834B9B" w:rsidRPr="0025609D">
        <w:rPr>
          <w:rFonts w:asciiTheme="majorHAnsi" w:hAnsiTheme="majorHAnsi" w:cstheme="majorHAnsi"/>
          <w:sz w:val="24"/>
          <w:szCs w:val="24"/>
        </w:rPr>
        <w:t>sector</w:t>
      </w:r>
      <w:r w:rsidRPr="0025609D">
        <w:rPr>
          <w:rFonts w:asciiTheme="majorHAnsi" w:hAnsiTheme="majorHAnsi" w:cstheme="majorHAnsi"/>
          <w:sz w:val="24"/>
          <w:szCs w:val="24"/>
        </w:rPr>
        <w:t>.</w:t>
      </w:r>
    </w:p>
    <w:p w14:paraId="5AE0A007" w14:textId="12698032" w:rsidR="00025D7D" w:rsidRPr="0025609D" w:rsidRDefault="00025D7D" w:rsidP="00025D7D">
      <w:pPr>
        <w:rPr>
          <w:rFonts w:asciiTheme="majorHAnsi" w:hAnsiTheme="majorHAnsi" w:cstheme="majorHAnsi"/>
          <w:b/>
          <w:sz w:val="24"/>
          <w:szCs w:val="24"/>
        </w:rPr>
      </w:pPr>
      <w:r w:rsidRPr="0025609D">
        <w:rPr>
          <w:rFonts w:asciiTheme="majorHAnsi" w:hAnsiTheme="majorHAnsi" w:cstheme="majorHAnsi"/>
          <w:b/>
          <w:sz w:val="24"/>
          <w:szCs w:val="24"/>
        </w:rPr>
        <w:t>Table 3: Characteristics of respondents about seaweed farming</w:t>
      </w:r>
    </w:p>
    <w:tbl>
      <w:tblPr>
        <w:tblW w:w="5000" w:type="pct"/>
        <w:tblLook w:val="04A0" w:firstRow="1" w:lastRow="0" w:firstColumn="1" w:lastColumn="0" w:noHBand="0" w:noVBand="1"/>
      </w:tblPr>
      <w:tblGrid>
        <w:gridCol w:w="3511"/>
        <w:gridCol w:w="2430"/>
        <w:gridCol w:w="1350"/>
        <w:gridCol w:w="2069"/>
      </w:tblGrid>
      <w:tr w:rsidR="00025D7D" w:rsidRPr="0025609D" w14:paraId="6D2584C7" w14:textId="77777777" w:rsidTr="00AA0B76">
        <w:trPr>
          <w:trHeight w:val="300"/>
        </w:trPr>
        <w:tc>
          <w:tcPr>
            <w:tcW w:w="1876" w:type="pct"/>
            <w:tcBorders>
              <w:top w:val="single" w:sz="4" w:space="0" w:color="auto"/>
              <w:bottom w:val="single" w:sz="4" w:space="0" w:color="auto"/>
            </w:tcBorders>
            <w:shd w:val="clear" w:color="auto" w:fill="auto"/>
            <w:noWrap/>
            <w:vAlign w:val="bottom"/>
            <w:hideMark/>
          </w:tcPr>
          <w:p w14:paraId="7668025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Variable</w:t>
            </w:r>
          </w:p>
        </w:tc>
        <w:tc>
          <w:tcPr>
            <w:tcW w:w="1298" w:type="pct"/>
            <w:tcBorders>
              <w:top w:val="single" w:sz="4" w:space="0" w:color="auto"/>
              <w:bottom w:val="single" w:sz="4" w:space="0" w:color="auto"/>
            </w:tcBorders>
            <w:shd w:val="clear" w:color="auto" w:fill="auto"/>
            <w:noWrap/>
            <w:vAlign w:val="bottom"/>
            <w:hideMark/>
          </w:tcPr>
          <w:p w14:paraId="0F2E764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Category</w:t>
            </w:r>
          </w:p>
        </w:tc>
        <w:tc>
          <w:tcPr>
            <w:tcW w:w="721" w:type="pct"/>
            <w:tcBorders>
              <w:top w:val="single" w:sz="4" w:space="0" w:color="auto"/>
              <w:bottom w:val="single" w:sz="4" w:space="0" w:color="auto"/>
            </w:tcBorders>
            <w:shd w:val="clear" w:color="auto" w:fill="auto"/>
            <w:noWrap/>
            <w:vAlign w:val="bottom"/>
            <w:hideMark/>
          </w:tcPr>
          <w:p w14:paraId="047B93B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Frequency</w:t>
            </w:r>
          </w:p>
        </w:tc>
        <w:tc>
          <w:tcPr>
            <w:tcW w:w="1105" w:type="pct"/>
            <w:tcBorders>
              <w:top w:val="single" w:sz="4" w:space="0" w:color="auto"/>
              <w:bottom w:val="single" w:sz="4" w:space="0" w:color="auto"/>
            </w:tcBorders>
            <w:shd w:val="clear" w:color="auto" w:fill="auto"/>
            <w:noWrap/>
            <w:vAlign w:val="bottom"/>
            <w:hideMark/>
          </w:tcPr>
          <w:p w14:paraId="13DF0091"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Percent</w:t>
            </w:r>
          </w:p>
        </w:tc>
      </w:tr>
      <w:tr w:rsidR="00025D7D" w:rsidRPr="0025609D" w14:paraId="140C80DC" w14:textId="77777777" w:rsidTr="00AA0B76">
        <w:trPr>
          <w:trHeight w:val="300"/>
        </w:trPr>
        <w:tc>
          <w:tcPr>
            <w:tcW w:w="1876" w:type="pct"/>
            <w:tcBorders>
              <w:top w:val="single" w:sz="4" w:space="0" w:color="auto"/>
            </w:tcBorders>
            <w:shd w:val="clear" w:color="auto" w:fill="auto"/>
            <w:noWrap/>
            <w:vAlign w:val="bottom"/>
            <w:hideMark/>
          </w:tcPr>
          <w:p w14:paraId="5363B8C8"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Do you practice seaweed farming?</w:t>
            </w:r>
          </w:p>
        </w:tc>
        <w:tc>
          <w:tcPr>
            <w:tcW w:w="1298" w:type="pct"/>
            <w:tcBorders>
              <w:top w:val="single" w:sz="4" w:space="0" w:color="auto"/>
            </w:tcBorders>
            <w:shd w:val="clear" w:color="auto" w:fill="auto"/>
            <w:noWrap/>
            <w:vAlign w:val="bottom"/>
            <w:hideMark/>
          </w:tcPr>
          <w:p w14:paraId="33B4BF7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Yes</w:t>
            </w:r>
          </w:p>
        </w:tc>
        <w:tc>
          <w:tcPr>
            <w:tcW w:w="721" w:type="pct"/>
            <w:tcBorders>
              <w:top w:val="single" w:sz="4" w:space="0" w:color="auto"/>
            </w:tcBorders>
            <w:shd w:val="clear" w:color="auto" w:fill="auto"/>
            <w:noWrap/>
            <w:vAlign w:val="bottom"/>
            <w:hideMark/>
          </w:tcPr>
          <w:p w14:paraId="3822779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33</w:t>
            </w:r>
          </w:p>
        </w:tc>
        <w:tc>
          <w:tcPr>
            <w:tcW w:w="1105" w:type="pct"/>
            <w:tcBorders>
              <w:top w:val="single" w:sz="4" w:space="0" w:color="auto"/>
            </w:tcBorders>
            <w:shd w:val="clear" w:color="auto" w:fill="auto"/>
            <w:noWrap/>
            <w:vAlign w:val="bottom"/>
            <w:hideMark/>
          </w:tcPr>
          <w:p w14:paraId="1D52FEF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22</w:t>
            </w:r>
          </w:p>
        </w:tc>
      </w:tr>
      <w:tr w:rsidR="00025D7D" w:rsidRPr="0025609D" w14:paraId="2F477DB0" w14:textId="77777777" w:rsidTr="00AA0B76">
        <w:trPr>
          <w:trHeight w:val="300"/>
        </w:trPr>
        <w:tc>
          <w:tcPr>
            <w:tcW w:w="1876" w:type="pct"/>
            <w:shd w:val="clear" w:color="auto" w:fill="auto"/>
            <w:noWrap/>
            <w:vAlign w:val="bottom"/>
            <w:hideMark/>
          </w:tcPr>
          <w:p w14:paraId="3EB828B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39FE3E62"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no</w:t>
            </w:r>
          </w:p>
        </w:tc>
        <w:tc>
          <w:tcPr>
            <w:tcW w:w="721" w:type="pct"/>
            <w:shd w:val="clear" w:color="auto" w:fill="auto"/>
            <w:noWrap/>
            <w:vAlign w:val="bottom"/>
            <w:hideMark/>
          </w:tcPr>
          <w:p w14:paraId="69AC09E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117</w:t>
            </w:r>
          </w:p>
        </w:tc>
        <w:tc>
          <w:tcPr>
            <w:tcW w:w="1105" w:type="pct"/>
            <w:shd w:val="clear" w:color="auto" w:fill="auto"/>
            <w:noWrap/>
            <w:vAlign w:val="bottom"/>
            <w:hideMark/>
          </w:tcPr>
          <w:p w14:paraId="08047D4C"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78</w:t>
            </w:r>
          </w:p>
        </w:tc>
      </w:tr>
      <w:tr w:rsidR="00025D7D" w:rsidRPr="0025609D" w14:paraId="3CC9545E" w14:textId="77777777" w:rsidTr="00AA0B76">
        <w:trPr>
          <w:trHeight w:val="300"/>
        </w:trPr>
        <w:tc>
          <w:tcPr>
            <w:tcW w:w="1876" w:type="pct"/>
            <w:shd w:val="clear" w:color="auto" w:fill="auto"/>
            <w:noWrap/>
            <w:vAlign w:val="bottom"/>
            <w:hideMark/>
          </w:tcPr>
          <w:p w14:paraId="64ADA1CD"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Acres of the seaweed farm</w:t>
            </w:r>
          </w:p>
        </w:tc>
        <w:tc>
          <w:tcPr>
            <w:tcW w:w="1298" w:type="pct"/>
            <w:shd w:val="clear" w:color="auto" w:fill="auto"/>
            <w:noWrap/>
            <w:vAlign w:val="bottom"/>
            <w:hideMark/>
          </w:tcPr>
          <w:p w14:paraId="74251FA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1 to 2</w:t>
            </w:r>
          </w:p>
        </w:tc>
        <w:tc>
          <w:tcPr>
            <w:tcW w:w="721" w:type="pct"/>
            <w:shd w:val="clear" w:color="auto" w:fill="auto"/>
            <w:noWrap/>
            <w:vAlign w:val="bottom"/>
            <w:hideMark/>
          </w:tcPr>
          <w:p w14:paraId="4F3BE58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28</w:t>
            </w:r>
          </w:p>
        </w:tc>
        <w:tc>
          <w:tcPr>
            <w:tcW w:w="1105" w:type="pct"/>
            <w:shd w:val="clear" w:color="auto" w:fill="auto"/>
            <w:noWrap/>
            <w:vAlign w:val="bottom"/>
            <w:hideMark/>
          </w:tcPr>
          <w:p w14:paraId="47E1CED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85</w:t>
            </w:r>
          </w:p>
        </w:tc>
      </w:tr>
      <w:tr w:rsidR="00025D7D" w:rsidRPr="0025609D" w14:paraId="0033758A" w14:textId="77777777" w:rsidTr="00AA0B76">
        <w:trPr>
          <w:trHeight w:val="300"/>
        </w:trPr>
        <w:tc>
          <w:tcPr>
            <w:tcW w:w="1876" w:type="pct"/>
            <w:shd w:val="clear" w:color="auto" w:fill="auto"/>
            <w:noWrap/>
            <w:vAlign w:val="bottom"/>
            <w:hideMark/>
          </w:tcPr>
          <w:p w14:paraId="12B6657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7A5EDBA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 to 4</w:t>
            </w:r>
          </w:p>
        </w:tc>
        <w:tc>
          <w:tcPr>
            <w:tcW w:w="721" w:type="pct"/>
            <w:shd w:val="clear" w:color="auto" w:fill="auto"/>
            <w:noWrap/>
            <w:vAlign w:val="bottom"/>
            <w:hideMark/>
          </w:tcPr>
          <w:p w14:paraId="241E28B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5</w:t>
            </w:r>
          </w:p>
        </w:tc>
        <w:tc>
          <w:tcPr>
            <w:tcW w:w="1105" w:type="pct"/>
            <w:shd w:val="clear" w:color="auto" w:fill="auto"/>
            <w:noWrap/>
            <w:vAlign w:val="bottom"/>
            <w:hideMark/>
          </w:tcPr>
          <w:p w14:paraId="340D6048"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15</w:t>
            </w:r>
          </w:p>
        </w:tc>
      </w:tr>
      <w:tr w:rsidR="00025D7D" w:rsidRPr="0025609D" w14:paraId="78056624" w14:textId="77777777" w:rsidTr="00AA0B76">
        <w:trPr>
          <w:trHeight w:val="300"/>
        </w:trPr>
        <w:tc>
          <w:tcPr>
            <w:tcW w:w="1876" w:type="pct"/>
            <w:shd w:val="clear" w:color="auto" w:fill="auto"/>
            <w:noWrap/>
            <w:vAlign w:val="bottom"/>
            <w:hideMark/>
          </w:tcPr>
          <w:p w14:paraId="5130D84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lastRenderedPageBreak/>
              <w:t>Preferable methods of farming</w:t>
            </w:r>
          </w:p>
        </w:tc>
        <w:tc>
          <w:tcPr>
            <w:tcW w:w="1298" w:type="pct"/>
            <w:shd w:val="clear" w:color="auto" w:fill="auto"/>
            <w:noWrap/>
            <w:vAlign w:val="bottom"/>
            <w:hideMark/>
          </w:tcPr>
          <w:p w14:paraId="59E59E31"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Deepwater</w:t>
            </w:r>
          </w:p>
        </w:tc>
        <w:tc>
          <w:tcPr>
            <w:tcW w:w="721" w:type="pct"/>
            <w:shd w:val="clear" w:color="auto" w:fill="auto"/>
            <w:noWrap/>
            <w:vAlign w:val="bottom"/>
            <w:hideMark/>
          </w:tcPr>
          <w:p w14:paraId="58F29ED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0</w:t>
            </w:r>
          </w:p>
        </w:tc>
        <w:tc>
          <w:tcPr>
            <w:tcW w:w="1105" w:type="pct"/>
            <w:shd w:val="clear" w:color="auto" w:fill="auto"/>
            <w:noWrap/>
            <w:vAlign w:val="bottom"/>
            <w:hideMark/>
          </w:tcPr>
          <w:p w14:paraId="6EC433D5"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0</w:t>
            </w:r>
          </w:p>
        </w:tc>
      </w:tr>
      <w:tr w:rsidR="00025D7D" w:rsidRPr="0025609D" w14:paraId="4BE59237" w14:textId="77777777" w:rsidTr="00AA0B76">
        <w:trPr>
          <w:trHeight w:val="300"/>
        </w:trPr>
        <w:tc>
          <w:tcPr>
            <w:tcW w:w="1876" w:type="pct"/>
            <w:shd w:val="clear" w:color="auto" w:fill="auto"/>
            <w:noWrap/>
            <w:vAlign w:val="bottom"/>
            <w:hideMark/>
          </w:tcPr>
          <w:p w14:paraId="022C655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7C38BAF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Off-bottom</w:t>
            </w:r>
          </w:p>
        </w:tc>
        <w:tc>
          <w:tcPr>
            <w:tcW w:w="721" w:type="pct"/>
            <w:shd w:val="clear" w:color="auto" w:fill="auto"/>
            <w:noWrap/>
            <w:vAlign w:val="bottom"/>
            <w:hideMark/>
          </w:tcPr>
          <w:p w14:paraId="2769289E"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33</w:t>
            </w:r>
          </w:p>
        </w:tc>
        <w:tc>
          <w:tcPr>
            <w:tcW w:w="1105" w:type="pct"/>
            <w:shd w:val="clear" w:color="auto" w:fill="auto"/>
            <w:noWrap/>
            <w:vAlign w:val="bottom"/>
            <w:hideMark/>
          </w:tcPr>
          <w:p w14:paraId="0847F744"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100</w:t>
            </w:r>
          </w:p>
        </w:tc>
      </w:tr>
      <w:tr w:rsidR="00025D7D" w:rsidRPr="0025609D" w14:paraId="33FEE3C7" w14:textId="77777777" w:rsidTr="00AA0B76">
        <w:trPr>
          <w:trHeight w:val="300"/>
        </w:trPr>
        <w:tc>
          <w:tcPr>
            <w:tcW w:w="1876" w:type="pct"/>
            <w:shd w:val="clear" w:color="auto" w:fill="auto"/>
            <w:noWrap/>
            <w:vAlign w:val="bottom"/>
            <w:hideMark/>
          </w:tcPr>
          <w:p w14:paraId="41272FC2"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Source of capital and farming inputs</w:t>
            </w:r>
          </w:p>
        </w:tc>
        <w:tc>
          <w:tcPr>
            <w:tcW w:w="1298" w:type="pct"/>
            <w:shd w:val="clear" w:color="auto" w:fill="auto"/>
            <w:noWrap/>
            <w:vAlign w:val="bottom"/>
            <w:hideMark/>
          </w:tcPr>
          <w:p w14:paraId="175FEEE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Household savings</w:t>
            </w:r>
          </w:p>
        </w:tc>
        <w:tc>
          <w:tcPr>
            <w:tcW w:w="721" w:type="pct"/>
            <w:shd w:val="clear" w:color="auto" w:fill="auto"/>
            <w:noWrap/>
            <w:vAlign w:val="bottom"/>
            <w:hideMark/>
          </w:tcPr>
          <w:p w14:paraId="565D146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20</w:t>
            </w:r>
          </w:p>
        </w:tc>
        <w:tc>
          <w:tcPr>
            <w:tcW w:w="1105" w:type="pct"/>
            <w:shd w:val="clear" w:color="auto" w:fill="auto"/>
            <w:noWrap/>
            <w:vAlign w:val="bottom"/>
            <w:hideMark/>
          </w:tcPr>
          <w:p w14:paraId="4BE53A6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61</w:t>
            </w:r>
          </w:p>
        </w:tc>
      </w:tr>
      <w:tr w:rsidR="00025D7D" w:rsidRPr="0025609D" w14:paraId="5B8718A4" w14:textId="77777777" w:rsidTr="00AA0B76">
        <w:trPr>
          <w:trHeight w:val="300"/>
        </w:trPr>
        <w:tc>
          <w:tcPr>
            <w:tcW w:w="1876" w:type="pct"/>
            <w:shd w:val="clear" w:color="auto" w:fill="auto"/>
            <w:noWrap/>
            <w:vAlign w:val="bottom"/>
            <w:hideMark/>
          </w:tcPr>
          <w:p w14:paraId="5475190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2B4D927C"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Support from relatives</w:t>
            </w:r>
          </w:p>
        </w:tc>
        <w:tc>
          <w:tcPr>
            <w:tcW w:w="721" w:type="pct"/>
            <w:shd w:val="clear" w:color="auto" w:fill="auto"/>
            <w:noWrap/>
            <w:vAlign w:val="bottom"/>
            <w:hideMark/>
          </w:tcPr>
          <w:p w14:paraId="59F9655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5</w:t>
            </w:r>
          </w:p>
        </w:tc>
        <w:tc>
          <w:tcPr>
            <w:tcW w:w="1105" w:type="pct"/>
            <w:shd w:val="clear" w:color="auto" w:fill="auto"/>
            <w:noWrap/>
            <w:vAlign w:val="bottom"/>
            <w:hideMark/>
          </w:tcPr>
          <w:p w14:paraId="4FB12FE4"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15</w:t>
            </w:r>
          </w:p>
        </w:tc>
      </w:tr>
      <w:tr w:rsidR="00025D7D" w:rsidRPr="0025609D" w14:paraId="7D39D818" w14:textId="77777777" w:rsidTr="00AA0B76">
        <w:trPr>
          <w:trHeight w:val="300"/>
        </w:trPr>
        <w:tc>
          <w:tcPr>
            <w:tcW w:w="1876" w:type="pct"/>
            <w:tcBorders>
              <w:bottom w:val="single" w:sz="4" w:space="0" w:color="auto"/>
            </w:tcBorders>
            <w:shd w:val="clear" w:color="auto" w:fill="auto"/>
            <w:noWrap/>
            <w:vAlign w:val="bottom"/>
            <w:hideMark/>
          </w:tcPr>
          <w:p w14:paraId="68C92B1C"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tcBorders>
              <w:bottom w:val="single" w:sz="4" w:space="0" w:color="auto"/>
            </w:tcBorders>
            <w:shd w:val="clear" w:color="auto" w:fill="auto"/>
            <w:noWrap/>
            <w:vAlign w:val="bottom"/>
            <w:hideMark/>
          </w:tcPr>
          <w:p w14:paraId="0887C1B8"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Credits from MFIs</w:t>
            </w:r>
          </w:p>
        </w:tc>
        <w:tc>
          <w:tcPr>
            <w:tcW w:w="721" w:type="pct"/>
            <w:tcBorders>
              <w:bottom w:val="single" w:sz="4" w:space="0" w:color="auto"/>
            </w:tcBorders>
            <w:shd w:val="clear" w:color="auto" w:fill="auto"/>
            <w:noWrap/>
            <w:vAlign w:val="bottom"/>
            <w:hideMark/>
          </w:tcPr>
          <w:p w14:paraId="5B1F5C9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8</w:t>
            </w:r>
          </w:p>
        </w:tc>
        <w:tc>
          <w:tcPr>
            <w:tcW w:w="1105" w:type="pct"/>
            <w:tcBorders>
              <w:bottom w:val="single" w:sz="4" w:space="0" w:color="auto"/>
            </w:tcBorders>
            <w:shd w:val="clear" w:color="auto" w:fill="auto"/>
            <w:noWrap/>
            <w:vAlign w:val="bottom"/>
            <w:hideMark/>
          </w:tcPr>
          <w:p w14:paraId="5D2F5E19"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24</w:t>
            </w:r>
          </w:p>
        </w:tc>
      </w:tr>
    </w:tbl>
    <w:p w14:paraId="2F2409F4" w14:textId="77777777" w:rsidR="00025D7D" w:rsidRPr="0025609D" w:rsidRDefault="00025D7D" w:rsidP="00025D7D">
      <w:pPr>
        <w:spacing w:line="360" w:lineRule="auto"/>
        <w:rPr>
          <w:rFonts w:asciiTheme="majorHAnsi" w:hAnsiTheme="majorHAnsi" w:cstheme="majorHAnsi"/>
          <w:i/>
          <w:sz w:val="24"/>
          <w:szCs w:val="24"/>
        </w:rPr>
      </w:pPr>
      <w:r w:rsidRPr="0025609D">
        <w:rPr>
          <w:rFonts w:asciiTheme="majorHAnsi" w:hAnsiTheme="majorHAnsi" w:cstheme="majorHAnsi"/>
          <w:b/>
          <w:i/>
          <w:sz w:val="24"/>
          <w:szCs w:val="24"/>
        </w:rPr>
        <w:t>Source</w:t>
      </w:r>
      <w:r w:rsidRPr="0025609D">
        <w:rPr>
          <w:rFonts w:asciiTheme="majorHAnsi" w:hAnsiTheme="majorHAnsi" w:cstheme="majorHAnsi"/>
          <w:i/>
          <w:sz w:val="24"/>
          <w:szCs w:val="24"/>
        </w:rPr>
        <w:t xml:space="preserve">: </w:t>
      </w:r>
      <w:r w:rsidRPr="0025609D">
        <w:rPr>
          <w:rFonts w:asciiTheme="majorHAnsi" w:hAnsiTheme="majorHAnsi" w:cstheme="majorHAnsi"/>
          <w:iCs/>
          <w:sz w:val="24"/>
          <w:szCs w:val="24"/>
        </w:rPr>
        <w:t>Field Data</w:t>
      </w:r>
      <w:r w:rsidRPr="0025609D">
        <w:rPr>
          <w:rFonts w:asciiTheme="majorHAnsi" w:hAnsiTheme="majorHAnsi" w:cstheme="majorHAnsi"/>
          <w:i/>
          <w:sz w:val="24"/>
          <w:szCs w:val="24"/>
        </w:rPr>
        <w:t>, (2024)</w:t>
      </w:r>
    </w:p>
    <w:p w14:paraId="0CF95289" w14:textId="612D420F"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Participation Rates</w:t>
      </w:r>
    </w:p>
    <w:p w14:paraId="17F2BAE4" w14:textId="605B8748" w:rsidR="00C25770" w:rsidRPr="0025609D" w:rsidRDefault="00C25770" w:rsidP="00C25770">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The data in Table </w:t>
      </w:r>
      <w:r w:rsidR="00064CB4" w:rsidRPr="0025609D">
        <w:rPr>
          <w:rFonts w:asciiTheme="majorHAnsi" w:eastAsia="Times New Roman" w:hAnsiTheme="majorHAnsi" w:cstheme="majorHAnsi"/>
          <w:sz w:val="24"/>
          <w:szCs w:val="24"/>
        </w:rPr>
        <w:t>3</w:t>
      </w:r>
      <w:r w:rsidRPr="0025609D">
        <w:rPr>
          <w:rFonts w:asciiTheme="majorHAnsi" w:eastAsia="Times New Roman" w:hAnsiTheme="majorHAnsi" w:cstheme="majorHAnsi"/>
          <w:sz w:val="24"/>
          <w:szCs w:val="24"/>
        </w:rPr>
        <w:t xml:space="preserve"> indicates that only 22% of respondents are involved in seaweed farming, while 78% are not. This difference suggests that obstacles prevent men from participating in this activity, and interventions are necessary. The low participation rate of 22% among men in seaweed farming is </w:t>
      </w:r>
      <w:r w:rsidR="008552AB" w:rsidRPr="0025609D">
        <w:rPr>
          <w:rFonts w:asciiTheme="majorHAnsi" w:eastAsia="Times New Roman" w:hAnsiTheme="majorHAnsi" w:cstheme="majorHAnsi"/>
          <w:sz w:val="24"/>
          <w:szCs w:val="24"/>
        </w:rPr>
        <w:t xml:space="preserve">a </w:t>
      </w:r>
      <w:r w:rsidRPr="0025609D">
        <w:rPr>
          <w:rFonts w:asciiTheme="majorHAnsi" w:eastAsia="Times New Roman" w:hAnsiTheme="majorHAnsi" w:cstheme="majorHAnsi"/>
          <w:sz w:val="24"/>
          <w:szCs w:val="24"/>
        </w:rPr>
        <w:t xml:space="preserve">concern and indicates the presence of socio-cultural and economic barriers. This aligns with research showing that </w:t>
      </w:r>
      <w:r w:rsidR="00504D1C" w:rsidRPr="0025609D">
        <w:rPr>
          <w:rFonts w:asciiTheme="majorHAnsi" w:eastAsia="Times New Roman" w:hAnsiTheme="majorHAnsi" w:cstheme="majorHAnsi"/>
          <w:sz w:val="24"/>
          <w:szCs w:val="24"/>
        </w:rPr>
        <w:t>traditional gender roles significantly discourage men from engaging in activities typically associated with women, creating psychological and cultural barriers (</w:t>
      </w:r>
      <w:r w:rsidR="002A4529" w:rsidRPr="0025609D">
        <w:rPr>
          <w:rFonts w:asciiTheme="majorHAnsi" w:eastAsia="Times New Roman" w:hAnsiTheme="majorHAnsi" w:cstheme="majorHAnsi"/>
          <w:sz w:val="24"/>
          <w:szCs w:val="24"/>
        </w:rPr>
        <w:t xml:space="preserve">Croft </w:t>
      </w:r>
      <w:r w:rsidR="002A4529" w:rsidRPr="0025609D">
        <w:rPr>
          <w:rFonts w:asciiTheme="majorHAnsi" w:eastAsia="Times New Roman" w:hAnsiTheme="majorHAnsi" w:cstheme="majorHAnsi"/>
          <w:i/>
          <w:iCs/>
          <w:sz w:val="24"/>
          <w:szCs w:val="24"/>
        </w:rPr>
        <w:t>et al.,</w:t>
      </w:r>
      <w:r w:rsidR="002A4529" w:rsidRPr="0025609D">
        <w:rPr>
          <w:rFonts w:asciiTheme="majorHAnsi" w:eastAsia="Times New Roman" w:hAnsiTheme="majorHAnsi" w:cstheme="majorHAnsi"/>
          <w:sz w:val="24"/>
          <w:szCs w:val="24"/>
        </w:rPr>
        <w:t xml:space="preserve"> 2015</w:t>
      </w:r>
      <w:r w:rsidR="00504D1C" w:rsidRPr="0025609D">
        <w:rPr>
          <w:rFonts w:asciiTheme="majorHAnsi" w:eastAsia="Times New Roman" w:hAnsiTheme="majorHAnsi" w:cstheme="majorHAnsi"/>
          <w:sz w:val="24"/>
          <w:szCs w:val="24"/>
        </w:rPr>
        <w:t xml:space="preserve">). This can be associated with </w:t>
      </w:r>
      <w:r w:rsidRPr="0025609D">
        <w:rPr>
          <w:rFonts w:asciiTheme="majorHAnsi" w:eastAsia="Times New Roman" w:hAnsiTheme="majorHAnsi" w:cstheme="majorHAnsi"/>
          <w:sz w:val="24"/>
          <w:szCs w:val="24"/>
        </w:rPr>
        <w:t xml:space="preserve">seaweed farming. </w:t>
      </w:r>
    </w:p>
    <w:p w14:paraId="3AA80797" w14:textId="5A9DD752" w:rsidR="00C25770" w:rsidRPr="0025609D" w:rsidRDefault="00C25770" w:rsidP="00C25770">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Al</w:t>
      </w:r>
      <w:r w:rsidR="006A497A" w:rsidRPr="0025609D">
        <w:rPr>
          <w:rFonts w:asciiTheme="majorHAnsi" w:eastAsia="Times New Roman" w:hAnsiTheme="majorHAnsi" w:cstheme="majorHAnsi"/>
          <w:sz w:val="24"/>
          <w:szCs w:val="24"/>
        </w:rPr>
        <w:t>so</w:t>
      </w:r>
      <w:r w:rsidRPr="0025609D">
        <w:rPr>
          <w:rFonts w:asciiTheme="majorHAnsi" w:eastAsia="Times New Roman" w:hAnsiTheme="majorHAnsi" w:cstheme="majorHAnsi"/>
          <w:sz w:val="24"/>
          <w:szCs w:val="24"/>
        </w:rPr>
        <w:t xml:space="preserve">, </w:t>
      </w:r>
      <w:proofErr w:type="spellStart"/>
      <w:r w:rsidRPr="0025609D">
        <w:rPr>
          <w:rFonts w:asciiTheme="majorHAnsi" w:eastAsia="Times New Roman" w:hAnsiTheme="majorHAnsi" w:cstheme="majorHAnsi"/>
          <w:sz w:val="24"/>
          <w:szCs w:val="24"/>
        </w:rPr>
        <w:t>Msuya</w:t>
      </w:r>
      <w:proofErr w:type="spellEnd"/>
      <w:r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i/>
          <w:iCs/>
          <w:sz w:val="24"/>
          <w:szCs w:val="24"/>
        </w:rPr>
        <w:t>et al.</w:t>
      </w:r>
      <w:r w:rsidR="00193561" w:rsidRPr="0025609D">
        <w:rPr>
          <w:rFonts w:asciiTheme="majorHAnsi" w:eastAsia="Times New Roman" w:hAnsiTheme="majorHAnsi" w:cstheme="majorHAnsi"/>
          <w:sz w:val="24"/>
          <w:szCs w:val="24"/>
        </w:rPr>
        <w:t xml:space="preserve"> (2022</w:t>
      </w:r>
      <w:r w:rsidRPr="0025609D">
        <w:rPr>
          <w:rFonts w:asciiTheme="majorHAnsi" w:eastAsia="Times New Roman" w:hAnsiTheme="majorHAnsi" w:cstheme="majorHAnsi"/>
          <w:sz w:val="24"/>
          <w:szCs w:val="24"/>
        </w:rPr>
        <w:t xml:space="preserve">) highlight </w:t>
      </w:r>
      <w:r w:rsidR="00064CB4" w:rsidRPr="0025609D">
        <w:rPr>
          <w:rFonts w:asciiTheme="majorHAnsi" w:eastAsia="Times New Roman" w:hAnsiTheme="majorHAnsi" w:cstheme="majorHAnsi"/>
          <w:sz w:val="24"/>
          <w:szCs w:val="24"/>
        </w:rPr>
        <w:t>that </w:t>
      </w:r>
      <w:r w:rsidRPr="0025609D">
        <w:rPr>
          <w:rFonts w:asciiTheme="majorHAnsi" w:eastAsia="Times New Roman" w:hAnsiTheme="majorHAnsi" w:cstheme="majorHAnsi"/>
          <w:sz w:val="24"/>
          <w:szCs w:val="24"/>
        </w:rPr>
        <w:t>economic factors</w:t>
      </w:r>
      <w:r w:rsidR="006A497A" w:rsidRPr="0025609D">
        <w:rPr>
          <w:rFonts w:asciiTheme="majorHAnsi" w:eastAsia="Times New Roman" w:hAnsiTheme="majorHAnsi" w:cstheme="majorHAnsi"/>
          <w:sz w:val="24"/>
          <w:szCs w:val="24"/>
        </w:rPr>
        <w:t xml:space="preserve"> exacerbate this issue</w:t>
      </w:r>
      <w:r w:rsidRPr="0025609D">
        <w:rPr>
          <w:rFonts w:asciiTheme="majorHAnsi" w:eastAsia="Times New Roman" w:hAnsiTheme="majorHAnsi" w:cstheme="majorHAnsi"/>
          <w:sz w:val="24"/>
          <w:szCs w:val="24"/>
        </w:rPr>
        <w:t xml:space="preserve">, including limited access to financial resources and market opportunities. Their study found that men often prioritize other livelihood strategies perceived as more profitable or socially acceptable, leading to low participation in seaweed farming. Moreover, </w:t>
      </w:r>
      <w:r w:rsidR="009E0F9A" w:rsidRPr="0025609D">
        <w:rPr>
          <w:rFonts w:asciiTheme="majorHAnsi" w:eastAsia="Times New Roman" w:hAnsiTheme="majorHAnsi" w:cstheme="majorHAnsi"/>
          <w:sz w:val="24"/>
          <w:szCs w:val="24"/>
        </w:rPr>
        <w:t>stakeholders lack experiential knowledge about seaweed farming, leading to misconceptions and hesitance to invest (</w:t>
      </w:r>
      <w:proofErr w:type="spellStart"/>
      <w:r w:rsidR="009E0F9A" w:rsidRPr="0025609D">
        <w:rPr>
          <w:rFonts w:asciiTheme="majorHAnsi" w:eastAsia="Times New Roman" w:hAnsiTheme="majorHAnsi" w:cstheme="majorHAnsi"/>
          <w:sz w:val="24"/>
          <w:szCs w:val="24"/>
        </w:rPr>
        <w:t>Kosichek</w:t>
      </w:r>
      <w:proofErr w:type="spellEnd"/>
      <w:r w:rsidR="009E0F9A" w:rsidRPr="0025609D">
        <w:rPr>
          <w:rFonts w:asciiTheme="majorHAnsi" w:eastAsia="Times New Roman" w:hAnsiTheme="majorHAnsi" w:cstheme="majorHAnsi"/>
          <w:sz w:val="24"/>
          <w:szCs w:val="24"/>
        </w:rPr>
        <w:t xml:space="preserve"> et al., 2024). </w:t>
      </w:r>
      <w:r w:rsidRPr="0025609D">
        <w:rPr>
          <w:rFonts w:asciiTheme="majorHAnsi" w:eastAsia="Times New Roman" w:hAnsiTheme="majorHAnsi" w:cstheme="majorHAnsi"/>
          <w:sz w:val="24"/>
          <w:szCs w:val="24"/>
        </w:rPr>
        <w:t>Many men may lack information about the profitability and sustainability of this activity, contributing to low participation rates.</w:t>
      </w:r>
    </w:p>
    <w:p w14:paraId="0F3C1544" w14:textId="245362E8" w:rsidR="00044BD4" w:rsidRPr="0025609D" w:rsidRDefault="00044BD4" w:rsidP="00C25770">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The findings indicate that seaweed farming is mostly considered a female-dominated sector, which aligns with gender role theory. According to this theory, men might avoid taking part in activities perceived as 'women's work' due to the fear of social stigma or ridicule. These results demonstrate the deeply rooted gender norms determin</w:t>
      </w:r>
      <w:r w:rsidR="00834B9B" w:rsidRPr="0025609D">
        <w:rPr>
          <w:rFonts w:asciiTheme="majorHAnsi" w:eastAsia="Times New Roman" w:hAnsiTheme="majorHAnsi" w:cstheme="majorHAnsi"/>
          <w:sz w:val="24"/>
          <w:szCs w:val="24"/>
        </w:rPr>
        <w:t>ing</w:t>
      </w:r>
      <w:r w:rsidRPr="0025609D">
        <w:rPr>
          <w:rFonts w:asciiTheme="majorHAnsi" w:eastAsia="Times New Roman" w:hAnsiTheme="majorHAnsi" w:cstheme="majorHAnsi"/>
          <w:sz w:val="24"/>
          <w:szCs w:val="24"/>
        </w:rPr>
        <w:t xml:space="preserve"> suitable work for men in Zanzibar. Traditional beliefs may discourage men from getting involved in seaweed farming, as it is often associated with women's domestic roles. It is crucial to address these gender norms through community education and advocacy to encourage inclusivity in this livelihood.</w:t>
      </w:r>
    </w:p>
    <w:p w14:paraId="7DE55117" w14:textId="143F6D28" w:rsidR="0073686B" w:rsidRPr="0025609D" w:rsidRDefault="0073686B" w:rsidP="00C25770">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Land Usage</w:t>
      </w:r>
    </w:p>
    <w:p w14:paraId="4F171BF7" w14:textId="77777777" w:rsidR="00ED48E7" w:rsidRPr="00ED48E7"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r w:rsidRPr="00ED48E7">
        <w:rPr>
          <w:rFonts w:asciiTheme="majorHAnsi" w:eastAsia="Times New Roman" w:hAnsiTheme="majorHAnsi" w:cstheme="majorHAnsi"/>
          <w:sz w:val="24"/>
          <w:szCs w:val="24"/>
        </w:rPr>
        <w:lastRenderedPageBreak/>
        <w:t>The data presented in Table 3 shows that 85% of farmers operate on 1 to 2 acres, while only 15% farm on 3 to 4 acres. This indicates limited investment in seaweed farming and potentially low economic returns, contributing to the low participation rate. Most seaweed farmers operating on 1 to 2 acres suggest limited economic viability and scalability. With 85% of farmers on smaller plots, this could reflect economic constraints or perceived risks associated with larger investments.</w:t>
      </w:r>
    </w:p>
    <w:p w14:paraId="4498BEB4" w14:textId="77777777" w:rsidR="00ED48E7" w:rsidRPr="00ED48E7"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r w:rsidRPr="00ED48E7">
        <w:rPr>
          <w:rFonts w:asciiTheme="majorHAnsi" w:eastAsia="Times New Roman" w:hAnsiTheme="majorHAnsi" w:cstheme="majorHAnsi"/>
          <w:sz w:val="24"/>
          <w:szCs w:val="24"/>
        </w:rPr>
        <w:t xml:space="preserve">This finding is consistent with Mbunda and </w:t>
      </w:r>
      <w:proofErr w:type="spellStart"/>
      <w:r w:rsidRPr="00ED48E7">
        <w:rPr>
          <w:rFonts w:asciiTheme="majorHAnsi" w:eastAsia="Times New Roman" w:hAnsiTheme="majorHAnsi" w:cstheme="majorHAnsi"/>
          <w:sz w:val="24"/>
          <w:szCs w:val="24"/>
        </w:rPr>
        <w:t>Ndunguru</w:t>
      </w:r>
      <w:proofErr w:type="spellEnd"/>
      <w:r w:rsidRPr="00ED48E7">
        <w:rPr>
          <w:rFonts w:asciiTheme="majorHAnsi" w:eastAsia="Times New Roman" w:hAnsiTheme="majorHAnsi" w:cstheme="majorHAnsi"/>
          <w:sz w:val="24"/>
          <w:szCs w:val="24"/>
        </w:rPr>
        <w:t xml:space="preserve"> (2024), who observed that small land holdings often result in lower production levels and reduced income potential. They argue that the limited scale of operations can impede the economic sustainability of seaweed farming, leading to a cycle of low investment and participation. Additionally, </w:t>
      </w:r>
      <w:proofErr w:type="spellStart"/>
      <w:r w:rsidRPr="00ED48E7">
        <w:rPr>
          <w:rFonts w:asciiTheme="majorHAnsi" w:eastAsia="Times New Roman" w:hAnsiTheme="majorHAnsi" w:cstheme="majorHAnsi"/>
          <w:sz w:val="24"/>
          <w:szCs w:val="24"/>
        </w:rPr>
        <w:t>Agholoret</w:t>
      </w:r>
      <w:proofErr w:type="spellEnd"/>
      <w:r w:rsidRPr="00ED48E7">
        <w:rPr>
          <w:rFonts w:asciiTheme="majorHAnsi" w:eastAsia="Times New Roman" w:hAnsiTheme="majorHAnsi" w:cstheme="majorHAnsi"/>
          <w:sz w:val="24"/>
          <w:szCs w:val="24"/>
        </w:rPr>
        <w:t xml:space="preserve"> al. (2023) emphasize that smallholder farmers often face challenges in access to markets and resources. This condition makes transitioning from subsistence to more commercially viable farming practices difficult.</w:t>
      </w:r>
    </w:p>
    <w:p w14:paraId="755FE896" w14:textId="4299EF0C" w:rsidR="0073686B" w:rsidRPr="0025609D"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r w:rsidRPr="00ED48E7">
        <w:rPr>
          <w:rFonts w:asciiTheme="majorHAnsi" w:eastAsia="Times New Roman" w:hAnsiTheme="majorHAnsi" w:cstheme="majorHAnsi"/>
          <w:sz w:val="24"/>
          <w:szCs w:val="24"/>
        </w:rPr>
        <w:t>From a livelihood perspective, the limited acreage may indicate low returns, leading men to seek alternative employment in more traditionally masculine sectors like fishing or construction. Efforts to enhance productivity, such as training in better farming techniques, could improve income potential and attract more men to seaweed farming.</w:t>
      </w:r>
    </w:p>
    <w:p w14:paraId="1C812C56" w14:textId="09C2E74A"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Farming Methods</w:t>
      </w:r>
    </w:p>
    <w:p w14:paraId="350B15D6" w14:textId="63B8F934" w:rsidR="00AE4E4A"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r w:rsidRPr="00AE4E4A">
        <w:rPr>
          <w:rFonts w:asciiTheme="majorHAnsi" w:eastAsia="Times New Roman" w:hAnsiTheme="majorHAnsi" w:cstheme="majorHAnsi"/>
          <w:sz w:val="24"/>
          <w:szCs w:val="24"/>
        </w:rPr>
        <w:t xml:space="preserve">The data in Table 3 reveals that all respondents engaged in seaweed farming 100% prefer off-bottom farming methods, indicating a lack of interest in deep-water techniques. The preference for off-bottom farming methods over deep-water techniques in aquaculture can be attributed to several factors, including accessibility, skill levels, and perceptions of feasibility. Farmers often </w:t>
      </w:r>
      <w:r w:rsidR="00BE7273" w:rsidRPr="00AE4E4A">
        <w:rPr>
          <w:rFonts w:asciiTheme="majorHAnsi" w:eastAsia="Times New Roman" w:hAnsiTheme="majorHAnsi" w:cstheme="majorHAnsi"/>
          <w:sz w:val="24"/>
          <w:szCs w:val="24"/>
        </w:rPr>
        <w:t>favour</w:t>
      </w:r>
      <w:r w:rsidRPr="00AE4E4A">
        <w:rPr>
          <w:rFonts w:asciiTheme="majorHAnsi" w:eastAsia="Times New Roman" w:hAnsiTheme="majorHAnsi" w:cstheme="majorHAnsi"/>
          <w:sz w:val="24"/>
          <w:szCs w:val="24"/>
        </w:rPr>
        <w:t xml:space="preserve"> methods that allow for easier management and maintenance, which are typically found in shallower waters. </w:t>
      </w:r>
    </w:p>
    <w:p w14:paraId="34390045" w14:textId="778E9C32" w:rsidR="00AE4E4A" w:rsidRPr="00AE4E4A"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r w:rsidRPr="00AE4E4A">
        <w:rPr>
          <w:rFonts w:asciiTheme="majorHAnsi" w:eastAsia="Times New Roman" w:hAnsiTheme="majorHAnsi" w:cstheme="majorHAnsi"/>
          <w:sz w:val="24"/>
          <w:szCs w:val="24"/>
        </w:rPr>
        <w:t xml:space="preserve">Simone and </w:t>
      </w:r>
      <w:proofErr w:type="spellStart"/>
      <w:r w:rsidRPr="00AE4E4A">
        <w:rPr>
          <w:rFonts w:asciiTheme="majorHAnsi" w:eastAsia="Times New Roman" w:hAnsiTheme="majorHAnsi" w:cstheme="majorHAnsi"/>
          <w:sz w:val="24"/>
          <w:szCs w:val="24"/>
        </w:rPr>
        <w:t>Vopel</w:t>
      </w:r>
      <w:proofErr w:type="spellEnd"/>
      <w:r w:rsidRPr="00AE4E4A">
        <w:rPr>
          <w:rFonts w:asciiTheme="majorHAnsi" w:eastAsia="Times New Roman" w:hAnsiTheme="majorHAnsi" w:cstheme="majorHAnsi"/>
          <w:sz w:val="24"/>
          <w:szCs w:val="24"/>
        </w:rPr>
        <w:t xml:space="preserve"> (2023) supported this, noting that off-bottom farming methods are generally located in coastal areas, making them more accessible for daily operations and maintenance. In addition, (Ibid) identified that the infrastructure in coastal regions supports easier setup and operation of off-bottom systems compared to deep-water farms. Also, the absence of deep-water techniques among local farmers highlights the need for targeted education and training programs to enhance their skill sets. This need is supported by the findings of </w:t>
      </w:r>
      <w:proofErr w:type="spellStart"/>
      <w:r w:rsidRPr="00AE4E4A">
        <w:rPr>
          <w:rFonts w:asciiTheme="majorHAnsi" w:eastAsia="Times New Roman" w:hAnsiTheme="majorHAnsi" w:cstheme="majorHAnsi"/>
          <w:sz w:val="24"/>
          <w:szCs w:val="24"/>
        </w:rPr>
        <w:t>Utonga</w:t>
      </w:r>
      <w:proofErr w:type="spellEnd"/>
      <w:r w:rsidRPr="00AE4E4A">
        <w:rPr>
          <w:rFonts w:asciiTheme="majorHAnsi" w:eastAsia="Times New Roman" w:hAnsiTheme="majorHAnsi" w:cstheme="majorHAnsi"/>
          <w:sz w:val="24"/>
          <w:szCs w:val="24"/>
        </w:rPr>
        <w:t xml:space="preserve"> et al. (2023), which </w:t>
      </w:r>
      <w:r w:rsidRPr="00AE4E4A">
        <w:rPr>
          <w:rFonts w:asciiTheme="majorHAnsi" w:eastAsia="Times New Roman" w:hAnsiTheme="majorHAnsi" w:cstheme="majorHAnsi"/>
          <w:sz w:val="24"/>
          <w:szCs w:val="24"/>
        </w:rPr>
        <w:lastRenderedPageBreak/>
        <w:t>demonstrate a positive relationship between education and the adoption of farming practices. Farmers can explore a wider range of diverse and potentially productive farming methods by improving their education.</w:t>
      </w:r>
    </w:p>
    <w:p w14:paraId="005420A2" w14:textId="09CC2405" w:rsidR="0073686B" w:rsidRPr="0025609D"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r w:rsidRPr="00AE4E4A">
        <w:rPr>
          <w:rFonts w:asciiTheme="majorHAnsi" w:eastAsia="Times New Roman" w:hAnsiTheme="majorHAnsi" w:cstheme="majorHAnsi"/>
          <w:sz w:val="24"/>
          <w:szCs w:val="24"/>
        </w:rPr>
        <w:t>The findings related to farming methods closely align with the Livelihoods Framework, which emphasizes the importance of various assets that individuals utilize to achieve sustainable livelihoods. This framework categorizes these assets into five types: natural, physical, human, financial, and social capital. The preference for off-bottom farming may also relate to economic considerations. Off-bottom farming methods generally require less specialized equipment and technology than deep-water systems. This lower financial barrier can be crucial for farmers with limited resources, allowing them to participate in seaweed farming without incurring significant debt. Access to microfinance and credit facilities can further support farmers in diversifying their farming techniques (Mbunda, 2024) and promote efforts to alleviate poverty (</w:t>
      </w:r>
      <w:proofErr w:type="spellStart"/>
      <w:r w:rsidRPr="00AE4E4A">
        <w:rPr>
          <w:rFonts w:asciiTheme="majorHAnsi" w:eastAsia="Times New Roman" w:hAnsiTheme="majorHAnsi" w:cstheme="majorHAnsi"/>
          <w:sz w:val="24"/>
          <w:szCs w:val="24"/>
        </w:rPr>
        <w:t>Kilamlya</w:t>
      </w:r>
      <w:proofErr w:type="spellEnd"/>
      <w:r w:rsidRPr="00AE4E4A">
        <w:rPr>
          <w:rFonts w:asciiTheme="majorHAnsi" w:eastAsia="Times New Roman" w:hAnsiTheme="majorHAnsi" w:cstheme="majorHAnsi"/>
          <w:sz w:val="24"/>
          <w:szCs w:val="24"/>
        </w:rPr>
        <w:t xml:space="preserve"> &amp; </w:t>
      </w:r>
      <w:proofErr w:type="spellStart"/>
      <w:r w:rsidRPr="00AE4E4A">
        <w:rPr>
          <w:rFonts w:asciiTheme="majorHAnsi" w:eastAsia="Times New Roman" w:hAnsiTheme="majorHAnsi" w:cstheme="majorHAnsi"/>
          <w:sz w:val="24"/>
          <w:szCs w:val="24"/>
        </w:rPr>
        <w:t>Utonga</w:t>
      </w:r>
      <w:proofErr w:type="spellEnd"/>
      <w:r w:rsidRPr="00AE4E4A">
        <w:rPr>
          <w:rFonts w:asciiTheme="majorHAnsi" w:eastAsia="Times New Roman" w:hAnsiTheme="majorHAnsi" w:cstheme="majorHAnsi"/>
          <w:sz w:val="24"/>
          <w:szCs w:val="24"/>
        </w:rPr>
        <w:t>, 2024).</w:t>
      </w:r>
    </w:p>
    <w:p w14:paraId="36748D11" w14:textId="711BD7DC"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Capital and Input Sources</w:t>
      </w:r>
    </w:p>
    <w:p w14:paraId="40F1D36C" w14:textId="77777777" w:rsidR="00FF772A" w:rsidRPr="00FF772A" w:rsidRDefault="00FF772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t xml:space="preserve">The findings presented in Table 3 highlight the predominant reliance on household savings as the primary source of capital for farming, with 61% of respondents indicating this as their main financial resource. In contrast, only 15% receive support from relatives, while 24% utilize microfinance institutions (MFIs) credits. This reliance on personal savings may indicate limited access to external funding sources, which could further constrain the participation and expansion of seaweed farming activities. </w:t>
      </w:r>
    </w:p>
    <w:p w14:paraId="18489CF8" w14:textId="77777777" w:rsidR="00FF772A" w:rsidRPr="00FF772A" w:rsidRDefault="00FF772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t xml:space="preserve">The significant dependence on household savings, coupled with the low support from relatives and MFIs, suggests a lack of access to broader financial resources, a common challenge smallholder farmers face. This lack of access to financing is echoed in previous research. For instance, Mbuga (2019) emphasizes the struggles of small-scale farmers in securing adequate financing, which limits their capacity to invest in more productive farming techniques. Similarly, </w:t>
      </w:r>
      <w:proofErr w:type="spellStart"/>
      <w:r w:rsidRPr="00FF772A">
        <w:rPr>
          <w:rFonts w:asciiTheme="majorHAnsi" w:eastAsia="Times New Roman" w:hAnsiTheme="majorHAnsi" w:cstheme="majorHAnsi"/>
          <w:sz w:val="24"/>
          <w:szCs w:val="24"/>
        </w:rPr>
        <w:t>AfriDev</w:t>
      </w:r>
      <w:proofErr w:type="spellEnd"/>
      <w:r w:rsidRPr="00FF772A">
        <w:rPr>
          <w:rFonts w:asciiTheme="majorHAnsi" w:eastAsia="Times New Roman" w:hAnsiTheme="majorHAnsi" w:cstheme="majorHAnsi"/>
          <w:sz w:val="24"/>
          <w:szCs w:val="24"/>
        </w:rPr>
        <w:t xml:space="preserve"> Economic Consulting Limited (2021) notes that limited access to credit facilities contributes to the underdevelopment of seaweed farming in Zanzibar. This may lead farmers not to afford essential inputs or expand their farms. </w:t>
      </w:r>
    </w:p>
    <w:p w14:paraId="34BA9B8E" w14:textId="77777777" w:rsidR="00FF772A" w:rsidRPr="00FF772A" w:rsidRDefault="00FF772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lastRenderedPageBreak/>
        <w:t>Furthermore, the low percentage of support from relatives and MFIs indicates additional barriers to accessing credit and financial assistance. These barriers may include stringent lending criteria, lack of collateral, and insufficient awareness about available financial products. Financial institutions often hesitate to lend to smallholder farmers due to perceived risks associated with credit defaults and inadequate collateral of these borrowers (Balana &amp; Oyeyemi, 2022; Nadew &amp; Senapathy, 2022). This may lead to underinvestment and stagnation in the productivity and growth of these farmers.</w:t>
      </w:r>
    </w:p>
    <w:p w14:paraId="7157F6F3" w14:textId="0173F75E" w:rsidR="000C259C" w:rsidRPr="0025609D" w:rsidRDefault="006C4A0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t>Analysing</w:t>
      </w:r>
      <w:r w:rsidR="00FF772A" w:rsidRPr="00FF772A">
        <w:rPr>
          <w:rFonts w:asciiTheme="majorHAnsi" w:eastAsia="Times New Roman" w:hAnsiTheme="majorHAnsi" w:cstheme="majorHAnsi"/>
          <w:sz w:val="24"/>
          <w:szCs w:val="24"/>
        </w:rPr>
        <w:t xml:space="preserve"> this situation through the lens of the Livelihoods Framework emphasizes the critical role of various forms of capital in enhancing the sustainability of livelihoods. The heavy reliance on household savings suggests that many farmers face constraints in accessing external funding sources, severely restricting their ability to invest in necessary inputs vital for successful seaweed farming, such as seeds, equipment, and technology. Farmers with limited financial capital may be unable to expand their operations or innovate farming practices, ultimately hindering productivity and income potential (Ashley &amp; Carney, 1999).</w:t>
      </w:r>
    </w:p>
    <w:p w14:paraId="73B89BF8" w14:textId="3209A860" w:rsidR="0073686B" w:rsidRPr="0025609D" w:rsidRDefault="005C2302" w:rsidP="000C259C">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Determinants influencing men's participation in seaweed farming</w:t>
      </w:r>
    </w:p>
    <w:p w14:paraId="48571163" w14:textId="0A19A99B" w:rsidR="00F24B89" w:rsidRPr="0025609D" w:rsidRDefault="00D1042E"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The logistic regression model assesse</w:t>
      </w:r>
      <w:r w:rsidR="006A497A" w:rsidRPr="0025609D">
        <w:rPr>
          <w:rFonts w:asciiTheme="majorHAnsi" w:hAnsiTheme="majorHAnsi" w:cstheme="majorHAnsi"/>
          <w:sz w:val="24"/>
          <w:szCs w:val="24"/>
        </w:rPr>
        <w:t>d</w:t>
      </w:r>
      <w:r w:rsidRPr="0025609D">
        <w:rPr>
          <w:rFonts w:asciiTheme="majorHAnsi" w:hAnsiTheme="majorHAnsi" w:cstheme="majorHAnsi"/>
          <w:sz w:val="24"/>
          <w:szCs w:val="24"/>
        </w:rPr>
        <w:t xml:space="preserve"> the factors influencing men's involvement in seaweed farming in the study area. The model produced a log-likelihood of -82.34, a deviance of 164.68, and an Akaike Information Criterion (AIC) of 174.68. These results suggest that the selected variables effectively capture the landscape of men's participation in seaweed farming.</w:t>
      </w:r>
      <w:r w:rsidR="00992BB1" w:rsidRPr="0025609D">
        <w:rPr>
          <w:rFonts w:asciiTheme="majorHAnsi" w:hAnsiTheme="majorHAnsi" w:cstheme="majorHAnsi"/>
          <w:sz w:val="24"/>
          <w:szCs w:val="24"/>
        </w:rPr>
        <w:t xml:space="preserve"> Results are further presented in Table 4 as follows: -</w:t>
      </w:r>
    </w:p>
    <w:p w14:paraId="6254C14F" w14:textId="77777777" w:rsidR="00992BB1" w:rsidRPr="0025609D" w:rsidRDefault="00992BB1" w:rsidP="00992BB1">
      <w:pPr>
        <w:spacing w:before="240" w:line="360" w:lineRule="auto"/>
        <w:rPr>
          <w:rFonts w:asciiTheme="majorHAnsi" w:hAnsiTheme="majorHAnsi" w:cstheme="majorHAnsi"/>
          <w:b/>
          <w:sz w:val="24"/>
          <w:szCs w:val="24"/>
        </w:rPr>
      </w:pPr>
      <w:r w:rsidRPr="0025609D">
        <w:rPr>
          <w:rFonts w:asciiTheme="majorHAnsi" w:hAnsiTheme="majorHAnsi" w:cstheme="majorHAnsi"/>
          <w:b/>
          <w:sz w:val="24"/>
          <w:szCs w:val="24"/>
        </w:rPr>
        <w:t>Table 4: Logistic Regression Output: Determinants of men's participation in seaweed farming</w:t>
      </w:r>
    </w:p>
    <w:tbl>
      <w:tblPr>
        <w:tblW w:w="5000" w:type="pct"/>
        <w:tblLayout w:type="fixed"/>
        <w:tblLook w:val="04A0" w:firstRow="1" w:lastRow="0" w:firstColumn="1" w:lastColumn="0" w:noHBand="0" w:noVBand="1"/>
      </w:tblPr>
      <w:tblGrid>
        <w:gridCol w:w="1849"/>
        <w:gridCol w:w="1554"/>
        <w:gridCol w:w="992"/>
        <w:gridCol w:w="992"/>
        <w:gridCol w:w="850"/>
        <w:gridCol w:w="852"/>
        <w:gridCol w:w="1037"/>
        <w:gridCol w:w="1234"/>
      </w:tblGrid>
      <w:tr w:rsidR="00CC245A" w:rsidRPr="0025609D" w14:paraId="08A2386B" w14:textId="77777777" w:rsidTr="0004579A">
        <w:trPr>
          <w:trHeight w:val="300"/>
        </w:trPr>
        <w:tc>
          <w:tcPr>
            <w:tcW w:w="987" w:type="pct"/>
            <w:tcBorders>
              <w:top w:val="single" w:sz="4" w:space="0" w:color="auto"/>
              <w:bottom w:val="single" w:sz="4" w:space="0" w:color="auto"/>
            </w:tcBorders>
            <w:shd w:val="clear" w:color="auto" w:fill="auto"/>
            <w:noWrap/>
            <w:vAlign w:val="center"/>
            <w:hideMark/>
          </w:tcPr>
          <w:p w14:paraId="6888E237"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Variable</w:t>
            </w:r>
          </w:p>
        </w:tc>
        <w:tc>
          <w:tcPr>
            <w:tcW w:w="830" w:type="pct"/>
            <w:tcBorders>
              <w:top w:val="single" w:sz="4" w:space="0" w:color="auto"/>
              <w:bottom w:val="single" w:sz="4" w:space="0" w:color="auto"/>
            </w:tcBorders>
            <w:shd w:val="clear" w:color="auto" w:fill="auto"/>
            <w:noWrap/>
            <w:vAlign w:val="center"/>
            <w:hideMark/>
          </w:tcPr>
          <w:p w14:paraId="665B551C"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Coefficient (β)</w:t>
            </w:r>
          </w:p>
        </w:tc>
        <w:tc>
          <w:tcPr>
            <w:tcW w:w="530" w:type="pct"/>
            <w:tcBorders>
              <w:top w:val="single" w:sz="4" w:space="0" w:color="auto"/>
              <w:bottom w:val="single" w:sz="4" w:space="0" w:color="auto"/>
            </w:tcBorders>
            <w:shd w:val="clear" w:color="auto" w:fill="auto"/>
            <w:noWrap/>
            <w:vAlign w:val="center"/>
            <w:hideMark/>
          </w:tcPr>
          <w:p w14:paraId="58DCFA0C"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Std. Error</w:t>
            </w:r>
          </w:p>
        </w:tc>
        <w:tc>
          <w:tcPr>
            <w:tcW w:w="530" w:type="pct"/>
            <w:tcBorders>
              <w:top w:val="single" w:sz="4" w:space="0" w:color="auto"/>
              <w:bottom w:val="single" w:sz="4" w:space="0" w:color="auto"/>
            </w:tcBorders>
            <w:shd w:val="clear" w:color="auto" w:fill="auto"/>
            <w:noWrap/>
            <w:vAlign w:val="center"/>
            <w:hideMark/>
          </w:tcPr>
          <w:p w14:paraId="30718743"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z-Value</w:t>
            </w:r>
          </w:p>
        </w:tc>
        <w:tc>
          <w:tcPr>
            <w:tcW w:w="454" w:type="pct"/>
            <w:tcBorders>
              <w:top w:val="single" w:sz="4" w:space="0" w:color="auto"/>
              <w:bottom w:val="single" w:sz="4" w:space="0" w:color="auto"/>
            </w:tcBorders>
            <w:shd w:val="clear" w:color="auto" w:fill="auto"/>
            <w:noWrap/>
            <w:vAlign w:val="center"/>
            <w:hideMark/>
          </w:tcPr>
          <w:p w14:paraId="0E5ED43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p-Value</w:t>
            </w:r>
          </w:p>
        </w:tc>
        <w:tc>
          <w:tcPr>
            <w:tcW w:w="455" w:type="pct"/>
            <w:tcBorders>
              <w:top w:val="single" w:sz="4" w:space="0" w:color="auto"/>
              <w:bottom w:val="single" w:sz="4" w:space="0" w:color="auto"/>
            </w:tcBorders>
            <w:shd w:val="clear" w:color="auto" w:fill="auto"/>
            <w:noWrap/>
            <w:vAlign w:val="center"/>
            <w:hideMark/>
          </w:tcPr>
          <w:p w14:paraId="66FFB7F0"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Odds Ratio</w:t>
            </w:r>
          </w:p>
        </w:tc>
        <w:tc>
          <w:tcPr>
            <w:tcW w:w="554" w:type="pct"/>
            <w:tcBorders>
              <w:top w:val="single" w:sz="4" w:space="0" w:color="auto"/>
              <w:bottom w:val="single" w:sz="4" w:space="0" w:color="auto"/>
            </w:tcBorders>
            <w:shd w:val="clear" w:color="auto" w:fill="auto"/>
            <w:noWrap/>
            <w:vAlign w:val="center"/>
            <w:hideMark/>
          </w:tcPr>
          <w:p w14:paraId="7B40655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95% CI (Lower)</w:t>
            </w:r>
          </w:p>
        </w:tc>
        <w:tc>
          <w:tcPr>
            <w:tcW w:w="659" w:type="pct"/>
            <w:tcBorders>
              <w:top w:val="single" w:sz="4" w:space="0" w:color="auto"/>
              <w:bottom w:val="single" w:sz="4" w:space="0" w:color="auto"/>
            </w:tcBorders>
            <w:shd w:val="clear" w:color="auto" w:fill="auto"/>
            <w:noWrap/>
            <w:vAlign w:val="center"/>
            <w:hideMark/>
          </w:tcPr>
          <w:p w14:paraId="707D0E80"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95% CI (Upper)</w:t>
            </w:r>
          </w:p>
        </w:tc>
      </w:tr>
      <w:tr w:rsidR="00CC245A" w:rsidRPr="0025609D" w14:paraId="6C718844" w14:textId="77777777" w:rsidTr="0004579A">
        <w:trPr>
          <w:trHeight w:val="300"/>
        </w:trPr>
        <w:tc>
          <w:tcPr>
            <w:tcW w:w="987" w:type="pct"/>
            <w:tcBorders>
              <w:top w:val="single" w:sz="4" w:space="0" w:color="auto"/>
            </w:tcBorders>
            <w:shd w:val="clear" w:color="auto" w:fill="FFFFFF" w:themeFill="background1"/>
            <w:noWrap/>
            <w:vAlign w:val="center"/>
            <w:hideMark/>
          </w:tcPr>
          <w:p w14:paraId="525B1459"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Intercept</w:t>
            </w:r>
          </w:p>
        </w:tc>
        <w:tc>
          <w:tcPr>
            <w:tcW w:w="830" w:type="pct"/>
            <w:tcBorders>
              <w:top w:val="single" w:sz="4" w:space="0" w:color="auto"/>
            </w:tcBorders>
            <w:shd w:val="clear" w:color="auto" w:fill="FFFFFF" w:themeFill="background1"/>
            <w:noWrap/>
            <w:vAlign w:val="center"/>
            <w:hideMark/>
          </w:tcPr>
          <w:p w14:paraId="0B286C02"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-0.65</w:t>
            </w:r>
          </w:p>
        </w:tc>
        <w:tc>
          <w:tcPr>
            <w:tcW w:w="530" w:type="pct"/>
            <w:tcBorders>
              <w:top w:val="single" w:sz="4" w:space="0" w:color="auto"/>
            </w:tcBorders>
            <w:shd w:val="clear" w:color="auto" w:fill="FFFFFF" w:themeFill="background1"/>
            <w:noWrap/>
            <w:vAlign w:val="center"/>
            <w:hideMark/>
          </w:tcPr>
          <w:p w14:paraId="28C43BC1"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0.47</w:t>
            </w:r>
          </w:p>
        </w:tc>
        <w:tc>
          <w:tcPr>
            <w:tcW w:w="530" w:type="pct"/>
            <w:tcBorders>
              <w:top w:val="single" w:sz="4" w:space="0" w:color="auto"/>
            </w:tcBorders>
            <w:shd w:val="clear" w:color="auto" w:fill="FFFFFF" w:themeFill="background1"/>
            <w:noWrap/>
            <w:vAlign w:val="center"/>
            <w:hideMark/>
          </w:tcPr>
          <w:p w14:paraId="0B35295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-1.383</w:t>
            </w:r>
          </w:p>
        </w:tc>
        <w:tc>
          <w:tcPr>
            <w:tcW w:w="454" w:type="pct"/>
            <w:tcBorders>
              <w:top w:val="single" w:sz="4" w:space="0" w:color="auto"/>
            </w:tcBorders>
            <w:shd w:val="clear" w:color="auto" w:fill="FFFFFF" w:themeFill="background1"/>
            <w:noWrap/>
            <w:vAlign w:val="center"/>
            <w:hideMark/>
          </w:tcPr>
          <w:p w14:paraId="117FBA5C"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0.167</w:t>
            </w:r>
          </w:p>
        </w:tc>
        <w:tc>
          <w:tcPr>
            <w:tcW w:w="455" w:type="pct"/>
            <w:tcBorders>
              <w:top w:val="single" w:sz="4" w:space="0" w:color="auto"/>
            </w:tcBorders>
            <w:shd w:val="clear" w:color="auto" w:fill="FFFFFF" w:themeFill="background1"/>
            <w:noWrap/>
            <w:vAlign w:val="center"/>
            <w:hideMark/>
          </w:tcPr>
          <w:p w14:paraId="6C1D2766"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0.52</w:t>
            </w:r>
          </w:p>
        </w:tc>
        <w:tc>
          <w:tcPr>
            <w:tcW w:w="554" w:type="pct"/>
            <w:tcBorders>
              <w:top w:val="single" w:sz="4" w:space="0" w:color="auto"/>
            </w:tcBorders>
            <w:shd w:val="clear" w:color="auto" w:fill="FFFFFF" w:themeFill="background1"/>
            <w:noWrap/>
            <w:vAlign w:val="center"/>
            <w:hideMark/>
          </w:tcPr>
          <w:p w14:paraId="357D54F0"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0.21</w:t>
            </w:r>
          </w:p>
        </w:tc>
        <w:tc>
          <w:tcPr>
            <w:tcW w:w="659" w:type="pct"/>
            <w:tcBorders>
              <w:top w:val="single" w:sz="4" w:space="0" w:color="auto"/>
            </w:tcBorders>
            <w:shd w:val="clear" w:color="auto" w:fill="FFFFFF" w:themeFill="background1"/>
            <w:noWrap/>
            <w:vAlign w:val="center"/>
            <w:hideMark/>
          </w:tcPr>
          <w:p w14:paraId="24304FC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1.29</w:t>
            </w:r>
          </w:p>
        </w:tc>
      </w:tr>
      <w:tr w:rsidR="00CC245A" w:rsidRPr="0025609D" w14:paraId="25592647" w14:textId="77777777" w:rsidTr="0004579A">
        <w:trPr>
          <w:trHeight w:val="300"/>
        </w:trPr>
        <w:tc>
          <w:tcPr>
            <w:tcW w:w="987" w:type="pct"/>
            <w:shd w:val="clear" w:color="auto" w:fill="FFFFFF" w:themeFill="background1"/>
            <w:noWrap/>
            <w:vAlign w:val="center"/>
            <w:hideMark/>
          </w:tcPr>
          <w:p w14:paraId="5A858606"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Education level</w:t>
            </w:r>
          </w:p>
        </w:tc>
        <w:tc>
          <w:tcPr>
            <w:tcW w:w="830" w:type="pct"/>
            <w:shd w:val="clear" w:color="auto" w:fill="FFFFFF" w:themeFill="background1"/>
            <w:noWrap/>
            <w:vAlign w:val="center"/>
            <w:hideMark/>
          </w:tcPr>
          <w:p w14:paraId="4F736E9E"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w:t>
            </w:r>
          </w:p>
        </w:tc>
        <w:tc>
          <w:tcPr>
            <w:tcW w:w="530" w:type="pct"/>
            <w:shd w:val="clear" w:color="auto" w:fill="FFFFFF" w:themeFill="background1"/>
            <w:noWrap/>
            <w:vAlign w:val="center"/>
            <w:hideMark/>
          </w:tcPr>
          <w:p w14:paraId="1A678675"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w:t>
            </w:r>
          </w:p>
        </w:tc>
        <w:tc>
          <w:tcPr>
            <w:tcW w:w="530" w:type="pct"/>
            <w:shd w:val="clear" w:color="auto" w:fill="FFFFFF" w:themeFill="background1"/>
            <w:noWrap/>
            <w:vAlign w:val="center"/>
            <w:hideMark/>
          </w:tcPr>
          <w:p w14:paraId="109DEEEE"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15E3CB53"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0.004</w:t>
            </w:r>
          </w:p>
        </w:tc>
        <w:tc>
          <w:tcPr>
            <w:tcW w:w="455" w:type="pct"/>
            <w:shd w:val="clear" w:color="auto" w:fill="FFFFFF" w:themeFill="background1"/>
            <w:noWrap/>
            <w:vAlign w:val="center"/>
            <w:hideMark/>
          </w:tcPr>
          <w:p w14:paraId="5EFBDEBB"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3.32</w:t>
            </w:r>
          </w:p>
        </w:tc>
        <w:tc>
          <w:tcPr>
            <w:tcW w:w="554" w:type="pct"/>
            <w:shd w:val="clear" w:color="auto" w:fill="FFFFFF" w:themeFill="background1"/>
            <w:noWrap/>
            <w:vAlign w:val="center"/>
            <w:hideMark/>
          </w:tcPr>
          <w:p w14:paraId="7F9C92E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1.57</w:t>
            </w:r>
          </w:p>
        </w:tc>
        <w:tc>
          <w:tcPr>
            <w:tcW w:w="659" w:type="pct"/>
            <w:shd w:val="clear" w:color="auto" w:fill="FFFFFF" w:themeFill="background1"/>
            <w:noWrap/>
            <w:vAlign w:val="center"/>
            <w:hideMark/>
          </w:tcPr>
          <w:p w14:paraId="34BBD7F8"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7.02</w:t>
            </w:r>
          </w:p>
        </w:tc>
      </w:tr>
      <w:tr w:rsidR="00CC245A" w:rsidRPr="0025609D" w14:paraId="5E7623DA" w14:textId="77777777" w:rsidTr="0004579A">
        <w:trPr>
          <w:trHeight w:val="300"/>
        </w:trPr>
        <w:tc>
          <w:tcPr>
            <w:tcW w:w="987" w:type="pct"/>
            <w:shd w:val="clear" w:color="auto" w:fill="FFFFFF" w:themeFill="background1"/>
            <w:noWrap/>
            <w:vAlign w:val="center"/>
            <w:hideMark/>
          </w:tcPr>
          <w:p w14:paraId="681E3BD2"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Household size</w:t>
            </w:r>
          </w:p>
        </w:tc>
        <w:tc>
          <w:tcPr>
            <w:tcW w:w="830" w:type="pct"/>
            <w:shd w:val="clear" w:color="auto" w:fill="FFFFFF" w:themeFill="background1"/>
            <w:noWrap/>
            <w:vAlign w:val="center"/>
            <w:hideMark/>
          </w:tcPr>
          <w:p w14:paraId="6AE9D2CF"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0.9</w:t>
            </w:r>
          </w:p>
        </w:tc>
        <w:tc>
          <w:tcPr>
            <w:tcW w:w="530" w:type="pct"/>
            <w:shd w:val="clear" w:color="auto" w:fill="FFFFFF" w:themeFill="background1"/>
            <w:noWrap/>
            <w:vAlign w:val="center"/>
            <w:hideMark/>
          </w:tcPr>
          <w:p w14:paraId="27494224"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0.35</w:t>
            </w:r>
          </w:p>
        </w:tc>
        <w:tc>
          <w:tcPr>
            <w:tcW w:w="530" w:type="pct"/>
            <w:shd w:val="clear" w:color="auto" w:fill="FFFFFF" w:themeFill="background1"/>
            <w:noWrap/>
            <w:vAlign w:val="center"/>
            <w:hideMark/>
          </w:tcPr>
          <w:p w14:paraId="407B2B2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2.571</w:t>
            </w:r>
          </w:p>
        </w:tc>
        <w:tc>
          <w:tcPr>
            <w:tcW w:w="454" w:type="pct"/>
            <w:shd w:val="clear" w:color="auto" w:fill="FFFFFF" w:themeFill="background1"/>
            <w:noWrap/>
            <w:vAlign w:val="center"/>
            <w:hideMark/>
          </w:tcPr>
          <w:p w14:paraId="503278D7"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0.097</w:t>
            </w:r>
          </w:p>
        </w:tc>
        <w:tc>
          <w:tcPr>
            <w:tcW w:w="455" w:type="pct"/>
            <w:shd w:val="clear" w:color="auto" w:fill="FFFFFF" w:themeFill="background1"/>
            <w:noWrap/>
            <w:vAlign w:val="center"/>
            <w:hideMark/>
          </w:tcPr>
          <w:p w14:paraId="3B52A081"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2.46</w:t>
            </w:r>
          </w:p>
        </w:tc>
        <w:tc>
          <w:tcPr>
            <w:tcW w:w="554" w:type="pct"/>
            <w:shd w:val="clear" w:color="auto" w:fill="FFFFFF" w:themeFill="background1"/>
            <w:noWrap/>
            <w:vAlign w:val="center"/>
            <w:hideMark/>
          </w:tcPr>
          <w:p w14:paraId="6BE44AE1"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1.24</w:t>
            </w:r>
          </w:p>
        </w:tc>
        <w:tc>
          <w:tcPr>
            <w:tcW w:w="659" w:type="pct"/>
            <w:shd w:val="clear" w:color="auto" w:fill="FFFFFF" w:themeFill="background1"/>
            <w:noWrap/>
            <w:vAlign w:val="center"/>
            <w:hideMark/>
          </w:tcPr>
          <w:p w14:paraId="301987A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4.89</w:t>
            </w:r>
          </w:p>
        </w:tc>
      </w:tr>
      <w:tr w:rsidR="00CC245A" w:rsidRPr="0025609D" w14:paraId="545AE8D1" w14:textId="77777777" w:rsidTr="0004579A">
        <w:trPr>
          <w:trHeight w:val="300"/>
        </w:trPr>
        <w:tc>
          <w:tcPr>
            <w:tcW w:w="987" w:type="pct"/>
            <w:shd w:val="clear" w:color="auto" w:fill="FFFFFF" w:themeFill="background1"/>
            <w:noWrap/>
            <w:vAlign w:val="center"/>
            <w:hideMark/>
          </w:tcPr>
          <w:p w14:paraId="754A4AA4"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Price and marketing</w:t>
            </w:r>
          </w:p>
        </w:tc>
        <w:tc>
          <w:tcPr>
            <w:tcW w:w="830" w:type="pct"/>
            <w:shd w:val="clear" w:color="auto" w:fill="FFFFFF" w:themeFill="background1"/>
            <w:noWrap/>
            <w:vAlign w:val="center"/>
            <w:hideMark/>
          </w:tcPr>
          <w:p w14:paraId="3E1E7DB9"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0.75</w:t>
            </w:r>
          </w:p>
        </w:tc>
        <w:tc>
          <w:tcPr>
            <w:tcW w:w="530" w:type="pct"/>
            <w:shd w:val="clear" w:color="auto" w:fill="FFFFFF" w:themeFill="background1"/>
            <w:noWrap/>
            <w:vAlign w:val="center"/>
            <w:hideMark/>
          </w:tcPr>
          <w:p w14:paraId="32C9FDB2"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0.32</w:t>
            </w:r>
          </w:p>
        </w:tc>
        <w:tc>
          <w:tcPr>
            <w:tcW w:w="530" w:type="pct"/>
            <w:shd w:val="clear" w:color="auto" w:fill="FFFFFF" w:themeFill="background1"/>
            <w:noWrap/>
            <w:vAlign w:val="center"/>
            <w:hideMark/>
          </w:tcPr>
          <w:p w14:paraId="0A16673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2.344</w:t>
            </w:r>
          </w:p>
        </w:tc>
        <w:tc>
          <w:tcPr>
            <w:tcW w:w="454" w:type="pct"/>
            <w:shd w:val="clear" w:color="auto" w:fill="FFFFFF" w:themeFill="background1"/>
            <w:noWrap/>
            <w:vAlign w:val="center"/>
            <w:hideMark/>
          </w:tcPr>
          <w:p w14:paraId="188167E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0.000</w:t>
            </w:r>
          </w:p>
        </w:tc>
        <w:tc>
          <w:tcPr>
            <w:tcW w:w="455" w:type="pct"/>
            <w:shd w:val="clear" w:color="auto" w:fill="FFFFFF" w:themeFill="background1"/>
            <w:noWrap/>
            <w:vAlign w:val="center"/>
            <w:hideMark/>
          </w:tcPr>
          <w:p w14:paraId="377B6C4C"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2.12</w:t>
            </w:r>
          </w:p>
        </w:tc>
        <w:tc>
          <w:tcPr>
            <w:tcW w:w="554" w:type="pct"/>
            <w:shd w:val="clear" w:color="auto" w:fill="FFFFFF" w:themeFill="background1"/>
            <w:noWrap/>
            <w:vAlign w:val="center"/>
            <w:hideMark/>
          </w:tcPr>
          <w:p w14:paraId="14F66A9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1.13</w:t>
            </w:r>
          </w:p>
        </w:tc>
        <w:tc>
          <w:tcPr>
            <w:tcW w:w="659" w:type="pct"/>
            <w:shd w:val="clear" w:color="auto" w:fill="FFFFFF" w:themeFill="background1"/>
            <w:noWrap/>
            <w:vAlign w:val="center"/>
            <w:hideMark/>
          </w:tcPr>
          <w:p w14:paraId="4C64DC0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3.97</w:t>
            </w:r>
          </w:p>
        </w:tc>
      </w:tr>
      <w:tr w:rsidR="00CC245A" w:rsidRPr="0025609D" w14:paraId="5B1E553A" w14:textId="77777777" w:rsidTr="0004579A">
        <w:trPr>
          <w:trHeight w:val="89"/>
        </w:trPr>
        <w:tc>
          <w:tcPr>
            <w:tcW w:w="987" w:type="pct"/>
            <w:shd w:val="clear" w:color="auto" w:fill="FFFFFF" w:themeFill="background1"/>
            <w:noWrap/>
            <w:vAlign w:val="center"/>
            <w:hideMark/>
          </w:tcPr>
          <w:p w14:paraId="3EA26AB3"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Input cost</w:t>
            </w:r>
          </w:p>
        </w:tc>
        <w:tc>
          <w:tcPr>
            <w:tcW w:w="830" w:type="pct"/>
            <w:shd w:val="clear" w:color="auto" w:fill="FFFFFF" w:themeFill="background1"/>
            <w:noWrap/>
            <w:vAlign w:val="center"/>
            <w:hideMark/>
          </w:tcPr>
          <w:p w14:paraId="77E42785"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-0.55</w:t>
            </w:r>
          </w:p>
        </w:tc>
        <w:tc>
          <w:tcPr>
            <w:tcW w:w="530" w:type="pct"/>
            <w:shd w:val="clear" w:color="auto" w:fill="FFFFFF" w:themeFill="background1"/>
            <w:noWrap/>
            <w:vAlign w:val="center"/>
            <w:hideMark/>
          </w:tcPr>
          <w:p w14:paraId="06CD18FF"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0.26</w:t>
            </w:r>
          </w:p>
        </w:tc>
        <w:tc>
          <w:tcPr>
            <w:tcW w:w="530" w:type="pct"/>
            <w:shd w:val="clear" w:color="auto" w:fill="FFFFFF" w:themeFill="background1"/>
            <w:noWrap/>
            <w:vAlign w:val="center"/>
            <w:hideMark/>
          </w:tcPr>
          <w:p w14:paraId="0544B5E6"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-2.115</w:t>
            </w:r>
          </w:p>
        </w:tc>
        <w:tc>
          <w:tcPr>
            <w:tcW w:w="454" w:type="pct"/>
            <w:shd w:val="clear" w:color="auto" w:fill="FFFFFF" w:themeFill="background1"/>
            <w:noWrap/>
            <w:vAlign w:val="center"/>
            <w:hideMark/>
          </w:tcPr>
          <w:p w14:paraId="3802E21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0.034</w:t>
            </w:r>
          </w:p>
        </w:tc>
        <w:tc>
          <w:tcPr>
            <w:tcW w:w="455" w:type="pct"/>
            <w:shd w:val="clear" w:color="auto" w:fill="FFFFFF" w:themeFill="background1"/>
            <w:noWrap/>
            <w:vAlign w:val="center"/>
            <w:hideMark/>
          </w:tcPr>
          <w:p w14:paraId="61A771C7"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0.58</w:t>
            </w:r>
          </w:p>
        </w:tc>
        <w:tc>
          <w:tcPr>
            <w:tcW w:w="554" w:type="pct"/>
            <w:shd w:val="clear" w:color="auto" w:fill="FFFFFF" w:themeFill="background1"/>
            <w:noWrap/>
            <w:vAlign w:val="center"/>
            <w:hideMark/>
          </w:tcPr>
          <w:p w14:paraId="6FC4C3B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0.35</w:t>
            </w:r>
          </w:p>
        </w:tc>
        <w:tc>
          <w:tcPr>
            <w:tcW w:w="659" w:type="pct"/>
            <w:shd w:val="clear" w:color="auto" w:fill="FFFFFF" w:themeFill="background1"/>
            <w:noWrap/>
            <w:vAlign w:val="center"/>
            <w:hideMark/>
          </w:tcPr>
          <w:p w14:paraId="6A946CC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0.96</w:t>
            </w:r>
          </w:p>
        </w:tc>
      </w:tr>
      <w:tr w:rsidR="00CC245A" w:rsidRPr="0025609D" w14:paraId="35322990" w14:textId="77777777" w:rsidTr="0004579A">
        <w:trPr>
          <w:trHeight w:val="300"/>
        </w:trPr>
        <w:tc>
          <w:tcPr>
            <w:tcW w:w="987" w:type="pct"/>
            <w:shd w:val="clear" w:color="auto" w:fill="FFFFFF" w:themeFill="background1"/>
            <w:noWrap/>
            <w:vAlign w:val="center"/>
            <w:hideMark/>
          </w:tcPr>
          <w:p w14:paraId="35B875BA"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Labour intensity</w:t>
            </w:r>
          </w:p>
        </w:tc>
        <w:tc>
          <w:tcPr>
            <w:tcW w:w="830" w:type="pct"/>
            <w:shd w:val="clear" w:color="auto" w:fill="FFFFFF" w:themeFill="background1"/>
            <w:noWrap/>
            <w:vAlign w:val="center"/>
            <w:hideMark/>
          </w:tcPr>
          <w:p w14:paraId="00892A61"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0.82</w:t>
            </w:r>
          </w:p>
        </w:tc>
        <w:tc>
          <w:tcPr>
            <w:tcW w:w="530" w:type="pct"/>
            <w:shd w:val="clear" w:color="auto" w:fill="FFFFFF" w:themeFill="background1"/>
            <w:noWrap/>
            <w:vAlign w:val="center"/>
            <w:hideMark/>
          </w:tcPr>
          <w:p w14:paraId="292B7B7E"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0.31</w:t>
            </w:r>
          </w:p>
        </w:tc>
        <w:tc>
          <w:tcPr>
            <w:tcW w:w="530" w:type="pct"/>
            <w:shd w:val="clear" w:color="auto" w:fill="FFFFFF" w:themeFill="background1"/>
            <w:noWrap/>
            <w:vAlign w:val="center"/>
            <w:hideMark/>
          </w:tcPr>
          <w:p w14:paraId="042D69B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2.645</w:t>
            </w:r>
          </w:p>
        </w:tc>
        <w:tc>
          <w:tcPr>
            <w:tcW w:w="454" w:type="pct"/>
            <w:shd w:val="clear" w:color="auto" w:fill="FFFFFF" w:themeFill="background1"/>
            <w:noWrap/>
            <w:vAlign w:val="center"/>
            <w:hideMark/>
          </w:tcPr>
          <w:p w14:paraId="5D3D67C2"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0.146</w:t>
            </w:r>
          </w:p>
        </w:tc>
        <w:tc>
          <w:tcPr>
            <w:tcW w:w="455" w:type="pct"/>
            <w:shd w:val="clear" w:color="auto" w:fill="FFFFFF" w:themeFill="background1"/>
            <w:noWrap/>
            <w:vAlign w:val="center"/>
            <w:hideMark/>
          </w:tcPr>
          <w:p w14:paraId="17C2709B"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2.27</w:t>
            </w:r>
          </w:p>
        </w:tc>
        <w:tc>
          <w:tcPr>
            <w:tcW w:w="554" w:type="pct"/>
            <w:shd w:val="clear" w:color="auto" w:fill="FFFFFF" w:themeFill="background1"/>
            <w:noWrap/>
            <w:vAlign w:val="center"/>
            <w:hideMark/>
          </w:tcPr>
          <w:p w14:paraId="1966B47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1.23</w:t>
            </w:r>
          </w:p>
        </w:tc>
        <w:tc>
          <w:tcPr>
            <w:tcW w:w="659" w:type="pct"/>
            <w:shd w:val="clear" w:color="auto" w:fill="FFFFFF" w:themeFill="background1"/>
            <w:noWrap/>
            <w:vAlign w:val="center"/>
            <w:hideMark/>
          </w:tcPr>
          <w:p w14:paraId="1426F28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4.2</w:t>
            </w:r>
          </w:p>
        </w:tc>
      </w:tr>
      <w:tr w:rsidR="00CC245A" w:rsidRPr="0025609D" w14:paraId="5D95FE2E" w14:textId="77777777" w:rsidTr="0004579A">
        <w:trPr>
          <w:trHeight w:val="300"/>
        </w:trPr>
        <w:tc>
          <w:tcPr>
            <w:tcW w:w="987" w:type="pct"/>
            <w:shd w:val="clear" w:color="auto" w:fill="FFFFFF" w:themeFill="background1"/>
            <w:noWrap/>
            <w:vAlign w:val="center"/>
            <w:hideMark/>
          </w:tcPr>
          <w:p w14:paraId="607145F6"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Harvest period</w:t>
            </w:r>
          </w:p>
        </w:tc>
        <w:tc>
          <w:tcPr>
            <w:tcW w:w="830" w:type="pct"/>
            <w:shd w:val="clear" w:color="auto" w:fill="FFFFFF" w:themeFill="background1"/>
            <w:noWrap/>
            <w:vAlign w:val="center"/>
            <w:hideMark/>
          </w:tcPr>
          <w:p w14:paraId="7495E799"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w:t>
            </w:r>
          </w:p>
        </w:tc>
        <w:tc>
          <w:tcPr>
            <w:tcW w:w="530" w:type="pct"/>
            <w:shd w:val="clear" w:color="auto" w:fill="FFFFFF" w:themeFill="background1"/>
            <w:noWrap/>
            <w:vAlign w:val="center"/>
            <w:hideMark/>
          </w:tcPr>
          <w:p w14:paraId="35E2D4BD"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w:t>
            </w:r>
          </w:p>
        </w:tc>
        <w:tc>
          <w:tcPr>
            <w:tcW w:w="530" w:type="pct"/>
            <w:shd w:val="clear" w:color="auto" w:fill="FFFFFF" w:themeFill="background1"/>
            <w:noWrap/>
            <w:vAlign w:val="center"/>
            <w:hideMark/>
          </w:tcPr>
          <w:p w14:paraId="5A082FC0"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071CB17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0.003</w:t>
            </w:r>
          </w:p>
        </w:tc>
        <w:tc>
          <w:tcPr>
            <w:tcW w:w="455" w:type="pct"/>
            <w:shd w:val="clear" w:color="auto" w:fill="FFFFFF" w:themeFill="background1"/>
            <w:noWrap/>
            <w:vAlign w:val="center"/>
            <w:hideMark/>
          </w:tcPr>
          <w:p w14:paraId="72D0FE77"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3.32</w:t>
            </w:r>
          </w:p>
        </w:tc>
        <w:tc>
          <w:tcPr>
            <w:tcW w:w="554" w:type="pct"/>
            <w:shd w:val="clear" w:color="auto" w:fill="FFFFFF" w:themeFill="background1"/>
            <w:noWrap/>
            <w:vAlign w:val="center"/>
            <w:hideMark/>
          </w:tcPr>
          <w:p w14:paraId="56BF0C1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1.57</w:t>
            </w:r>
          </w:p>
        </w:tc>
        <w:tc>
          <w:tcPr>
            <w:tcW w:w="659" w:type="pct"/>
            <w:shd w:val="clear" w:color="auto" w:fill="FFFFFF" w:themeFill="background1"/>
            <w:noWrap/>
            <w:vAlign w:val="center"/>
            <w:hideMark/>
          </w:tcPr>
          <w:p w14:paraId="7A3EFDA8"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7.02</w:t>
            </w:r>
          </w:p>
        </w:tc>
      </w:tr>
      <w:tr w:rsidR="00CC245A" w:rsidRPr="0025609D" w14:paraId="354D36F6" w14:textId="77777777" w:rsidTr="0004579A">
        <w:trPr>
          <w:trHeight w:val="300"/>
        </w:trPr>
        <w:tc>
          <w:tcPr>
            <w:tcW w:w="987" w:type="pct"/>
            <w:shd w:val="clear" w:color="auto" w:fill="FFFFFF" w:themeFill="background1"/>
            <w:noWrap/>
            <w:vAlign w:val="center"/>
            <w:hideMark/>
          </w:tcPr>
          <w:p w14:paraId="5E451721"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Government support</w:t>
            </w:r>
          </w:p>
        </w:tc>
        <w:tc>
          <w:tcPr>
            <w:tcW w:w="830" w:type="pct"/>
            <w:shd w:val="clear" w:color="auto" w:fill="FFFFFF" w:themeFill="background1"/>
            <w:noWrap/>
            <w:vAlign w:val="center"/>
            <w:hideMark/>
          </w:tcPr>
          <w:p w14:paraId="1B9546D3"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0.045</w:t>
            </w:r>
          </w:p>
        </w:tc>
        <w:tc>
          <w:tcPr>
            <w:tcW w:w="530" w:type="pct"/>
            <w:shd w:val="clear" w:color="auto" w:fill="FFFFFF" w:themeFill="background1"/>
            <w:noWrap/>
            <w:vAlign w:val="center"/>
            <w:hideMark/>
          </w:tcPr>
          <w:p w14:paraId="48CACD77"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0.015</w:t>
            </w:r>
          </w:p>
        </w:tc>
        <w:tc>
          <w:tcPr>
            <w:tcW w:w="530" w:type="pct"/>
            <w:shd w:val="clear" w:color="auto" w:fill="FFFFFF" w:themeFill="background1"/>
            <w:noWrap/>
            <w:vAlign w:val="center"/>
            <w:hideMark/>
          </w:tcPr>
          <w:p w14:paraId="27392CA4"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57726452"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0.066</w:t>
            </w:r>
          </w:p>
        </w:tc>
        <w:tc>
          <w:tcPr>
            <w:tcW w:w="455" w:type="pct"/>
            <w:shd w:val="clear" w:color="auto" w:fill="FFFFFF" w:themeFill="background1"/>
            <w:noWrap/>
            <w:vAlign w:val="center"/>
            <w:hideMark/>
          </w:tcPr>
          <w:p w14:paraId="5A7F8856"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1.05</w:t>
            </w:r>
          </w:p>
        </w:tc>
        <w:tc>
          <w:tcPr>
            <w:tcW w:w="554" w:type="pct"/>
            <w:shd w:val="clear" w:color="auto" w:fill="FFFFFF" w:themeFill="background1"/>
            <w:noWrap/>
            <w:vAlign w:val="center"/>
            <w:hideMark/>
          </w:tcPr>
          <w:p w14:paraId="699E3051"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1.02</w:t>
            </w:r>
          </w:p>
        </w:tc>
        <w:tc>
          <w:tcPr>
            <w:tcW w:w="659" w:type="pct"/>
            <w:shd w:val="clear" w:color="auto" w:fill="FFFFFF" w:themeFill="background1"/>
            <w:noWrap/>
            <w:vAlign w:val="center"/>
            <w:hideMark/>
          </w:tcPr>
          <w:p w14:paraId="74B094E6"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1.08</w:t>
            </w:r>
          </w:p>
        </w:tc>
      </w:tr>
      <w:tr w:rsidR="00CC245A" w:rsidRPr="0025609D" w14:paraId="2F9B405E" w14:textId="77777777" w:rsidTr="0004579A">
        <w:trPr>
          <w:trHeight w:val="300"/>
        </w:trPr>
        <w:tc>
          <w:tcPr>
            <w:tcW w:w="987" w:type="pct"/>
            <w:shd w:val="clear" w:color="auto" w:fill="FFFFFF" w:themeFill="background1"/>
            <w:noWrap/>
            <w:vAlign w:val="center"/>
            <w:hideMark/>
          </w:tcPr>
          <w:p w14:paraId="6E425B7F"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Climate change and health issues</w:t>
            </w:r>
          </w:p>
        </w:tc>
        <w:tc>
          <w:tcPr>
            <w:tcW w:w="830" w:type="pct"/>
            <w:shd w:val="clear" w:color="auto" w:fill="FFFFFF" w:themeFill="background1"/>
            <w:noWrap/>
            <w:vAlign w:val="center"/>
            <w:hideMark/>
          </w:tcPr>
          <w:p w14:paraId="02BD1911"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-0.86</w:t>
            </w:r>
          </w:p>
        </w:tc>
        <w:tc>
          <w:tcPr>
            <w:tcW w:w="530" w:type="pct"/>
            <w:shd w:val="clear" w:color="auto" w:fill="FFFFFF" w:themeFill="background1"/>
            <w:noWrap/>
            <w:vAlign w:val="center"/>
            <w:hideMark/>
          </w:tcPr>
          <w:p w14:paraId="2B775374"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0.001</w:t>
            </w:r>
          </w:p>
        </w:tc>
        <w:tc>
          <w:tcPr>
            <w:tcW w:w="530" w:type="pct"/>
            <w:shd w:val="clear" w:color="auto" w:fill="FFFFFF" w:themeFill="background1"/>
            <w:noWrap/>
            <w:vAlign w:val="center"/>
            <w:hideMark/>
          </w:tcPr>
          <w:p w14:paraId="1BC95E6A"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w:t>
            </w:r>
          </w:p>
        </w:tc>
        <w:tc>
          <w:tcPr>
            <w:tcW w:w="454" w:type="pct"/>
            <w:shd w:val="clear" w:color="auto" w:fill="FFFFFF" w:themeFill="background1"/>
            <w:noWrap/>
            <w:vAlign w:val="center"/>
            <w:hideMark/>
          </w:tcPr>
          <w:p w14:paraId="1737C7C0"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0.000</w:t>
            </w:r>
          </w:p>
        </w:tc>
        <w:tc>
          <w:tcPr>
            <w:tcW w:w="455" w:type="pct"/>
            <w:shd w:val="clear" w:color="auto" w:fill="FFFFFF" w:themeFill="background1"/>
            <w:noWrap/>
            <w:vAlign w:val="center"/>
            <w:hideMark/>
          </w:tcPr>
          <w:p w14:paraId="51F6CFEA"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1.13</w:t>
            </w:r>
          </w:p>
        </w:tc>
        <w:tc>
          <w:tcPr>
            <w:tcW w:w="554" w:type="pct"/>
            <w:shd w:val="clear" w:color="auto" w:fill="FFFFFF" w:themeFill="background1"/>
            <w:noWrap/>
            <w:vAlign w:val="center"/>
            <w:hideMark/>
          </w:tcPr>
          <w:p w14:paraId="0493229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1.00</w:t>
            </w:r>
          </w:p>
        </w:tc>
        <w:tc>
          <w:tcPr>
            <w:tcW w:w="659" w:type="pct"/>
            <w:shd w:val="clear" w:color="auto" w:fill="FFFFFF" w:themeFill="background1"/>
            <w:noWrap/>
            <w:vAlign w:val="center"/>
            <w:hideMark/>
          </w:tcPr>
          <w:p w14:paraId="1BA1F75C"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1.01</w:t>
            </w:r>
          </w:p>
        </w:tc>
      </w:tr>
      <w:tr w:rsidR="00CC245A" w:rsidRPr="0025609D" w14:paraId="69A9F202" w14:textId="77777777" w:rsidTr="0004579A">
        <w:trPr>
          <w:trHeight w:val="300"/>
        </w:trPr>
        <w:tc>
          <w:tcPr>
            <w:tcW w:w="987" w:type="pct"/>
            <w:tcBorders>
              <w:bottom w:val="single" w:sz="4" w:space="0" w:color="auto"/>
            </w:tcBorders>
            <w:shd w:val="clear" w:color="auto" w:fill="auto"/>
            <w:noWrap/>
            <w:vAlign w:val="center"/>
            <w:hideMark/>
          </w:tcPr>
          <w:p w14:paraId="7201159C"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lastRenderedPageBreak/>
              <w:t>Cultural constraint</w:t>
            </w:r>
          </w:p>
        </w:tc>
        <w:tc>
          <w:tcPr>
            <w:tcW w:w="830" w:type="pct"/>
            <w:tcBorders>
              <w:bottom w:val="single" w:sz="4" w:space="0" w:color="auto"/>
            </w:tcBorders>
            <w:shd w:val="clear" w:color="auto" w:fill="auto"/>
            <w:noWrap/>
            <w:vAlign w:val="center"/>
            <w:hideMark/>
          </w:tcPr>
          <w:p w14:paraId="2EA6FC1B"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-0.75</w:t>
            </w:r>
          </w:p>
        </w:tc>
        <w:tc>
          <w:tcPr>
            <w:tcW w:w="530" w:type="pct"/>
            <w:tcBorders>
              <w:bottom w:val="single" w:sz="4" w:space="0" w:color="auto"/>
            </w:tcBorders>
            <w:shd w:val="clear" w:color="auto" w:fill="auto"/>
            <w:noWrap/>
            <w:vAlign w:val="center"/>
            <w:hideMark/>
          </w:tcPr>
          <w:p w14:paraId="57226A27"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0.25</w:t>
            </w:r>
          </w:p>
        </w:tc>
        <w:tc>
          <w:tcPr>
            <w:tcW w:w="530" w:type="pct"/>
            <w:tcBorders>
              <w:bottom w:val="single" w:sz="4" w:space="0" w:color="auto"/>
            </w:tcBorders>
            <w:shd w:val="clear" w:color="auto" w:fill="auto"/>
            <w:noWrap/>
            <w:vAlign w:val="center"/>
            <w:hideMark/>
          </w:tcPr>
          <w:p w14:paraId="5E4F4BE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tcBorders>
              <w:bottom w:val="single" w:sz="4" w:space="0" w:color="auto"/>
            </w:tcBorders>
            <w:shd w:val="clear" w:color="auto" w:fill="auto"/>
            <w:noWrap/>
            <w:vAlign w:val="center"/>
            <w:hideMark/>
          </w:tcPr>
          <w:p w14:paraId="231FF92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0.004</w:t>
            </w:r>
          </w:p>
        </w:tc>
        <w:tc>
          <w:tcPr>
            <w:tcW w:w="455" w:type="pct"/>
            <w:tcBorders>
              <w:bottom w:val="single" w:sz="4" w:space="0" w:color="auto"/>
            </w:tcBorders>
            <w:shd w:val="clear" w:color="auto" w:fill="auto"/>
            <w:noWrap/>
            <w:vAlign w:val="center"/>
            <w:hideMark/>
          </w:tcPr>
          <w:p w14:paraId="1CA5CF91"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2.12</w:t>
            </w:r>
          </w:p>
        </w:tc>
        <w:tc>
          <w:tcPr>
            <w:tcW w:w="554" w:type="pct"/>
            <w:tcBorders>
              <w:bottom w:val="single" w:sz="4" w:space="0" w:color="auto"/>
            </w:tcBorders>
            <w:shd w:val="clear" w:color="auto" w:fill="auto"/>
            <w:noWrap/>
            <w:vAlign w:val="center"/>
            <w:hideMark/>
          </w:tcPr>
          <w:p w14:paraId="2018C053"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1.3</w:t>
            </w:r>
          </w:p>
        </w:tc>
        <w:tc>
          <w:tcPr>
            <w:tcW w:w="659" w:type="pct"/>
            <w:tcBorders>
              <w:bottom w:val="single" w:sz="4" w:space="0" w:color="auto"/>
            </w:tcBorders>
            <w:shd w:val="clear" w:color="auto" w:fill="auto"/>
            <w:noWrap/>
            <w:vAlign w:val="center"/>
            <w:hideMark/>
          </w:tcPr>
          <w:p w14:paraId="7096F10A"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3.48</w:t>
            </w:r>
          </w:p>
        </w:tc>
      </w:tr>
    </w:tbl>
    <w:p w14:paraId="37B62DCA" w14:textId="23720583" w:rsidR="00992BB1" w:rsidRPr="0025609D" w:rsidRDefault="00992BB1" w:rsidP="00D21669">
      <w:pPr>
        <w:shd w:val="clear" w:color="auto" w:fill="FFFFFF" w:themeFill="background1"/>
        <w:spacing w:after="0" w:line="360" w:lineRule="auto"/>
        <w:rPr>
          <w:rFonts w:asciiTheme="majorHAnsi" w:hAnsiTheme="majorHAnsi" w:cstheme="majorHAnsi"/>
          <w:i/>
        </w:rPr>
      </w:pPr>
      <w:r w:rsidRPr="0025609D">
        <w:rPr>
          <w:rFonts w:asciiTheme="majorHAnsi" w:hAnsiTheme="majorHAnsi" w:cstheme="majorHAnsi"/>
          <w:bCs/>
        </w:rPr>
        <w:t xml:space="preserve">Model Statistics: </w:t>
      </w:r>
      <w:r w:rsidRPr="0025609D">
        <w:rPr>
          <w:rFonts w:asciiTheme="majorHAnsi" w:hAnsiTheme="majorHAnsi" w:cstheme="majorHAnsi"/>
          <w:bCs/>
          <w:i/>
        </w:rPr>
        <w:t>Log-likelihood</w:t>
      </w:r>
      <w:r w:rsidRPr="0025609D">
        <w:rPr>
          <w:rFonts w:asciiTheme="majorHAnsi" w:hAnsiTheme="majorHAnsi" w:cstheme="majorHAnsi"/>
          <w:i/>
        </w:rPr>
        <w:t>: -82.34</w:t>
      </w:r>
      <w:r w:rsidRPr="0025609D">
        <w:rPr>
          <w:rFonts w:asciiTheme="majorHAnsi" w:hAnsiTheme="majorHAnsi" w:cstheme="majorHAnsi"/>
          <w:bCs/>
        </w:rPr>
        <w:t xml:space="preserve">, </w:t>
      </w:r>
      <w:r w:rsidRPr="0025609D">
        <w:rPr>
          <w:rFonts w:asciiTheme="majorHAnsi" w:hAnsiTheme="majorHAnsi" w:cstheme="majorHAnsi"/>
          <w:bCs/>
          <w:i/>
        </w:rPr>
        <w:t>Deviance</w:t>
      </w:r>
      <w:r w:rsidRPr="0025609D">
        <w:rPr>
          <w:rFonts w:asciiTheme="majorHAnsi" w:hAnsiTheme="majorHAnsi" w:cstheme="majorHAnsi"/>
          <w:i/>
        </w:rPr>
        <w:t>: 164.68</w:t>
      </w:r>
      <w:r w:rsidRPr="0025609D">
        <w:rPr>
          <w:rFonts w:asciiTheme="majorHAnsi" w:hAnsiTheme="majorHAnsi" w:cstheme="majorHAnsi"/>
          <w:bCs/>
        </w:rPr>
        <w:t xml:space="preserve">, </w:t>
      </w:r>
      <w:r w:rsidRPr="0025609D">
        <w:rPr>
          <w:rFonts w:asciiTheme="majorHAnsi" w:hAnsiTheme="majorHAnsi" w:cstheme="majorHAnsi"/>
          <w:bCs/>
          <w:i/>
        </w:rPr>
        <w:t>AIC</w:t>
      </w:r>
      <w:r w:rsidRPr="0025609D">
        <w:rPr>
          <w:rFonts w:asciiTheme="majorHAnsi" w:hAnsiTheme="majorHAnsi" w:cstheme="majorHAnsi"/>
          <w:i/>
        </w:rPr>
        <w:t>: 174.68</w:t>
      </w:r>
      <w:r w:rsidRPr="0025609D">
        <w:rPr>
          <w:rFonts w:asciiTheme="majorHAnsi" w:hAnsiTheme="majorHAnsi" w:cstheme="majorHAnsi"/>
          <w:bCs/>
        </w:rPr>
        <w:t xml:space="preserve">, </w:t>
      </w:r>
      <w:r w:rsidRPr="0025609D">
        <w:rPr>
          <w:rFonts w:asciiTheme="majorHAnsi" w:hAnsiTheme="majorHAnsi" w:cstheme="majorHAnsi"/>
          <w:bCs/>
          <w:i/>
        </w:rPr>
        <w:t>Number of Observations</w:t>
      </w:r>
      <w:r w:rsidRPr="0025609D">
        <w:rPr>
          <w:rFonts w:asciiTheme="majorHAnsi" w:hAnsiTheme="majorHAnsi" w:cstheme="majorHAnsi"/>
          <w:i/>
        </w:rPr>
        <w:t>: 150</w:t>
      </w:r>
    </w:p>
    <w:p w14:paraId="684A45FC" w14:textId="022A11CB" w:rsidR="00992BB1" w:rsidRPr="0025609D" w:rsidRDefault="00992BB1" w:rsidP="00992BB1">
      <w:pPr>
        <w:shd w:val="clear" w:color="auto" w:fill="FFFFFF" w:themeFill="background1"/>
        <w:spacing w:line="360" w:lineRule="auto"/>
        <w:rPr>
          <w:rFonts w:asciiTheme="majorHAnsi" w:hAnsiTheme="majorHAnsi" w:cstheme="majorHAnsi"/>
          <w:bCs/>
          <w:iCs/>
        </w:rPr>
      </w:pPr>
      <w:r w:rsidRPr="0025609D">
        <w:rPr>
          <w:rFonts w:asciiTheme="majorHAnsi" w:hAnsiTheme="majorHAnsi" w:cstheme="majorHAnsi"/>
          <w:iCs/>
        </w:rPr>
        <w:t>Source: Survey results, 2024</w:t>
      </w:r>
    </w:p>
    <w:p w14:paraId="37870608" w14:textId="2166B70B"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Education Level (β = -1.2, p = 0.004, Odds Ratio = 3.32)</w:t>
      </w:r>
    </w:p>
    <w:p w14:paraId="3097AE53" w14:textId="66319E0C" w:rsidR="001511EA" w:rsidRPr="0025609D" w:rsidRDefault="001511EA" w:rsidP="001511EA">
      <w:pPr>
        <w:spacing w:before="240"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The logistic regression analysis highlights a strong relationship between education level and men's participation in seaweed farming in Zanzibar. The coefficient (β) of -1.2 and a p-value of 0.004 (significant at the 1% level) indicate a statistically significant finding, demonstrating a clear link between higher education levels and the likelihood of participation. The odds ratio of 3.32 suggests that men with higher levels of education are more than three times as likely to engage in seaweed farming as their less-educated counterparts. This finding emphasizes the impact of education on men's involvement in seaweed farming, implying that individuals with lower education levels may lack exposure to the potential benefits of this livelihood and may be constrained by traditional cultural norms.</w:t>
      </w:r>
    </w:p>
    <w:p w14:paraId="2667803C" w14:textId="0B36409C" w:rsidR="001511EA" w:rsidRPr="0025609D" w:rsidRDefault="001511EA" w:rsidP="001511EA">
      <w:pPr>
        <w:spacing w:before="240"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Furthermore, the findings are consistent with previous research highlighting the influence of education on agricultural and livelihood activities. For example, </w:t>
      </w:r>
      <w:proofErr w:type="spellStart"/>
      <w:r w:rsidR="000D43F5" w:rsidRPr="0025609D">
        <w:rPr>
          <w:rFonts w:asciiTheme="majorHAnsi" w:eastAsia="Times New Roman" w:hAnsiTheme="majorHAnsi" w:cstheme="majorHAnsi"/>
          <w:sz w:val="24"/>
          <w:szCs w:val="24"/>
        </w:rPr>
        <w:t>Kilamlya</w:t>
      </w:r>
      <w:proofErr w:type="spellEnd"/>
      <w:r w:rsidR="000D43F5" w:rsidRPr="0025609D">
        <w:rPr>
          <w:rFonts w:asciiTheme="majorHAnsi" w:eastAsia="Times New Roman" w:hAnsiTheme="majorHAnsi" w:cstheme="majorHAnsi"/>
          <w:sz w:val="24"/>
          <w:szCs w:val="24"/>
        </w:rPr>
        <w:t xml:space="preserve"> and </w:t>
      </w:r>
      <w:proofErr w:type="spellStart"/>
      <w:r w:rsidRPr="0025609D">
        <w:rPr>
          <w:rFonts w:asciiTheme="majorHAnsi" w:eastAsia="Times New Roman" w:hAnsiTheme="majorHAnsi" w:cstheme="majorHAnsi"/>
          <w:sz w:val="24"/>
          <w:szCs w:val="24"/>
        </w:rPr>
        <w:t>Utonga</w:t>
      </w:r>
      <w:proofErr w:type="spellEnd"/>
      <w:r w:rsidRPr="0025609D">
        <w:rPr>
          <w:rFonts w:asciiTheme="majorHAnsi" w:eastAsia="Times New Roman" w:hAnsiTheme="majorHAnsi" w:cstheme="majorHAnsi"/>
          <w:sz w:val="24"/>
          <w:szCs w:val="24"/>
        </w:rPr>
        <w:t xml:space="preserve"> (2023) found that education significantly enhances farmers' ability to adopt sustainable agricultural practices in Tanzania, suggesting that educated individuals are better equipped to challenge traditional norms and adapt to evolving economic opportunities. </w:t>
      </w:r>
    </w:p>
    <w:p w14:paraId="6175FC7B" w14:textId="6BAF4A5F" w:rsidR="001511EA" w:rsidRPr="0025609D" w:rsidRDefault="001511EA" w:rsidP="001511EA">
      <w:pPr>
        <w:spacing w:before="240"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These findings also align with the Gender Role Theory, indicating that education empowers individuals to embrace non-traditional gender roles by exposing them to progressive ideas about gender and work. Therefore, education may empower men to break away from cultural norms that traditionally assign them to specific masculine livelihoods, such as fishing or construction, and explore alternative opportunities, such as seaweed farming.</w:t>
      </w:r>
    </w:p>
    <w:p w14:paraId="1A657BB4" w14:textId="3121753F" w:rsidR="0073686B" w:rsidRPr="0025609D" w:rsidRDefault="0073686B" w:rsidP="008E6021">
      <w:pPr>
        <w:spacing w:line="360" w:lineRule="auto"/>
        <w:jc w:val="both"/>
        <w:rPr>
          <w:rFonts w:asciiTheme="majorHAnsi" w:eastAsia="Times New Roman" w:hAnsiTheme="majorHAnsi" w:cstheme="majorHAnsi"/>
          <w:b/>
          <w:sz w:val="24"/>
          <w:szCs w:val="24"/>
        </w:rPr>
      </w:pPr>
      <w:r w:rsidRPr="0025609D">
        <w:rPr>
          <w:rFonts w:asciiTheme="majorHAnsi" w:hAnsiTheme="majorHAnsi" w:cstheme="majorHAnsi"/>
          <w:b/>
          <w:bCs/>
          <w:sz w:val="24"/>
          <w:szCs w:val="24"/>
        </w:rPr>
        <w:t>Price and Marketing (β = 0.75, p = 0.000, Odds Ratio = 2.12)</w:t>
      </w:r>
    </w:p>
    <w:p w14:paraId="2AC730C4" w14:textId="6CD6D9E8"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 xml:space="preserve">The logistic regression analysis indicates that price and marketing access significantly impact men's participation in seaweed farming in Zanzibar. With a coefficient (β) of 0.75 and a p-value of 0.000 (significant at the 0.1% level), this result emphasizes the crucial role of price incentives and market access in encouraging male involvement in the sector. The odds ratio of 2.12 suggests improved </w:t>
      </w:r>
      <w:r w:rsidRPr="002F3400">
        <w:rPr>
          <w:rFonts w:asciiTheme="majorHAnsi" w:hAnsiTheme="majorHAnsi" w:cstheme="majorHAnsi"/>
          <w:sz w:val="24"/>
          <w:szCs w:val="24"/>
        </w:rPr>
        <w:lastRenderedPageBreak/>
        <w:t xml:space="preserve">market access more than doubles the likelihood that men will engage in seaweed farming compared to those with limited or no access to </w:t>
      </w:r>
      <w:r w:rsidR="006C4A0A" w:rsidRPr="002F3400">
        <w:rPr>
          <w:rFonts w:asciiTheme="majorHAnsi" w:hAnsiTheme="majorHAnsi" w:cstheme="majorHAnsi"/>
          <w:sz w:val="24"/>
          <w:szCs w:val="24"/>
        </w:rPr>
        <w:t>favourable</w:t>
      </w:r>
      <w:r w:rsidRPr="002F3400">
        <w:rPr>
          <w:rFonts w:asciiTheme="majorHAnsi" w:hAnsiTheme="majorHAnsi" w:cstheme="majorHAnsi"/>
          <w:sz w:val="24"/>
          <w:szCs w:val="24"/>
        </w:rPr>
        <w:t xml:space="preserve"> market conditions.</w:t>
      </w:r>
    </w:p>
    <w:p w14:paraId="36A690D7" w14:textId="77777777"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 xml:space="preserve">Recent studies further highlight the significant role of market access and pricing in men's engagement in non-traditional livelihood activities like seaweed farming. This is in line with Sari et al. (2023), who noted that the selling prices of dried and wet seaweed are inconsistent, leading to uncertainty in farmers' incomes. In addition, </w:t>
      </w:r>
      <w:proofErr w:type="spellStart"/>
      <w:r w:rsidRPr="002F3400">
        <w:rPr>
          <w:rFonts w:asciiTheme="majorHAnsi" w:hAnsiTheme="majorHAnsi" w:cstheme="majorHAnsi"/>
          <w:sz w:val="24"/>
          <w:szCs w:val="24"/>
        </w:rPr>
        <w:t>Reflin</w:t>
      </w:r>
      <w:proofErr w:type="spellEnd"/>
      <w:r w:rsidRPr="002F3400">
        <w:rPr>
          <w:rFonts w:asciiTheme="majorHAnsi" w:hAnsiTheme="majorHAnsi" w:cstheme="majorHAnsi"/>
          <w:sz w:val="24"/>
          <w:szCs w:val="24"/>
        </w:rPr>
        <w:t xml:space="preserve"> et al. (2023) claim that many farmers are tied to traders who dictate prices, resulting in lower earnings compared to market rates. This landscape may discourage men from participating in seaweed farming.</w:t>
      </w:r>
    </w:p>
    <w:p w14:paraId="4A46EF52" w14:textId="77777777" w:rsid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Within the livelihood framework, market access is a fundamental component of financial capital, directly impacting a livelihood's sustainability. Better access to markets allows seaweed farmers to secure fair prices for their products, thus increasing their overall income and improving their standard of living. Men, who may traditionally focus on occupations like fishing, construction, or agriculture, are more likely to view seaweed farming as lucrative when assured of good market access and competitive prices. This opportunity for higher financial returns incentivizes men to transition into or expand their roles in seaweed farming, diversifying their livelihoods.</w:t>
      </w:r>
    </w:p>
    <w:p w14:paraId="518E32F4" w14:textId="7CD9CAD3" w:rsidR="0073686B" w:rsidRPr="0025609D" w:rsidRDefault="0073686B" w:rsidP="002F3400">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 xml:space="preserve">Input </w:t>
      </w:r>
      <w:r w:rsidRPr="0025609D">
        <w:rPr>
          <w:rFonts w:asciiTheme="majorHAnsi" w:hAnsiTheme="majorHAnsi" w:cstheme="majorHAnsi"/>
          <w:b/>
          <w:bCs/>
          <w:sz w:val="24"/>
          <w:szCs w:val="24"/>
        </w:rPr>
        <w:t>Cost (β = -0.55, p = 0.034, Odds Ratio = 0.58)</w:t>
      </w:r>
    </w:p>
    <w:p w14:paraId="23CEBCDB" w14:textId="77777777"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The logistic regression results show that higher input costs significantly hinder men's participation in seaweed farming. The coefficient (β) is -0.55 with a p-value of 0.034, indicating statistical significance at the 5% level. The odds ratio of 0.58 suggests that increased input costs substantially decrease the likelihood of men engaging in seaweed farming. In particular, a one-unit increase in input costs reduces the odds of participation by approximately 42%, highlighting the negative impact of financial barriers.</w:t>
      </w:r>
    </w:p>
    <w:p w14:paraId="4D2FD7ED" w14:textId="77777777"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 xml:space="preserve">These findings are consistent with other research on the role of input costs as a barrier in agricultural and aquaculture activities, including seaweed farming. For example, Neish and </w:t>
      </w:r>
      <w:proofErr w:type="spellStart"/>
      <w:r w:rsidRPr="002F3400">
        <w:rPr>
          <w:rFonts w:asciiTheme="majorHAnsi" w:hAnsiTheme="majorHAnsi" w:cstheme="majorHAnsi"/>
          <w:sz w:val="24"/>
          <w:szCs w:val="24"/>
        </w:rPr>
        <w:t>Msuya</w:t>
      </w:r>
      <w:proofErr w:type="spellEnd"/>
      <w:r w:rsidRPr="002F3400">
        <w:rPr>
          <w:rFonts w:asciiTheme="majorHAnsi" w:hAnsiTheme="majorHAnsi" w:cstheme="majorHAnsi"/>
          <w:sz w:val="24"/>
          <w:szCs w:val="24"/>
        </w:rPr>
        <w:t xml:space="preserve"> (2020) emphasize that high input costs, such as ropes, stakes, and drying equipment, significantly hinder the expansion of seaweed farming in Zanzibar. These costs often discourage smallholder farmers, particularly men, from participating or scaling up operations. Similarly, the report submitted to the Revolutionary Government of Zanzibar in 2018 depicts that the high costs of essential materials are a major challenge for seaweed farmers, especially those who lack access to affordable inputs. Consequently, limited financial capacity prevents farmers from adopting new </w:t>
      </w:r>
      <w:r w:rsidRPr="002F3400">
        <w:rPr>
          <w:rFonts w:asciiTheme="majorHAnsi" w:hAnsiTheme="majorHAnsi" w:cstheme="majorHAnsi"/>
          <w:sz w:val="24"/>
          <w:szCs w:val="24"/>
        </w:rPr>
        <w:lastRenderedPageBreak/>
        <w:t>techniques or expanding production, which hampers male participation, especially when alternative income-generating activities, such as fishing, require fewer upfront resources.</w:t>
      </w:r>
    </w:p>
    <w:p w14:paraId="67F7CB68" w14:textId="520138BB" w:rsidR="00242CFF" w:rsidRPr="0025609D"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From the perspective of the livelihood’s framework, high input costs restrict access to financial capital, one of the five key assets critical for sustaining livelihoods. Seaweed farming entails various inputs, including ropes, stakes, and drying materials, essential for a successful production. When these costs are high, men may find it difficult to invest the necessary financial resources, particularly if they are already involved in other income-generating activities such as fishing or agriculture. The competing demands on their financial resources make it challenging for men to justify investing in seaweed farming, especially if the anticipated returns are uncertain or modest</w:t>
      </w:r>
      <w:r w:rsidR="00242CFF" w:rsidRPr="0025609D">
        <w:rPr>
          <w:rFonts w:asciiTheme="majorHAnsi" w:hAnsiTheme="majorHAnsi" w:cstheme="majorHAnsi"/>
          <w:sz w:val="24"/>
          <w:szCs w:val="24"/>
        </w:rPr>
        <w:t>.</w:t>
      </w:r>
    </w:p>
    <w:p w14:paraId="164429DC" w14:textId="3F86B15C" w:rsidR="0073686B" w:rsidRPr="0025609D" w:rsidRDefault="0073686B" w:rsidP="008E6021">
      <w:pPr>
        <w:spacing w:line="360" w:lineRule="auto"/>
        <w:jc w:val="both"/>
        <w:rPr>
          <w:rFonts w:asciiTheme="majorHAnsi" w:hAnsiTheme="majorHAnsi" w:cstheme="majorHAnsi"/>
          <w:b/>
          <w:sz w:val="24"/>
          <w:szCs w:val="24"/>
        </w:rPr>
      </w:pPr>
      <w:r w:rsidRPr="0025609D">
        <w:rPr>
          <w:rFonts w:asciiTheme="majorHAnsi" w:hAnsiTheme="majorHAnsi" w:cstheme="majorHAnsi"/>
          <w:b/>
          <w:bCs/>
          <w:sz w:val="24"/>
          <w:szCs w:val="24"/>
        </w:rPr>
        <w:t>Cultural Constraints (β = -0.75, p = 0.004, Odds Ratio = 2.12)</w:t>
      </w:r>
    </w:p>
    <w:p w14:paraId="443D973D" w14:textId="77777777" w:rsidR="00556964" w:rsidRPr="00556964" w:rsidRDefault="00556964" w:rsidP="00556964">
      <w:pPr>
        <w:spacing w:line="360" w:lineRule="auto"/>
        <w:jc w:val="both"/>
        <w:rPr>
          <w:rFonts w:asciiTheme="majorHAnsi" w:hAnsiTheme="majorHAnsi" w:cstheme="majorHAnsi"/>
          <w:sz w:val="24"/>
          <w:szCs w:val="24"/>
        </w:rPr>
      </w:pPr>
      <w:r w:rsidRPr="00556964">
        <w:rPr>
          <w:rFonts w:asciiTheme="majorHAnsi" w:hAnsiTheme="majorHAnsi" w:cstheme="majorHAnsi"/>
          <w:sz w:val="24"/>
          <w:szCs w:val="24"/>
        </w:rPr>
        <w:t xml:space="preserve">The logistic regression analysis results indicate that cultural constraints significantly impact men's participation in seaweed farming in Zanzibar, with a coefficient (β) of -0.75 and a p-value of 0.004, statistically significant at the 1% level. The odds ratio of 2.12 suggests that cultural constraints influence men's engagement in seaweed farming, often doubling the likelihood of their non-participation. This highlights the prevailing perception in Zanzibar that seaweed farming is primarily associated with women's </w:t>
      </w:r>
      <w:proofErr w:type="spellStart"/>
      <w:r w:rsidRPr="00556964">
        <w:rPr>
          <w:rFonts w:asciiTheme="majorHAnsi" w:hAnsiTheme="majorHAnsi" w:cstheme="majorHAnsi"/>
          <w:sz w:val="24"/>
          <w:szCs w:val="24"/>
        </w:rPr>
        <w:t>labor</w:t>
      </w:r>
      <w:proofErr w:type="spellEnd"/>
      <w:r w:rsidRPr="00556964">
        <w:rPr>
          <w:rFonts w:asciiTheme="majorHAnsi" w:hAnsiTheme="majorHAnsi" w:cstheme="majorHAnsi"/>
          <w:sz w:val="24"/>
          <w:szCs w:val="24"/>
        </w:rPr>
        <w:t xml:space="preserve"> and domestic responsibilities, discouraging men from participating due to potential social stigmatization or ridicule for engaging in what is culturally considered "women's work." This perception further reinforces the belief that men should primarily focus on more physically demanding tasks, such as fishing or construction, which are perceived as more masculine pursuits.</w:t>
      </w:r>
    </w:p>
    <w:p w14:paraId="09DFE597" w14:textId="77777777" w:rsidR="00556964" w:rsidRPr="00556964" w:rsidRDefault="00556964" w:rsidP="00556964">
      <w:pPr>
        <w:spacing w:line="360" w:lineRule="auto"/>
        <w:jc w:val="both"/>
        <w:rPr>
          <w:rFonts w:asciiTheme="majorHAnsi" w:hAnsiTheme="majorHAnsi" w:cstheme="majorHAnsi"/>
          <w:sz w:val="24"/>
          <w:szCs w:val="24"/>
        </w:rPr>
      </w:pPr>
      <w:r w:rsidRPr="00556964">
        <w:rPr>
          <w:rFonts w:asciiTheme="majorHAnsi" w:hAnsiTheme="majorHAnsi" w:cstheme="majorHAnsi"/>
          <w:sz w:val="24"/>
          <w:szCs w:val="24"/>
        </w:rPr>
        <w:t xml:space="preserve">These findings align with prior research highlighting the impact of cultural norms on men's participation in sectors traditionally dominated by women. For example, Mbunda (2024) emphasizes that societal perceptions constrain men's involvement in farming, associating it with feminine roles and responsibilities. This leads to stigma when men engage in activities perceived as outside their prescribed gender roles. In addition, Ashurst et al. (2024) identify that seaweed farming in regions like Kwale County, Kenya, is predominantly led by women, reinforcing the notion of it being "women's work." </w:t>
      </w:r>
    </w:p>
    <w:p w14:paraId="3D61FC50" w14:textId="1F006B82" w:rsidR="00E659E7" w:rsidRPr="0025609D" w:rsidRDefault="00556964" w:rsidP="00556964">
      <w:pPr>
        <w:spacing w:line="360" w:lineRule="auto"/>
        <w:jc w:val="both"/>
        <w:rPr>
          <w:rFonts w:asciiTheme="majorHAnsi" w:hAnsiTheme="majorHAnsi" w:cstheme="majorHAnsi"/>
          <w:sz w:val="24"/>
          <w:szCs w:val="24"/>
        </w:rPr>
      </w:pPr>
      <w:r w:rsidRPr="00556964">
        <w:rPr>
          <w:rFonts w:asciiTheme="majorHAnsi" w:hAnsiTheme="majorHAnsi" w:cstheme="majorHAnsi"/>
          <w:sz w:val="24"/>
          <w:szCs w:val="24"/>
        </w:rPr>
        <w:t xml:space="preserve">The Gender Role Theory suggests that cultural norms shape individuals' expectations and </w:t>
      </w:r>
      <w:proofErr w:type="spellStart"/>
      <w:r w:rsidRPr="00556964">
        <w:rPr>
          <w:rFonts w:asciiTheme="majorHAnsi" w:hAnsiTheme="majorHAnsi" w:cstheme="majorHAnsi"/>
          <w:sz w:val="24"/>
          <w:szCs w:val="24"/>
        </w:rPr>
        <w:t>behaviors</w:t>
      </w:r>
      <w:proofErr w:type="spellEnd"/>
      <w:r w:rsidRPr="00556964">
        <w:rPr>
          <w:rFonts w:asciiTheme="majorHAnsi" w:hAnsiTheme="majorHAnsi" w:cstheme="majorHAnsi"/>
          <w:sz w:val="24"/>
          <w:szCs w:val="24"/>
        </w:rPr>
        <w:t xml:space="preserve"> from an early age. In Zanzibar, where seaweed farming is predominantly associated with women's </w:t>
      </w:r>
      <w:proofErr w:type="spellStart"/>
      <w:r w:rsidRPr="00556964">
        <w:rPr>
          <w:rFonts w:asciiTheme="majorHAnsi" w:hAnsiTheme="majorHAnsi" w:cstheme="majorHAnsi"/>
          <w:sz w:val="24"/>
          <w:szCs w:val="24"/>
        </w:rPr>
        <w:t>labor</w:t>
      </w:r>
      <w:proofErr w:type="spellEnd"/>
      <w:r w:rsidRPr="00556964">
        <w:rPr>
          <w:rFonts w:asciiTheme="majorHAnsi" w:hAnsiTheme="majorHAnsi" w:cstheme="majorHAnsi"/>
          <w:sz w:val="24"/>
          <w:szCs w:val="24"/>
        </w:rPr>
        <w:t xml:space="preserve">, men may feel pressured to conform to traditional masculine roles, prioritizing </w:t>
      </w:r>
      <w:r w:rsidRPr="00556964">
        <w:rPr>
          <w:rFonts w:asciiTheme="majorHAnsi" w:hAnsiTheme="majorHAnsi" w:cstheme="majorHAnsi"/>
          <w:sz w:val="24"/>
          <w:szCs w:val="24"/>
        </w:rPr>
        <w:lastRenderedPageBreak/>
        <w:t>more physically demanding tasks like fishing or construction. This socialization process reinforces the belief that engaging in seaweed farming contradicts their identity as men. Research by Connell (2005) supports this, indicating that masculinity is often constructed in opposition to femininity, leading men to avoid activities perceived as "women's work" to maintain their social standing.</w:t>
      </w:r>
    </w:p>
    <w:p w14:paraId="1E6ABA5A" w14:textId="7840131E"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Climate Change and Health Issues (β = -0.86, p = 0.000, Odds Ratio = 1.00)</w:t>
      </w:r>
    </w:p>
    <w:p w14:paraId="43E8C441"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Climate change and health issues are statistically significant (p &lt; 0.001), but the odds ratio 1.00 suggests minimal direct impact on participation. This means that while climate change and health issues are recognized as significant factors, they do not directly influence the likelihood of men participating in seaweed farming. It could imply that, although these factors are critical, they may be overshadowed by more immediate socio-economic barriers, such as education levels or cultural norms.</w:t>
      </w:r>
    </w:p>
    <w:p w14:paraId="53BDC41C"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These findings align with Brierley and Kingsford (2009), who suggested that climate change poses significant threats to marine ecosystems, impacting seaweed growth, distribution, and productivity. Changes in water temperature, salinity, and increased extreme weather events can lead to unstable yields, affecting the economic viability of seaweed farming as a livelihood strategy. Studies have shown that seaweed farming is sensitive to environmental fluctuations, which can deter participation from potential male farmers who prioritize stability in income-generating activities.</w:t>
      </w:r>
    </w:p>
    <w:p w14:paraId="6D7BFFE2" w14:textId="090A5F3A" w:rsidR="0073686B" w:rsidRPr="0025609D"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 xml:space="preserve">Moreover, the Livelihoods Framework posits that sustainable livelihoods are built on five key assets: natural, physical, human, financial, and social capital. Climate change and health issues primarily impact the natural capital—the ecosystems and environmental resources crucial for seaweed farming. Climate change directly threatens marine ecosystems, as Brierley and Kingsford (2009) noted. These changes can destabilize seaweed growth and distribution, leading to fluctuating productivity. Although these environmental challenges are significant, they do not immediately deter participation if other assets are </w:t>
      </w:r>
      <w:r w:rsidR="006C4A0A" w:rsidRPr="00CE4AF1">
        <w:rPr>
          <w:rFonts w:asciiTheme="majorHAnsi" w:hAnsiTheme="majorHAnsi" w:cstheme="majorHAnsi"/>
          <w:sz w:val="24"/>
          <w:szCs w:val="24"/>
        </w:rPr>
        <w:t>favourable</w:t>
      </w:r>
      <w:r w:rsidRPr="00CE4AF1">
        <w:rPr>
          <w:rFonts w:asciiTheme="majorHAnsi" w:hAnsiTheme="majorHAnsi" w:cstheme="majorHAnsi"/>
          <w:sz w:val="24"/>
          <w:szCs w:val="24"/>
        </w:rPr>
        <w:t>.</w:t>
      </w:r>
    </w:p>
    <w:p w14:paraId="2CC563A7" w14:textId="7A47AE7A" w:rsidR="00246088" w:rsidRPr="0025609D" w:rsidRDefault="00246088"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 xml:space="preserve">Harvest </w:t>
      </w:r>
      <w:r w:rsidR="00A13285" w:rsidRPr="0025609D">
        <w:rPr>
          <w:rFonts w:asciiTheme="majorHAnsi" w:hAnsiTheme="majorHAnsi" w:cstheme="majorHAnsi"/>
          <w:b/>
          <w:bCs/>
          <w:sz w:val="24"/>
          <w:szCs w:val="24"/>
        </w:rPr>
        <w:t>Season</w:t>
      </w:r>
      <w:r w:rsidRPr="0025609D">
        <w:rPr>
          <w:rFonts w:asciiTheme="majorHAnsi" w:hAnsiTheme="majorHAnsi" w:cstheme="majorHAnsi"/>
          <w:b/>
          <w:bCs/>
          <w:sz w:val="24"/>
          <w:szCs w:val="24"/>
        </w:rPr>
        <w:t xml:space="preserve"> (β = -1.2, p = 0.003, Odds Ratio = 3.32)</w:t>
      </w:r>
    </w:p>
    <w:p w14:paraId="3C24F619"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 xml:space="preserve">The logistic regression analysis results indicate a significant relationship between the harvest season and men's participation in seaweed farming in Zanzibar. The coefficient (β) of -1.2 and a p-value of 0.003 demonstrate a statistically significant inverse relationship between the harvest </w:t>
      </w:r>
      <w:r w:rsidRPr="00CE4AF1">
        <w:rPr>
          <w:rFonts w:asciiTheme="majorHAnsi" w:hAnsiTheme="majorHAnsi" w:cstheme="majorHAnsi"/>
          <w:sz w:val="24"/>
          <w:szCs w:val="24"/>
        </w:rPr>
        <w:lastRenderedPageBreak/>
        <w:t>season and participation. This indicates that men's likelihood of participating decreases or changes as the harvest season progresses.</w:t>
      </w:r>
    </w:p>
    <w:p w14:paraId="7101E0D1"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 xml:space="preserve">The odds ratio of 3.32 suggests that men are significantly more likely to participate in seaweed farming during specific harvest periods. This negative coefficient implies that factors such as resource availability, market demand, or perceived profitability associated with different times of the year may influence men's participation. These findings are consistent with Fitriana (2017), who noted that men typically adjust their </w:t>
      </w:r>
      <w:proofErr w:type="spellStart"/>
      <w:r w:rsidRPr="00CE4AF1">
        <w:rPr>
          <w:rFonts w:asciiTheme="majorHAnsi" w:hAnsiTheme="majorHAnsi" w:cstheme="majorHAnsi"/>
          <w:sz w:val="24"/>
          <w:szCs w:val="24"/>
        </w:rPr>
        <w:t>labor</w:t>
      </w:r>
      <w:proofErr w:type="spellEnd"/>
      <w:r w:rsidRPr="00CE4AF1">
        <w:rPr>
          <w:rFonts w:asciiTheme="majorHAnsi" w:hAnsiTheme="majorHAnsi" w:cstheme="majorHAnsi"/>
          <w:sz w:val="24"/>
          <w:szCs w:val="24"/>
        </w:rPr>
        <w:t xml:space="preserve"> contributions based on the harvest season, increasing their involvement during peak production times to maximize yields. This influences both their </w:t>
      </w:r>
      <w:proofErr w:type="spellStart"/>
      <w:r w:rsidRPr="00CE4AF1">
        <w:rPr>
          <w:rFonts w:asciiTheme="majorHAnsi" w:hAnsiTheme="majorHAnsi" w:cstheme="majorHAnsi"/>
          <w:sz w:val="24"/>
          <w:szCs w:val="24"/>
        </w:rPr>
        <w:t>labor</w:t>
      </w:r>
      <w:proofErr w:type="spellEnd"/>
      <w:r w:rsidRPr="00CE4AF1">
        <w:rPr>
          <w:rFonts w:asciiTheme="majorHAnsi" w:hAnsiTheme="majorHAnsi" w:cstheme="majorHAnsi"/>
          <w:sz w:val="24"/>
          <w:szCs w:val="24"/>
        </w:rPr>
        <w:t xml:space="preserve"> allocation and decision-making processes.</w:t>
      </w:r>
    </w:p>
    <w:p w14:paraId="58FF7950" w14:textId="469BA280" w:rsidR="007A4ACA" w:rsidRPr="0025609D"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In the livelihood's framework, the harvest season directly affects economic viability. Men who can effectively navigate the seasonality of seaweed farming by understanding when to plant and harvest are more likely to maximize their earnings. This ability to adapt to seasonal variations represents a form of resilience in their livelihood strategies, enabling them to make informed decisions about when to engage in seaweed farming versus pursuing other livelihood options</w:t>
      </w:r>
      <w:r w:rsidR="007A4ACA" w:rsidRPr="0025609D">
        <w:rPr>
          <w:rFonts w:asciiTheme="majorHAnsi" w:hAnsiTheme="majorHAnsi" w:cstheme="majorHAnsi"/>
          <w:sz w:val="24"/>
          <w:szCs w:val="24"/>
        </w:rPr>
        <w:t>.</w:t>
      </w:r>
    </w:p>
    <w:p w14:paraId="491470BF" w14:textId="420BF1F2" w:rsidR="0073686B" w:rsidRPr="0025609D" w:rsidRDefault="00311E0A"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Conclusion and Recommendations</w:t>
      </w:r>
    </w:p>
    <w:p w14:paraId="30361BBD" w14:textId="77777777"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Conclusion</w:t>
      </w:r>
    </w:p>
    <w:p w14:paraId="618300B0" w14:textId="0CAC9A8B" w:rsidR="00EE3C4F" w:rsidRPr="0025609D" w:rsidRDefault="00EE3C4F" w:rsidP="00EE3C4F">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The study found that only 22% of men are involved in seaweed farming due to socio-economic and cultural barriers. This low participation is largely attributed to societal expectations of masculinity and fear of social stigma. Additionally, men tend to operate on small plots, which limits their economic returns and financial resources. Traditional off-bottom farming methods are prevalent among seaweed farmers, and they primarily rely on household savings as their source of capital.</w:t>
      </w:r>
    </w:p>
    <w:p w14:paraId="50CF8898" w14:textId="09EED995" w:rsidR="00EE3C4F" w:rsidRPr="0025609D" w:rsidRDefault="00EE3C4F" w:rsidP="00EE3C4F">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 xml:space="preserve">The study also identified various factors that significantly affect men's participation in seaweed farming in Zanzibar. Factors such as education level and market access were key influencers. However, high input costs, cultural stigma, the lengthy harvest period, and challenges related to climate change and health issues further </w:t>
      </w:r>
      <w:r w:rsidR="00D0696E" w:rsidRPr="0025609D">
        <w:rPr>
          <w:rFonts w:asciiTheme="majorHAnsi" w:hAnsiTheme="majorHAnsi" w:cstheme="majorHAnsi"/>
          <w:bCs/>
          <w:sz w:val="24"/>
          <w:szCs w:val="24"/>
        </w:rPr>
        <w:t>influence</w:t>
      </w:r>
      <w:r w:rsidRPr="0025609D">
        <w:rPr>
          <w:rFonts w:asciiTheme="majorHAnsi" w:hAnsiTheme="majorHAnsi" w:cstheme="majorHAnsi"/>
          <w:bCs/>
          <w:sz w:val="24"/>
          <w:szCs w:val="24"/>
        </w:rPr>
        <w:t xml:space="preserve"> men's participation in </w:t>
      </w:r>
      <w:r w:rsidR="00D0696E" w:rsidRPr="0025609D">
        <w:rPr>
          <w:rFonts w:asciiTheme="majorHAnsi" w:hAnsiTheme="majorHAnsi" w:cstheme="majorHAnsi"/>
          <w:bCs/>
          <w:sz w:val="24"/>
          <w:szCs w:val="24"/>
        </w:rPr>
        <w:t>seaweed farming</w:t>
      </w:r>
      <w:r w:rsidRPr="0025609D">
        <w:rPr>
          <w:rFonts w:asciiTheme="majorHAnsi" w:hAnsiTheme="majorHAnsi" w:cstheme="majorHAnsi"/>
          <w:bCs/>
          <w:sz w:val="24"/>
          <w:szCs w:val="24"/>
        </w:rPr>
        <w:t>.</w:t>
      </w:r>
    </w:p>
    <w:p w14:paraId="078E4919" w14:textId="77777777" w:rsidR="0073686B" w:rsidRPr="0025609D" w:rsidRDefault="0073686B"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Recommendations</w:t>
      </w:r>
    </w:p>
    <w:p w14:paraId="3BA3ACF7" w14:textId="4A0F6EAC" w:rsidR="00D16716" w:rsidRPr="0025609D" w:rsidRDefault="00D16716"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lastRenderedPageBreak/>
        <w:t>Based on this study, it is recommended that stakeholders such as the government, NGOs, FBOs, and individuals implement community awareness campaigns and gender-sensitive programs to challenge cultural norms that frame seaweed farming as "women's work." This can reduce the stigma men face and encourage broader participation. The responsible government ministries should improve market structures and provide better price incentives to increase the profitability of seaweed farming. This could involve connecting farmers to more lucrative markets, stabilizing prices, providing subsidies, affordable inputs, and financial assistance through credit facilities to reduce the high costs associated with seaweed farming. This will help make the sector more attractive and profitable for men. Additionally, it is important to encourage land reforms or initiatives that grant male seaweed farmers access to larger plots of land, enabling them to scale their operations and improve economic returns. Moreover, the long-term impacts of climate change and health issues on seaweed farming should be addressed through sustainable practices and health interventions to safeguard the sector's future.</w:t>
      </w:r>
    </w:p>
    <w:p w14:paraId="0F2A3C45" w14:textId="6CD26274" w:rsidR="005F05DD" w:rsidRPr="005F05DD" w:rsidRDefault="005F05DD" w:rsidP="005F05DD">
      <w:pPr>
        <w:spacing w:line="360" w:lineRule="auto"/>
        <w:jc w:val="both"/>
        <w:rPr>
          <w:rFonts w:asciiTheme="majorHAnsi" w:hAnsiTheme="majorHAnsi" w:cstheme="majorHAnsi"/>
          <w:b/>
          <w:bCs/>
          <w:sz w:val="24"/>
          <w:szCs w:val="24"/>
        </w:rPr>
      </w:pPr>
      <w:r w:rsidRPr="005F05DD">
        <w:rPr>
          <w:rFonts w:asciiTheme="majorHAnsi" w:hAnsiTheme="majorHAnsi" w:cstheme="majorHAnsi"/>
          <w:b/>
          <w:bCs/>
          <w:sz w:val="24"/>
          <w:szCs w:val="24"/>
        </w:rPr>
        <w:t>Data Availability</w:t>
      </w:r>
    </w:p>
    <w:p w14:paraId="63E4183B" w14:textId="6256E4A0" w:rsidR="005F05DD" w:rsidRPr="005F05DD" w:rsidRDefault="005F05DD" w:rsidP="005F05DD">
      <w:pPr>
        <w:spacing w:line="360" w:lineRule="auto"/>
        <w:jc w:val="both"/>
        <w:rPr>
          <w:rFonts w:asciiTheme="majorHAnsi" w:hAnsiTheme="majorHAnsi" w:cstheme="majorHAnsi"/>
          <w:sz w:val="24"/>
          <w:szCs w:val="24"/>
        </w:rPr>
      </w:pPr>
      <w:r w:rsidRPr="005F05DD">
        <w:rPr>
          <w:rFonts w:asciiTheme="majorHAnsi" w:hAnsiTheme="majorHAnsi" w:cstheme="majorHAnsi"/>
          <w:sz w:val="24"/>
          <w:szCs w:val="24"/>
        </w:rPr>
        <w:t>The data supporting the findings of this study are available upon reasonable request from the corresponding author.</w:t>
      </w:r>
    </w:p>
    <w:p w14:paraId="43D4E803" w14:textId="77777777" w:rsidR="00AA11B5" w:rsidRDefault="00AA11B5" w:rsidP="008E6021">
      <w:pPr>
        <w:spacing w:line="360" w:lineRule="auto"/>
        <w:jc w:val="both"/>
        <w:rPr>
          <w:rFonts w:asciiTheme="majorHAnsi" w:hAnsiTheme="majorHAnsi" w:cstheme="majorHAnsi"/>
          <w:b/>
          <w:sz w:val="24"/>
          <w:szCs w:val="24"/>
          <w:lang w:val="pl-PL"/>
        </w:rPr>
      </w:pPr>
    </w:p>
    <w:p w14:paraId="4BEDACE3" w14:textId="786E8AEF" w:rsidR="001A1A7C" w:rsidRPr="005F05DD" w:rsidRDefault="001A1A7C" w:rsidP="008E6021">
      <w:pPr>
        <w:spacing w:line="360" w:lineRule="auto"/>
        <w:jc w:val="both"/>
        <w:rPr>
          <w:rFonts w:asciiTheme="majorHAnsi" w:hAnsiTheme="majorHAnsi" w:cstheme="majorHAnsi"/>
          <w:b/>
          <w:sz w:val="24"/>
          <w:szCs w:val="24"/>
          <w:lang w:val="pl-PL"/>
        </w:rPr>
      </w:pPr>
      <w:r w:rsidRPr="005F05DD">
        <w:rPr>
          <w:rFonts w:asciiTheme="majorHAnsi" w:hAnsiTheme="majorHAnsi" w:cstheme="majorHAnsi"/>
          <w:b/>
          <w:sz w:val="24"/>
          <w:szCs w:val="24"/>
          <w:lang w:val="pl-PL"/>
        </w:rPr>
        <w:t>References</w:t>
      </w:r>
    </w:p>
    <w:p w14:paraId="7A70880D"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lang w:val="pl-PL"/>
        </w:rPr>
        <w:t xml:space="preserve">Abebe, Ejigu., Dereje, Teklemariam. </w:t>
      </w:r>
      <w:r w:rsidRPr="00B84250">
        <w:rPr>
          <w:rFonts w:asciiTheme="majorHAnsi" w:hAnsiTheme="majorHAnsi" w:cstheme="majorHAnsi"/>
          <w:iCs/>
        </w:rPr>
        <w:t xml:space="preserve">(2016). 1. Entrepreneurship Drivers in the Non-farming Sector: Rural-Urban Contrast. </w:t>
      </w:r>
      <w:bookmarkStart w:id="4" w:name="_Hlk180435967"/>
      <w:r w:rsidRPr="00B84250">
        <w:rPr>
          <w:rFonts w:asciiTheme="majorHAnsi" w:hAnsiTheme="majorHAnsi" w:cstheme="majorHAnsi"/>
          <w:iCs/>
        </w:rPr>
        <w:t>https://doi.org/</w:t>
      </w:r>
      <w:bookmarkEnd w:id="4"/>
      <w:r w:rsidRPr="00B84250">
        <w:rPr>
          <w:rFonts w:asciiTheme="majorHAnsi" w:hAnsiTheme="majorHAnsi" w:cstheme="majorHAnsi"/>
          <w:iCs/>
        </w:rPr>
        <w:t>10.4314/EJBE.V6I2.</w:t>
      </w:r>
    </w:p>
    <w:p w14:paraId="4A2045DF"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AfriDev</w:t>
      </w:r>
      <w:proofErr w:type="spellEnd"/>
      <w:r w:rsidRPr="00B84250">
        <w:rPr>
          <w:rFonts w:asciiTheme="majorHAnsi" w:hAnsiTheme="majorHAnsi" w:cstheme="majorHAnsi"/>
        </w:rPr>
        <w:t xml:space="preserve"> Economic Consulting Limited. (2021). </w:t>
      </w:r>
      <w:r w:rsidRPr="00B84250">
        <w:rPr>
          <w:rFonts w:asciiTheme="majorHAnsi" w:hAnsiTheme="majorHAnsi" w:cstheme="majorHAnsi"/>
          <w:i/>
          <w:iCs/>
        </w:rPr>
        <w:t>Baseline and value chain evaluation of seaweed farming in Zanzibar</w:t>
      </w:r>
      <w:r w:rsidRPr="00B84250">
        <w:rPr>
          <w:rFonts w:asciiTheme="majorHAnsi" w:hAnsiTheme="majorHAnsi" w:cstheme="majorHAnsi"/>
        </w:rPr>
        <w:t xml:space="preserve">. Good </w:t>
      </w:r>
      <w:proofErr w:type="spellStart"/>
      <w:r w:rsidRPr="00B84250">
        <w:rPr>
          <w:rFonts w:asciiTheme="majorHAnsi" w:hAnsiTheme="majorHAnsi" w:cstheme="majorHAnsi"/>
        </w:rPr>
        <w:t>Neighbors</w:t>
      </w:r>
      <w:proofErr w:type="spellEnd"/>
      <w:r w:rsidRPr="00B84250">
        <w:rPr>
          <w:rFonts w:asciiTheme="majorHAnsi" w:hAnsiTheme="majorHAnsi" w:cstheme="majorHAnsi"/>
        </w:rPr>
        <w:t xml:space="preserve"> Tanzania.</w:t>
      </w:r>
    </w:p>
    <w:p w14:paraId="53254C4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Agholor, A., </w:t>
      </w:r>
      <w:proofErr w:type="spellStart"/>
      <w:r w:rsidRPr="00B84250">
        <w:rPr>
          <w:rFonts w:asciiTheme="majorHAnsi" w:hAnsiTheme="majorHAnsi" w:cstheme="majorHAnsi"/>
        </w:rPr>
        <w:t>Ogujiuba</w:t>
      </w:r>
      <w:proofErr w:type="spellEnd"/>
      <w:r w:rsidRPr="00B84250">
        <w:rPr>
          <w:rFonts w:asciiTheme="majorHAnsi" w:hAnsiTheme="majorHAnsi" w:cstheme="majorHAnsi"/>
        </w:rPr>
        <w:t xml:space="preserve">, K., &amp; Shongwe, I. (2023). Determinants of small farmers access to agricultural markets in South Africa. </w:t>
      </w:r>
      <w:r w:rsidRPr="00B84250">
        <w:rPr>
          <w:rFonts w:asciiTheme="majorHAnsi" w:hAnsiTheme="majorHAnsi" w:cstheme="majorHAnsi"/>
          <w:i/>
          <w:iCs/>
        </w:rPr>
        <w:t>Agricultural Science and Technology</w:t>
      </w:r>
      <w:r w:rsidRPr="00B84250">
        <w:rPr>
          <w:rFonts w:asciiTheme="majorHAnsi" w:hAnsiTheme="majorHAnsi" w:cstheme="majorHAnsi"/>
        </w:rPr>
        <w:t xml:space="preserve">, </w:t>
      </w:r>
      <w:r w:rsidRPr="00B84250">
        <w:rPr>
          <w:rFonts w:asciiTheme="majorHAnsi" w:hAnsiTheme="majorHAnsi" w:cstheme="majorHAnsi"/>
          <w:i/>
          <w:iCs/>
        </w:rPr>
        <w:t>15</w:t>
      </w:r>
      <w:r w:rsidRPr="00B84250">
        <w:rPr>
          <w:rFonts w:asciiTheme="majorHAnsi" w:hAnsiTheme="majorHAnsi" w:cstheme="majorHAnsi"/>
        </w:rPr>
        <w:t xml:space="preserve">(1), 80–87. </w:t>
      </w:r>
      <w:hyperlink r:id="rId7" w:history="1">
        <w:r w:rsidRPr="00B84250">
          <w:rPr>
            <w:rStyle w:val="Hyperlink"/>
            <w:rFonts w:asciiTheme="majorHAnsi" w:hAnsiTheme="majorHAnsi" w:cstheme="majorHAnsi"/>
            <w:color w:val="auto"/>
          </w:rPr>
          <w:t>https://doi.org/10.15547/ast.2023.01.010</w:t>
        </w:r>
      </w:hyperlink>
      <w:r w:rsidRPr="00B84250">
        <w:rPr>
          <w:rFonts w:asciiTheme="majorHAnsi" w:hAnsiTheme="majorHAnsi" w:cstheme="majorHAnsi"/>
        </w:rPr>
        <w:t>.</w:t>
      </w:r>
    </w:p>
    <w:p w14:paraId="58EB6E6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Apura</w:t>
      </w:r>
      <w:proofErr w:type="spellEnd"/>
      <w:r w:rsidRPr="00B84250">
        <w:rPr>
          <w:rFonts w:asciiTheme="majorHAnsi" w:hAnsiTheme="majorHAnsi" w:cstheme="majorHAnsi"/>
        </w:rPr>
        <w:t xml:space="preserve">, E. L. (2022). The impact of seaweed farming on marital and reproductive role satisfaction. </w:t>
      </w:r>
      <w:r w:rsidRPr="00B84250">
        <w:rPr>
          <w:rFonts w:asciiTheme="majorHAnsi" w:hAnsiTheme="majorHAnsi" w:cstheme="majorHAnsi"/>
          <w:i/>
          <w:iCs/>
        </w:rPr>
        <w:t>International Journal of Science and Management Studies (IJSMS)</w:t>
      </w:r>
      <w:r w:rsidRPr="00B84250">
        <w:rPr>
          <w:rFonts w:asciiTheme="majorHAnsi" w:hAnsiTheme="majorHAnsi" w:cstheme="majorHAnsi"/>
        </w:rPr>
        <w:t xml:space="preserve">, 20–33. </w:t>
      </w:r>
      <w:r w:rsidRPr="00B84250">
        <w:rPr>
          <w:rStyle w:val="url"/>
          <w:rFonts w:asciiTheme="majorHAnsi" w:hAnsiTheme="majorHAnsi" w:cstheme="majorHAnsi"/>
        </w:rPr>
        <w:t>https://doi.org/10.51386/25815946/ijsms-v5i2p103</w:t>
      </w:r>
    </w:p>
    <w:p w14:paraId="5AF7F508"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Ashley, C., &amp; Carney, D. (1999). Sustainable livelihoods: Lessons from early experience. </w:t>
      </w:r>
      <w:r w:rsidRPr="00B84250">
        <w:rPr>
          <w:rFonts w:asciiTheme="majorHAnsi" w:hAnsiTheme="majorHAnsi" w:cstheme="majorHAnsi"/>
          <w:i/>
        </w:rPr>
        <w:t>Department for International Development.</w:t>
      </w:r>
    </w:p>
    <w:p w14:paraId="75801EE7"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Ashurst, J; Onyango, J.; Achieng, G. F.; Ouma, M. D. (2024). Intersectional Development: How Seaweed Farming in Kwale County, Kenya Can Foster Inclusive and Transformational Development. </w:t>
      </w:r>
      <w:r w:rsidRPr="00B84250">
        <w:rPr>
          <w:rFonts w:asciiTheme="majorHAnsi" w:hAnsiTheme="majorHAnsi" w:cstheme="majorHAnsi"/>
          <w:i/>
          <w:iCs/>
        </w:rPr>
        <w:t>Preprints</w:t>
      </w:r>
      <w:r w:rsidRPr="00B84250">
        <w:rPr>
          <w:rFonts w:asciiTheme="majorHAnsi" w:hAnsiTheme="majorHAnsi" w:cstheme="majorHAnsi"/>
          <w:iCs/>
        </w:rPr>
        <w:t xml:space="preserve">, 2024031261. </w:t>
      </w:r>
      <w:hyperlink r:id="rId8" w:history="1">
        <w:r w:rsidRPr="00B84250">
          <w:rPr>
            <w:rStyle w:val="Hyperlink"/>
            <w:rFonts w:asciiTheme="majorHAnsi" w:hAnsiTheme="majorHAnsi" w:cstheme="majorHAnsi"/>
            <w:iCs/>
            <w:color w:val="auto"/>
          </w:rPr>
          <w:t>https://doi.org/10.20944/preprints202403.1261.v1</w:t>
        </w:r>
      </w:hyperlink>
      <w:r w:rsidRPr="00B84250">
        <w:rPr>
          <w:rFonts w:asciiTheme="majorHAnsi" w:hAnsiTheme="majorHAnsi" w:cstheme="majorHAnsi"/>
          <w:iCs/>
        </w:rPr>
        <w:t>.</w:t>
      </w:r>
    </w:p>
    <w:p w14:paraId="4F2E6C71"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Avieli</w:t>
      </w:r>
      <w:proofErr w:type="spellEnd"/>
      <w:r w:rsidRPr="00B84250">
        <w:rPr>
          <w:rFonts w:asciiTheme="majorHAnsi" w:hAnsiTheme="majorHAnsi" w:cstheme="majorHAnsi"/>
        </w:rPr>
        <w:t xml:space="preserve">, N., &amp; </w:t>
      </w:r>
      <w:proofErr w:type="spellStart"/>
      <w:r w:rsidRPr="00B84250">
        <w:rPr>
          <w:rFonts w:asciiTheme="majorHAnsi" w:hAnsiTheme="majorHAnsi" w:cstheme="majorHAnsi"/>
        </w:rPr>
        <w:t>Sermoneta</w:t>
      </w:r>
      <w:proofErr w:type="spellEnd"/>
      <w:r w:rsidRPr="00B84250">
        <w:rPr>
          <w:rFonts w:asciiTheme="majorHAnsi" w:hAnsiTheme="majorHAnsi" w:cstheme="majorHAnsi"/>
        </w:rPr>
        <w:t xml:space="preserve">, T. (2020). Maasai on the phone: materiality, tourism, and the extraordinary in Zanzibar. </w:t>
      </w:r>
      <w:r w:rsidRPr="00B84250">
        <w:rPr>
          <w:rFonts w:asciiTheme="majorHAnsi" w:hAnsiTheme="majorHAnsi" w:cstheme="majorHAnsi"/>
          <w:i/>
          <w:iCs/>
        </w:rPr>
        <w:t>Humanities and Social Sciences Communications</w:t>
      </w:r>
      <w:r w:rsidRPr="00B84250">
        <w:rPr>
          <w:rFonts w:asciiTheme="majorHAnsi" w:hAnsiTheme="majorHAnsi" w:cstheme="majorHAnsi"/>
        </w:rPr>
        <w:t xml:space="preserve">, </w:t>
      </w:r>
      <w:r w:rsidRPr="00B84250">
        <w:rPr>
          <w:rFonts w:asciiTheme="majorHAnsi" w:hAnsiTheme="majorHAnsi" w:cstheme="majorHAnsi"/>
          <w:i/>
          <w:iCs/>
        </w:rPr>
        <w:t>7</w:t>
      </w:r>
      <w:r w:rsidRPr="00B84250">
        <w:rPr>
          <w:rFonts w:asciiTheme="majorHAnsi" w:hAnsiTheme="majorHAnsi" w:cstheme="majorHAnsi"/>
        </w:rPr>
        <w:t xml:space="preserve">(1). </w:t>
      </w:r>
      <w:r w:rsidRPr="00B84250">
        <w:rPr>
          <w:rStyle w:val="url"/>
          <w:rFonts w:asciiTheme="majorHAnsi" w:hAnsiTheme="majorHAnsi" w:cstheme="majorHAnsi"/>
        </w:rPr>
        <w:t>https://doi.org/10.1057/s41599-020-00607-7</w:t>
      </w:r>
    </w:p>
    <w:p w14:paraId="430313E0" w14:textId="77777777" w:rsidR="009F7573" w:rsidRPr="009F7573" w:rsidRDefault="009F7573" w:rsidP="00B84250">
      <w:pPr>
        <w:pStyle w:val="NormalWeb"/>
        <w:numPr>
          <w:ilvl w:val="0"/>
          <w:numId w:val="11"/>
        </w:numPr>
        <w:spacing w:before="0" w:beforeAutospacing="0" w:after="0" w:afterAutospacing="0"/>
        <w:jc w:val="both"/>
        <w:rPr>
          <w:rStyle w:val="url"/>
          <w:rFonts w:asciiTheme="majorHAnsi" w:hAnsiTheme="majorHAnsi" w:cstheme="majorHAnsi"/>
        </w:rPr>
      </w:pPr>
      <w:r w:rsidRPr="009F7573">
        <w:rPr>
          <w:rFonts w:asciiTheme="majorHAnsi" w:hAnsiTheme="majorHAnsi" w:cstheme="majorHAnsi"/>
        </w:rPr>
        <w:lastRenderedPageBreak/>
        <w:t xml:space="preserve">Balana, B. B., &amp; Oyeyemi, M. A. (2022). Agricultural credit constraints in smallholder farming in developing countries: Evidence from Nigeria. </w:t>
      </w:r>
      <w:r w:rsidRPr="009F7573">
        <w:rPr>
          <w:rFonts w:asciiTheme="majorHAnsi" w:hAnsiTheme="majorHAnsi" w:cstheme="majorHAnsi"/>
          <w:i/>
          <w:iCs/>
        </w:rPr>
        <w:t>World Development Sustainability</w:t>
      </w:r>
      <w:r w:rsidRPr="009F7573">
        <w:rPr>
          <w:rFonts w:asciiTheme="majorHAnsi" w:hAnsiTheme="majorHAnsi" w:cstheme="majorHAnsi"/>
        </w:rPr>
        <w:t xml:space="preserve">, </w:t>
      </w:r>
      <w:r w:rsidRPr="009F7573">
        <w:rPr>
          <w:rFonts w:asciiTheme="majorHAnsi" w:hAnsiTheme="majorHAnsi" w:cstheme="majorHAnsi"/>
          <w:i/>
          <w:iCs/>
        </w:rPr>
        <w:t>1</w:t>
      </w:r>
      <w:r w:rsidRPr="009F7573">
        <w:rPr>
          <w:rFonts w:asciiTheme="majorHAnsi" w:hAnsiTheme="majorHAnsi" w:cstheme="majorHAnsi"/>
        </w:rPr>
        <w:t xml:space="preserve">, 100012. </w:t>
      </w:r>
      <w:hyperlink r:id="rId9" w:history="1">
        <w:r w:rsidRPr="009F7573">
          <w:rPr>
            <w:rStyle w:val="Hyperlink"/>
            <w:rFonts w:asciiTheme="majorHAnsi" w:hAnsiTheme="majorHAnsi" w:cstheme="majorHAnsi"/>
            <w:color w:val="auto"/>
          </w:rPr>
          <w:t>https://doi.org/10.1016/j.wds.2022.100012</w:t>
        </w:r>
      </w:hyperlink>
    </w:p>
    <w:p w14:paraId="681E56A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iCs/>
          <w:lang w:val="de-DE"/>
        </w:rPr>
        <w:t xml:space="preserve">Benansio, J. S., Wolff, M., Breckwoldt, A., Jiddawi. </w:t>
      </w:r>
      <w:r w:rsidRPr="00B84250">
        <w:rPr>
          <w:rFonts w:asciiTheme="majorHAnsi" w:hAnsiTheme="majorHAnsi" w:cstheme="majorHAnsi"/>
          <w:iCs/>
        </w:rPr>
        <w:t>N. (2016). Have the fishing communities of Zanzibar Island benefited from increasing tourism development? </w:t>
      </w:r>
      <w:r w:rsidRPr="00B84250">
        <w:rPr>
          <w:rFonts w:asciiTheme="majorHAnsi" w:hAnsiTheme="majorHAnsi" w:cstheme="majorHAnsi"/>
          <w:i/>
          <w:iCs/>
        </w:rPr>
        <w:t>Journal of Development and Agricultural Economics</w:t>
      </w:r>
      <w:r w:rsidRPr="00B84250">
        <w:rPr>
          <w:rFonts w:asciiTheme="majorHAnsi" w:hAnsiTheme="majorHAnsi" w:cstheme="majorHAnsi"/>
          <w:iCs/>
        </w:rPr>
        <w:t>, </w:t>
      </w:r>
      <w:r w:rsidRPr="00B84250">
        <w:rPr>
          <w:rFonts w:asciiTheme="majorHAnsi" w:hAnsiTheme="majorHAnsi" w:cstheme="majorHAnsi"/>
          <w:i/>
          <w:iCs/>
        </w:rPr>
        <w:t>8</w:t>
      </w:r>
      <w:r w:rsidRPr="00B84250">
        <w:rPr>
          <w:rFonts w:asciiTheme="majorHAnsi" w:hAnsiTheme="majorHAnsi" w:cstheme="majorHAnsi"/>
          <w:iCs/>
        </w:rPr>
        <w:t>(5), 95–107. </w:t>
      </w:r>
      <w:hyperlink r:id="rId10" w:history="1">
        <w:r w:rsidRPr="00B84250">
          <w:rPr>
            <w:rStyle w:val="Hyperlink"/>
            <w:rFonts w:asciiTheme="majorHAnsi" w:hAnsiTheme="majorHAnsi" w:cstheme="majorHAnsi"/>
            <w:iCs/>
            <w:color w:val="auto"/>
          </w:rPr>
          <w:t>https://doi.org/10.5897/jdae2016.0727</w:t>
        </w:r>
      </w:hyperlink>
      <w:r w:rsidRPr="00B84250">
        <w:rPr>
          <w:rFonts w:asciiTheme="majorHAnsi" w:hAnsiTheme="majorHAnsi" w:cstheme="majorHAnsi"/>
          <w:iCs/>
        </w:rPr>
        <w:t>.</w:t>
      </w:r>
    </w:p>
    <w:p w14:paraId="6EEE720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lang w:val="de-DE"/>
        </w:rPr>
        <w:t xml:space="preserve">Brierley, A. S., &amp; Kingsford, M. J. (2009). </w:t>
      </w:r>
      <w:r w:rsidRPr="00B84250">
        <w:rPr>
          <w:rFonts w:asciiTheme="majorHAnsi" w:hAnsiTheme="majorHAnsi" w:cstheme="majorHAnsi"/>
        </w:rPr>
        <w:t xml:space="preserve">Impacts of Climate Change on Marine Organisms and Ecosystems. </w:t>
      </w:r>
      <w:r w:rsidRPr="00B84250">
        <w:rPr>
          <w:rFonts w:asciiTheme="majorHAnsi" w:hAnsiTheme="majorHAnsi" w:cstheme="majorHAnsi"/>
          <w:i/>
          <w:iCs/>
        </w:rPr>
        <w:t>Current Biology</w:t>
      </w:r>
      <w:r w:rsidRPr="00B84250">
        <w:rPr>
          <w:rFonts w:asciiTheme="majorHAnsi" w:hAnsiTheme="majorHAnsi" w:cstheme="majorHAnsi"/>
        </w:rPr>
        <w:t xml:space="preserve">, </w:t>
      </w:r>
      <w:r w:rsidRPr="00B84250">
        <w:rPr>
          <w:rFonts w:asciiTheme="majorHAnsi" w:hAnsiTheme="majorHAnsi" w:cstheme="majorHAnsi"/>
          <w:i/>
          <w:iCs/>
        </w:rPr>
        <w:t>19</w:t>
      </w:r>
      <w:r w:rsidRPr="00B84250">
        <w:rPr>
          <w:rFonts w:asciiTheme="majorHAnsi" w:hAnsiTheme="majorHAnsi" w:cstheme="majorHAnsi"/>
        </w:rPr>
        <w:t xml:space="preserve">(14), R602–R614. </w:t>
      </w:r>
      <w:r w:rsidRPr="00B84250">
        <w:rPr>
          <w:rStyle w:val="url"/>
          <w:rFonts w:asciiTheme="majorHAnsi" w:hAnsiTheme="majorHAnsi" w:cstheme="majorHAnsi"/>
        </w:rPr>
        <w:t>https://doi.org/10.1016/j.cub.2009.05.046</w:t>
      </w:r>
    </w:p>
    <w:p w14:paraId="4C991C9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Brugere</w:t>
      </w:r>
      <w:proofErr w:type="spellEnd"/>
      <w:r w:rsidRPr="00B84250">
        <w:rPr>
          <w:rFonts w:asciiTheme="majorHAnsi" w:hAnsiTheme="majorHAnsi" w:cstheme="majorHAnsi"/>
          <w:iCs/>
        </w:rPr>
        <w:t xml:space="preserve">, C., </w:t>
      </w:r>
      <w:proofErr w:type="spellStart"/>
      <w:r w:rsidRPr="00B84250">
        <w:rPr>
          <w:rFonts w:asciiTheme="majorHAnsi" w:hAnsiTheme="majorHAnsi" w:cstheme="majorHAnsi"/>
          <w:iCs/>
        </w:rPr>
        <w:t>Msuya</w:t>
      </w:r>
      <w:proofErr w:type="spellEnd"/>
      <w:r w:rsidRPr="00B84250">
        <w:rPr>
          <w:rFonts w:asciiTheme="majorHAnsi" w:hAnsiTheme="majorHAnsi" w:cstheme="majorHAnsi"/>
          <w:iCs/>
        </w:rPr>
        <w:t xml:space="preserve">, F. E., </w:t>
      </w:r>
      <w:proofErr w:type="spellStart"/>
      <w:r w:rsidRPr="00B84250">
        <w:rPr>
          <w:rFonts w:asciiTheme="majorHAnsi" w:hAnsiTheme="majorHAnsi" w:cstheme="majorHAnsi"/>
          <w:iCs/>
        </w:rPr>
        <w:t>Jiddawi</w:t>
      </w:r>
      <w:proofErr w:type="spellEnd"/>
      <w:r w:rsidRPr="00B84250">
        <w:rPr>
          <w:rFonts w:asciiTheme="majorHAnsi" w:hAnsiTheme="majorHAnsi" w:cstheme="majorHAnsi"/>
          <w:iCs/>
        </w:rPr>
        <w:t xml:space="preserve">, N., </w:t>
      </w:r>
      <w:proofErr w:type="spellStart"/>
      <w:r w:rsidRPr="00B84250">
        <w:rPr>
          <w:rFonts w:asciiTheme="majorHAnsi" w:hAnsiTheme="majorHAnsi" w:cstheme="majorHAnsi"/>
          <w:iCs/>
        </w:rPr>
        <w:t>Nyonje</w:t>
      </w:r>
      <w:proofErr w:type="spellEnd"/>
      <w:r w:rsidRPr="00B84250">
        <w:rPr>
          <w:rFonts w:asciiTheme="majorHAnsi" w:hAnsiTheme="majorHAnsi" w:cstheme="majorHAnsi"/>
          <w:iCs/>
        </w:rPr>
        <w:t xml:space="preserve">, B., &amp; Maly, R. (2020). Can innovation empower? Reflections on introducing tubular nets to women seaweed farmers in Zanzibar. </w:t>
      </w:r>
      <w:r w:rsidRPr="00B84250">
        <w:rPr>
          <w:rFonts w:asciiTheme="majorHAnsi" w:hAnsiTheme="majorHAnsi" w:cstheme="majorHAnsi"/>
          <w:i/>
        </w:rPr>
        <w:t>Gender Technology and Development</w:t>
      </w:r>
      <w:r w:rsidRPr="00B84250">
        <w:rPr>
          <w:rFonts w:asciiTheme="majorHAnsi" w:hAnsiTheme="majorHAnsi" w:cstheme="majorHAnsi"/>
          <w:iCs/>
        </w:rPr>
        <w:t xml:space="preserve">, 24(1), 89–109. </w:t>
      </w:r>
      <w:hyperlink r:id="rId11" w:history="1">
        <w:r w:rsidRPr="00B84250">
          <w:rPr>
            <w:rStyle w:val="Hyperlink"/>
            <w:rFonts w:asciiTheme="majorHAnsi" w:hAnsiTheme="majorHAnsi" w:cstheme="majorHAnsi"/>
            <w:iCs/>
            <w:color w:val="auto"/>
          </w:rPr>
          <w:t>https://doi.org/10.1080/09718524.2019.1695307</w:t>
        </w:r>
      </w:hyperlink>
      <w:r w:rsidRPr="00B84250">
        <w:rPr>
          <w:rFonts w:asciiTheme="majorHAnsi" w:hAnsiTheme="majorHAnsi" w:cstheme="majorHAnsi"/>
          <w:iCs/>
        </w:rPr>
        <w:t>.</w:t>
      </w:r>
    </w:p>
    <w:p w14:paraId="28EB4AA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Connell, R. W. (2005). Masculinities (2nd ed.). </w:t>
      </w:r>
      <w:r w:rsidRPr="00B84250">
        <w:rPr>
          <w:rFonts w:asciiTheme="majorHAnsi" w:hAnsiTheme="majorHAnsi" w:cstheme="majorHAnsi"/>
          <w:i/>
        </w:rPr>
        <w:t>University of California Press</w:t>
      </w:r>
      <w:r w:rsidRPr="00B84250">
        <w:rPr>
          <w:rFonts w:asciiTheme="majorHAnsi" w:hAnsiTheme="majorHAnsi" w:cstheme="majorHAnsi"/>
          <w:iCs/>
        </w:rPr>
        <w:t>.</w:t>
      </w:r>
    </w:p>
    <w:p w14:paraId="659B315E"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lang w:val="de-DE"/>
        </w:rPr>
        <w:t xml:space="preserve">Croft, A., Schmader, T., &amp; Block, K. (2015). </w:t>
      </w:r>
      <w:r w:rsidRPr="00B84250">
        <w:rPr>
          <w:rFonts w:asciiTheme="majorHAnsi" w:hAnsiTheme="majorHAnsi" w:cstheme="majorHAnsi"/>
        </w:rPr>
        <w:t xml:space="preserve">An underexamined inequality. </w:t>
      </w:r>
      <w:r w:rsidRPr="00B84250">
        <w:rPr>
          <w:rFonts w:asciiTheme="majorHAnsi" w:hAnsiTheme="majorHAnsi" w:cstheme="majorHAnsi"/>
          <w:i/>
          <w:iCs/>
        </w:rPr>
        <w:t>Personality and Social Psychology Review</w:t>
      </w:r>
      <w:r w:rsidRPr="00B84250">
        <w:rPr>
          <w:rFonts w:asciiTheme="majorHAnsi" w:hAnsiTheme="majorHAnsi" w:cstheme="majorHAnsi"/>
        </w:rPr>
        <w:t xml:space="preserve">, </w:t>
      </w:r>
      <w:r w:rsidRPr="00B84250">
        <w:rPr>
          <w:rFonts w:asciiTheme="majorHAnsi" w:hAnsiTheme="majorHAnsi" w:cstheme="majorHAnsi"/>
          <w:i/>
          <w:iCs/>
        </w:rPr>
        <w:t>19</w:t>
      </w:r>
      <w:r w:rsidRPr="00B84250">
        <w:rPr>
          <w:rFonts w:asciiTheme="majorHAnsi" w:hAnsiTheme="majorHAnsi" w:cstheme="majorHAnsi"/>
        </w:rPr>
        <w:t xml:space="preserve">(4), 343–370. </w:t>
      </w:r>
      <w:r w:rsidRPr="00B84250">
        <w:rPr>
          <w:rStyle w:val="url"/>
          <w:rFonts w:asciiTheme="majorHAnsi" w:hAnsiTheme="majorHAnsi" w:cstheme="majorHAnsi"/>
        </w:rPr>
        <w:t>https://doi.org/10.1177/1088868314564789.</w:t>
      </w:r>
    </w:p>
    <w:p w14:paraId="0DC1E168"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FAO, (2014). Youth and agriculture key challenges and concrete solutions. </w:t>
      </w:r>
      <w:r w:rsidRPr="00B84250">
        <w:rPr>
          <w:rFonts w:asciiTheme="majorHAnsi" w:hAnsiTheme="majorHAnsi" w:cstheme="majorHAnsi"/>
          <w:i/>
          <w:iCs/>
        </w:rPr>
        <w:t>The Food and Agriculture Organization of the United Nations (FAO), in collaboration with the Technical Centre for Agricultural and Rural Cooperation (CTA) and the International Fund for Agricultural Development (IFAD)</w:t>
      </w:r>
      <w:r w:rsidRPr="00B84250">
        <w:rPr>
          <w:rFonts w:asciiTheme="majorHAnsi" w:hAnsiTheme="majorHAnsi" w:cstheme="majorHAnsi"/>
        </w:rPr>
        <w:t>.</w:t>
      </w:r>
    </w:p>
    <w:p w14:paraId="61F108BA"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Fitriana, R. (2017). Gendered Participation in Seaweed Production - Examples from Indonesia. </w:t>
      </w:r>
      <w:r w:rsidRPr="00B84250">
        <w:rPr>
          <w:rFonts w:asciiTheme="majorHAnsi" w:hAnsiTheme="majorHAnsi" w:cstheme="majorHAnsi"/>
          <w:i/>
          <w:iCs/>
        </w:rPr>
        <w:t>Asian Fisheries Science</w:t>
      </w:r>
      <w:r w:rsidRPr="00B84250">
        <w:rPr>
          <w:rFonts w:asciiTheme="majorHAnsi" w:hAnsiTheme="majorHAnsi" w:cstheme="majorHAnsi"/>
        </w:rPr>
        <w:t xml:space="preserve">, </w:t>
      </w:r>
      <w:r w:rsidRPr="00B84250">
        <w:rPr>
          <w:rFonts w:asciiTheme="majorHAnsi" w:hAnsiTheme="majorHAnsi" w:cstheme="majorHAnsi"/>
          <w:i/>
          <w:iCs/>
        </w:rPr>
        <w:t>30S</w:t>
      </w:r>
      <w:r w:rsidRPr="00B84250">
        <w:rPr>
          <w:rFonts w:asciiTheme="majorHAnsi" w:hAnsiTheme="majorHAnsi" w:cstheme="majorHAnsi"/>
        </w:rPr>
        <w:t xml:space="preserve">. </w:t>
      </w:r>
      <w:r w:rsidRPr="00B84250">
        <w:rPr>
          <w:rStyle w:val="url"/>
          <w:rFonts w:asciiTheme="majorHAnsi" w:hAnsiTheme="majorHAnsi" w:cstheme="majorHAnsi"/>
        </w:rPr>
        <w:t>https://doi.org/10.33997/j.afs.2017.30.s1.013.</w:t>
      </w:r>
    </w:p>
    <w:p w14:paraId="76E8BF61"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lang w:val="it-IT"/>
        </w:rPr>
      </w:pPr>
      <w:r w:rsidRPr="00B84250">
        <w:rPr>
          <w:rFonts w:asciiTheme="majorHAnsi" w:hAnsiTheme="majorHAnsi" w:cstheme="majorHAnsi"/>
          <w:lang w:val="it-IT"/>
        </w:rPr>
        <w:t xml:space="preserve">Fröcklin, S., De La Torre-Castro, M., Lindström, L., &amp; Jiddawi, N. S. (2013). </w:t>
      </w:r>
      <w:r w:rsidRPr="00B84250">
        <w:rPr>
          <w:rFonts w:asciiTheme="majorHAnsi" w:hAnsiTheme="majorHAnsi" w:cstheme="majorHAnsi"/>
        </w:rPr>
        <w:t xml:space="preserve">Fish Traders as key Actors in Fisheries: Gender and adaptive management. </w:t>
      </w:r>
      <w:r w:rsidRPr="00B84250">
        <w:rPr>
          <w:rFonts w:asciiTheme="majorHAnsi" w:hAnsiTheme="majorHAnsi" w:cstheme="majorHAnsi"/>
          <w:i/>
          <w:iCs/>
          <w:lang w:val="it-IT"/>
        </w:rPr>
        <w:t>AMBIO</w:t>
      </w:r>
      <w:r w:rsidRPr="00B84250">
        <w:rPr>
          <w:rFonts w:asciiTheme="majorHAnsi" w:hAnsiTheme="majorHAnsi" w:cstheme="majorHAnsi"/>
          <w:lang w:val="it-IT"/>
        </w:rPr>
        <w:t xml:space="preserve">, </w:t>
      </w:r>
      <w:r w:rsidRPr="00B84250">
        <w:rPr>
          <w:rFonts w:asciiTheme="majorHAnsi" w:hAnsiTheme="majorHAnsi" w:cstheme="majorHAnsi"/>
          <w:i/>
          <w:iCs/>
          <w:lang w:val="it-IT"/>
        </w:rPr>
        <w:t>42</w:t>
      </w:r>
      <w:r w:rsidRPr="00B84250">
        <w:rPr>
          <w:rFonts w:asciiTheme="majorHAnsi" w:hAnsiTheme="majorHAnsi" w:cstheme="majorHAnsi"/>
          <w:lang w:val="it-IT"/>
        </w:rPr>
        <w:t xml:space="preserve">(8), 951–962. </w:t>
      </w:r>
      <w:hyperlink r:id="rId12" w:history="1">
        <w:r w:rsidRPr="00B84250">
          <w:rPr>
            <w:rStyle w:val="Hyperlink"/>
            <w:rFonts w:asciiTheme="majorHAnsi" w:hAnsiTheme="majorHAnsi" w:cstheme="majorHAnsi"/>
            <w:color w:val="auto"/>
            <w:lang w:val="it-IT"/>
          </w:rPr>
          <w:t>https://doi.org/10.1007/s13280-013-0451-1</w:t>
        </w:r>
      </w:hyperlink>
      <w:r w:rsidRPr="00B84250">
        <w:rPr>
          <w:rStyle w:val="url"/>
          <w:rFonts w:asciiTheme="majorHAnsi" w:hAnsiTheme="majorHAnsi" w:cstheme="majorHAnsi"/>
          <w:lang w:val="it-IT"/>
        </w:rPr>
        <w:t>.</w:t>
      </w:r>
    </w:p>
    <w:p w14:paraId="5A02D71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Hamad, W. A., Md, G., &amp; Islam, N. (2022). </w:t>
      </w:r>
      <w:r w:rsidRPr="00B84250">
        <w:rPr>
          <w:rFonts w:asciiTheme="majorHAnsi" w:hAnsiTheme="majorHAnsi" w:cstheme="majorHAnsi"/>
        </w:rPr>
        <w:t xml:space="preserve">Alternative Employment, Women Participation in Seaweed Farming and Livelihoods of Small-Scale Fishing Community in Zanzibar. </w:t>
      </w:r>
      <w:r w:rsidRPr="00B84250">
        <w:rPr>
          <w:rFonts w:asciiTheme="majorHAnsi" w:hAnsiTheme="majorHAnsi" w:cstheme="majorHAnsi"/>
          <w:i/>
          <w:iCs/>
        </w:rPr>
        <w:t>Journal of Positive School Psychology</w:t>
      </w:r>
      <w:r w:rsidRPr="00B84250">
        <w:rPr>
          <w:rFonts w:asciiTheme="majorHAnsi" w:hAnsiTheme="majorHAnsi" w:cstheme="majorHAnsi"/>
        </w:rPr>
        <w:t>, (6) 7, 2987-3000.</w:t>
      </w:r>
    </w:p>
    <w:p w14:paraId="3A0241B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Hassan, I. H., &amp; Othman, W. J. (2019). Seaweed (</w:t>
      </w:r>
      <w:proofErr w:type="spellStart"/>
      <w:r w:rsidRPr="00B84250">
        <w:rPr>
          <w:rFonts w:asciiTheme="majorHAnsi" w:hAnsiTheme="majorHAnsi" w:cstheme="majorHAnsi"/>
        </w:rPr>
        <w:t>Mwani</w:t>
      </w:r>
      <w:proofErr w:type="spellEnd"/>
      <w:r w:rsidRPr="00B84250">
        <w:rPr>
          <w:rFonts w:asciiTheme="majorHAnsi" w:hAnsiTheme="majorHAnsi" w:cstheme="majorHAnsi"/>
        </w:rPr>
        <w:t xml:space="preserve">) farming as an adaptation strategy to impacts of climate change and variability in Zanzibar. </w:t>
      </w:r>
      <w:r w:rsidRPr="00B84250">
        <w:rPr>
          <w:rFonts w:asciiTheme="majorHAnsi" w:hAnsiTheme="majorHAnsi" w:cstheme="majorHAnsi"/>
          <w:i/>
          <w:iCs/>
        </w:rPr>
        <w:t>Springer Climate</w:t>
      </w:r>
      <w:r w:rsidRPr="00B84250">
        <w:rPr>
          <w:rFonts w:asciiTheme="majorHAnsi" w:hAnsiTheme="majorHAnsi" w:cstheme="majorHAnsi"/>
        </w:rPr>
        <w:t xml:space="preserve">, 53–68. https://doi.org/10.1007/978-3-030-04897-6_4 </w:t>
      </w:r>
    </w:p>
    <w:p w14:paraId="03A07B81"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rPr>
      </w:pPr>
      <w:r w:rsidRPr="00B84250">
        <w:rPr>
          <w:rFonts w:asciiTheme="majorHAnsi" w:hAnsiTheme="majorHAnsi" w:cstheme="majorHAnsi"/>
        </w:rPr>
        <w:t xml:space="preserve">Hjalmarsson, S. (2022). Pay to play? Economic constraints and participation in extracurricular activities. </w:t>
      </w:r>
      <w:r w:rsidRPr="00B84250">
        <w:rPr>
          <w:rFonts w:asciiTheme="majorHAnsi" w:hAnsiTheme="majorHAnsi" w:cstheme="majorHAnsi"/>
          <w:i/>
          <w:iCs/>
        </w:rPr>
        <w:t>European Sociological Review</w:t>
      </w:r>
      <w:r w:rsidRPr="00B84250">
        <w:rPr>
          <w:rFonts w:asciiTheme="majorHAnsi" w:hAnsiTheme="majorHAnsi" w:cstheme="majorHAnsi"/>
        </w:rPr>
        <w:t xml:space="preserve">, </w:t>
      </w:r>
      <w:r w:rsidRPr="00B84250">
        <w:rPr>
          <w:rFonts w:asciiTheme="majorHAnsi" w:hAnsiTheme="majorHAnsi" w:cstheme="majorHAnsi"/>
          <w:i/>
          <w:iCs/>
        </w:rPr>
        <w:t>39</w:t>
      </w:r>
      <w:r w:rsidRPr="00B84250">
        <w:rPr>
          <w:rFonts w:asciiTheme="majorHAnsi" w:hAnsiTheme="majorHAnsi" w:cstheme="majorHAnsi"/>
        </w:rPr>
        <w:t xml:space="preserve">(4), 586–600. </w:t>
      </w:r>
      <w:hyperlink r:id="rId13" w:history="1">
        <w:r w:rsidRPr="00B84250">
          <w:rPr>
            <w:rStyle w:val="Hyperlink"/>
            <w:rFonts w:asciiTheme="majorHAnsi" w:hAnsiTheme="majorHAnsi" w:cstheme="majorHAnsi"/>
            <w:color w:val="auto"/>
          </w:rPr>
          <w:t>https://doi.org/10.1093/esr/jcac061</w:t>
        </w:r>
      </w:hyperlink>
    </w:p>
    <w:p w14:paraId="3EAEABCD"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lang w:val="en-US"/>
        </w:rPr>
      </w:pPr>
      <w:r w:rsidRPr="00B84250">
        <w:rPr>
          <w:rFonts w:asciiTheme="majorHAnsi" w:hAnsiTheme="majorHAnsi" w:cstheme="majorHAnsi"/>
          <w:iCs/>
        </w:rPr>
        <w:t xml:space="preserve">IMF, (2024). </w:t>
      </w:r>
      <w:r w:rsidRPr="00B84250">
        <w:rPr>
          <w:rFonts w:asciiTheme="majorHAnsi" w:hAnsiTheme="majorHAnsi" w:cstheme="majorHAnsi"/>
          <w:iCs/>
          <w:lang w:val="en-US"/>
        </w:rPr>
        <w:t>Interim Guidance Note on Mainstreaming Gender at the IMF. </w:t>
      </w:r>
      <w:r w:rsidRPr="00B84250">
        <w:rPr>
          <w:rFonts w:asciiTheme="majorHAnsi" w:hAnsiTheme="majorHAnsi" w:cstheme="majorHAnsi"/>
          <w:i/>
          <w:lang w:val="en-US"/>
        </w:rPr>
        <w:t>Policy Papers</w:t>
      </w:r>
      <w:r w:rsidRPr="00B84250">
        <w:rPr>
          <w:rFonts w:asciiTheme="majorHAnsi" w:hAnsiTheme="majorHAnsi" w:cstheme="majorHAnsi"/>
          <w:iCs/>
          <w:lang w:val="en-US"/>
        </w:rPr>
        <w:t xml:space="preserve">, 2024(003), 1. </w:t>
      </w:r>
      <w:hyperlink r:id="rId14" w:history="1">
        <w:r w:rsidRPr="00B84250">
          <w:rPr>
            <w:rStyle w:val="Hyperlink"/>
            <w:rFonts w:asciiTheme="majorHAnsi" w:hAnsiTheme="majorHAnsi" w:cstheme="majorHAnsi"/>
            <w:iCs/>
            <w:color w:val="auto"/>
            <w:lang w:val="en-US"/>
          </w:rPr>
          <w:t>https://doi.org/10.5089/9798400263507.007</w:t>
        </w:r>
      </w:hyperlink>
      <w:r w:rsidRPr="00B84250">
        <w:rPr>
          <w:rFonts w:asciiTheme="majorHAnsi" w:hAnsiTheme="majorHAnsi" w:cstheme="majorHAnsi"/>
          <w:iCs/>
          <w:lang w:val="en-US"/>
        </w:rPr>
        <w:t>.</w:t>
      </w:r>
    </w:p>
    <w:p w14:paraId="4E01AA31"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Kalumanga</w:t>
      </w:r>
      <w:proofErr w:type="spellEnd"/>
      <w:r w:rsidRPr="00B84250">
        <w:rPr>
          <w:rFonts w:asciiTheme="majorHAnsi" w:hAnsiTheme="majorHAnsi" w:cstheme="majorHAnsi"/>
          <w:iCs/>
        </w:rPr>
        <w:t xml:space="preserve">, V. E. (2018). Women and seaweed farming in Zanzibar-Archipelago. </w:t>
      </w:r>
      <w:r w:rsidRPr="00B84250">
        <w:rPr>
          <w:rFonts w:asciiTheme="majorHAnsi" w:hAnsiTheme="majorHAnsi" w:cstheme="majorHAnsi"/>
          <w:i/>
        </w:rPr>
        <w:t>International Journal of Creative Research Thoughts</w:t>
      </w:r>
      <w:r w:rsidRPr="00B84250">
        <w:rPr>
          <w:rFonts w:asciiTheme="majorHAnsi" w:hAnsiTheme="majorHAnsi" w:cstheme="majorHAnsi"/>
          <w:iCs/>
        </w:rPr>
        <w:t>, 31(2), 473-484.</w:t>
      </w:r>
    </w:p>
    <w:p w14:paraId="30EB080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Kalumanga</w:t>
      </w:r>
      <w:proofErr w:type="spellEnd"/>
      <w:r w:rsidRPr="00B84250">
        <w:rPr>
          <w:rFonts w:asciiTheme="majorHAnsi" w:hAnsiTheme="majorHAnsi" w:cstheme="majorHAnsi"/>
        </w:rPr>
        <w:t xml:space="preserve">, V. E. (2024). 209 understanding perceptions of climate stressors and mitigation measures employed by women seaweed farmers in the South District of Zanzibar, Tanzania. </w:t>
      </w:r>
      <w:r w:rsidRPr="00B84250">
        <w:rPr>
          <w:rFonts w:asciiTheme="majorHAnsi" w:hAnsiTheme="majorHAnsi" w:cstheme="majorHAnsi"/>
          <w:i/>
          <w:iCs/>
        </w:rPr>
        <w:t>Journal of Policy and Development Studies</w:t>
      </w:r>
      <w:r w:rsidRPr="00B84250">
        <w:rPr>
          <w:rFonts w:asciiTheme="majorHAnsi" w:hAnsiTheme="majorHAnsi" w:cstheme="majorHAnsi"/>
        </w:rPr>
        <w:t xml:space="preserve">, </w:t>
      </w:r>
      <w:r w:rsidRPr="00B84250">
        <w:rPr>
          <w:rFonts w:asciiTheme="majorHAnsi" w:hAnsiTheme="majorHAnsi" w:cstheme="majorHAnsi"/>
          <w:i/>
          <w:iCs/>
        </w:rPr>
        <w:t>15</w:t>
      </w:r>
      <w:r w:rsidRPr="00B84250">
        <w:rPr>
          <w:rFonts w:asciiTheme="majorHAnsi" w:hAnsiTheme="majorHAnsi" w:cstheme="majorHAnsi"/>
        </w:rPr>
        <w:t xml:space="preserve">(1), 209–232. https://doi.org/10.4314/jpds.v15i1.17 </w:t>
      </w:r>
    </w:p>
    <w:p w14:paraId="439F8913"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Kilamlya</w:t>
      </w:r>
      <w:proofErr w:type="spellEnd"/>
      <w:r w:rsidRPr="00B84250">
        <w:rPr>
          <w:rFonts w:asciiTheme="majorHAnsi" w:hAnsiTheme="majorHAnsi" w:cstheme="majorHAnsi"/>
          <w:iCs/>
        </w:rPr>
        <w:t xml:space="preserve">, J., &amp; </w:t>
      </w: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(2024). The efficacy of VICOBA intervention in alleviating poverty in emerging economies: A study of the ORGUT SEDIT VICOBA Lending Scheme project in Morogoro, Tanzania. </w:t>
      </w:r>
      <w:r w:rsidRPr="00B84250">
        <w:rPr>
          <w:rFonts w:asciiTheme="majorHAnsi" w:hAnsiTheme="majorHAnsi" w:cstheme="majorHAnsi"/>
          <w:i/>
        </w:rPr>
        <w:t>American Journal of Applied Statistics and Economics</w:t>
      </w:r>
      <w:r w:rsidRPr="00B84250">
        <w:rPr>
          <w:rFonts w:asciiTheme="majorHAnsi" w:hAnsiTheme="majorHAnsi" w:cstheme="majorHAnsi"/>
          <w:iCs/>
        </w:rPr>
        <w:t xml:space="preserve">, 3(1), 92–98. </w:t>
      </w:r>
      <w:hyperlink r:id="rId15" w:history="1">
        <w:r w:rsidRPr="00B84250">
          <w:rPr>
            <w:rStyle w:val="Hyperlink"/>
            <w:rFonts w:asciiTheme="majorHAnsi" w:hAnsiTheme="majorHAnsi" w:cstheme="majorHAnsi"/>
            <w:iCs/>
            <w:color w:val="auto"/>
          </w:rPr>
          <w:t>https://doi.org/10.54536/ajase.v3i1.2616</w:t>
        </w:r>
      </w:hyperlink>
      <w:r w:rsidRPr="00B84250">
        <w:rPr>
          <w:rFonts w:asciiTheme="majorHAnsi" w:hAnsiTheme="majorHAnsi" w:cstheme="majorHAnsi"/>
          <w:iCs/>
        </w:rPr>
        <w:t>.</w:t>
      </w:r>
    </w:p>
    <w:p w14:paraId="5A5A6EE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Kosichek, H., Reimer, J., &amp; Filgueira, R. (2024). </w:t>
      </w:r>
      <w:r w:rsidRPr="00B84250">
        <w:rPr>
          <w:rFonts w:asciiTheme="majorHAnsi" w:hAnsiTheme="majorHAnsi" w:cstheme="majorHAnsi"/>
        </w:rPr>
        <w:t xml:space="preserve">Assessing the potential for seaweed aquaculture in Nova Scotia. </w:t>
      </w:r>
      <w:r w:rsidRPr="00B84250">
        <w:rPr>
          <w:rFonts w:asciiTheme="majorHAnsi" w:hAnsiTheme="majorHAnsi" w:cstheme="majorHAnsi"/>
          <w:i/>
          <w:iCs/>
        </w:rPr>
        <w:t>Aquaculture Reports</w:t>
      </w:r>
      <w:r w:rsidRPr="00B84250">
        <w:rPr>
          <w:rFonts w:asciiTheme="majorHAnsi" w:hAnsiTheme="majorHAnsi" w:cstheme="majorHAnsi"/>
        </w:rPr>
        <w:t xml:space="preserve">, </w:t>
      </w:r>
      <w:r w:rsidRPr="00B84250">
        <w:rPr>
          <w:rFonts w:asciiTheme="majorHAnsi" w:hAnsiTheme="majorHAnsi" w:cstheme="majorHAnsi"/>
          <w:i/>
          <w:iCs/>
        </w:rPr>
        <w:t>36</w:t>
      </w:r>
      <w:r w:rsidRPr="00B84250">
        <w:rPr>
          <w:rFonts w:asciiTheme="majorHAnsi" w:hAnsiTheme="majorHAnsi" w:cstheme="majorHAnsi"/>
        </w:rPr>
        <w:t xml:space="preserve">, 102064. https://doi.org/10.1016/j.aqrep.2024.102064 </w:t>
      </w:r>
    </w:p>
    <w:p w14:paraId="5A5D54F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Largo, D.B., </w:t>
      </w:r>
      <w:proofErr w:type="spellStart"/>
      <w:r w:rsidRPr="00B84250">
        <w:rPr>
          <w:rFonts w:asciiTheme="majorHAnsi" w:hAnsiTheme="majorHAnsi" w:cstheme="majorHAnsi"/>
        </w:rPr>
        <w:t>Msuya</w:t>
      </w:r>
      <w:proofErr w:type="spellEnd"/>
      <w:r w:rsidRPr="00B84250">
        <w:rPr>
          <w:rFonts w:asciiTheme="majorHAnsi" w:hAnsiTheme="majorHAnsi" w:cstheme="majorHAnsi"/>
        </w:rPr>
        <w:t xml:space="preserve">, F.E. &amp; Menezes, A. (2020). </w:t>
      </w:r>
      <w:r w:rsidRPr="00B84250">
        <w:rPr>
          <w:rFonts w:asciiTheme="majorHAnsi" w:hAnsiTheme="majorHAnsi" w:cstheme="majorHAnsi"/>
          <w:i/>
          <w:iCs/>
        </w:rPr>
        <w:t>Understanding diseases and control in seaweed farming in Zanzibar</w:t>
      </w:r>
      <w:r w:rsidRPr="00B84250">
        <w:rPr>
          <w:rFonts w:asciiTheme="majorHAnsi" w:hAnsiTheme="majorHAnsi" w:cstheme="majorHAnsi"/>
        </w:rPr>
        <w:t xml:space="preserve">. FAO Fisheries and Aquaculture Technical Paper No. 662. Rome, FAO. </w:t>
      </w:r>
      <w:hyperlink r:id="rId16" w:history="1">
        <w:r w:rsidRPr="00B84250">
          <w:rPr>
            <w:rStyle w:val="Hyperlink"/>
            <w:rFonts w:asciiTheme="majorHAnsi" w:hAnsiTheme="majorHAnsi" w:cstheme="majorHAnsi"/>
            <w:color w:val="auto"/>
          </w:rPr>
          <w:t>https://doi.org/10.4060/ca9004en</w:t>
        </w:r>
      </w:hyperlink>
      <w:r w:rsidRPr="00B84250">
        <w:rPr>
          <w:rFonts w:asciiTheme="majorHAnsi" w:hAnsiTheme="majorHAnsi" w:cstheme="majorHAnsi"/>
        </w:rPr>
        <w:t>.</w:t>
      </w:r>
    </w:p>
    <w:p w14:paraId="499107F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Mbuga, S. (2019). Credit Financing Challenges on Farm Entrepreneurship in Tanzania: Empirical Evidence from Smallholder Paddy Farmers at </w:t>
      </w:r>
      <w:proofErr w:type="spellStart"/>
      <w:r w:rsidRPr="00B84250">
        <w:rPr>
          <w:rFonts w:asciiTheme="majorHAnsi" w:hAnsiTheme="majorHAnsi" w:cstheme="majorHAnsi"/>
        </w:rPr>
        <w:t>Dakawa</w:t>
      </w:r>
      <w:proofErr w:type="spellEnd"/>
      <w:r w:rsidRPr="00B84250">
        <w:rPr>
          <w:rFonts w:asciiTheme="majorHAnsi" w:hAnsiTheme="majorHAnsi" w:cstheme="majorHAnsi"/>
        </w:rPr>
        <w:t xml:space="preserve"> Ward in </w:t>
      </w:r>
      <w:proofErr w:type="spellStart"/>
      <w:r w:rsidRPr="00B84250">
        <w:rPr>
          <w:rFonts w:asciiTheme="majorHAnsi" w:hAnsiTheme="majorHAnsi" w:cstheme="majorHAnsi"/>
        </w:rPr>
        <w:t>Mvomero</w:t>
      </w:r>
      <w:proofErr w:type="spellEnd"/>
      <w:r w:rsidRPr="00B84250">
        <w:rPr>
          <w:rFonts w:asciiTheme="majorHAnsi" w:hAnsiTheme="majorHAnsi" w:cstheme="majorHAnsi"/>
        </w:rPr>
        <w:t xml:space="preserve"> District. </w:t>
      </w:r>
      <w:r w:rsidRPr="00B84250">
        <w:rPr>
          <w:rFonts w:asciiTheme="majorHAnsi" w:hAnsiTheme="majorHAnsi" w:cstheme="majorHAnsi"/>
          <w:i/>
          <w:iCs/>
        </w:rPr>
        <w:t>Journal of Co-Operative and Business Studies (JCBS)</w:t>
      </w:r>
      <w:r w:rsidRPr="00B84250">
        <w:rPr>
          <w:rFonts w:asciiTheme="majorHAnsi" w:hAnsiTheme="majorHAnsi" w:cstheme="majorHAnsi"/>
        </w:rPr>
        <w:t>, 4(1), 76-87.</w:t>
      </w:r>
    </w:p>
    <w:p w14:paraId="5BEB0A6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lastRenderedPageBreak/>
        <w:t xml:space="preserve">Mbunda, K. A. (2024). Saving and Credit Cooperatives Services and Socio-economic Empowerment of Women in Temeke Municipality, Tanzania. </w:t>
      </w:r>
      <w:r w:rsidRPr="00B84250">
        <w:rPr>
          <w:rFonts w:asciiTheme="majorHAnsi" w:hAnsiTheme="majorHAnsi" w:cstheme="majorHAnsi"/>
          <w:i/>
        </w:rPr>
        <w:t>East African Journal of Interdisciplinary Studies.</w:t>
      </w:r>
      <w:r w:rsidRPr="00B84250">
        <w:rPr>
          <w:rFonts w:asciiTheme="majorHAnsi" w:hAnsiTheme="majorHAnsi" w:cstheme="majorHAnsi"/>
          <w:iCs/>
        </w:rPr>
        <w:t xml:space="preserve"> 7. 2024. 10.37284/eajis.7.1.1887.</w:t>
      </w:r>
    </w:p>
    <w:p w14:paraId="62FA3D4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iCs/>
          <w:lang w:val="de-DE"/>
        </w:rPr>
        <w:t xml:space="preserve">Mbunda, K. A., and Ndunguru, F. E. (2024). </w:t>
      </w:r>
      <w:r w:rsidRPr="00B84250">
        <w:rPr>
          <w:rFonts w:asciiTheme="majorHAnsi" w:hAnsiTheme="majorHAnsi" w:cstheme="majorHAnsi"/>
          <w:iCs/>
          <w:lang w:val="en-US"/>
        </w:rPr>
        <w:t xml:space="preserve">A Gendered Perspective on Household Dietary Diversity Status in </w:t>
      </w:r>
      <w:proofErr w:type="spellStart"/>
      <w:r w:rsidRPr="00B84250">
        <w:rPr>
          <w:rFonts w:asciiTheme="majorHAnsi" w:hAnsiTheme="majorHAnsi" w:cstheme="majorHAnsi"/>
          <w:iCs/>
          <w:lang w:val="en-US"/>
        </w:rPr>
        <w:t>Mbinga</w:t>
      </w:r>
      <w:proofErr w:type="spellEnd"/>
      <w:r w:rsidRPr="00B84250">
        <w:rPr>
          <w:rFonts w:asciiTheme="majorHAnsi" w:hAnsiTheme="majorHAnsi" w:cstheme="majorHAnsi"/>
          <w:iCs/>
          <w:lang w:val="en-US"/>
        </w:rPr>
        <w:t xml:space="preserve"> District, Tanzania. </w:t>
      </w:r>
      <w:r w:rsidRPr="00B84250">
        <w:rPr>
          <w:rFonts w:asciiTheme="majorHAnsi" w:hAnsiTheme="majorHAnsi" w:cstheme="majorHAnsi"/>
          <w:i/>
          <w:lang w:val="en-US"/>
        </w:rPr>
        <w:t>Asian Journal of Education and Social Studies</w:t>
      </w:r>
      <w:r w:rsidRPr="00B84250">
        <w:rPr>
          <w:rFonts w:asciiTheme="majorHAnsi" w:hAnsiTheme="majorHAnsi" w:cstheme="majorHAnsi"/>
          <w:iCs/>
          <w:lang w:val="en-US"/>
        </w:rPr>
        <w:t> 50 (4):1-15. https://doi.org/10.9734/ajess/2024/v50i41306.</w:t>
      </w:r>
    </w:p>
    <w:p w14:paraId="350D80F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Msuya</w:t>
      </w:r>
      <w:proofErr w:type="spellEnd"/>
      <w:r w:rsidRPr="00B84250">
        <w:rPr>
          <w:rFonts w:asciiTheme="majorHAnsi" w:hAnsiTheme="majorHAnsi" w:cstheme="majorHAnsi"/>
        </w:rPr>
        <w:t xml:space="preserve">, F. E. (2012). A Study of Working Conditions in the Zanzibar Seaweed Farming Industry. </w:t>
      </w:r>
      <w:hyperlink r:id="rId17" w:history="1">
        <w:r w:rsidRPr="00B84250">
          <w:rPr>
            <w:rStyle w:val="Hyperlink"/>
            <w:rFonts w:asciiTheme="majorHAnsi" w:hAnsiTheme="majorHAnsi" w:cstheme="majorHAnsi"/>
            <w:color w:val="auto"/>
          </w:rPr>
          <w:t>www.wiego.org</w:t>
        </w:r>
      </w:hyperlink>
    </w:p>
    <w:p w14:paraId="62188793"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Msuya</w:t>
      </w:r>
      <w:proofErr w:type="spellEnd"/>
      <w:r w:rsidRPr="00B84250">
        <w:rPr>
          <w:rFonts w:asciiTheme="majorHAnsi" w:hAnsiTheme="majorHAnsi" w:cstheme="majorHAnsi"/>
          <w:iCs/>
        </w:rPr>
        <w:t xml:space="preserve">, F. E., &amp; Hurtado, A. Q. (2017). The role of women in seaweed aquaculture in the Western Indian Ocean and South-East Asia. European Journal of Phycology, 52(4), 482–494. </w:t>
      </w:r>
      <w:hyperlink r:id="rId18" w:history="1">
        <w:r w:rsidRPr="00B84250">
          <w:rPr>
            <w:rStyle w:val="Hyperlink"/>
            <w:rFonts w:asciiTheme="majorHAnsi" w:hAnsiTheme="majorHAnsi" w:cstheme="majorHAnsi"/>
            <w:iCs/>
            <w:color w:val="auto"/>
          </w:rPr>
          <w:t>https://doi.org/10.1080/09670262.2017.1357084</w:t>
        </w:r>
      </w:hyperlink>
      <w:r w:rsidRPr="00B84250">
        <w:rPr>
          <w:rFonts w:asciiTheme="majorHAnsi" w:hAnsiTheme="majorHAnsi" w:cstheme="majorHAnsi"/>
          <w:iCs/>
        </w:rPr>
        <w:t>.</w:t>
      </w:r>
    </w:p>
    <w:p w14:paraId="6215ED10" w14:textId="77777777" w:rsidR="009F7573" w:rsidRPr="009F7573" w:rsidRDefault="009F7573" w:rsidP="00B84250">
      <w:pPr>
        <w:pStyle w:val="NormalWeb"/>
        <w:numPr>
          <w:ilvl w:val="0"/>
          <w:numId w:val="11"/>
        </w:numPr>
        <w:spacing w:before="0" w:beforeAutospacing="0" w:after="0" w:afterAutospacing="0"/>
        <w:jc w:val="both"/>
        <w:rPr>
          <w:rFonts w:asciiTheme="majorHAnsi" w:hAnsiTheme="majorHAnsi" w:cstheme="majorHAnsi"/>
          <w:lang w:val="it-IT"/>
        </w:rPr>
      </w:pPr>
      <w:r w:rsidRPr="009F7573">
        <w:rPr>
          <w:rFonts w:asciiTheme="majorHAnsi" w:hAnsiTheme="majorHAnsi" w:cstheme="majorHAnsi"/>
        </w:rPr>
        <w:t xml:space="preserve">Nadew, M., &amp; Senapathy, M. (2022). </w:t>
      </w:r>
      <w:r w:rsidRPr="009F7573">
        <w:rPr>
          <w:rFonts w:asciiTheme="majorHAnsi" w:hAnsiTheme="majorHAnsi" w:cstheme="majorHAnsi"/>
          <w:i/>
          <w:iCs/>
        </w:rPr>
        <w:t>Small farmers’ agricultural loan repayment performance in Southern Ethiopia</w:t>
      </w:r>
      <w:r w:rsidRPr="009F7573">
        <w:rPr>
          <w:rFonts w:asciiTheme="majorHAnsi" w:hAnsiTheme="majorHAnsi" w:cstheme="majorHAnsi"/>
        </w:rPr>
        <w:t xml:space="preserve">. </w:t>
      </w:r>
      <w:hyperlink r:id="rId19" w:history="1">
        <w:r w:rsidRPr="009F7573">
          <w:rPr>
            <w:rStyle w:val="Hyperlink"/>
            <w:rFonts w:asciiTheme="majorHAnsi" w:hAnsiTheme="majorHAnsi" w:cstheme="majorHAnsi"/>
            <w:color w:val="auto"/>
            <w:lang w:val="it-IT"/>
          </w:rPr>
          <w:t>https://doi.org/10.36074/sfalrpise-monograph.2022</w:t>
        </w:r>
      </w:hyperlink>
    </w:p>
    <w:p w14:paraId="7E3476C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Pike, F., Lindström, L., Ekstedt, J., Jiddawi, N. S., &amp; De La Torre-Castro, M. (2024). </w:t>
      </w:r>
      <w:r w:rsidRPr="00B84250">
        <w:rPr>
          <w:rFonts w:asciiTheme="majorHAnsi" w:hAnsiTheme="majorHAnsi" w:cstheme="majorHAnsi"/>
        </w:rPr>
        <w:t xml:space="preserve">Dynamic livelihoods, gender, and poverty in marine protected areas: A case study from Zanzibar, Tanzania. </w:t>
      </w:r>
      <w:r w:rsidRPr="00B84250">
        <w:rPr>
          <w:rFonts w:asciiTheme="majorHAnsi" w:hAnsiTheme="majorHAnsi" w:cstheme="majorHAnsi"/>
          <w:i/>
          <w:iCs/>
        </w:rPr>
        <w:t>AMBIO</w:t>
      </w:r>
      <w:r w:rsidRPr="00B84250">
        <w:rPr>
          <w:rFonts w:asciiTheme="majorHAnsi" w:hAnsiTheme="majorHAnsi" w:cstheme="majorHAnsi"/>
        </w:rPr>
        <w:t xml:space="preserve">, </w:t>
      </w:r>
      <w:r w:rsidRPr="00B84250">
        <w:rPr>
          <w:rFonts w:asciiTheme="majorHAnsi" w:hAnsiTheme="majorHAnsi" w:cstheme="majorHAnsi"/>
          <w:i/>
          <w:iCs/>
        </w:rPr>
        <w:t>53</w:t>
      </w:r>
      <w:r w:rsidRPr="00B84250">
        <w:rPr>
          <w:rFonts w:asciiTheme="majorHAnsi" w:hAnsiTheme="majorHAnsi" w:cstheme="majorHAnsi"/>
        </w:rPr>
        <w:t xml:space="preserve">(8), 1218–1233. </w:t>
      </w:r>
      <w:r w:rsidRPr="00B84250">
        <w:rPr>
          <w:rStyle w:val="url"/>
          <w:rFonts w:asciiTheme="majorHAnsi" w:hAnsiTheme="majorHAnsi" w:cstheme="majorHAnsi"/>
        </w:rPr>
        <w:t>https://doi.org/10.1007/s13280-024-02010-x</w:t>
      </w:r>
    </w:p>
    <w:p w14:paraId="3DBD5C5A"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Ralsmark</w:t>
      </w:r>
      <w:proofErr w:type="spellEnd"/>
      <w:r w:rsidRPr="00B84250">
        <w:rPr>
          <w:rFonts w:asciiTheme="majorHAnsi" w:hAnsiTheme="majorHAnsi" w:cstheme="majorHAnsi"/>
          <w:iCs/>
        </w:rPr>
        <w:t>, H. (2017). Education, norms, and gender equality, Working Papers in Economics 702, University of Gothenburg, Department of Economics.</w:t>
      </w:r>
    </w:p>
    <w:p w14:paraId="248CBB0B"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rPr>
      </w:pPr>
      <w:proofErr w:type="spellStart"/>
      <w:r w:rsidRPr="00B84250">
        <w:rPr>
          <w:rFonts w:asciiTheme="majorHAnsi" w:hAnsiTheme="majorHAnsi" w:cstheme="majorHAnsi"/>
        </w:rPr>
        <w:t>Reflin</w:t>
      </w:r>
      <w:proofErr w:type="spellEnd"/>
      <w:r w:rsidRPr="00B84250">
        <w:rPr>
          <w:rFonts w:asciiTheme="majorHAnsi" w:hAnsiTheme="majorHAnsi" w:cstheme="majorHAnsi"/>
        </w:rPr>
        <w:t xml:space="preserve">, E., Ramadhan, A. S., &amp; Arief, A. A. (2023). The potential of seaweed in increasing the revenue of farmers in </w:t>
      </w:r>
      <w:proofErr w:type="spellStart"/>
      <w:r w:rsidRPr="00B84250">
        <w:rPr>
          <w:rFonts w:asciiTheme="majorHAnsi" w:hAnsiTheme="majorHAnsi" w:cstheme="majorHAnsi"/>
        </w:rPr>
        <w:t>Bantaeng</w:t>
      </w:r>
      <w:proofErr w:type="spellEnd"/>
      <w:r w:rsidRPr="00B84250">
        <w:rPr>
          <w:rFonts w:asciiTheme="majorHAnsi" w:hAnsiTheme="majorHAnsi" w:cstheme="majorHAnsi"/>
        </w:rPr>
        <w:t xml:space="preserve"> District. </w:t>
      </w:r>
      <w:r w:rsidRPr="00B84250">
        <w:rPr>
          <w:rFonts w:asciiTheme="majorHAnsi" w:hAnsiTheme="majorHAnsi" w:cstheme="majorHAnsi"/>
          <w:i/>
          <w:iCs/>
        </w:rPr>
        <w:t>IOP Conference Series Earth and Environmental Science</w:t>
      </w:r>
      <w:r w:rsidRPr="00B84250">
        <w:rPr>
          <w:rFonts w:asciiTheme="majorHAnsi" w:hAnsiTheme="majorHAnsi" w:cstheme="majorHAnsi"/>
        </w:rPr>
        <w:t xml:space="preserve">, </w:t>
      </w:r>
      <w:r w:rsidRPr="00B84250">
        <w:rPr>
          <w:rFonts w:asciiTheme="majorHAnsi" w:hAnsiTheme="majorHAnsi" w:cstheme="majorHAnsi"/>
          <w:i/>
          <w:iCs/>
        </w:rPr>
        <w:t>1230</w:t>
      </w:r>
      <w:r w:rsidRPr="00B84250">
        <w:rPr>
          <w:rFonts w:asciiTheme="majorHAnsi" w:hAnsiTheme="majorHAnsi" w:cstheme="majorHAnsi"/>
        </w:rPr>
        <w:t xml:space="preserve">(1), 012022. </w:t>
      </w:r>
      <w:hyperlink r:id="rId20" w:history="1">
        <w:r w:rsidRPr="00B84250">
          <w:rPr>
            <w:rStyle w:val="Hyperlink"/>
            <w:rFonts w:asciiTheme="majorHAnsi" w:hAnsiTheme="majorHAnsi" w:cstheme="majorHAnsi"/>
            <w:color w:val="auto"/>
          </w:rPr>
          <w:t>https://doi.org/10.1088/1755-1315/1230/1/012022</w:t>
        </w:r>
      </w:hyperlink>
      <w:r w:rsidRPr="00B84250">
        <w:rPr>
          <w:rStyle w:val="url"/>
          <w:rFonts w:asciiTheme="majorHAnsi" w:hAnsiTheme="majorHAnsi" w:cstheme="majorHAnsi"/>
        </w:rPr>
        <w:t>.</w:t>
      </w:r>
    </w:p>
    <w:p w14:paraId="45F0606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pl-PL"/>
        </w:rPr>
        <w:t xml:space="preserve">Rubekie, A. P., &amp; Bwathondi, P. O. J. (2022). </w:t>
      </w:r>
      <w:r w:rsidRPr="00B84250">
        <w:rPr>
          <w:rFonts w:asciiTheme="majorHAnsi" w:hAnsiTheme="majorHAnsi" w:cstheme="majorHAnsi"/>
        </w:rPr>
        <w:t xml:space="preserve">Logistic regression analysis is used to determine gender-specific challenges and factors affecting seaweed farming along the coast of Tanzania's mainland. </w:t>
      </w:r>
      <w:r w:rsidRPr="00B84250">
        <w:rPr>
          <w:rFonts w:asciiTheme="majorHAnsi" w:hAnsiTheme="majorHAnsi" w:cstheme="majorHAnsi"/>
          <w:i/>
          <w:iCs/>
        </w:rPr>
        <w:t>Journal of Applied Aquaculture</w:t>
      </w:r>
      <w:r w:rsidRPr="00B84250">
        <w:rPr>
          <w:rFonts w:asciiTheme="majorHAnsi" w:hAnsiTheme="majorHAnsi" w:cstheme="majorHAnsi"/>
        </w:rPr>
        <w:t xml:space="preserve">, 1–36. </w:t>
      </w:r>
      <w:hyperlink r:id="rId21" w:history="1">
        <w:r w:rsidRPr="00B84250">
          <w:rPr>
            <w:rStyle w:val="Hyperlink"/>
            <w:rFonts w:asciiTheme="majorHAnsi" w:hAnsiTheme="majorHAnsi" w:cstheme="majorHAnsi"/>
            <w:color w:val="auto"/>
          </w:rPr>
          <w:t>https://doi.org/10.1080/10454438.2022.2128963</w:t>
        </w:r>
      </w:hyperlink>
      <w:r w:rsidRPr="00B84250">
        <w:rPr>
          <w:rFonts w:asciiTheme="majorHAnsi" w:hAnsiTheme="majorHAnsi" w:cstheme="majorHAnsi"/>
        </w:rPr>
        <w:t>.</w:t>
      </w:r>
    </w:p>
    <w:p w14:paraId="31AE126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Sari, N. I., Arsyad, M., &amp; Hamzah, H. (2023). Farmers’ decision on seaweed harvests marketing: Direct or delayed selling. </w:t>
      </w:r>
      <w:r w:rsidRPr="00B84250">
        <w:rPr>
          <w:rFonts w:asciiTheme="majorHAnsi" w:hAnsiTheme="majorHAnsi" w:cstheme="majorHAnsi"/>
          <w:i/>
          <w:iCs/>
        </w:rPr>
        <w:t>Universal Journal of Agricultural Research</w:t>
      </w:r>
      <w:r w:rsidRPr="00B84250">
        <w:rPr>
          <w:rFonts w:asciiTheme="majorHAnsi" w:hAnsiTheme="majorHAnsi" w:cstheme="majorHAnsi"/>
        </w:rPr>
        <w:t xml:space="preserve">, </w:t>
      </w:r>
      <w:r w:rsidRPr="00B84250">
        <w:rPr>
          <w:rFonts w:asciiTheme="majorHAnsi" w:hAnsiTheme="majorHAnsi" w:cstheme="majorHAnsi"/>
          <w:i/>
          <w:iCs/>
        </w:rPr>
        <w:t>11</w:t>
      </w:r>
      <w:r w:rsidRPr="00B84250">
        <w:rPr>
          <w:rFonts w:asciiTheme="majorHAnsi" w:hAnsiTheme="majorHAnsi" w:cstheme="majorHAnsi"/>
        </w:rPr>
        <w:t xml:space="preserve">(5), 906–915. </w:t>
      </w:r>
      <w:r w:rsidRPr="00B84250">
        <w:rPr>
          <w:rStyle w:val="url"/>
          <w:rFonts w:asciiTheme="majorHAnsi" w:hAnsiTheme="majorHAnsi" w:cstheme="majorHAnsi"/>
        </w:rPr>
        <w:t>https://doi.org/10.13189/ujar.2023.110515</w:t>
      </w:r>
      <w:r w:rsidRPr="00B84250">
        <w:rPr>
          <w:rFonts w:asciiTheme="majorHAnsi" w:hAnsiTheme="majorHAnsi" w:cstheme="majorHAnsi"/>
          <w:iCs/>
        </w:rPr>
        <w:t>.</w:t>
      </w:r>
    </w:p>
    <w:p w14:paraId="7E03BBFF"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Sewando</w:t>
      </w:r>
      <w:proofErr w:type="spellEnd"/>
      <w:r w:rsidRPr="00B84250">
        <w:rPr>
          <w:rFonts w:asciiTheme="majorHAnsi" w:hAnsiTheme="majorHAnsi" w:cstheme="majorHAnsi"/>
          <w:iCs/>
        </w:rPr>
        <w:t xml:space="preserve">, P. T., </w:t>
      </w: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&amp; John, S. (2022). The contribution of carrot farming on livelihood improvement at household levels in </w:t>
      </w:r>
      <w:proofErr w:type="spellStart"/>
      <w:r w:rsidRPr="00B84250">
        <w:rPr>
          <w:rFonts w:asciiTheme="majorHAnsi" w:hAnsiTheme="majorHAnsi" w:cstheme="majorHAnsi"/>
          <w:iCs/>
        </w:rPr>
        <w:t>Arumeru</w:t>
      </w:r>
      <w:proofErr w:type="spellEnd"/>
      <w:r w:rsidRPr="00B84250">
        <w:rPr>
          <w:rFonts w:asciiTheme="majorHAnsi" w:hAnsiTheme="majorHAnsi" w:cstheme="majorHAnsi"/>
          <w:iCs/>
        </w:rPr>
        <w:t xml:space="preserve"> district, Arusha Tanzania. </w:t>
      </w:r>
      <w:r w:rsidRPr="00B84250">
        <w:rPr>
          <w:rFonts w:asciiTheme="majorHAnsi" w:hAnsiTheme="majorHAnsi" w:cstheme="majorHAnsi"/>
          <w:i/>
        </w:rPr>
        <w:t>International Journal of Science and Management Studies (IJSMS)</w:t>
      </w:r>
      <w:r w:rsidRPr="00B84250">
        <w:rPr>
          <w:rFonts w:asciiTheme="majorHAnsi" w:hAnsiTheme="majorHAnsi" w:cstheme="majorHAnsi"/>
          <w:iCs/>
        </w:rPr>
        <w:t xml:space="preserve">, 87–93. </w:t>
      </w:r>
      <w:hyperlink r:id="rId22" w:history="1">
        <w:r w:rsidRPr="00B84250">
          <w:rPr>
            <w:rStyle w:val="Hyperlink"/>
            <w:rFonts w:asciiTheme="majorHAnsi" w:hAnsiTheme="majorHAnsi" w:cstheme="majorHAnsi"/>
            <w:iCs/>
            <w:color w:val="auto"/>
          </w:rPr>
          <w:t>https://doi.org/10.51386/25815946/ijsms-v5i2p111</w:t>
        </w:r>
      </w:hyperlink>
      <w:r w:rsidRPr="00B84250">
        <w:rPr>
          <w:rFonts w:asciiTheme="majorHAnsi" w:hAnsiTheme="majorHAnsi" w:cstheme="majorHAnsi"/>
          <w:iCs/>
        </w:rPr>
        <w:t>.</w:t>
      </w:r>
    </w:p>
    <w:p w14:paraId="70501EA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Simone, M. N., &amp; Vopel, K. (2023). </w:t>
      </w:r>
      <w:r w:rsidRPr="00B84250">
        <w:rPr>
          <w:rFonts w:asciiTheme="majorHAnsi" w:hAnsiTheme="majorHAnsi" w:cstheme="majorHAnsi"/>
        </w:rPr>
        <w:t xml:space="preserve">The need for proactive environmental management of offshore aquaculture. </w:t>
      </w:r>
      <w:r w:rsidRPr="00B84250">
        <w:rPr>
          <w:rFonts w:asciiTheme="majorHAnsi" w:hAnsiTheme="majorHAnsi" w:cstheme="majorHAnsi"/>
          <w:i/>
          <w:iCs/>
        </w:rPr>
        <w:t>Reviews in Aquaculture</w:t>
      </w:r>
      <w:r w:rsidRPr="00B84250">
        <w:rPr>
          <w:rFonts w:asciiTheme="majorHAnsi" w:hAnsiTheme="majorHAnsi" w:cstheme="majorHAnsi"/>
        </w:rPr>
        <w:t xml:space="preserve">, </w:t>
      </w:r>
      <w:r w:rsidRPr="00B84250">
        <w:rPr>
          <w:rFonts w:asciiTheme="majorHAnsi" w:hAnsiTheme="majorHAnsi" w:cstheme="majorHAnsi"/>
          <w:i/>
          <w:iCs/>
        </w:rPr>
        <w:t>16</w:t>
      </w:r>
      <w:r w:rsidRPr="00B84250">
        <w:rPr>
          <w:rFonts w:asciiTheme="majorHAnsi" w:hAnsiTheme="majorHAnsi" w:cstheme="majorHAnsi"/>
        </w:rPr>
        <w:t xml:space="preserve">(2), 603–607. </w:t>
      </w:r>
      <w:r w:rsidRPr="00B84250">
        <w:rPr>
          <w:rStyle w:val="url"/>
          <w:rFonts w:asciiTheme="majorHAnsi" w:hAnsiTheme="majorHAnsi" w:cstheme="majorHAnsi"/>
        </w:rPr>
        <w:t>https://doi.org/10.1111/raq.12874.</w:t>
      </w:r>
    </w:p>
    <w:p w14:paraId="4CB48744" w14:textId="77777777" w:rsidR="009F7573" w:rsidRPr="00AA11B5" w:rsidRDefault="009F7573" w:rsidP="00B84250">
      <w:pPr>
        <w:pStyle w:val="ListParagraph"/>
        <w:numPr>
          <w:ilvl w:val="0"/>
          <w:numId w:val="11"/>
        </w:numPr>
        <w:spacing w:line="240" w:lineRule="auto"/>
        <w:jc w:val="both"/>
        <w:rPr>
          <w:rFonts w:asciiTheme="majorHAnsi" w:hAnsiTheme="majorHAnsi" w:cstheme="majorHAnsi"/>
          <w:iCs/>
          <w:lang w:val="de-DE"/>
        </w:rPr>
      </w:pPr>
      <w:proofErr w:type="spellStart"/>
      <w:r w:rsidRPr="00B84250">
        <w:rPr>
          <w:rFonts w:asciiTheme="majorHAnsi" w:hAnsiTheme="majorHAnsi" w:cstheme="majorHAnsi"/>
        </w:rPr>
        <w:t>Syafrudin</w:t>
      </w:r>
      <w:proofErr w:type="spellEnd"/>
      <w:r w:rsidRPr="00B84250">
        <w:rPr>
          <w:rFonts w:asciiTheme="majorHAnsi" w:hAnsiTheme="majorHAnsi" w:cstheme="majorHAnsi"/>
        </w:rPr>
        <w:t xml:space="preserve">, N., </w:t>
      </w:r>
      <w:proofErr w:type="spellStart"/>
      <w:r w:rsidRPr="00B84250">
        <w:rPr>
          <w:rFonts w:asciiTheme="majorHAnsi" w:hAnsiTheme="majorHAnsi" w:cstheme="majorHAnsi"/>
        </w:rPr>
        <w:t>Rafiuddin</w:t>
      </w:r>
      <w:proofErr w:type="spellEnd"/>
      <w:r w:rsidRPr="00B84250">
        <w:rPr>
          <w:rFonts w:asciiTheme="majorHAnsi" w:hAnsiTheme="majorHAnsi" w:cstheme="majorHAnsi"/>
        </w:rPr>
        <w:t xml:space="preserve">, N., &amp; Ismail, N. (2024). Usaha Tani </w:t>
      </w:r>
      <w:proofErr w:type="spellStart"/>
      <w:r w:rsidRPr="00B84250">
        <w:rPr>
          <w:rFonts w:asciiTheme="majorHAnsi" w:hAnsiTheme="majorHAnsi" w:cstheme="majorHAnsi"/>
        </w:rPr>
        <w:t>Rumput</w:t>
      </w:r>
      <w:proofErr w:type="spellEnd"/>
      <w:r w:rsidRPr="00B84250">
        <w:rPr>
          <w:rFonts w:asciiTheme="majorHAnsi" w:hAnsiTheme="majorHAnsi" w:cstheme="majorHAnsi"/>
        </w:rPr>
        <w:t xml:space="preserve"> Laut </w:t>
      </w:r>
      <w:proofErr w:type="spellStart"/>
      <w:r w:rsidRPr="00B84250">
        <w:rPr>
          <w:rFonts w:asciiTheme="majorHAnsi" w:hAnsiTheme="majorHAnsi" w:cstheme="majorHAnsi"/>
        </w:rPr>
        <w:t>dalam</w:t>
      </w:r>
      <w:proofErr w:type="spellEnd"/>
      <w:r w:rsidRPr="00B84250">
        <w:rPr>
          <w:rFonts w:asciiTheme="majorHAnsi" w:hAnsiTheme="majorHAnsi" w:cstheme="majorHAnsi"/>
        </w:rPr>
        <w:t xml:space="preserve"> </w:t>
      </w:r>
      <w:proofErr w:type="spellStart"/>
      <w:r w:rsidRPr="00B84250">
        <w:rPr>
          <w:rFonts w:asciiTheme="majorHAnsi" w:hAnsiTheme="majorHAnsi" w:cstheme="majorHAnsi"/>
        </w:rPr>
        <w:t>Meningkatkan</w:t>
      </w:r>
      <w:proofErr w:type="spellEnd"/>
      <w:r w:rsidRPr="00B84250">
        <w:rPr>
          <w:rFonts w:asciiTheme="majorHAnsi" w:hAnsiTheme="majorHAnsi" w:cstheme="majorHAnsi"/>
        </w:rPr>
        <w:t xml:space="preserve"> </w:t>
      </w:r>
      <w:proofErr w:type="spellStart"/>
      <w:r w:rsidRPr="00B84250">
        <w:rPr>
          <w:rFonts w:asciiTheme="majorHAnsi" w:hAnsiTheme="majorHAnsi" w:cstheme="majorHAnsi"/>
        </w:rPr>
        <w:t>Perekonomian</w:t>
      </w:r>
      <w:proofErr w:type="spellEnd"/>
      <w:r w:rsidRPr="00B84250">
        <w:rPr>
          <w:rFonts w:asciiTheme="majorHAnsi" w:hAnsiTheme="majorHAnsi" w:cstheme="majorHAnsi"/>
        </w:rPr>
        <w:t xml:space="preserve"> </w:t>
      </w:r>
      <w:proofErr w:type="spellStart"/>
      <w:r w:rsidRPr="00B84250">
        <w:rPr>
          <w:rFonts w:asciiTheme="majorHAnsi" w:hAnsiTheme="majorHAnsi" w:cstheme="majorHAnsi"/>
        </w:rPr>
        <w:t>Keluarga</w:t>
      </w:r>
      <w:proofErr w:type="spellEnd"/>
      <w:r w:rsidRPr="00B84250">
        <w:rPr>
          <w:rFonts w:asciiTheme="majorHAnsi" w:hAnsiTheme="majorHAnsi" w:cstheme="majorHAnsi"/>
        </w:rPr>
        <w:t xml:space="preserve"> </w:t>
      </w:r>
      <w:proofErr w:type="spellStart"/>
      <w:r w:rsidRPr="00B84250">
        <w:rPr>
          <w:rFonts w:asciiTheme="majorHAnsi" w:hAnsiTheme="majorHAnsi" w:cstheme="majorHAnsi"/>
        </w:rPr>
        <w:t>Perspektif</w:t>
      </w:r>
      <w:proofErr w:type="spellEnd"/>
      <w:r w:rsidRPr="00B84250">
        <w:rPr>
          <w:rFonts w:asciiTheme="majorHAnsi" w:hAnsiTheme="majorHAnsi" w:cstheme="majorHAnsi"/>
        </w:rPr>
        <w:t xml:space="preserve"> Ekonomi Islam. </w:t>
      </w:r>
      <w:r w:rsidRPr="00AA11B5">
        <w:rPr>
          <w:rFonts w:asciiTheme="majorHAnsi" w:hAnsiTheme="majorHAnsi" w:cstheme="majorHAnsi"/>
          <w:i/>
          <w:iCs/>
          <w:lang w:val="de-DE"/>
        </w:rPr>
        <w:t>El-Mal Jurnal Kajian Ekonomi &amp; Bisnis Islam</w:t>
      </w:r>
      <w:r w:rsidRPr="00AA11B5">
        <w:rPr>
          <w:rFonts w:asciiTheme="majorHAnsi" w:hAnsiTheme="majorHAnsi" w:cstheme="majorHAnsi"/>
          <w:lang w:val="de-DE"/>
        </w:rPr>
        <w:t xml:space="preserve">, </w:t>
      </w:r>
      <w:r w:rsidRPr="00AA11B5">
        <w:rPr>
          <w:rFonts w:asciiTheme="majorHAnsi" w:hAnsiTheme="majorHAnsi" w:cstheme="majorHAnsi"/>
          <w:i/>
          <w:iCs/>
          <w:lang w:val="de-DE"/>
        </w:rPr>
        <w:t>5</w:t>
      </w:r>
      <w:r w:rsidRPr="00AA11B5">
        <w:rPr>
          <w:rFonts w:asciiTheme="majorHAnsi" w:hAnsiTheme="majorHAnsi" w:cstheme="majorHAnsi"/>
          <w:lang w:val="de-DE"/>
        </w:rPr>
        <w:t xml:space="preserve">(7). </w:t>
      </w:r>
      <w:r w:rsidRPr="00AA11B5">
        <w:rPr>
          <w:rStyle w:val="url"/>
          <w:rFonts w:asciiTheme="majorHAnsi" w:hAnsiTheme="majorHAnsi" w:cstheme="majorHAnsi"/>
          <w:lang w:val="de-DE"/>
        </w:rPr>
        <w:t>https://doi.org/10.47467/elmal.v5i7.3965.</w:t>
      </w:r>
    </w:p>
    <w:p w14:paraId="44B6282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The Revolutionary Government of Zanzibar, </w:t>
      </w:r>
      <w:r w:rsidRPr="00B84250">
        <w:rPr>
          <w:rFonts w:asciiTheme="majorHAnsi" w:hAnsiTheme="majorHAnsi" w:cstheme="majorHAnsi"/>
          <w:i/>
          <w:iCs/>
        </w:rPr>
        <w:t>Report submitted to the Zanzibar Planning Commission for an in-depth study to explore the best way to increase seaweed production, improve seaweed trade, value addition, and processing in Zanzibar</w:t>
      </w:r>
      <w:r w:rsidRPr="00B84250">
        <w:rPr>
          <w:rFonts w:asciiTheme="majorHAnsi" w:hAnsiTheme="majorHAnsi" w:cstheme="majorHAnsi"/>
          <w:iCs/>
        </w:rPr>
        <w:t>, submitted by the Special Task Force, September 2018.</w:t>
      </w:r>
    </w:p>
    <w:p w14:paraId="1B2E2719"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bCs/>
          <w:iCs/>
        </w:rPr>
      </w:pPr>
      <w:proofErr w:type="spellStart"/>
      <w:r w:rsidRPr="00B84250">
        <w:rPr>
          <w:rFonts w:asciiTheme="majorHAnsi" w:hAnsiTheme="majorHAnsi" w:cstheme="majorHAnsi"/>
          <w:bCs/>
          <w:iCs/>
          <w:lang w:val="en-US"/>
        </w:rPr>
        <w:t>Utonga</w:t>
      </w:r>
      <w:proofErr w:type="spellEnd"/>
      <w:r w:rsidRPr="00B84250">
        <w:rPr>
          <w:rFonts w:asciiTheme="majorHAnsi" w:hAnsiTheme="majorHAnsi" w:cstheme="majorHAnsi"/>
          <w:bCs/>
          <w:iCs/>
          <w:lang w:val="en-US"/>
        </w:rPr>
        <w:t xml:space="preserve">, D. (2022). Analysis of Maize Profitability among Smallholder Farmers in </w:t>
      </w:r>
      <w:proofErr w:type="spellStart"/>
      <w:r w:rsidRPr="00B84250">
        <w:rPr>
          <w:rFonts w:asciiTheme="majorHAnsi" w:hAnsiTheme="majorHAnsi" w:cstheme="majorHAnsi"/>
          <w:bCs/>
          <w:iCs/>
          <w:lang w:val="en-US"/>
        </w:rPr>
        <w:t>Mbinga</w:t>
      </w:r>
      <w:proofErr w:type="spellEnd"/>
      <w:r w:rsidRPr="00B84250">
        <w:rPr>
          <w:rFonts w:asciiTheme="majorHAnsi" w:hAnsiTheme="majorHAnsi" w:cstheme="majorHAnsi"/>
          <w:bCs/>
          <w:iCs/>
          <w:lang w:val="en-US"/>
        </w:rPr>
        <w:t xml:space="preserve"> District, Tanzania. </w:t>
      </w:r>
      <w:r w:rsidRPr="00B84250">
        <w:rPr>
          <w:rFonts w:asciiTheme="majorHAnsi" w:hAnsiTheme="majorHAnsi" w:cstheme="majorHAnsi"/>
          <w:bCs/>
          <w:i/>
          <w:lang w:val="en-US"/>
        </w:rPr>
        <w:t>International Journal of Research Publication and Reviews</w:t>
      </w:r>
      <w:r w:rsidRPr="00B84250">
        <w:rPr>
          <w:rFonts w:asciiTheme="majorHAnsi" w:hAnsiTheme="majorHAnsi" w:cstheme="majorHAnsi"/>
          <w:bCs/>
          <w:iCs/>
          <w:lang w:val="en-US"/>
        </w:rPr>
        <w:t xml:space="preserve">, 1031–1035. </w:t>
      </w:r>
      <w:hyperlink r:id="rId23" w:history="1">
        <w:r w:rsidRPr="00B84250">
          <w:rPr>
            <w:rStyle w:val="Hyperlink"/>
            <w:rFonts w:asciiTheme="majorHAnsi" w:hAnsiTheme="majorHAnsi" w:cstheme="majorHAnsi"/>
            <w:bCs/>
            <w:iCs/>
            <w:color w:val="auto"/>
            <w:lang w:val="en-US"/>
          </w:rPr>
          <w:t>https://doi.org/10.55248/gengpi.2022.3.2.13</w:t>
        </w:r>
      </w:hyperlink>
      <w:r w:rsidRPr="00B84250">
        <w:rPr>
          <w:rFonts w:asciiTheme="majorHAnsi" w:hAnsiTheme="majorHAnsi" w:cstheme="majorHAnsi"/>
          <w:bCs/>
          <w:iCs/>
          <w:lang w:val="en-US"/>
        </w:rPr>
        <w:t>.</w:t>
      </w:r>
    </w:p>
    <w:p w14:paraId="549EAAE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w:t>
      </w:r>
      <w:proofErr w:type="spellStart"/>
      <w:r w:rsidRPr="00B84250">
        <w:rPr>
          <w:rFonts w:asciiTheme="majorHAnsi" w:hAnsiTheme="majorHAnsi" w:cstheme="majorHAnsi"/>
          <w:iCs/>
        </w:rPr>
        <w:t>Ndoweka</w:t>
      </w:r>
      <w:proofErr w:type="spellEnd"/>
      <w:r w:rsidRPr="00B84250">
        <w:rPr>
          <w:rFonts w:asciiTheme="majorHAnsi" w:hAnsiTheme="majorHAnsi" w:cstheme="majorHAnsi"/>
          <w:iCs/>
        </w:rPr>
        <w:t xml:space="preserve">, B. N., </w:t>
      </w:r>
      <w:proofErr w:type="spellStart"/>
      <w:r w:rsidRPr="00B84250">
        <w:rPr>
          <w:rFonts w:asciiTheme="majorHAnsi" w:hAnsiTheme="majorHAnsi" w:cstheme="majorHAnsi"/>
          <w:iCs/>
        </w:rPr>
        <w:t>Sewando</w:t>
      </w:r>
      <w:proofErr w:type="spellEnd"/>
      <w:r w:rsidRPr="00B84250">
        <w:rPr>
          <w:rFonts w:asciiTheme="majorHAnsi" w:hAnsiTheme="majorHAnsi" w:cstheme="majorHAnsi"/>
          <w:iCs/>
        </w:rPr>
        <w:t xml:space="preserve">, P. T., &amp; Sule, P. M. (2023). Adoption of sustainable land management practices in Mbulu district, a semi-arid area in northern Tanzania. </w:t>
      </w:r>
      <w:r w:rsidRPr="00B84250">
        <w:rPr>
          <w:rFonts w:asciiTheme="majorHAnsi" w:hAnsiTheme="majorHAnsi" w:cstheme="majorHAnsi"/>
          <w:i/>
        </w:rPr>
        <w:t>Asian Journal of Environment &amp; Ecology</w:t>
      </w:r>
      <w:r w:rsidRPr="00B84250">
        <w:rPr>
          <w:rFonts w:asciiTheme="majorHAnsi" w:hAnsiTheme="majorHAnsi" w:cstheme="majorHAnsi"/>
          <w:iCs/>
        </w:rPr>
        <w:t xml:space="preserve">, 20(3), 36–47. </w:t>
      </w:r>
      <w:hyperlink r:id="rId24" w:history="1">
        <w:r w:rsidRPr="00B84250">
          <w:rPr>
            <w:rStyle w:val="Hyperlink"/>
            <w:rFonts w:asciiTheme="majorHAnsi" w:hAnsiTheme="majorHAnsi" w:cstheme="majorHAnsi"/>
            <w:iCs/>
            <w:color w:val="auto"/>
          </w:rPr>
          <w:t>https://doi.org/10.9734/ajee/2023/v20i3441</w:t>
        </w:r>
      </w:hyperlink>
      <w:r w:rsidRPr="00B84250">
        <w:rPr>
          <w:rFonts w:asciiTheme="majorHAnsi" w:hAnsiTheme="majorHAnsi" w:cstheme="majorHAnsi"/>
          <w:iCs/>
        </w:rPr>
        <w:t>.</w:t>
      </w:r>
    </w:p>
    <w:sectPr w:rsidR="009F7573" w:rsidRPr="00B84250" w:rsidSect="009F7573">
      <w:headerReference w:type="even" r:id="rId25"/>
      <w:headerReference w:type="default" r:id="rId26"/>
      <w:footerReference w:type="even" r:id="rId27"/>
      <w:footerReference w:type="default" r:id="rId28"/>
      <w:headerReference w:type="first" r:id="rId29"/>
      <w:footerReference w:type="first" r:id="rId30"/>
      <w:pgSz w:w="12240" w:h="15840"/>
      <w:pgMar w:top="99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66259" w14:textId="77777777" w:rsidR="00415433" w:rsidRDefault="00415433" w:rsidP="00FD00E3">
      <w:pPr>
        <w:spacing w:after="0" w:line="240" w:lineRule="auto"/>
      </w:pPr>
      <w:r>
        <w:separator/>
      </w:r>
    </w:p>
  </w:endnote>
  <w:endnote w:type="continuationSeparator" w:id="0">
    <w:p w14:paraId="67B094C3" w14:textId="77777777" w:rsidR="00415433" w:rsidRDefault="00415433" w:rsidP="00FD0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C1A6C" w14:textId="77777777" w:rsidR="00AA11B5" w:rsidRDefault="00AA1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3321" w14:textId="77777777" w:rsidR="00AA11B5" w:rsidRDefault="00AA1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D97B1" w14:textId="77777777" w:rsidR="00AA11B5" w:rsidRDefault="00AA1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CB03E" w14:textId="77777777" w:rsidR="00415433" w:rsidRDefault="00415433" w:rsidP="00FD00E3">
      <w:pPr>
        <w:spacing w:after="0" w:line="240" w:lineRule="auto"/>
      </w:pPr>
      <w:r>
        <w:separator/>
      </w:r>
    </w:p>
  </w:footnote>
  <w:footnote w:type="continuationSeparator" w:id="0">
    <w:p w14:paraId="245EE788" w14:textId="77777777" w:rsidR="00415433" w:rsidRDefault="00415433" w:rsidP="00FD0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CB74B" w14:textId="25A33449" w:rsidR="00AA11B5" w:rsidRDefault="00AA11B5">
    <w:pPr>
      <w:pStyle w:val="Header"/>
    </w:pPr>
    <w:r>
      <w:rPr>
        <w:noProof/>
      </w:rPr>
      <w:pict w14:anchorId="385165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6C64C" w14:textId="6BEFB528" w:rsidR="00AA11B5" w:rsidRDefault="00AA11B5">
    <w:pPr>
      <w:pStyle w:val="Header"/>
    </w:pPr>
    <w:r>
      <w:rPr>
        <w:noProof/>
      </w:rPr>
      <w:pict w14:anchorId="0A0E9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E10BD" w14:textId="0BB47098" w:rsidR="00AA11B5" w:rsidRDefault="00AA11B5">
    <w:pPr>
      <w:pStyle w:val="Header"/>
    </w:pPr>
    <w:r>
      <w:rPr>
        <w:noProof/>
      </w:rPr>
      <w:pict w14:anchorId="37C13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F1ADD"/>
    <w:multiLevelType w:val="hybridMultilevel"/>
    <w:tmpl w:val="7D40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90EA8"/>
    <w:multiLevelType w:val="multilevel"/>
    <w:tmpl w:val="0D82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7483A"/>
    <w:multiLevelType w:val="multilevel"/>
    <w:tmpl w:val="24FE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53DF1"/>
    <w:multiLevelType w:val="hybridMultilevel"/>
    <w:tmpl w:val="1B5AB39E"/>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4" w15:restartNumberingAfterBreak="0">
    <w:nsid w:val="358A2ED3"/>
    <w:multiLevelType w:val="multilevel"/>
    <w:tmpl w:val="17F0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37166F"/>
    <w:multiLevelType w:val="multilevel"/>
    <w:tmpl w:val="B3E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81101"/>
    <w:multiLevelType w:val="multilevel"/>
    <w:tmpl w:val="F3AA6C9C"/>
    <w:lvl w:ilvl="0">
      <w:start w:val="1"/>
      <w:numFmt w:val="decimal"/>
      <w:lvlText w:val="%1."/>
      <w:lvlJc w:val="left"/>
      <w:pPr>
        <w:ind w:left="389" w:hanging="243"/>
      </w:pPr>
      <w:rPr>
        <w:rFonts w:ascii="Cambria" w:eastAsia="Cambria" w:hAnsi="Cambria" w:cs="Cambria" w:hint="default"/>
        <w:b/>
        <w:bCs/>
        <w:i w:val="0"/>
        <w:iCs w:val="0"/>
        <w:spacing w:val="-4"/>
        <w:w w:val="100"/>
        <w:sz w:val="22"/>
        <w:szCs w:val="22"/>
        <w:lang w:val="en-US" w:eastAsia="en-US" w:bidi="ar-SA"/>
      </w:rPr>
    </w:lvl>
    <w:lvl w:ilvl="1">
      <w:start w:val="1"/>
      <w:numFmt w:val="decimal"/>
      <w:lvlText w:val="%1.%2."/>
      <w:lvlJc w:val="left"/>
      <w:pPr>
        <w:ind w:left="534" w:hanging="387"/>
      </w:pPr>
      <w:rPr>
        <w:rFonts w:ascii="Cambria" w:eastAsia="Cambria" w:hAnsi="Cambria" w:cs="Cambria" w:hint="default"/>
        <w:b/>
        <w:bCs/>
        <w:i w:val="0"/>
        <w:iCs w:val="0"/>
        <w:spacing w:val="0"/>
        <w:w w:val="97"/>
        <w:sz w:val="20"/>
        <w:szCs w:val="20"/>
        <w:lang w:val="en-US" w:eastAsia="en-US" w:bidi="ar-SA"/>
      </w:rPr>
    </w:lvl>
    <w:lvl w:ilvl="2">
      <w:start w:val="1"/>
      <w:numFmt w:val="decimal"/>
      <w:lvlText w:val="%1.%2.%3."/>
      <w:lvlJc w:val="left"/>
      <w:pPr>
        <w:ind w:left="637" w:hanging="491"/>
      </w:pPr>
      <w:rPr>
        <w:rFonts w:ascii="Cambria" w:eastAsia="Cambria" w:hAnsi="Cambria" w:cs="Cambria" w:hint="default"/>
        <w:b w:val="0"/>
        <w:bCs w:val="0"/>
        <w:i/>
        <w:iCs/>
        <w:spacing w:val="-1"/>
        <w:w w:val="97"/>
        <w:sz w:val="20"/>
        <w:szCs w:val="20"/>
        <w:lang w:val="en-US" w:eastAsia="en-US" w:bidi="ar-SA"/>
      </w:rPr>
    </w:lvl>
    <w:lvl w:ilvl="3">
      <w:numFmt w:val="bullet"/>
      <w:lvlText w:val="•"/>
      <w:lvlJc w:val="left"/>
      <w:pPr>
        <w:ind w:left="1858" w:hanging="491"/>
      </w:pPr>
      <w:rPr>
        <w:rFonts w:hint="default"/>
        <w:lang w:val="en-US" w:eastAsia="en-US" w:bidi="ar-SA"/>
      </w:rPr>
    </w:lvl>
    <w:lvl w:ilvl="4">
      <w:numFmt w:val="bullet"/>
      <w:lvlText w:val="•"/>
      <w:lvlJc w:val="left"/>
      <w:pPr>
        <w:ind w:left="3077" w:hanging="491"/>
      </w:pPr>
      <w:rPr>
        <w:rFonts w:hint="default"/>
        <w:lang w:val="en-US" w:eastAsia="en-US" w:bidi="ar-SA"/>
      </w:rPr>
    </w:lvl>
    <w:lvl w:ilvl="5">
      <w:numFmt w:val="bullet"/>
      <w:lvlText w:val="•"/>
      <w:lvlJc w:val="left"/>
      <w:pPr>
        <w:ind w:left="4296" w:hanging="491"/>
      </w:pPr>
      <w:rPr>
        <w:rFonts w:hint="default"/>
        <w:lang w:val="en-US" w:eastAsia="en-US" w:bidi="ar-SA"/>
      </w:rPr>
    </w:lvl>
    <w:lvl w:ilvl="6">
      <w:numFmt w:val="bullet"/>
      <w:lvlText w:val="•"/>
      <w:lvlJc w:val="left"/>
      <w:pPr>
        <w:ind w:left="5515" w:hanging="491"/>
      </w:pPr>
      <w:rPr>
        <w:rFonts w:hint="default"/>
        <w:lang w:val="en-US" w:eastAsia="en-US" w:bidi="ar-SA"/>
      </w:rPr>
    </w:lvl>
    <w:lvl w:ilvl="7">
      <w:numFmt w:val="bullet"/>
      <w:lvlText w:val="•"/>
      <w:lvlJc w:val="left"/>
      <w:pPr>
        <w:ind w:left="6734" w:hanging="491"/>
      </w:pPr>
      <w:rPr>
        <w:rFonts w:hint="default"/>
        <w:lang w:val="en-US" w:eastAsia="en-US" w:bidi="ar-SA"/>
      </w:rPr>
    </w:lvl>
    <w:lvl w:ilvl="8">
      <w:numFmt w:val="bullet"/>
      <w:lvlText w:val="•"/>
      <w:lvlJc w:val="left"/>
      <w:pPr>
        <w:ind w:left="7953" w:hanging="491"/>
      </w:pPr>
      <w:rPr>
        <w:rFonts w:hint="default"/>
        <w:lang w:val="en-US" w:eastAsia="en-US" w:bidi="ar-SA"/>
      </w:rPr>
    </w:lvl>
  </w:abstractNum>
  <w:abstractNum w:abstractNumId="7" w15:restartNumberingAfterBreak="0">
    <w:nsid w:val="4865061A"/>
    <w:multiLevelType w:val="multilevel"/>
    <w:tmpl w:val="7152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E75DE"/>
    <w:multiLevelType w:val="hybridMultilevel"/>
    <w:tmpl w:val="8CD8E2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F16B2D"/>
    <w:multiLevelType w:val="multilevel"/>
    <w:tmpl w:val="BA2A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533AD"/>
    <w:multiLevelType w:val="hybridMultilevel"/>
    <w:tmpl w:val="45368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913535">
    <w:abstractNumId w:val="7"/>
  </w:num>
  <w:num w:numId="2" w16cid:durableId="275411619">
    <w:abstractNumId w:val="5"/>
  </w:num>
  <w:num w:numId="3" w16cid:durableId="1516648733">
    <w:abstractNumId w:val="2"/>
  </w:num>
  <w:num w:numId="4" w16cid:durableId="462701342">
    <w:abstractNumId w:val="1"/>
  </w:num>
  <w:num w:numId="5" w16cid:durableId="304553871">
    <w:abstractNumId w:val="0"/>
  </w:num>
  <w:num w:numId="6" w16cid:durableId="961614310">
    <w:abstractNumId w:val="4"/>
  </w:num>
  <w:num w:numId="7" w16cid:durableId="1530798113">
    <w:abstractNumId w:val="6"/>
  </w:num>
  <w:num w:numId="8" w16cid:durableId="1318338260">
    <w:abstractNumId w:val="9"/>
  </w:num>
  <w:num w:numId="9" w16cid:durableId="271742876">
    <w:abstractNumId w:val="10"/>
  </w:num>
  <w:num w:numId="10" w16cid:durableId="2109498999">
    <w:abstractNumId w:val="8"/>
  </w:num>
  <w:num w:numId="11" w16cid:durableId="1822698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B9"/>
    <w:rsid w:val="00000394"/>
    <w:rsid w:val="000013C4"/>
    <w:rsid w:val="00001B89"/>
    <w:rsid w:val="00001BAB"/>
    <w:rsid w:val="00002CE1"/>
    <w:rsid w:val="00010042"/>
    <w:rsid w:val="00012E84"/>
    <w:rsid w:val="00013F2E"/>
    <w:rsid w:val="00021CA8"/>
    <w:rsid w:val="00022E9E"/>
    <w:rsid w:val="0002451F"/>
    <w:rsid w:val="00025975"/>
    <w:rsid w:val="00025D7D"/>
    <w:rsid w:val="00025F12"/>
    <w:rsid w:val="0003374F"/>
    <w:rsid w:val="000362B6"/>
    <w:rsid w:val="000422F1"/>
    <w:rsid w:val="0004444E"/>
    <w:rsid w:val="00044BD4"/>
    <w:rsid w:val="0004579A"/>
    <w:rsid w:val="000523E0"/>
    <w:rsid w:val="00053320"/>
    <w:rsid w:val="00054D4D"/>
    <w:rsid w:val="000614EA"/>
    <w:rsid w:val="00064CB4"/>
    <w:rsid w:val="00066800"/>
    <w:rsid w:val="00067772"/>
    <w:rsid w:val="000705D7"/>
    <w:rsid w:val="00071FAE"/>
    <w:rsid w:val="00073707"/>
    <w:rsid w:val="00075C61"/>
    <w:rsid w:val="000852B9"/>
    <w:rsid w:val="00087561"/>
    <w:rsid w:val="0009208F"/>
    <w:rsid w:val="00094006"/>
    <w:rsid w:val="000A6F69"/>
    <w:rsid w:val="000A7A92"/>
    <w:rsid w:val="000B1EBC"/>
    <w:rsid w:val="000B407D"/>
    <w:rsid w:val="000C259C"/>
    <w:rsid w:val="000C6F32"/>
    <w:rsid w:val="000D1267"/>
    <w:rsid w:val="000D43F5"/>
    <w:rsid w:val="000E44BD"/>
    <w:rsid w:val="000E7DD3"/>
    <w:rsid w:val="000F4717"/>
    <w:rsid w:val="000F5E29"/>
    <w:rsid w:val="000F64B3"/>
    <w:rsid w:val="0010543B"/>
    <w:rsid w:val="00105F25"/>
    <w:rsid w:val="00112DAF"/>
    <w:rsid w:val="00113F78"/>
    <w:rsid w:val="001204BA"/>
    <w:rsid w:val="001205DB"/>
    <w:rsid w:val="00122DA0"/>
    <w:rsid w:val="00124CAF"/>
    <w:rsid w:val="00125DA1"/>
    <w:rsid w:val="001325D7"/>
    <w:rsid w:val="00133249"/>
    <w:rsid w:val="00140224"/>
    <w:rsid w:val="001442E0"/>
    <w:rsid w:val="00146F45"/>
    <w:rsid w:val="001511EA"/>
    <w:rsid w:val="00156BAE"/>
    <w:rsid w:val="00164769"/>
    <w:rsid w:val="001670F2"/>
    <w:rsid w:val="00172D78"/>
    <w:rsid w:val="00175C05"/>
    <w:rsid w:val="00175ED6"/>
    <w:rsid w:val="00186EFE"/>
    <w:rsid w:val="0018767F"/>
    <w:rsid w:val="0019019F"/>
    <w:rsid w:val="00193561"/>
    <w:rsid w:val="0019630D"/>
    <w:rsid w:val="00197612"/>
    <w:rsid w:val="001A1A7C"/>
    <w:rsid w:val="001A29BC"/>
    <w:rsid w:val="001A30F5"/>
    <w:rsid w:val="001A6A5A"/>
    <w:rsid w:val="001A73AE"/>
    <w:rsid w:val="001B026D"/>
    <w:rsid w:val="001B5DAF"/>
    <w:rsid w:val="001C1241"/>
    <w:rsid w:val="001C1DF7"/>
    <w:rsid w:val="001C2ADD"/>
    <w:rsid w:val="001D0C0D"/>
    <w:rsid w:val="001D7640"/>
    <w:rsid w:val="001D7BBD"/>
    <w:rsid w:val="001E08A2"/>
    <w:rsid w:val="001E71B9"/>
    <w:rsid w:val="001E7236"/>
    <w:rsid w:val="001F28DB"/>
    <w:rsid w:val="001F468A"/>
    <w:rsid w:val="0020591A"/>
    <w:rsid w:val="00212425"/>
    <w:rsid w:val="002154F1"/>
    <w:rsid w:val="00217B2B"/>
    <w:rsid w:val="002307CB"/>
    <w:rsid w:val="00235B83"/>
    <w:rsid w:val="00241F20"/>
    <w:rsid w:val="00242CFF"/>
    <w:rsid w:val="00246088"/>
    <w:rsid w:val="0025123D"/>
    <w:rsid w:val="0025609D"/>
    <w:rsid w:val="00256E21"/>
    <w:rsid w:val="00266456"/>
    <w:rsid w:val="00267D23"/>
    <w:rsid w:val="002743BC"/>
    <w:rsid w:val="00280818"/>
    <w:rsid w:val="00281E21"/>
    <w:rsid w:val="00282C5D"/>
    <w:rsid w:val="00287641"/>
    <w:rsid w:val="00291026"/>
    <w:rsid w:val="00297B96"/>
    <w:rsid w:val="002A1843"/>
    <w:rsid w:val="002A1BD7"/>
    <w:rsid w:val="002A4529"/>
    <w:rsid w:val="002A78A9"/>
    <w:rsid w:val="002B0C44"/>
    <w:rsid w:val="002B0DB8"/>
    <w:rsid w:val="002B2842"/>
    <w:rsid w:val="002C5D4B"/>
    <w:rsid w:val="002D2A14"/>
    <w:rsid w:val="002D3AAA"/>
    <w:rsid w:val="002D7206"/>
    <w:rsid w:val="002E2C71"/>
    <w:rsid w:val="002F05D7"/>
    <w:rsid w:val="002F08A5"/>
    <w:rsid w:val="002F3400"/>
    <w:rsid w:val="00301353"/>
    <w:rsid w:val="00303D3D"/>
    <w:rsid w:val="00311E0A"/>
    <w:rsid w:val="0031273B"/>
    <w:rsid w:val="00313129"/>
    <w:rsid w:val="00321723"/>
    <w:rsid w:val="00325A2B"/>
    <w:rsid w:val="00326880"/>
    <w:rsid w:val="00330A9D"/>
    <w:rsid w:val="00333D06"/>
    <w:rsid w:val="0034076D"/>
    <w:rsid w:val="00340E61"/>
    <w:rsid w:val="0034341C"/>
    <w:rsid w:val="00344DA8"/>
    <w:rsid w:val="003521E9"/>
    <w:rsid w:val="00356152"/>
    <w:rsid w:val="003561D4"/>
    <w:rsid w:val="0035693D"/>
    <w:rsid w:val="00356C7C"/>
    <w:rsid w:val="00363DE3"/>
    <w:rsid w:val="00366171"/>
    <w:rsid w:val="0037323A"/>
    <w:rsid w:val="00375BB8"/>
    <w:rsid w:val="003872B3"/>
    <w:rsid w:val="003903DE"/>
    <w:rsid w:val="00392082"/>
    <w:rsid w:val="003A17B0"/>
    <w:rsid w:val="003A4625"/>
    <w:rsid w:val="003B25C9"/>
    <w:rsid w:val="003B5B31"/>
    <w:rsid w:val="003B7FEF"/>
    <w:rsid w:val="003C0F63"/>
    <w:rsid w:val="003C1DCE"/>
    <w:rsid w:val="003C4590"/>
    <w:rsid w:val="003D1652"/>
    <w:rsid w:val="003D3E67"/>
    <w:rsid w:val="003D7E6B"/>
    <w:rsid w:val="003E3DAD"/>
    <w:rsid w:val="003E5FE9"/>
    <w:rsid w:val="003E6136"/>
    <w:rsid w:val="003E72F8"/>
    <w:rsid w:val="003F2F63"/>
    <w:rsid w:val="003F6EE6"/>
    <w:rsid w:val="003F7566"/>
    <w:rsid w:val="00401F5B"/>
    <w:rsid w:val="0040773A"/>
    <w:rsid w:val="00407881"/>
    <w:rsid w:val="00410C1A"/>
    <w:rsid w:val="00412624"/>
    <w:rsid w:val="00415433"/>
    <w:rsid w:val="0042184C"/>
    <w:rsid w:val="00423B5D"/>
    <w:rsid w:val="00427717"/>
    <w:rsid w:val="004318D7"/>
    <w:rsid w:val="00434C26"/>
    <w:rsid w:val="00435552"/>
    <w:rsid w:val="00442144"/>
    <w:rsid w:val="004438C6"/>
    <w:rsid w:val="004463F7"/>
    <w:rsid w:val="00461DE0"/>
    <w:rsid w:val="00484DBC"/>
    <w:rsid w:val="00484FEB"/>
    <w:rsid w:val="004863F7"/>
    <w:rsid w:val="00492387"/>
    <w:rsid w:val="00492CC9"/>
    <w:rsid w:val="00494BB4"/>
    <w:rsid w:val="004A7863"/>
    <w:rsid w:val="004B0A1D"/>
    <w:rsid w:val="004B34F6"/>
    <w:rsid w:val="004B36BE"/>
    <w:rsid w:val="004C5846"/>
    <w:rsid w:val="004D2EA9"/>
    <w:rsid w:val="004D2F94"/>
    <w:rsid w:val="004D4314"/>
    <w:rsid w:val="004E3ADB"/>
    <w:rsid w:val="004E5083"/>
    <w:rsid w:val="004E6FDD"/>
    <w:rsid w:val="004F7C57"/>
    <w:rsid w:val="0050445C"/>
    <w:rsid w:val="00504D1C"/>
    <w:rsid w:val="005078D9"/>
    <w:rsid w:val="00507F3A"/>
    <w:rsid w:val="00510F21"/>
    <w:rsid w:val="00511160"/>
    <w:rsid w:val="00512C9A"/>
    <w:rsid w:val="005143AF"/>
    <w:rsid w:val="00515E11"/>
    <w:rsid w:val="005218ED"/>
    <w:rsid w:val="005234EE"/>
    <w:rsid w:val="00526BB7"/>
    <w:rsid w:val="00527F0C"/>
    <w:rsid w:val="00533790"/>
    <w:rsid w:val="00534AD1"/>
    <w:rsid w:val="00540147"/>
    <w:rsid w:val="005417A5"/>
    <w:rsid w:val="00542F91"/>
    <w:rsid w:val="0054789E"/>
    <w:rsid w:val="00556964"/>
    <w:rsid w:val="00556EFE"/>
    <w:rsid w:val="00561640"/>
    <w:rsid w:val="00567002"/>
    <w:rsid w:val="00572FC0"/>
    <w:rsid w:val="00574E80"/>
    <w:rsid w:val="0057670C"/>
    <w:rsid w:val="00576BB8"/>
    <w:rsid w:val="00576CBC"/>
    <w:rsid w:val="00581AEC"/>
    <w:rsid w:val="00587FCB"/>
    <w:rsid w:val="00593813"/>
    <w:rsid w:val="005967A0"/>
    <w:rsid w:val="005B3AA1"/>
    <w:rsid w:val="005B661C"/>
    <w:rsid w:val="005B7586"/>
    <w:rsid w:val="005C2302"/>
    <w:rsid w:val="005C2E7E"/>
    <w:rsid w:val="005D1DAC"/>
    <w:rsid w:val="005E0312"/>
    <w:rsid w:val="005F05DD"/>
    <w:rsid w:val="005F4EF3"/>
    <w:rsid w:val="00607772"/>
    <w:rsid w:val="00607A30"/>
    <w:rsid w:val="0061235E"/>
    <w:rsid w:val="0061775F"/>
    <w:rsid w:val="00634BA6"/>
    <w:rsid w:val="00637D42"/>
    <w:rsid w:val="0064256E"/>
    <w:rsid w:val="0064353F"/>
    <w:rsid w:val="00643DE0"/>
    <w:rsid w:val="00646180"/>
    <w:rsid w:val="00651BAC"/>
    <w:rsid w:val="0065213C"/>
    <w:rsid w:val="0065304A"/>
    <w:rsid w:val="006603CC"/>
    <w:rsid w:val="00661D9D"/>
    <w:rsid w:val="00671C47"/>
    <w:rsid w:val="0067347F"/>
    <w:rsid w:val="00681632"/>
    <w:rsid w:val="00683644"/>
    <w:rsid w:val="0068467A"/>
    <w:rsid w:val="00685A45"/>
    <w:rsid w:val="00686021"/>
    <w:rsid w:val="0068772C"/>
    <w:rsid w:val="00687D65"/>
    <w:rsid w:val="006955C2"/>
    <w:rsid w:val="0069693A"/>
    <w:rsid w:val="006A0200"/>
    <w:rsid w:val="006A2D1F"/>
    <w:rsid w:val="006A3A8B"/>
    <w:rsid w:val="006A497A"/>
    <w:rsid w:val="006A5955"/>
    <w:rsid w:val="006B07DA"/>
    <w:rsid w:val="006B3B14"/>
    <w:rsid w:val="006B5853"/>
    <w:rsid w:val="006B770F"/>
    <w:rsid w:val="006C498E"/>
    <w:rsid w:val="006C4A0A"/>
    <w:rsid w:val="006C6DCF"/>
    <w:rsid w:val="006D0426"/>
    <w:rsid w:val="006D5F15"/>
    <w:rsid w:val="006D7EBB"/>
    <w:rsid w:val="006E108E"/>
    <w:rsid w:val="006E2358"/>
    <w:rsid w:val="006E3778"/>
    <w:rsid w:val="006E48AF"/>
    <w:rsid w:val="006E7925"/>
    <w:rsid w:val="006F1B23"/>
    <w:rsid w:val="00703F7A"/>
    <w:rsid w:val="007067BF"/>
    <w:rsid w:val="0071083E"/>
    <w:rsid w:val="0071092C"/>
    <w:rsid w:val="00716157"/>
    <w:rsid w:val="00721B71"/>
    <w:rsid w:val="00733EE4"/>
    <w:rsid w:val="0073453A"/>
    <w:rsid w:val="0073639A"/>
    <w:rsid w:val="0073686B"/>
    <w:rsid w:val="00742750"/>
    <w:rsid w:val="00742DE6"/>
    <w:rsid w:val="0074335C"/>
    <w:rsid w:val="0075050E"/>
    <w:rsid w:val="00752A5F"/>
    <w:rsid w:val="00752C2A"/>
    <w:rsid w:val="00752D1B"/>
    <w:rsid w:val="007568B2"/>
    <w:rsid w:val="0075693C"/>
    <w:rsid w:val="00770383"/>
    <w:rsid w:val="00777DD7"/>
    <w:rsid w:val="00785598"/>
    <w:rsid w:val="00790523"/>
    <w:rsid w:val="0079077D"/>
    <w:rsid w:val="00794E80"/>
    <w:rsid w:val="00795AC0"/>
    <w:rsid w:val="0079662F"/>
    <w:rsid w:val="007969CF"/>
    <w:rsid w:val="007A0FE4"/>
    <w:rsid w:val="007A1994"/>
    <w:rsid w:val="007A3209"/>
    <w:rsid w:val="007A4ACA"/>
    <w:rsid w:val="007A5221"/>
    <w:rsid w:val="007A5856"/>
    <w:rsid w:val="007A7E7A"/>
    <w:rsid w:val="007B036D"/>
    <w:rsid w:val="007B04F3"/>
    <w:rsid w:val="007B1699"/>
    <w:rsid w:val="007B2046"/>
    <w:rsid w:val="007B3B45"/>
    <w:rsid w:val="007B49B0"/>
    <w:rsid w:val="007B5332"/>
    <w:rsid w:val="007C02FF"/>
    <w:rsid w:val="007C3923"/>
    <w:rsid w:val="007C4100"/>
    <w:rsid w:val="007C4983"/>
    <w:rsid w:val="007C55CA"/>
    <w:rsid w:val="007D0921"/>
    <w:rsid w:val="007D0937"/>
    <w:rsid w:val="007D5624"/>
    <w:rsid w:val="007D569F"/>
    <w:rsid w:val="007E35F3"/>
    <w:rsid w:val="007E3A7F"/>
    <w:rsid w:val="007E7037"/>
    <w:rsid w:val="007E7E2D"/>
    <w:rsid w:val="007F06B3"/>
    <w:rsid w:val="007F6578"/>
    <w:rsid w:val="00814EEC"/>
    <w:rsid w:val="008165BC"/>
    <w:rsid w:val="0082472F"/>
    <w:rsid w:val="008334B3"/>
    <w:rsid w:val="00834B9B"/>
    <w:rsid w:val="00834C4B"/>
    <w:rsid w:val="008363D8"/>
    <w:rsid w:val="00842881"/>
    <w:rsid w:val="008432FE"/>
    <w:rsid w:val="00846C3A"/>
    <w:rsid w:val="00853919"/>
    <w:rsid w:val="008552AB"/>
    <w:rsid w:val="00857373"/>
    <w:rsid w:val="00864562"/>
    <w:rsid w:val="008749A5"/>
    <w:rsid w:val="00875FE2"/>
    <w:rsid w:val="00876C90"/>
    <w:rsid w:val="00880A8D"/>
    <w:rsid w:val="00880D9C"/>
    <w:rsid w:val="0088702E"/>
    <w:rsid w:val="00887ED5"/>
    <w:rsid w:val="0089622E"/>
    <w:rsid w:val="00897AC1"/>
    <w:rsid w:val="008A1E1F"/>
    <w:rsid w:val="008B18F8"/>
    <w:rsid w:val="008B3A10"/>
    <w:rsid w:val="008C541F"/>
    <w:rsid w:val="008C6B5A"/>
    <w:rsid w:val="008D159F"/>
    <w:rsid w:val="008D1B84"/>
    <w:rsid w:val="008D3EDF"/>
    <w:rsid w:val="008E00C3"/>
    <w:rsid w:val="008E0E20"/>
    <w:rsid w:val="008E6021"/>
    <w:rsid w:val="008F735C"/>
    <w:rsid w:val="00906F34"/>
    <w:rsid w:val="00906F9B"/>
    <w:rsid w:val="00911955"/>
    <w:rsid w:val="0091263B"/>
    <w:rsid w:val="00915678"/>
    <w:rsid w:val="0092695E"/>
    <w:rsid w:val="0092724B"/>
    <w:rsid w:val="00927326"/>
    <w:rsid w:val="00930BCA"/>
    <w:rsid w:val="00942C04"/>
    <w:rsid w:val="00955AC4"/>
    <w:rsid w:val="0095695A"/>
    <w:rsid w:val="00956C75"/>
    <w:rsid w:val="00957C95"/>
    <w:rsid w:val="00960EA5"/>
    <w:rsid w:val="00961247"/>
    <w:rsid w:val="009619E2"/>
    <w:rsid w:val="00962A91"/>
    <w:rsid w:val="0096427A"/>
    <w:rsid w:val="009665AC"/>
    <w:rsid w:val="00970CA4"/>
    <w:rsid w:val="0097228B"/>
    <w:rsid w:val="009751F9"/>
    <w:rsid w:val="00976525"/>
    <w:rsid w:val="009779A4"/>
    <w:rsid w:val="00983F7A"/>
    <w:rsid w:val="009917A6"/>
    <w:rsid w:val="00992BB1"/>
    <w:rsid w:val="009931E0"/>
    <w:rsid w:val="00994608"/>
    <w:rsid w:val="009A2A92"/>
    <w:rsid w:val="009A4B92"/>
    <w:rsid w:val="009C3F35"/>
    <w:rsid w:val="009C5D49"/>
    <w:rsid w:val="009D6722"/>
    <w:rsid w:val="009E0F9A"/>
    <w:rsid w:val="009E15AB"/>
    <w:rsid w:val="009F599F"/>
    <w:rsid w:val="009F7367"/>
    <w:rsid w:val="009F7573"/>
    <w:rsid w:val="009F76B1"/>
    <w:rsid w:val="009F7AC2"/>
    <w:rsid w:val="00A05739"/>
    <w:rsid w:val="00A12F0A"/>
    <w:rsid w:val="00A13285"/>
    <w:rsid w:val="00A14AB7"/>
    <w:rsid w:val="00A14D7C"/>
    <w:rsid w:val="00A241C2"/>
    <w:rsid w:val="00A26218"/>
    <w:rsid w:val="00A30BC4"/>
    <w:rsid w:val="00A32974"/>
    <w:rsid w:val="00A37242"/>
    <w:rsid w:val="00A41F43"/>
    <w:rsid w:val="00A42AED"/>
    <w:rsid w:val="00A47EA7"/>
    <w:rsid w:val="00A50EAC"/>
    <w:rsid w:val="00A54122"/>
    <w:rsid w:val="00A661C8"/>
    <w:rsid w:val="00A70957"/>
    <w:rsid w:val="00A71F4C"/>
    <w:rsid w:val="00A731FD"/>
    <w:rsid w:val="00A80C05"/>
    <w:rsid w:val="00AA11B5"/>
    <w:rsid w:val="00AA133C"/>
    <w:rsid w:val="00AA1CED"/>
    <w:rsid w:val="00AA3082"/>
    <w:rsid w:val="00AA7637"/>
    <w:rsid w:val="00AB01C0"/>
    <w:rsid w:val="00AB75A8"/>
    <w:rsid w:val="00AC22C4"/>
    <w:rsid w:val="00AC259E"/>
    <w:rsid w:val="00AC299E"/>
    <w:rsid w:val="00AC5BC8"/>
    <w:rsid w:val="00AC5C0E"/>
    <w:rsid w:val="00AD01A0"/>
    <w:rsid w:val="00AD29EA"/>
    <w:rsid w:val="00AE3B51"/>
    <w:rsid w:val="00AE4E4A"/>
    <w:rsid w:val="00AF1EF4"/>
    <w:rsid w:val="00AF4DD9"/>
    <w:rsid w:val="00AF5140"/>
    <w:rsid w:val="00AF66D8"/>
    <w:rsid w:val="00B04702"/>
    <w:rsid w:val="00B13DA9"/>
    <w:rsid w:val="00B17030"/>
    <w:rsid w:val="00B20C4A"/>
    <w:rsid w:val="00B2418C"/>
    <w:rsid w:val="00B2581D"/>
    <w:rsid w:val="00B278A7"/>
    <w:rsid w:val="00B307C8"/>
    <w:rsid w:val="00B34D38"/>
    <w:rsid w:val="00B35152"/>
    <w:rsid w:val="00B363F1"/>
    <w:rsid w:val="00B415E3"/>
    <w:rsid w:val="00B46CAB"/>
    <w:rsid w:val="00B479A5"/>
    <w:rsid w:val="00B51744"/>
    <w:rsid w:val="00B539DB"/>
    <w:rsid w:val="00B558BB"/>
    <w:rsid w:val="00B638C4"/>
    <w:rsid w:val="00B755A1"/>
    <w:rsid w:val="00B7774D"/>
    <w:rsid w:val="00B837A1"/>
    <w:rsid w:val="00B84250"/>
    <w:rsid w:val="00B87BAD"/>
    <w:rsid w:val="00B91268"/>
    <w:rsid w:val="00B913FD"/>
    <w:rsid w:val="00B955F2"/>
    <w:rsid w:val="00B96E6C"/>
    <w:rsid w:val="00B9762B"/>
    <w:rsid w:val="00BA25DD"/>
    <w:rsid w:val="00BA4DF3"/>
    <w:rsid w:val="00BA5ED0"/>
    <w:rsid w:val="00BA6E43"/>
    <w:rsid w:val="00BB05EB"/>
    <w:rsid w:val="00BB2320"/>
    <w:rsid w:val="00BB242E"/>
    <w:rsid w:val="00BC0DA6"/>
    <w:rsid w:val="00BC70AE"/>
    <w:rsid w:val="00BD0E61"/>
    <w:rsid w:val="00BD25DD"/>
    <w:rsid w:val="00BD363D"/>
    <w:rsid w:val="00BD3B8B"/>
    <w:rsid w:val="00BD717D"/>
    <w:rsid w:val="00BE7273"/>
    <w:rsid w:val="00BE7F1F"/>
    <w:rsid w:val="00BF454C"/>
    <w:rsid w:val="00C10A02"/>
    <w:rsid w:val="00C10E82"/>
    <w:rsid w:val="00C23557"/>
    <w:rsid w:val="00C25770"/>
    <w:rsid w:val="00C25AEC"/>
    <w:rsid w:val="00C35BF4"/>
    <w:rsid w:val="00C42A8A"/>
    <w:rsid w:val="00C505F0"/>
    <w:rsid w:val="00C50675"/>
    <w:rsid w:val="00C50A1F"/>
    <w:rsid w:val="00C53202"/>
    <w:rsid w:val="00C55F0B"/>
    <w:rsid w:val="00C64B66"/>
    <w:rsid w:val="00C71CFA"/>
    <w:rsid w:val="00C815B8"/>
    <w:rsid w:val="00C84105"/>
    <w:rsid w:val="00C8559D"/>
    <w:rsid w:val="00C90BA1"/>
    <w:rsid w:val="00CA0C1A"/>
    <w:rsid w:val="00CA1739"/>
    <w:rsid w:val="00CA26C3"/>
    <w:rsid w:val="00CA3660"/>
    <w:rsid w:val="00CA62D4"/>
    <w:rsid w:val="00CB16CF"/>
    <w:rsid w:val="00CB48D9"/>
    <w:rsid w:val="00CB4A25"/>
    <w:rsid w:val="00CC19B9"/>
    <w:rsid w:val="00CC245A"/>
    <w:rsid w:val="00CC57F9"/>
    <w:rsid w:val="00CD0764"/>
    <w:rsid w:val="00CD29D7"/>
    <w:rsid w:val="00CE1358"/>
    <w:rsid w:val="00CE4AF1"/>
    <w:rsid w:val="00D0696E"/>
    <w:rsid w:val="00D07EDE"/>
    <w:rsid w:val="00D1042E"/>
    <w:rsid w:val="00D13581"/>
    <w:rsid w:val="00D16716"/>
    <w:rsid w:val="00D16891"/>
    <w:rsid w:val="00D17EA1"/>
    <w:rsid w:val="00D20BF3"/>
    <w:rsid w:val="00D20F3C"/>
    <w:rsid w:val="00D21669"/>
    <w:rsid w:val="00D237AB"/>
    <w:rsid w:val="00D25E11"/>
    <w:rsid w:val="00D27271"/>
    <w:rsid w:val="00D33D2E"/>
    <w:rsid w:val="00D373F5"/>
    <w:rsid w:val="00D4218E"/>
    <w:rsid w:val="00D44C34"/>
    <w:rsid w:val="00D54364"/>
    <w:rsid w:val="00D5776D"/>
    <w:rsid w:val="00D60E98"/>
    <w:rsid w:val="00D64E62"/>
    <w:rsid w:val="00D74D48"/>
    <w:rsid w:val="00D74D8D"/>
    <w:rsid w:val="00D82691"/>
    <w:rsid w:val="00D84CC2"/>
    <w:rsid w:val="00D85F55"/>
    <w:rsid w:val="00D90CAC"/>
    <w:rsid w:val="00D90CD4"/>
    <w:rsid w:val="00D947E7"/>
    <w:rsid w:val="00DA2B71"/>
    <w:rsid w:val="00DA3148"/>
    <w:rsid w:val="00DA4587"/>
    <w:rsid w:val="00DA7935"/>
    <w:rsid w:val="00DB715C"/>
    <w:rsid w:val="00DC1319"/>
    <w:rsid w:val="00DC1D3D"/>
    <w:rsid w:val="00DC2AC2"/>
    <w:rsid w:val="00DC2B0C"/>
    <w:rsid w:val="00DC3E06"/>
    <w:rsid w:val="00DC617B"/>
    <w:rsid w:val="00DF3B08"/>
    <w:rsid w:val="00E0305C"/>
    <w:rsid w:val="00E043FE"/>
    <w:rsid w:val="00E05199"/>
    <w:rsid w:val="00E055F2"/>
    <w:rsid w:val="00E13605"/>
    <w:rsid w:val="00E16538"/>
    <w:rsid w:val="00E24DB9"/>
    <w:rsid w:val="00E2598C"/>
    <w:rsid w:val="00E26134"/>
    <w:rsid w:val="00E26236"/>
    <w:rsid w:val="00E3168A"/>
    <w:rsid w:val="00E32ACB"/>
    <w:rsid w:val="00E33172"/>
    <w:rsid w:val="00E35F86"/>
    <w:rsid w:val="00E36C60"/>
    <w:rsid w:val="00E36CD5"/>
    <w:rsid w:val="00E5154D"/>
    <w:rsid w:val="00E61980"/>
    <w:rsid w:val="00E635A4"/>
    <w:rsid w:val="00E63A87"/>
    <w:rsid w:val="00E65142"/>
    <w:rsid w:val="00E659E7"/>
    <w:rsid w:val="00E662BB"/>
    <w:rsid w:val="00E67F61"/>
    <w:rsid w:val="00E724AC"/>
    <w:rsid w:val="00E725F7"/>
    <w:rsid w:val="00E75550"/>
    <w:rsid w:val="00E761CD"/>
    <w:rsid w:val="00E80BB5"/>
    <w:rsid w:val="00E85DA2"/>
    <w:rsid w:val="00E906F1"/>
    <w:rsid w:val="00E919F0"/>
    <w:rsid w:val="00E97A1C"/>
    <w:rsid w:val="00EA021D"/>
    <w:rsid w:val="00EB035D"/>
    <w:rsid w:val="00EB2F54"/>
    <w:rsid w:val="00EB2FD7"/>
    <w:rsid w:val="00EB4239"/>
    <w:rsid w:val="00EC4F7C"/>
    <w:rsid w:val="00EC66BD"/>
    <w:rsid w:val="00EC6D0C"/>
    <w:rsid w:val="00ED48E7"/>
    <w:rsid w:val="00EE0266"/>
    <w:rsid w:val="00EE398D"/>
    <w:rsid w:val="00EE3C4F"/>
    <w:rsid w:val="00EE4810"/>
    <w:rsid w:val="00EE79F9"/>
    <w:rsid w:val="00EE7D91"/>
    <w:rsid w:val="00F01A99"/>
    <w:rsid w:val="00F0390F"/>
    <w:rsid w:val="00F05754"/>
    <w:rsid w:val="00F11F7B"/>
    <w:rsid w:val="00F152E8"/>
    <w:rsid w:val="00F24B89"/>
    <w:rsid w:val="00F27927"/>
    <w:rsid w:val="00F27FA3"/>
    <w:rsid w:val="00F326B1"/>
    <w:rsid w:val="00F40A49"/>
    <w:rsid w:val="00F41FA2"/>
    <w:rsid w:val="00F462E4"/>
    <w:rsid w:val="00F52487"/>
    <w:rsid w:val="00F62E28"/>
    <w:rsid w:val="00F63405"/>
    <w:rsid w:val="00F63EA2"/>
    <w:rsid w:val="00F650AF"/>
    <w:rsid w:val="00F654FA"/>
    <w:rsid w:val="00F72AF8"/>
    <w:rsid w:val="00F76B7C"/>
    <w:rsid w:val="00F82602"/>
    <w:rsid w:val="00F83AAD"/>
    <w:rsid w:val="00F86585"/>
    <w:rsid w:val="00F93D13"/>
    <w:rsid w:val="00F946A6"/>
    <w:rsid w:val="00FA1324"/>
    <w:rsid w:val="00FA58BD"/>
    <w:rsid w:val="00FA5AAC"/>
    <w:rsid w:val="00FA701B"/>
    <w:rsid w:val="00FA74C3"/>
    <w:rsid w:val="00FB120B"/>
    <w:rsid w:val="00FC1805"/>
    <w:rsid w:val="00FD00E3"/>
    <w:rsid w:val="00FE1B7E"/>
    <w:rsid w:val="00FE53EC"/>
    <w:rsid w:val="00FE570E"/>
    <w:rsid w:val="00FE5E5B"/>
    <w:rsid w:val="00FF1373"/>
    <w:rsid w:val="00FF218E"/>
    <w:rsid w:val="00FF71D0"/>
    <w:rsid w:val="00FF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DCC45"/>
  <w15:chartTrackingRefBased/>
  <w15:docId w15:val="{377ACC50-BBFB-4CBE-A737-1520837C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0E3"/>
  </w:style>
  <w:style w:type="paragraph" w:styleId="Footer">
    <w:name w:val="footer"/>
    <w:basedOn w:val="Normal"/>
    <w:link w:val="FooterChar"/>
    <w:uiPriority w:val="99"/>
    <w:unhideWhenUsed/>
    <w:rsid w:val="00FD0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0E3"/>
  </w:style>
  <w:style w:type="character" w:styleId="Hyperlink">
    <w:name w:val="Hyperlink"/>
    <w:basedOn w:val="DefaultParagraphFont"/>
    <w:uiPriority w:val="99"/>
    <w:unhideWhenUsed/>
    <w:rsid w:val="00F0390F"/>
    <w:rPr>
      <w:color w:val="0563C1" w:themeColor="hyperlink"/>
      <w:u w:val="single"/>
    </w:rPr>
  </w:style>
  <w:style w:type="paragraph" w:styleId="ListParagraph">
    <w:name w:val="List Paragraph"/>
    <w:basedOn w:val="Normal"/>
    <w:uiPriority w:val="34"/>
    <w:qFormat/>
    <w:rsid w:val="008D159F"/>
    <w:pPr>
      <w:ind w:left="720"/>
      <w:contextualSpacing/>
    </w:pPr>
  </w:style>
  <w:style w:type="character" w:styleId="Strong">
    <w:name w:val="Strong"/>
    <w:basedOn w:val="DefaultParagraphFont"/>
    <w:uiPriority w:val="22"/>
    <w:qFormat/>
    <w:rsid w:val="0073686B"/>
    <w:rPr>
      <w:b/>
      <w:bCs/>
    </w:rPr>
  </w:style>
  <w:style w:type="character" w:styleId="CommentReference">
    <w:name w:val="annotation reference"/>
    <w:basedOn w:val="DefaultParagraphFont"/>
    <w:uiPriority w:val="99"/>
    <w:semiHidden/>
    <w:unhideWhenUsed/>
    <w:rsid w:val="00E35F86"/>
    <w:rPr>
      <w:sz w:val="16"/>
      <w:szCs w:val="16"/>
    </w:rPr>
  </w:style>
  <w:style w:type="paragraph" w:styleId="CommentText">
    <w:name w:val="annotation text"/>
    <w:basedOn w:val="Normal"/>
    <w:link w:val="CommentTextChar"/>
    <w:uiPriority w:val="99"/>
    <w:semiHidden/>
    <w:unhideWhenUsed/>
    <w:rsid w:val="00E35F86"/>
    <w:pPr>
      <w:spacing w:line="240" w:lineRule="auto"/>
    </w:pPr>
    <w:rPr>
      <w:sz w:val="20"/>
      <w:szCs w:val="20"/>
    </w:rPr>
  </w:style>
  <w:style w:type="character" w:customStyle="1" w:styleId="CommentTextChar">
    <w:name w:val="Comment Text Char"/>
    <w:basedOn w:val="DefaultParagraphFont"/>
    <w:link w:val="CommentText"/>
    <w:uiPriority w:val="99"/>
    <w:semiHidden/>
    <w:rsid w:val="00E35F86"/>
    <w:rPr>
      <w:sz w:val="20"/>
      <w:szCs w:val="20"/>
    </w:rPr>
  </w:style>
  <w:style w:type="paragraph" w:styleId="CommentSubject">
    <w:name w:val="annotation subject"/>
    <w:basedOn w:val="CommentText"/>
    <w:next w:val="CommentText"/>
    <w:link w:val="CommentSubjectChar"/>
    <w:uiPriority w:val="99"/>
    <w:semiHidden/>
    <w:unhideWhenUsed/>
    <w:rsid w:val="00E35F86"/>
    <w:rPr>
      <w:b/>
      <w:bCs/>
    </w:rPr>
  </w:style>
  <w:style w:type="character" w:customStyle="1" w:styleId="CommentSubjectChar">
    <w:name w:val="Comment Subject Char"/>
    <w:basedOn w:val="CommentTextChar"/>
    <w:link w:val="CommentSubject"/>
    <w:uiPriority w:val="99"/>
    <w:semiHidden/>
    <w:rsid w:val="00E35F86"/>
    <w:rPr>
      <w:b/>
      <w:bCs/>
      <w:sz w:val="20"/>
      <w:szCs w:val="20"/>
    </w:rPr>
  </w:style>
  <w:style w:type="paragraph" w:styleId="NormalWeb">
    <w:name w:val="Normal (Web)"/>
    <w:basedOn w:val="Normal"/>
    <w:uiPriority w:val="99"/>
    <w:unhideWhenUsed/>
    <w:rsid w:val="001A1A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rl">
    <w:name w:val="url"/>
    <w:basedOn w:val="DefaultParagraphFont"/>
    <w:rsid w:val="001A1A7C"/>
  </w:style>
  <w:style w:type="character" w:customStyle="1" w:styleId="UnresolvedMention1">
    <w:name w:val="Unresolved Mention1"/>
    <w:basedOn w:val="DefaultParagraphFont"/>
    <w:uiPriority w:val="99"/>
    <w:semiHidden/>
    <w:unhideWhenUsed/>
    <w:rsid w:val="004A7863"/>
    <w:rPr>
      <w:color w:val="605E5C"/>
      <w:shd w:val="clear" w:color="auto" w:fill="E1DFDD"/>
    </w:rPr>
  </w:style>
  <w:style w:type="paragraph" w:styleId="BalloonText">
    <w:name w:val="Balloon Text"/>
    <w:basedOn w:val="Normal"/>
    <w:link w:val="BalloonTextChar"/>
    <w:uiPriority w:val="99"/>
    <w:semiHidden/>
    <w:unhideWhenUsed/>
    <w:rsid w:val="00556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EFE"/>
    <w:rPr>
      <w:rFonts w:ascii="Segoe UI" w:hAnsi="Segoe UI" w:cs="Segoe UI"/>
      <w:sz w:val="18"/>
      <w:szCs w:val="18"/>
    </w:rPr>
  </w:style>
  <w:style w:type="character" w:customStyle="1" w:styleId="overflow-hidden">
    <w:name w:val="overflow-hidden"/>
    <w:basedOn w:val="DefaultParagraphFont"/>
    <w:rsid w:val="00267D23"/>
  </w:style>
  <w:style w:type="character" w:customStyle="1" w:styleId="UnresolvedMention2">
    <w:name w:val="Unresolved Mention2"/>
    <w:basedOn w:val="DefaultParagraphFont"/>
    <w:uiPriority w:val="99"/>
    <w:semiHidden/>
    <w:unhideWhenUsed/>
    <w:rsid w:val="007A0FE4"/>
    <w:rPr>
      <w:color w:val="605E5C"/>
      <w:shd w:val="clear" w:color="auto" w:fill="E1DFDD"/>
    </w:rPr>
  </w:style>
  <w:style w:type="character" w:customStyle="1" w:styleId="mord">
    <w:name w:val="mord"/>
    <w:basedOn w:val="DefaultParagraphFont"/>
    <w:rsid w:val="003A4625"/>
  </w:style>
  <w:style w:type="character" w:customStyle="1" w:styleId="vlist-s">
    <w:name w:val="vlist-s"/>
    <w:basedOn w:val="DefaultParagraphFont"/>
    <w:rsid w:val="003A4625"/>
  </w:style>
  <w:style w:type="character" w:styleId="UnresolvedMention">
    <w:name w:val="Unresolved Mention"/>
    <w:basedOn w:val="DefaultParagraphFont"/>
    <w:uiPriority w:val="99"/>
    <w:semiHidden/>
    <w:unhideWhenUsed/>
    <w:rsid w:val="0037323A"/>
    <w:rPr>
      <w:color w:val="605E5C"/>
      <w:shd w:val="clear" w:color="auto" w:fill="E1DFDD"/>
    </w:rPr>
  </w:style>
  <w:style w:type="character" w:styleId="FollowedHyperlink">
    <w:name w:val="FollowedHyperlink"/>
    <w:basedOn w:val="DefaultParagraphFont"/>
    <w:uiPriority w:val="99"/>
    <w:semiHidden/>
    <w:unhideWhenUsed/>
    <w:rsid w:val="003732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5329">
      <w:bodyDiv w:val="1"/>
      <w:marLeft w:val="0"/>
      <w:marRight w:val="0"/>
      <w:marTop w:val="0"/>
      <w:marBottom w:val="0"/>
      <w:divBdr>
        <w:top w:val="none" w:sz="0" w:space="0" w:color="auto"/>
        <w:left w:val="none" w:sz="0" w:space="0" w:color="auto"/>
        <w:bottom w:val="none" w:sz="0" w:space="0" w:color="auto"/>
        <w:right w:val="none" w:sz="0" w:space="0" w:color="auto"/>
      </w:divBdr>
    </w:div>
    <w:div w:id="36047128">
      <w:bodyDiv w:val="1"/>
      <w:marLeft w:val="0"/>
      <w:marRight w:val="0"/>
      <w:marTop w:val="0"/>
      <w:marBottom w:val="0"/>
      <w:divBdr>
        <w:top w:val="none" w:sz="0" w:space="0" w:color="auto"/>
        <w:left w:val="none" w:sz="0" w:space="0" w:color="auto"/>
        <w:bottom w:val="none" w:sz="0" w:space="0" w:color="auto"/>
        <w:right w:val="none" w:sz="0" w:space="0" w:color="auto"/>
      </w:divBdr>
    </w:div>
    <w:div w:id="213205084">
      <w:bodyDiv w:val="1"/>
      <w:marLeft w:val="0"/>
      <w:marRight w:val="0"/>
      <w:marTop w:val="0"/>
      <w:marBottom w:val="0"/>
      <w:divBdr>
        <w:top w:val="none" w:sz="0" w:space="0" w:color="auto"/>
        <w:left w:val="none" w:sz="0" w:space="0" w:color="auto"/>
        <w:bottom w:val="none" w:sz="0" w:space="0" w:color="auto"/>
        <w:right w:val="none" w:sz="0" w:space="0" w:color="auto"/>
      </w:divBdr>
      <w:divsChild>
        <w:div w:id="1206916191">
          <w:marLeft w:val="0"/>
          <w:marRight w:val="0"/>
          <w:marTop w:val="0"/>
          <w:marBottom w:val="0"/>
          <w:divBdr>
            <w:top w:val="none" w:sz="0" w:space="0" w:color="auto"/>
            <w:left w:val="none" w:sz="0" w:space="0" w:color="auto"/>
            <w:bottom w:val="none" w:sz="0" w:space="0" w:color="auto"/>
            <w:right w:val="none" w:sz="0" w:space="0" w:color="auto"/>
          </w:divBdr>
          <w:divsChild>
            <w:div w:id="116410615">
              <w:marLeft w:val="0"/>
              <w:marRight w:val="0"/>
              <w:marTop w:val="0"/>
              <w:marBottom w:val="0"/>
              <w:divBdr>
                <w:top w:val="none" w:sz="0" w:space="0" w:color="auto"/>
                <w:left w:val="none" w:sz="0" w:space="0" w:color="auto"/>
                <w:bottom w:val="none" w:sz="0" w:space="0" w:color="auto"/>
                <w:right w:val="none" w:sz="0" w:space="0" w:color="auto"/>
              </w:divBdr>
              <w:divsChild>
                <w:div w:id="1775711055">
                  <w:marLeft w:val="0"/>
                  <w:marRight w:val="0"/>
                  <w:marTop w:val="0"/>
                  <w:marBottom w:val="0"/>
                  <w:divBdr>
                    <w:top w:val="none" w:sz="0" w:space="0" w:color="auto"/>
                    <w:left w:val="none" w:sz="0" w:space="0" w:color="auto"/>
                    <w:bottom w:val="none" w:sz="0" w:space="0" w:color="auto"/>
                    <w:right w:val="none" w:sz="0" w:space="0" w:color="auto"/>
                  </w:divBdr>
                  <w:divsChild>
                    <w:div w:id="262304011">
                      <w:marLeft w:val="0"/>
                      <w:marRight w:val="0"/>
                      <w:marTop w:val="0"/>
                      <w:marBottom w:val="0"/>
                      <w:divBdr>
                        <w:top w:val="none" w:sz="0" w:space="0" w:color="auto"/>
                        <w:left w:val="none" w:sz="0" w:space="0" w:color="auto"/>
                        <w:bottom w:val="none" w:sz="0" w:space="0" w:color="auto"/>
                        <w:right w:val="none" w:sz="0" w:space="0" w:color="auto"/>
                      </w:divBdr>
                      <w:divsChild>
                        <w:div w:id="481775732">
                          <w:marLeft w:val="0"/>
                          <w:marRight w:val="0"/>
                          <w:marTop w:val="0"/>
                          <w:marBottom w:val="0"/>
                          <w:divBdr>
                            <w:top w:val="none" w:sz="0" w:space="0" w:color="auto"/>
                            <w:left w:val="none" w:sz="0" w:space="0" w:color="auto"/>
                            <w:bottom w:val="none" w:sz="0" w:space="0" w:color="auto"/>
                            <w:right w:val="none" w:sz="0" w:space="0" w:color="auto"/>
                          </w:divBdr>
                          <w:divsChild>
                            <w:div w:id="12278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661190">
      <w:bodyDiv w:val="1"/>
      <w:marLeft w:val="0"/>
      <w:marRight w:val="0"/>
      <w:marTop w:val="0"/>
      <w:marBottom w:val="0"/>
      <w:divBdr>
        <w:top w:val="none" w:sz="0" w:space="0" w:color="auto"/>
        <w:left w:val="none" w:sz="0" w:space="0" w:color="auto"/>
        <w:bottom w:val="none" w:sz="0" w:space="0" w:color="auto"/>
        <w:right w:val="none" w:sz="0" w:space="0" w:color="auto"/>
      </w:divBdr>
    </w:div>
    <w:div w:id="299044002">
      <w:bodyDiv w:val="1"/>
      <w:marLeft w:val="0"/>
      <w:marRight w:val="0"/>
      <w:marTop w:val="0"/>
      <w:marBottom w:val="0"/>
      <w:divBdr>
        <w:top w:val="none" w:sz="0" w:space="0" w:color="auto"/>
        <w:left w:val="none" w:sz="0" w:space="0" w:color="auto"/>
        <w:bottom w:val="none" w:sz="0" w:space="0" w:color="auto"/>
        <w:right w:val="none" w:sz="0" w:space="0" w:color="auto"/>
      </w:divBdr>
    </w:div>
    <w:div w:id="354966718">
      <w:bodyDiv w:val="1"/>
      <w:marLeft w:val="0"/>
      <w:marRight w:val="0"/>
      <w:marTop w:val="0"/>
      <w:marBottom w:val="0"/>
      <w:divBdr>
        <w:top w:val="none" w:sz="0" w:space="0" w:color="auto"/>
        <w:left w:val="none" w:sz="0" w:space="0" w:color="auto"/>
        <w:bottom w:val="none" w:sz="0" w:space="0" w:color="auto"/>
        <w:right w:val="none" w:sz="0" w:space="0" w:color="auto"/>
      </w:divBdr>
    </w:div>
    <w:div w:id="482233557">
      <w:bodyDiv w:val="1"/>
      <w:marLeft w:val="0"/>
      <w:marRight w:val="0"/>
      <w:marTop w:val="0"/>
      <w:marBottom w:val="0"/>
      <w:divBdr>
        <w:top w:val="none" w:sz="0" w:space="0" w:color="auto"/>
        <w:left w:val="none" w:sz="0" w:space="0" w:color="auto"/>
        <w:bottom w:val="none" w:sz="0" w:space="0" w:color="auto"/>
        <w:right w:val="none" w:sz="0" w:space="0" w:color="auto"/>
      </w:divBdr>
    </w:div>
    <w:div w:id="547881179">
      <w:bodyDiv w:val="1"/>
      <w:marLeft w:val="0"/>
      <w:marRight w:val="0"/>
      <w:marTop w:val="0"/>
      <w:marBottom w:val="0"/>
      <w:divBdr>
        <w:top w:val="none" w:sz="0" w:space="0" w:color="auto"/>
        <w:left w:val="none" w:sz="0" w:space="0" w:color="auto"/>
        <w:bottom w:val="none" w:sz="0" w:space="0" w:color="auto"/>
        <w:right w:val="none" w:sz="0" w:space="0" w:color="auto"/>
      </w:divBdr>
    </w:div>
    <w:div w:id="586767250">
      <w:bodyDiv w:val="1"/>
      <w:marLeft w:val="0"/>
      <w:marRight w:val="0"/>
      <w:marTop w:val="0"/>
      <w:marBottom w:val="0"/>
      <w:divBdr>
        <w:top w:val="none" w:sz="0" w:space="0" w:color="auto"/>
        <w:left w:val="none" w:sz="0" w:space="0" w:color="auto"/>
        <w:bottom w:val="none" w:sz="0" w:space="0" w:color="auto"/>
        <w:right w:val="none" w:sz="0" w:space="0" w:color="auto"/>
      </w:divBdr>
      <w:divsChild>
        <w:div w:id="1320572344">
          <w:marLeft w:val="0"/>
          <w:marRight w:val="0"/>
          <w:marTop w:val="0"/>
          <w:marBottom w:val="0"/>
          <w:divBdr>
            <w:top w:val="none" w:sz="0" w:space="0" w:color="auto"/>
            <w:left w:val="none" w:sz="0" w:space="0" w:color="auto"/>
            <w:bottom w:val="none" w:sz="0" w:space="0" w:color="auto"/>
            <w:right w:val="none" w:sz="0" w:space="0" w:color="auto"/>
          </w:divBdr>
          <w:divsChild>
            <w:div w:id="1887373581">
              <w:marLeft w:val="0"/>
              <w:marRight w:val="0"/>
              <w:marTop w:val="0"/>
              <w:marBottom w:val="0"/>
              <w:divBdr>
                <w:top w:val="none" w:sz="0" w:space="0" w:color="auto"/>
                <w:left w:val="none" w:sz="0" w:space="0" w:color="auto"/>
                <w:bottom w:val="none" w:sz="0" w:space="0" w:color="auto"/>
                <w:right w:val="none" w:sz="0" w:space="0" w:color="auto"/>
              </w:divBdr>
              <w:divsChild>
                <w:div w:id="880048690">
                  <w:marLeft w:val="0"/>
                  <w:marRight w:val="0"/>
                  <w:marTop w:val="0"/>
                  <w:marBottom w:val="0"/>
                  <w:divBdr>
                    <w:top w:val="none" w:sz="0" w:space="0" w:color="auto"/>
                    <w:left w:val="none" w:sz="0" w:space="0" w:color="auto"/>
                    <w:bottom w:val="none" w:sz="0" w:space="0" w:color="auto"/>
                    <w:right w:val="none" w:sz="0" w:space="0" w:color="auto"/>
                  </w:divBdr>
                  <w:divsChild>
                    <w:div w:id="398862921">
                      <w:marLeft w:val="0"/>
                      <w:marRight w:val="0"/>
                      <w:marTop w:val="0"/>
                      <w:marBottom w:val="0"/>
                      <w:divBdr>
                        <w:top w:val="none" w:sz="0" w:space="0" w:color="auto"/>
                        <w:left w:val="none" w:sz="0" w:space="0" w:color="auto"/>
                        <w:bottom w:val="none" w:sz="0" w:space="0" w:color="auto"/>
                        <w:right w:val="none" w:sz="0" w:space="0" w:color="auto"/>
                      </w:divBdr>
                      <w:divsChild>
                        <w:div w:id="470170282">
                          <w:marLeft w:val="0"/>
                          <w:marRight w:val="0"/>
                          <w:marTop w:val="0"/>
                          <w:marBottom w:val="0"/>
                          <w:divBdr>
                            <w:top w:val="none" w:sz="0" w:space="0" w:color="auto"/>
                            <w:left w:val="none" w:sz="0" w:space="0" w:color="auto"/>
                            <w:bottom w:val="none" w:sz="0" w:space="0" w:color="auto"/>
                            <w:right w:val="none" w:sz="0" w:space="0" w:color="auto"/>
                          </w:divBdr>
                          <w:divsChild>
                            <w:div w:id="109779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325412">
      <w:bodyDiv w:val="1"/>
      <w:marLeft w:val="0"/>
      <w:marRight w:val="0"/>
      <w:marTop w:val="0"/>
      <w:marBottom w:val="0"/>
      <w:divBdr>
        <w:top w:val="none" w:sz="0" w:space="0" w:color="auto"/>
        <w:left w:val="none" w:sz="0" w:space="0" w:color="auto"/>
        <w:bottom w:val="none" w:sz="0" w:space="0" w:color="auto"/>
        <w:right w:val="none" w:sz="0" w:space="0" w:color="auto"/>
      </w:divBdr>
      <w:divsChild>
        <w:div w:id="1904831209">
          <w:marLeft w:val="0"/>
          <w:marRight w:val="0"/>
          <w:marTop w:val="0"/>
          <w:marBottom w:val="0"/>
          <w:divBdr>
            <w:top w:val="none" w:sz="0" w:space="0" w:color="auto"/>
            <w:left w:val="none" w:sz="0" w:space="0" w:color="auto"/>
            <w:bottom w:val="none" w:sz="0" w:space="0" w:color="auto"/>
            <w:right w:val="none" w:sz="0" w:space="0" w:color="auto"/>
          </w:divBdr>
          <w:divsChild>
            <w:div w:id="38215018">
              <w:marLeft w:val="0"/>
              <w:marRight w:val="0"/>
              <w:marTop w:val="0"/>
              <w:marBottom w:val="0"/>
              <w:divBdr>
                <w:top w:val="none" w:sz="0" w:space="0" w:color="auto"/>
                <w:left w:val="none" w:sz="0" w:space="0" w:color="auto"/>
                <w:bottom w:val="none" w:sz="0" w:space="0" w:color="auto"/>
                <w:right w:val="none" w:sz="0" w:space="0" w:color="auto"/>
              </w:divBdr>
              <w:divsChild>
                <w:div w:id="795828925">
                  <w:marLeft w:val="0"/>
                  <w:marRight w:val="0"/>
                  <w:marTop w:val="0"/>
                  <w:marBottom w:val="0"/>
                  <w:divBdr>
                    <w:top w:val="none" w:sz="0" w:space="0" w:color="auto"/>
                    <w:left w:val="none" w:sz="0" w:space="0" w:color="auto"/>
                    <w:bottom w:val="none" w:sz="0" w:space="0" w:color="auto"/>
                    <w:right w:val="none" w:sz="0" w:space="0" w:color="auto"/>
                  </w:divBdr>
                  <w:divsChild>
                    <w:div w:id="1399548903">
                      <w:marLeft w:val="0"/>
                      <w:marRight w:val="0"/>
                      <w:marTop w:val="0"/>
                      <w:marBottom w:val="0"/>
                      <w:divBdr>
                        <w:top w:val="none" w:sz="0" w:space="0" w:color="auto"/>
                        <w:left w:val="none" w:sz="0" w:space="0" w:color="auto"/>
                        <w:bottom w:val="none" w:sz="0" w:space="0" w:color="auto"/>
                        <w:right w:val="none" w:sz="0" w:space="0" w:color="auto"/>
                      </w:divBdr>
                      <w:divsChild>
                        <w:div w:id="1656255535">
                          <w:marLeft w:val="0"/>
                          <w:marRight w:val="0"/>
                          <w:marTop w:val="0"/>
                          <w:marBottom w:val="0"/>
                          <w:divBdr>
                            <w:top w:val="none" w:sz="0" w:space="0" w:color="auto"/>
                            <w:left w:val="none" w:sz="0" w:space="0" w:color="auto"/>
                            <w:bottom w:val="none" w:sz="0" w:space="0" w:color="auto"/>
                            <w:right w:val="none" w:sz="0" w:space="0" w:color="auto"/>
                          </w:divBdr>
                          <w:divsChild>
                            <w:div w:id="120671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044133">
      <w:bodyDiv w:val="1"/>
      <w:marLeft w:val="0"/>
      <w:marRight w:val="0"/>
      <w:marTop w:val="0"/>
      <w:marBottom w:val="0"/>
      <w:divBdr>
        <w:top w:val="none" w:sz="0" w:space="0" w:color="auto"/>
        <w:left w:val="none" w:sz="0" w:space="0" w:color="auto"/>
        <w:bottom w:val="none" w:sz="0" w:space="0" w:color="auto"/>
        <w:right w:val="none" w:sz="0" w:space="0" w:color="auto"/>
      </w:divBdr>
    </w:div>
    <w:div w:id="663819093">
      <w:bodyDiv w:val="1"/>
      <w:marLeft w:val="0"/>
      <w:marRight w:val="0"/>
      <w:marTop w:val="0"/>
      <w:marBottom w:val="0"/>
      <w:divBdr>
        <w:top w:val="none" w:sz="0" w:space="0" w:color="auto"/>
        <w:left w:val="none" w:sz="0" w:space="0" w:color="auto"/>
        <w:bottom w:val="none" w:sz="0" w:space="0" w:color="auto"/>
        <w:right w:val="none" w:sz="0" w:space="0" w:color="auto"/>
      </w:divBdr>
      <w:divsChild>
        <w:div w:id="166407486">
          <w:marLeft w:val="0"/>
          <w:marRight w:val="0"/>
          <w:marTop w:val="15"/>
          <w:marBottom w:val="0"/>
          <w:divBdr>
            <w:top w:val="single" w:sz="48" w:space="0" w:color="auto"/>
            <w:left w:val="single" w:sz="48" w:space="0" w:color="auto"/>
            <w:bottom w:val="single" w:sz="48" w:space="0" w:color="auto"/>
            <w:right w:val="single" w:sz="48" w:space="0" w:color="auto"/>
          </w:divBdr>
          <w:divsChild>
            <w:div w:id="3112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9037">
      <w:bodyDiv w:val="1"/>
      <w:marLeft w:val="0"/>
      <w:marRight w:val="0"/>
      <w:marTop w:val="0"/>
      <w:marBottom w:val="0"/>
      <w:divBdr>
        <w:top w:val="none" w:sz="0" w:space="0" w:color="auto"/>
        <w:left w:val="none" w:sz="0" w:space="0" w:color="auto"/>
        <w:bottom w:val="none" w:sz="0" w:space="0" w:color="auto"/>
        <w:right w:val="none" w:sz="0" w:space="0" w:color="auto"/>
      </w:divBdr>
    </w:div>
    <w:div w:id="755129006">
      <w:bodyDiv w:val="1"/>
      <w:marLeft w:val="0"/>
      <w:marRight w:val="0"/>
      <w:marTop w:val="0"/>
      <w:marBottom w:val="0"/>
      <w:divBdr>
        <w:top w:val="none" w:sz="0" w:space="0" w:color="auto"/>
        <w:left w:val="none" w:sz="0" w:space="0" w:color="auto"/>
        <w:bottom w:val="none" w:sz="0" w:space="0" w:color="auto"/>
        <w:right w:val="none" w:sz="0" w:space="0" w:color="auto"/>
      </w:divBdr>
    </w:div>
    <w:div w:id="772288163">
      <w:bodyDiv w:val="1"/>
      <w:marLeft w:val="0"/>
      <w:marRight w:val="0"/>
      <w:marTop w:val="0"/>
      <w:marBottom w:val="0"/>
      <w:divBdr>
        <w:top w:val="none" w:sz="0" w:space="0" w:color="auto"/>
        <w:left w:val="none" w:sz="0" w:space="0" w:color="auto"/>
        <w:bottom w:val="none" w:sz="0" w:space="0" w:color="auto"/>
        <w:right w:val="none" w:sz="0" w:space="0" w:color="auto"/>
      </w:divBdr>
    </w:div>
    <w:div w:id="863372750">
      <w:bodyDiv w:val="1"/>
      <w:marLeft w:val="0"/>
      <w:marRight w:val="0"/>
      <w:marTop w:val="0"/>
      <w:marBottom w:val="0"/>
      <w:divBdr>
        <w:top w:val="none" w:sz="0" w:space="0" w:color="auto"/>
        <w:left w:val="none" w:sz="0" w:space="0" w:color="auto"/>
        <w:bottom w:val="none" w:sz="0" w:space="0" w:color="auto"/>
        <w:right w:val="none" w:sz="0" w:space="0" w:color="auto"/>
      </w:divBdr>
      <w:divsChild>
        <w:div w:id="1997372122">
          <w:marLeft w:val="-720"/>
          <w:marRight w:val="0"/>
          <w:marTop w:val="0"/>
          <w:marBottom w:val="0"/>
          <w:divBdr>
            <w:top w:val="none" w:sz="0" w:space="0" w:color="auto"/>
            <w:left w:val="none" w:sz="0" w:space="0" w:color="auto"/>
            <w:bottom w:val="none" w:sz="0" w:space="0" w:color="auto"/>
            <w:right w:val="none" w:sz="0" w:space="0" w:color="auto"/>
          </w:divBdr>
        </w:div>
      </w:divsChild>
    </w:div>
    <w:div w:id="950287019">
      <w:bodyDiv w:val="1"/>
      <w:marLeft w:val="0"/>
      <w:marRight w:val="0"/>
      <w:marTop w:val="0"/>
      <w:marBottom w:val="0"/>
      <w:divBdr>
        <w:top w:val="none" w:sz="0" w:space="0" w:color="auto"/>
        <w:left w:val="none" w:sz="0" w:space="0" w:color="auto"/>
        <w:bottom w:val="none" w:sz="0" w:space="0" w:color="auto"/>
        <w:right w:val="none" w:sz="0" w:space="0" w:color="auto"/>
      </w:divBdr>
      <w:divsChild>
        <w:div w:id="869605111">
          <w:marLeft w:val="0"/>
          <w:marRight w:val="0"/>
          <w:marTop w:val="0"/>
          <w:marBottom w:val="0"/>
          <w:divBdr>
            <w:top w:val="none" w:sz="0" w:space="0" w:color="auto"/>
            <w:left w:val="none" w:sz="0" w:space="0" w:color="auto"/>
            <w:bottom w:val="none" w:sz="0" w:space="0" w:color="auto"/>
            <w:right w:val="none" w:sz="0" w:space="0" w:color="auto"/>
          </w:divBdr>
          <w:divsChild>
            <w:div w:id="942954380">
              <w:marLeft w:val="0"/>
              <w:marRight w:val="0"/>
              <w:marTop w:val="0"/>
              <w:marBottom w:val="0"/>
              <w:divBdr>
                <w:top w:val="none" w:sz="0" w:space="0" w:color="auto"/>
                <w:left w:val="none" w:sz="0" w:space="0" w:color="auto"/>
                <w:bottom w:val="none" w:sz="0" w:space="0" w:color="auto"/>
                <w:right w:val="none" w:sz="0" w:space="0" w:color="auto"/>
              </w:divBdr>
              <w:divsChild>
                <w:div w:id="1039746595">
                  <w:marLeft w:val="0"/>
                  <w:marRight w:val="0"/>
                  <w:marTop w:val="0"/>
                  <w:marBottom w:val="0"/>
                  <w:divBdr>
                    <w:top w:val="none" w:sz="0" w:space="0" w:color="auto"/>
                    <w:left w:val="none" w:sz="0" w:space="0" w:color="auto"/>
                    <w:bottom w:val="none" w:sz="0" w:space="0" w:color="auto"/>
                    <w:right w:val="none" w:sz="0" w:space="0" w:color="auto"/>
                  </w:divBdr>
                  <w:divsChild>
                    <w:div w:id="14985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82184">
          <w:marLeft w:val="0"/>
          <w:marRight w:val="0"/>
          <w:marTop w:val="0"/>
          <w:marBottom w:val="0"/>
          <w:divBdr>
            <w:top w:val="none" w:sz="0" w:space="0" w:color="auto"/>
            <w:left w:val="none" w:sz="0" w:space="0" w:color="auto"/>
            <w:bottom w:val="none" w:sz="0" w:space="0" w:color="auto"/>
            <w:right w:val="none" w:sz="0" w:space="0" w:color="auto"/>
          </w:divBdr>
          <w:divsChild>
            <w:div w:id="585236481">
              <w:marLeft w:val="0"/>
              <w:marRight w:val="0"/>
              <w:marTop w:val="0"/>
              <w:marBottom w:val="0"/>
              <w:divBdr>
                <w:top w:val="none" w:sz="0" w:space="0" w:color="auto"/>
                <w:left w:val="none" w:sz="0" w:space="0" w:color="auto"/>
                <w:bottom w:val="none" w:sz="0" w:space="0" w:color="auto"/>
                <w:right w:val="none" w:sz="0" w:space="0" w:color="auto"/>
              </w:divBdr>
              <w:divsChild>
                <w:div w:id="213124614">
                  <w:marLeft w:val="0"/>
                  <w:marRight w:val="0"/>
                  <w:marTop w:val="0"/>
                  <w:marBottom w:val="0"/>
                  <w:divBdr>
                    <w:top w:val="none" w:sz="0" w:space="0" w:color="auto"/>
                    <w:left w:val="none" w:sz="0" w:space="0" w:color="auto"/>
                    <w:bottom w:val="none" w:sz="0" w:space="0" w:color="auto"/>
                    <w:right w:val="none" w:sz="0" w:space="0" w:color="auto"/>
                  </w:divBdr>
                  <w:divsChild>
                    <w:div w:id="20856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95167">
      <w:bodyDiv w:val="1"/>
      <w:marLeft w:val="0"/>
      <w:marRight w:val="0"/>
      <w:marTop w:val="0"/>
      <w:marBottom w:val="0"/>
      <w:divBdr>
        <w:top w:val="none" w:sz="0" w:space="0" w:color="auto"/>
        <w:left w:val="none" w:sz="0" w:space="0" w:color="auto"/>
        <w:bottom w:val="none" w:sz="0" w:space="0" w:color="auto"/>
        <w:right w:val="none" w:sz="0" w:space="0" w:color="auto"/>
      </w:divBdr>
      <w:divsChild>
        <w:div w:id="815531317">
          <w:marLeft w:val="-720"/>
          <w:marRight w:val="0"/>
          <w:marTop w:val="0"/>
          <w:marBottom w:val="0"/>
          <w:divBdr>
            <w:top w:val="none" w:sz="0" w:space="0" w:color="auto"/>
            <w:left w:val="none" w:sz="0" w:space="0" w:color="auto"/>
            <w:bottom w:val="none" w:sz="0" w:space="0" w:color="auto"/>
            <w:right w:val="none" w:sz="0" w:space="0" w:color="auto"/>
          </w:divBdr>
        </w:div>
      </w:divsChild>
    </w:div>
    <w:div w:id="1002195266">
      <w:bodyDiv w:val="1"/>
      <w:marLeft w:val="0"/>
      <w:marRight w:val="0"/>
      <w:marTop w:val="0"/>
      <w:marBottom w:val="0"/>
      <w:divBdr>
        <w:top w:val="none" w:sz="0" w:space="0" w:color="auto"/>
        <w:left w:val="none" w:sz="0" w:space="0" w:color="auto"/>
        <w:bottom w:val="none" w:sz="0" w:space="0" w:color="auto"/>
        <w:right w:val="none" w:sz="0" w:space="0" w:color="auto"/>
      </w:divBdr>
    </w:div>
    <w:div w:id="1137381615">
      <w:bodyDiv w:val="1"/>
      <w:marLeft w:val="0"/>
      <w:marRight w:val="0"/>
      <w:marTop w:val="0"/>
      <w:marBottom w:val="0"/>
      <w:divBdr>
        <w:top w:val="none" w:sz="0" w:space="0" w:color="auto"/>
        <w:left w:val="none" w:sz="0" w:space="0" w:color="auto"/>
        <w:bottom w:val="none" w:sz="0" w:space="0" w:color="auto"/>
        <w:right w:val="none" w:sz="0" w:space="0" w:color="auto"/>
      </w:divBdr>
      <w:divsChild>
        <w:div w:id="855575581">
          <w:marLeft w:val="0"/>
          <w:marRight w:val="0"/>
          <w:marTop w:val="0"/>
          <w:marBottom w:val="0"/>
          <w:divBdr>
            <w:top w:val="none" w:sz="0" w:space="0" w:color="auto"/>
            <w:left w:val="none" w:sz="0" w:space="0" w:color="auto"/>
            <w:bottom w:val="none" w:sz="0" w:space="0" w:color="auto"/>
            <w:right w:val="none" w:sz="0" w:space="0" w:color="auto"/>
          </w:divBdr>
          <w:divsChild>
            <w:div w:id="1518037508">
              <w:marLeft w:val="0"/>
              <w:marRight w:val="0"/>
              <w:marTop w:val="0"/>
              <w:marBottom w:val="0"/>
              <w:divBdr>
                <w:top w:val="none" w:sz="0" w:space="0" w:color="auto"/>
                <w:left w:val="none" w:sz="0" w:space="0" w:color="auto"/>
                <w:bottom w:val="none" w:sz="0" w:space="0" w:color="auto"/>
                <w:right w:val="none" w:sz="0" w:space="0" w:color="auto"/>
              </w:divBdr>
              <w:divsChild>
                <w:div w:id="557471699">
                  <w:marLeft w:val="0"/>
                  <w:marRight w:val="0"/>
                  <w:marTop w:val="0"/>
                  <w:marBottom w:val="0"/>
                  <w:divBdr>
                    <w:top w:val="none" w:sz="0" w:space="0" w:color="auto"/>
                    <w:left w:val="none" w:sz="0" w:space="0" w:color="auto"/>
                    <w:bottom w:val="none" w:sz="0" w:space="0" w:color="auto"/>
                    <w:right w:val="none" w:sz="0" w:space="0" w:color="auto"/>
                  </w:divBdr>
                  <w:divsChild>
                    <w:div w:id="258148827">
                      <w:marLeft w:val="0"/>
                      <w:marRight w:val="0"/>
                      <w:marTop w:val="0"/>
                      <w:marBottom w:val="0"/>
                      <w:divBdr>
                        <w:top w:val="none" w:sz="0" w:space="0" w:color="auto"/>
                        <w:left w:val="none" w:sz="0" w:space="0" w:color="auto"/>
                        <w:bottom w:val="none" w:sz="0" w:space="0" w:color="auto"/>
                        <w:right w:val="none" w:sz="0" w:space="0" w:color="auto"/>
                      </w:divBdr>
                      <w:divsChild>
                        <w:div w:id="1370178842">
                          <w:marLeft w:val="0"/>
                          <w:marRight w:val="0"/>
                          <w:marTop w:val="0"/>
                          <w:marBottom w:val="0"/>
                          <w:divBdr>
                            <w:top w:val="none" w:sz="0" w:space="0" w:color="auto"/>
                            <w:left w:val="none" w:sz="0" w:space="0" w:color="auto"/>
                            <w:bottom w:val="none" w:sz="0" w:space="0" w:color="auto"/>
                            <w:right w:val="none" w:sz="0" w:space="0" w:color="auto"/>
                          </w:divBdr>
                          <w:divsChild>
                            <w:div w:id="607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80842">
      <w:bodyDiv w:val="1"/>
      <w:marLeft w:val="0"/>
      <w:marRight w:val="0"/>
      <w:marTop w:val="0"/>
      <w:marBottom w:val="0"/>
      <w:divBdr>
        <w:top w:val="none" w:sz="0" w:space="0" w:color="auto"/>
        <w:left w:val="none" w:sz="0" w:space="0" w:color="auto"/>
        <w:bottom w:val="none" w:sz="0" w:space="0" w:color="auto"/>
        <w:right w:val="none" w:sz="0" w:space="0" w:color="auto"/>
      </w:divBdr>
    </w:div>
    <w:div w:id="1190222706">
      <w:bodyDiv w:val="1"/>
      <w:marLeft w:val="0"/>
      <w:marRight w:val="0"/>
      <w:marTop w:val="0"/>
      <w:marBottom w:val="0"/>
      <w:divBdr>
        <w:top w:val="none" w:sz="0" w:space="0" w:color="auto"/>
        <w:left w:val="none" w:sz="0" w:space="0" w:color="auto"/>
        <w:bottom w:val="none" w:sz="0" w:space="0" w:color="auto"/>
        <w:right w:val="none" w:sz="0" w:space="0" w:color="auto"/>
      </w:divBdr>
    </w:div>
    <w:div w:id="1244143895">
      <w:bodyDiv w:val="1"/>
      <w:marLeft w:val="0"/>
      <w:marRight w:val="0"/>
      <w:marTop w:val="0"/>
      <w:marBottom w:val="0"/>
      <w:divBdr>
        <w:top w:val="none" w:sz="0" w:space="0" w:color="auto"/>
        <w:left w:val="none" w:sz="0" w:space="0" w:color="auto"/>
        <w:bottom w:val="none" w:sz="0" w:space="0" w:color="auto"/>
        <w:right w:val="none" w:sz="0" w:space="0" w:color="auto"/>
      </w:divBdr>
      <w:divsChild>
        <w:div w:id="627128591">
          <w:marLeft w:val="0"/>
          <w:marRight w:val="0"/>
          <w:marTop w:val="15"/>
          <w:marBottom w:val="0"/>
          <w:divBdr>
            <w:top w:val="single" w:sz="48" w:space="0" w:color="auto"/>
            <w:left w:val="single" w:sz="48" w:space="0" w:color="auto"/>
            <w:bottom w:val="single" w:sz="48" w:space="0" w:color="auto"/>
            <w:right w:val="single" w:sz="48" w:space="0" w:color="auto"/>
          </w:divBdr>
          <w:divsChild>
            <w:div w:id="15767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0940">
      <w:bodyDiv w:val="1"/>
      <w:marLeft w:val="0"/>
      <w:marRight w:val="0"/>
      <w:marTop w:val="0"/>
      <w:marBottom w:val="0"/>
      <w:divBdr>
        <w:top w:val="none" w:sz="0" w:space="0" w:color="auto"/>
        <w:left w:val="none" w:sz="0" w:space="0" w:color="auto"/>
        <w:bottom w:val="none" w:sz="0" w:space="0" w:color="auto"/>
        <w:right w:val="none" w:sz="0" w:space="0" w:color="auto"/>
      </w:divBdr>
    </w:div>
    <w:div w:id="1366708276">
      <w:bodyDiv w:val="1"/>
      <w:marLeft w:val="0"/>
      <w:marRight w:val="0"/>
      <w:marTop w:val="0"/>
      <w:marBottom w:val="0"/>
      <w:divBdr>
        <w:top w:val="none" w:sz="0" w:space="0" w:color="auto"/>
        <w:left w:val="none" w:sz="0" w:space="0" w:color="auto"/>
        <w:bottom w:val="none" w:sz="0" w:space="0" w:color="auto"/>
        <w:right w:val="none" w:sz="0" w:space="0" w:color="auto"/>
      </w:divBdr>
    </w:div>
    <w:div w:id="1422947150">
      <w:bodyDiv w:val="1"/>
      <w:marLeft w:val="0"/>
      <w:marRight w:val="0"/>
      <w:marTop w:val="0"/>
      <w:marBottom w:val="0"/>
      <w:divBdr>
        <w:top w:val="none" w:sz="0" w:space="0" w:color="auto"/>
        <w:left w:val="none" w:sz="0" w:space="0" w:color="auto"/>
        <w:bottom w:val="none" w:sz="0" w:space="0" w:color="auto"/>
        <w:right w:val="none" w:sz="0" w:space="0" w:color="auto"/>
      </w:divBdr>
      <w:divsChild>
        <w:div w:id="1069184651">
          <w:marLeft w:val="-720"/>
          <w:marRight w:val="0"/>
          <w:marTop w:val="0"/>
          <w:marBottom w:val="0"/>
          <w:divBdr>
            <w:top w:val="none" w:sz="0" w:space="0" w:color="auto"/>
            <w:left w:val="none" w:sz="0" w:space="0" w:color="auto"/>
            <w:bottom w:val="none" w:sz="0" w:space="0" w:color="auto"/>
            <w:right w:val="none" w:sz="0" w:space="0" w:color="auto"/>
          </w:divBdr>
        </w:div>
      </w:divsChild>
    </w:div>
    <w:div w:id="1528983460">
      <w:bodyDiv w:val="1"/>
      <w:marLeft w:val="0"/>
      <w:marRight w:val="0"/>
      <w:marTop w:val="0"/>
      <w:marBottom w:val="0"/>
      <w:divBdr>
        <w:top w:val="none" w:sz="0" w:space="0" w:color="auto"/>
        <w:left w:val="none" w:sz="0" w:space="0" w:color="auto"/>
        <w:bottom w:val="none" w:sz="0" w:space="0" w:color="auto"/>
        <w:right w:val="none" w:sz="0" w:space="0" w:color="auto"/>
      </w:divBdr>
    </w:div>
    <w:div w:id="1726833684">
      <w:bodyDiv w:val="1"/>
      <w:marLeft w:val="0"/>
      <w:marRight w:val="0"/>
      <w:marTop w:val="0"/>
      <w:marBottom w:val="0"/>
      <w:divBdr>
        <w:top w:val="none" w:sz="0" w:space="0" w:color="auto"/>
        <w:left w:val="none" w:sz="0" w:space="0" w:color="auto"/>
        <w:bottom w:val="none" w:sz="0" w:space="0" w:color="auto"/>
        <w:right w:val="none" w:sz="0" w:space="0" w:color="auto"/>
      </w:divBdr>
    </w:div>
    <w:div w:id="1775244743">
      <w:bodyDiv w:val="1"/>
      <w:marLeft w:val="0"/>
      <w:marRight w:val="0"/>
      <w:marTop w:val="0"/>
      <w:marBottom w:val="0"/>
      <w:divBdr>
        <w:top w:val="none" w:sz="0" w:space="0" w:color="auto"/>
        <w:left w:val="none" w:sz="0" w:space="0" w:color="auto"/>
        <w:bottom w:val="none" w:sz="0" w:space="0" w:color="auto"/>
        <w:right w:val="none" w:sz="0" w:space="0" w:color="auto"/>
      </w:divBdr>
      <w:divsChild>
        <w:div w:id="1025516883">
          <w:marLeft w:val="0"/>
          <w:marRight w:val="0"/>
          <w:marTop w:val="0"/>
          <w:marBottom w:val="0"/>
          <w:divBdr>
            <w:top w:val="none" w:sz="0" w:space="0" w:color="auto"/>
            <w:left w:val="none" w:sz="0" w:space="0" w:color="auto"/>
            <w:bottom w:val="none" w:sz="0" w:space="0" w:color="auto"/>
            <w:right w:val="none" w:sz="0" w:space="0" w:color="auto"/>
          </w:divBdr>
          <w:divsChild>
            <w:div w:id="1975601095">
              <w:marLeft w:val="0"/>
              <w:marRight w:val="0"/>
              <w:marTop w:val="0"/>
              <w:marBottom w:val="0"/>
              <w:divBdr>
                <w:top w:val="none" w:sz="0" w:space="0" w:color="auto"/>
                <w:left w:val="none" w:sz="0" w:space="0" w:color="auto"/>
                <w:bottom w:val="none" w:sz="0" w:space="0" w:color="auto"/>
                <w:right w:val="none" w:sz="0" w:space="0" w:color="auto"/>
              </w:divBdr>
              <w:divsChild>
                <w:div w:id="732198283">
                  <w:marLeft w:val="0"/>
                  <w:marRight w:val="0"/>
                  <w:marTop w:val="0"/>
                  <w:marBottom w:val="0"/>
                  <w:divBdr>
                    <w:top w:val="none" w:sz="0" w:space="0" w:color="auto"/>
                    <w:left w:val="none" w:sz="0" w:space="0" w:color="auto"/>
                    <w:bottom w:val="none" w:sz="0" w:space="0" w:color="auto"/>
                    <w:right w:val="none" w:sz="0" w:space="0" w:color="auto"/>
                  </w:divBdr>
                  <w:divsChild>
                    <w:div w:id="1463111917">
                      <w:marLeft w:val="0"/>
                      <w:marRight w:val="0"/>
                      <w:marTop w:val="0"/>
                      <w:marBottom w:val="0"/>
                      <w:divBdr>
                        <w:top w:val="none" w:sz="0" w:space="0" w:color="auto"/>
                        <w:left w:val="none" w:sz="0" w:space="0" w:color="auto"/>
                        <w:bottom w:val="none" w:sz="0" w:space="0" w:color="auto"/>
                        <w:right w:val="none" w:sz="0" w:space="0" w:color="auto"/>
                      </w:divBdr>
                      <w:divsChild>
                        <w:div w:id="63182204">
                          <w:marLeft w:val="0"/>
                          <w:marRight w:val="0"/>
                          <w:marTop w:val="0"/>
                          <w:marBottom w:val="0"/>
                          <w:divBdr>
                            <w:top w:val="none" w:sz="0" w:space="0" w:color="auto"/>
                            <w:left w:val="none" w:sz="0" w:space="0" w:color="auto"/>
                            <w:bottom w:val="none" w:sz="0" w:space="0" w:color="auto"/>
                            <w:right w:val="none" w:sz="0" w:space="0" w:color="auto"/>
                          </w:divBdr>
                          <w:divsChild>
                            <w:div w:id="2433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7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0944/preprints202403.1261.v1" TargetMode="External"/><Relationship Id="rId13" Type="http://schemas.openxmlformats.org/officeDocument/2006/relationships/hyperlink" Target="https://doi.org/10.1093/esr/jcac061" TargetMode="External"/><Relationship Id="rId18" Type="http://schemas.openxmlformats.org/officeDocument/2006/relationships/hyperlink" Target="https://doi.org/10.1080/09670262.2017.135708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80/10454438.2022.2128963" TargetMode="External"/><Relationship Id="rId7" Type="http://schemas.openxmlformats.org/officeDocument/2006/relationships/hyperlink" Target="https://doi.org/10.15547/ast.2023.01.010" TargetMode="External"/><Relationship Id="rId12" Type="http://schemas.openxmlformats.org/officeDocument/2006/relationships/hyperlink" Target="https://doi.org/10.1007/s13280-013-0451-1" TargetMode="External"/><Relationship Id="rId17" Type="http://schemas.openxmlformats.org/officeDocument/2006/relationships/hyperlink" Target="http://www.wiego.or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4060/ca9004en" TargetMode="External"/><Relationship Id="rId20" Type="http://schemas.openxmlformats.org/officeDocument/2006/relationships/hyperlink" Target="https://doi.org/10.1088/1755-1315/1230/1/012022"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718524.2019.1695307" TargetMode="External"/><Relationship Id="rId24" Type="http://schemas.openxmlformats.org/officeDocument/2006/relationships/hyperlink" Target="https://doi.org/10.9734/ajee/2023/v20i344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4536/ajase.v3i1.2616" TargetMode="External"/><Relationship Id="rId23" Type="http://schemas.openxmlformats.org/officeDocument/2006/relationships/hyperlink" Target="https://doi.org/10.55248/gengpi.2022.3.2.13" TargetMode="External"/><Relationship Id="rId28" Type="http://schemas.openxmlformats.org/officeDocument/2006/relationships/footer" Target="footer2.xml"/><Relationship Id="rId10" Type="http://schemas.openxmlformats.org/officeDocument/2006/relationships/hyperlink" Target="https://doi.org/10.5897/jdae2016.0727" TargetMode="External"/><Relationship Id="rId19" Type="http://schemas.openxmlformats.org/officeDocument/2006/relationships/hyperlink" Target="https://doi.org/10.36074/sfalrpise-monograph.202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wds.2022.100012" TargetMode="External"/><Relationship Id="rId14" Type="http://schemas.openxmlformats.org/officeDocument/2006/relationships/hyperlink" Target="https://doi.org/10.5089/9798400263507.007" TargetMode="External"/><Relationship Id="rId22" Type="http://schemas.openxmlformats.org/officeDocument/2006/relationships/hyperlink" Target="https://doi.org/10.51386/25815946/ijsms-v5i2p111"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1283</TotalTime>
  <Pages>22</Pages>
  <Words>8112</Words>
  <Characters>46240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175</cp:revision>
  <dcterms:created xsi:type="dcterms:W3CDTF">2024-10-20T07:24:00Z</dcterms:created>
  <dcterms:modified xsi:type="dcterms:W3CDTF">2024-12-31T10:28:00Z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70b5a83a-18b9-41e7-8620-bd1bd24e156a</vt:lpwstr>
  </property>
</Properties>
</file>