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CD8DC" w14:textId="77777777" w:rsidR="00EB58C5" w:rsidRPr="00EB58C5" w:rsidRDefault="00EB58C5" w:rsidP="00EB58C5">
      <w:pPr>
        <w:spacing w:line="240" w:lineRule="auto"/>
        <w:jc w:val="right"/>
        <w:rPr>
          <w:rFonts w:ascii="Arial" w:hAnsi="Arial" w:cs="Arial"/>
          <w:b/>
          <w:bCs/>
          <w:i/>
          <w:iCs/>
          <w:sz w:val="36"/>
          <w:szCs w:val="32"/>
          <w:u w:val="single"/>
        </w:rPr>
      </w:pPr>
      <w:r w:rsidRPr="00EB58C5">
        <w:rPr>
          <w:rFonts w:ascii="Arial" w:hAnsi="Arial" w:cs="Arial"/>
          <w:b/>
          <w:bCs/>
          <w:i/>
          <w:iCs/>
          <w:sz w:val="36"/>
          <w:szCs w:val="32"/>
          <w:u w:val="single"/>
        </w:rPr>
        <w:t>Original Research Article</w:t>
      </w:r>
    </w:p>
    <w:p w14:paraId="7E207064" w14:textId="77777777" w:rsidR="000D2B0F" w:rsidRDefault="00000000">
      <w:pPr>
        <w:spacing w:line="240" w:lineRule="auto"/>
        <w:jc w:val="right"/>
        <w:rPr>
          <w:rFonts w:ascii="Arial" w:hAnsi="Arial" w:cs="Arial"/>
          <w:b/>
          <w:sz w:val="36"/>
          <w:szCs w:val="32"/>
        </w:rPr>
      </w:pPr>
      <w:r>
        <w:rPr>
          <w:rFonts w:ascii="Arial" w:hAnsi="Arial" w:cs="Arial"/>
          <w:b/>
          <w:sz w:val="36"/>
          <w:szCs w:val="32"/>
        </w:rPr>
        <w:t xml:space="preserve">Quantifying Heavy Metals in White Clay and Groundwater of </w:t>
      </w:r>
      <w:proofErr w:type="spellStart"/>
      <w:r>
        <w:rPr>
          <w:rFonts w:ascii="Arial" w:hAnsi="Arial" w:cs="Arial"/>
          <w:b/>
          <w:sz w:val="36"/>
          <w:szCs w:val="32"/>
        </w:rPr>
        <w:t>Bijoypur</w:t>
      </w:r>
      <w:proofErr w:type="spellEnd"/>
      <w:r>
        <w:rPr>
          <w:rFonts w:ascii="Arial" w:hAnsi="Arial" w:cs="Arial"/>
          <w:b/>
          <w:sz w:val="36"/>
          <w:szCs w:val="32"/>
        </w:rPr>
        <w:t>: A Comprehensive Study of Potential Impact Analysis</w:t>
      </w:r>
    </w:p>
    <w:p w14:paraId="3CCF44D3" w14:textId="77777777" w:rsidR="00EB58C5" w:rsidRDefault="00EB58C5">
      <w:pPr>
        <w:spacing w:line="276" w:lineRule="auto"/>
        <w:jc w:val="right"/>
        <w:rPr>
          <w:rFonts w:ascii="Times New Roman" w:hAnsi="Times New Roman" w:cs="Times New Roman"/>
          <w:i/>
          <w:sz w:val="16"/>
          <w:szCs w:val="14"/>
        </w:rPr>
      </w:pPr>
    </w:p>
    <w:p w14:paraId="387E72C0" w14:textId="77777777" w:rsidR="00F5737A" w:rsidRDefault="00F5737A">
      <w:pPr>
        <w:spacing w:line="276" w:lineRule="auto"/>
        <w:jc w:val="right"/>
        <w:rPr>
          <w:rFonts w:ascii="Times New Roman" w:hAnsi="Times New Roman" w:cs="Times New Roman"/>
          <w:i/>
          <w:sz w:val="16"/>
          <w:szCs w:val="14"/>
        </w:rPr>
      </w:pPr>
    </w:p>
    <w:p w14:paraId="79D31DFD" w14:textId="77777777" w:rsidR="000D2B0F" w:rsidRDefault="00000000">
      <w:pPr>
        <w:spacing w:line="240" w:lineRule="auto"/>
        <w:jc w:val="both"/>
        <w:rPr>
          <w:rFonts w:ascii="Arial" w:hAnsi="Arial" w:cs="Arial"/>
        </w:rPr>
      </w:pPr>
      <w:r>
        <w:rPr>
          <w:rFonts w:ascii="Arial" w:hAnsi="Arial" w:cs="Arial"/>
          <w:b/>
        </w:rPr>
        <w:t>Abstract-</w:t>
      </w:r>
      <w:r>
        <w:rPr>
          <w:rFonts w:ascii="Arial" w:hAnsi="Arial" w:cs="Arial"/>
        </w:rPr>
        <w:t xml:space="preserve"> Heavy metal contamination in water especially in groundwater sources is increasing due to changes in geochemistry in the aquifers. This study aimed to investigate the abundance of heavy metals in white clay, lake water and groundwater along with assess the potential heavy metal impact on groundwater. Four white clay, two lake water and six groundwater samples were taken from </w:t>
      </w:r>
      <w:proofErr w:type="spellStart"/>
      <w:r>
        <w:rPr>
          <w:rFonts w:ascii="Arial" w:hAnsi="Arial" w:cs="Arial"/>
        </w:rPr>
        <w:t>Bijoypur</w:t>
      </w:r>
      <w:proofErr w:type="spellEnd"/>
      <w:r>
        <w:rPr>
          <w:rFonts w:ascii="Arial" w:hAnsi="Arial" w:cs="Arial"/>
        </w:rPr>
        <w:t xml:space="preserve"> and its vicinity. Quantification of heavy metal concentrations in white clay and water samples were conducted by using ICPMS. To assess the degree of pollution in the water samples, the Metal Index (MI) and Heavy Metal Pollution Index (HPI) were computed. The mean concentrations (mg kg</w:t>
      </w:r>
      <w:r>
        <w:rPr>
          <w:rFonts w:ascii="Arial" w:hAnsi="Arial" w:cs="Arial"/>
          <w:vertAlign w:val="superscript"/>
        </w:rPr>
        <w:t>-1</w:t>
      </w:r>
      <w:r>
        <w:rPr>
          <w:rFonts w:ascii="Arial" w:hAnsi="Arial" w:cs="Arial"/>
        </w:rPr>
        <w:t xml:space="preserve">) of heavy metal in white clay were </w:t>
      </w:r>
      <w:proofErr w:type="gramStart"/>
      <w:r>
        <w:rPr>
          <w:rFonts w:ascii="Arial" w:hAnsi="Arial" w:cs="Arial"/>
        </w:rPr>
        <w:t>As</w:t>
      </w:r>
      <w:proofErr w:type="gramEnd"/>
      <w:r>
        <w:rPr>
          <w:rFonts w:ascii="Arial" w:hAnsi="Arial" w:cs="Arial"/>
        </w:rPr>
        <w:t xml:space="preserve"> (0.0104), Cd (0.0005), Co (0.0105), Cr (0.2230), Cu (0.0290), Fe (36.08), Mn (0.044), Ni (0.15), Pb (0.059) and Zn (0.045). The mean concentrations (mg L</w:t>
      </w:r>
      <w:r>
        <w:rPr>
          <w:rFonts w:ascii="Arial" w:hAnsi="Arial" w:cs="Arial"/>
          <w:vertAlign w:val="superscript"/>
        </w:rPr>
        <w:t>-1</w:t>
      </w:r>
      <w:r>
        <w:rPr>
          <w:rFonts w:ascii="Arial" w:hAnsi="Arial" w:cs="Arial"/>
        </w:rPr>
        <w:t xml:space="preserve">) of heavy metal in groundwater showed that </w:t>
      </w:r>
      <w:proofErr w:type="gramStart"/>
      <w:r>
        <w:rPr>
          <w:rFonts w:ascii="Arial" w:hAnsi="Arial" w:cs="Arial"/>
        </w:rPr>
        <w:t>As</w:t>
      </w:r>
      <w:proofErr w:type="gramEnd"/>
      <w:r>
        <w:rPr>
          <w:rFonts w:ascii="Arial" w:hAnsi="Arial" w:cs="Arial"/>
        </w:rPr>
        <w:t xml:space="preserve"> (0.029), Fe (15.093), Mn (0.383) and Ni (0.043) exceeded WHO, 2011 recommended permissible values. As-Fe (r=0.89), Cr-Pb (r=0.93) exhibits a very strong correlation in groundwater. As per the HPI values, 17% of samples show a high pollution index and 33% of samples show a medium pollution index. As per the MI values, 33% of the samples show a seriously affected water quality. The findings revealed a significance presence of heavy metal in white clay, lake water and groundwater. It is imperative to thoroughly monitor any potential effects of heavy metals (HMs) on human health that may result from direct groundwater drinking.</w:t>
      </w:r>
    </w:p>
    <w:p w14:paraId="33325957" w14:textId="77777777" w:rsidR="000D2B0F" w:rsidRDefault="00000000">
      <w:pPr>
        <w:spacing w:line="240" w:lineRule="auto"/>
        <w:jc w:val="both"/>
        <w:rPr>
          <w:rFonts w:ascii="Arial" w:hAnsi="Arial" w:cs="Arial"/>
          <w:i/>
          <w:iCs/>
          <w:sz w:val="20"/>
          <w:szCs w:val="20"/>
        </w:rPr>
      </w:pPr>
      <w:r>
        <w:rPr>
          <w:rFonts w:ascii="Arial" w:hAnsi="Arial" w:cs="Arial"/>
          <w:b/>
          <w:i/>
          <w:iCs/>
          <w:sz w:val="20"/>
          <w:szCs w:val="20"/>
        </w:rPr>
        <w:t>Keywords:</w:t>
      </w:r>
      <w:r>
        <w:rPr>
          <w:rFonts w:ascii="Arial" w:hAnsi="Arial" w:cs="Arial"/>
          <w:i/>
          <w:iCs/>
          <w:sz w:val="20"/>
          <w:szCs w:val="20"/>
        </w:rPr>
        <w:t xml:space="preserve"> White clay, Groundwater, Heavy metal, Metal index, </w:t>
      </w:r>
      <w:proofErr w:type="spellStart"/>
      <w:r>
        <w:rPr>
          <w:rFonts w:ascii="Arial" w:hAnsi="Arial" w:cs="Arial"/>
          <w:i/>
          <w:iCs/>
          <w:sz w:val="20"/>
          <w:szCs w:val="20"/>
        </w:rPr>
        <w:t>Bijoypur</w:t>
      </w:r>
      <w:proofErr w:type="spellEnd"/>
    </w:p>
    <w:p w14:paraId="2D9A1DC5" w14:textId="77777777" w:rsidR="000D2B0F" w:rsidRDefault="000D2B0F">
      <w:pPr>
        <w:spacing w:after="0" w:line="240" w:lineRule="auto"/>
        <w:rPr>
          <w:rFonts w:ascii="Times New Roman" w:hAnsi="Times New Roman" w:cs="Times New Roman"/>
          <w:b/>
          <w:sz w:val="24"/>
          <w:szCs w:val="24"/>
        </w:rPr>
      </w:pPr>
    </w:p>
    <w:p w14:paraId="0C74ED21" w14:textId="77777777" w:rsidR="000D2B0F" w:rsidRDefault="00000000">
      <w:pPr>
        <w:pStyle w:val="ListParagraph"/>
        <w:numPr>
          <w:ilvl w:val="0"/>
          <w:numId w:val="1"/>
        </w:numPr>
        <w:spacing w:line="240" w:lineRule="auto"/>
        <w:rPr>
          <w:rFonts w:ascii="Arial" w:hAnsi="Arial" w:cs="Arial"/>
          <w:b/>
          <w:bCs/>
        </w:rPr>
      </w:pPr>
      <w:r>
        <w:rPr>
          <w:rFonts w:ascii="Arial" w:hAnsi="Arial" w:cs="Arial"/>
          <w:b/>
          <w:bCs/>
        </w:rPr>
        <w:t>INTRODUCTION</w:t>
      </w:r>
    </w:p>
    <w:p w14:paraId="7CB9C74D"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Clays and clay minerals, originated from the Earth's surface rocks are formed, mostly by chemical weathering and hydrothermal activities for thousands of years (Dhakal et al., 2021). White Clay refers to the fine-grained naturally occurring particles as the outcome of mechanical weathering and chemical alteration of rocks. These rocks include phyllosilicates and other minerals that provide plasticity. Sedimentologists typically indicate the ideal dimension of &lt;4 mm for clay grain size (Guggenheim and Martin, 1995). One of the most common methods for determining the movement patterns of sediments, the degree of weathering, and the reconstruction of paleoclimate and paleo depositional environments in a variety of geological contexts is clay mineralogy (Gazi et al., 2017; Li et al., 2017). Bangladesh's residual clay is primarily white clay, which is purer, has larger grains, and is less malleable. Little clay mineral lenses have been found in the </w:t>
      </w:r>
      <w:proofErr w:type="spellStart"/>
      <w:r>
        <w:rPr>
          <w:rFonts w:ascii="Arial" w:hAnsi="Arial" w:cs="Arial"/>
          <w:sz w:val="20"/>
          <w:szCs w:val="20"/>
        </w:rPr>
        <w:t>Dupi</w:t>
      </w:r>
      <w:proofErr w:type="spellEnd"/>
      <w:r>
        <w:rPr>
          <w:rFonts w:ascii="Arial" w:hAnsi="Arial" w:cs="Arial"/>
          <w:sz w:val="20"/>
          <w:szCs w:val="20"/>
        </w:rPr>
        <w:t xml:space="preserve"> Tila Formation in Sylhet and </w:t>
      </w:r>
      <w:proofErr w:type="spellStart"/>
      <w:r>
        <w:rPr>
          <w:rFonts w:ascii="Arial" w:hAnsi="Arial" w:cs="Arial"/>
          <w:sz w:val="20"/>
          <w:szCs w:val="20"/>
        </w:rPr>
        <w:t>Bandarban</w:t>
      </w:r>
      <w:proofErr w:type="spellEnd"/>
      <w:r>
        <w:rPr>
          <w:rFonts w:ascii="Arial" w:hAnsi="Arial" w:cs="Arial"/>
          <w:sz w:val="20"/>
          <w:szCs w:val="20"/>
        </w:rPr>
        <w:t xml:space="preserve">, whereas large clay layers, known locally as </w:t>
      </w:r>
      <w:proofErr w:type="spellStart"/>
      <w:r>
        <w:rPr>
          <w:rFonts w:ascii="Arial" w:hAnsi="Arial" w:cs="Arial"/>
          <w:sz w:val="20"/>
          <w:szCs w:val="20"/>
        </w:rPr>
        <w:t>Bijoypur</w:t>
      </w:r>
      <w:proofErr w:type="spellEnd"/>
      <w:r>
        <w:rPr>
          <w:rFonts w:ascii="Arial" w:hAnsi="Arial" w:cs="Arial"/>
          <w:sz w:val="20"/>
          <w:szCs w:val="20"/>
        </w:rPr>
        <w:t xml:space="preserve"> Clay, can be found in </w:t>
      </w:r>
      <w:proofErr w:type="spellStart"/>
      <w:r>
        <w:rPr>
          <w:rFonts w:ascii="Arial" w:hAnsi="Arial" w:cs="Arial"/>
          <w:sz w:val="20"/>
          <w:szCs w:val="20"/>
        </w:rPr>
        <w:t>Netrokona</w:t>
      </w:r>
      <w:proofErr w:type="spellEnd"/>
      <w:r>
        <w:rPr>
          <w:rFonts w:ascii="Arial" w:hAnsi="Arial" w:cs="Arial"/>
          <w:sz w:val="20"/>
          <w:szCs w:val="20"/>
        </w:rPr>
        <w:t xml:space="preserve"> (Gazi et al., 2021). For example, feldspar weathering, transit and deposition results in altered products such as montmorillonite, kaolinite, and other clay minerals rich in aluminum. Clay is eliminated by weathering, chemical breakdown, and mechanical fragmentation of the parent rocks, and they are either deposited in their original locations or are transported from their source by natural forces (Gazi et al., 2021). There have been few studies conducted to ascertain the provenance, distribution, and mineralogical composition of clay minerals in the Bengal Basin and surrounding regions, as well as how these assemblages are transported (Heroy et al., 2003; Li et al.,</w:t>
      </w:r>
      <w:r>
        <w:rPr>
          <w:rFonts w:ascii="Arial" w:hAnsi="Arial" w:cs="Arial"/>
          <w:i/>
          <w:sz w:val="20"/>
          <w:szCs w:val="20"/>
        </w:rPr>
        <w:t xml:space="preserve"> </w:t>
      </w:r>
      <w:r>
        <w:rPr>
          <w:rFonts w:ascii="Arial" w:hAnsi="Arial" w:cs="Arial"/>
          <w:sz w:val="20"/>
          <w:szCs w:val="20"/>
        </w:rPr>
        <w:t>2017; Flood et al., 2018).</w:t>
      </w:r>
    </w:p>
    <w:p w14:paraId="7E1FDDA3" w14:textId="77777777" w:rsidR="000D2B0F" w:rsidRDefault="00000000">
      <w:pPr>
        <w:spacing w:line="240" w:lineRule="auto"/>
        <w:jc w:val="both"/>
        <w:rPr>
          <w:rFonts w:ascii="Arial" w:hAnsi="Arial" w:cs="Arial"/>
          <w:sz w:val="20"/>
          <w:szCs w:val="20"/>
        </w:rPr>
      </w:pPr>
      <w:proofErr w:type="spellStart"/>
      <w:r>
        <w:rPr>
          <w:rFonts w:ascii="Arial" w:hAnsi="Arial" w:cs="Arial"/>
          <w:sz w:val="20"/>
          <w:szCs w:val="20"/>
        </w:rPr>
        <w:t>Bijoypur</w:t>
      </w:r>
      <w:proofErr w:type="spellEnd"/>
      <w:r>
        <w:rPr>
          <w:rFonts w:ascii="Arial" w:hAnsi="Arial" w:cs="Arial"/>
          <w:sz w:val="20"/>
          <w:szCs w:val="20"/>
        </w:rPr>
        <w:t xml:space="preserve"> white clay deposits are exposed in a series of hillocks from </w:t>
      </w:r>
      <w:proofErr w:type="spellStart"/>
      <w:r>
        <w:rPr>
          <w:rFonts w:ascii="Arial" w:hAnsi="Arial" w:cs="Arial"/>
          <w:sz w:val="20"/>
          <w:szCs w:val="20"/>
        </w:rPr>
        <w:t>Bhedikura</w:t>
      </w:r>
      <w:proofErr w:type="spellEnd"/>
      <w:r>
        <w:rPr>
          <w:rFonts w:ascii="Arial" w:hAnsi="Arial" w:cs="Arial"/>
          <w:sz w:val="20"/>
          <w:szCs w:val="20"/>
        </w:rPr>
        <w:t xml:space="preserve"> in the west to Gopalpur in the east in a 10.5 km long narrow strip of about 610 m. The area between Gopalpur and </w:t>
      </w:r>
      <w:proofErr w:type="spellStart"/>
      <w:r>
        <w:rPr>
          <w:rFonts w:ascii="Arial" w:hAnsi="Arial" w:cs="Arial"/>
          <w:sz w:val="20"/>
          <w:szCs w:val="20"/>
        </w:rPr>
        <w:t>Bhedikura</w:t>
      </w:r>
      <w:proofErr w:type="spellEnd"/>
      <w:r>
        <w:rPr>
          <w:rFonts w:ascii="Arial" w:hAnsi="Arial" w:cs="Arial"/>
          <w:sz w:val="20"/>
          <w:szCs w:val="20"/>
        </w:rPr>
        <w:t xml:space="preserve"> comprises a series of low rounded hillocks. These hillocks are separated by shallow, wide valleys. The maximum and minimum heights of the hillock are 43 m and 15 m respectively above mean sea level. The valleys are on the average 12 m above mean sea level (Chowdhury, 1993). Water has the unique </w:t>
      </w:r>
      <w:r>
        <w:rPr>
          <w:rFonts w:ascii="Arial" w:hAnsi="Arial" w:cs="Arial"/>
          <w:sz w:val="20"/>
          <w:szCs w:val="20"/>
        </w:rPr>
        <w:lastRenderedPageBreak/>
        <w:t>property of dissolving and carrying in suspension a huge variety of chemicals and hence water can easily become contaminated (Islam et al., 2021). The necessity of using ground water is growing at an accelerated rate these days due to the nation's constantly rising water demand (Shamsur et al., 2017). Heavy metal ions pollution becomes a global concern because of its influence on the food chain. However, Heavy metal ions in soil and water are among the major contaminants. Because of anthropogenic activities as well as natural occurrence, heavy metals are present in the environment in large quantities (Islam et al., 2020). Most common heavy metals include Arsenic (As), Chromium (Cr), Zinc (Zn), Copper (Cu), Cadmium (Cd), Lead (Pb), Nickle (Ni), Iron (Fe), Manganese (Mn) and Cobalt (Co) (</w:t>
      </w:r>
      <w:proofErr w:type="spellStart"/>
      <w:r>
        <w:rPr>
          <w:rFonts w:ascii="Arial" w:hAnsi="Arial" w:cs="Arial"/>
          <w:sz w:val="20"/>
          <w:szCs w:val="20"/>
        </w:rPr>
        <w:t>Mohsenipour</w:t>
      </w:r>
      <w:proofErr w:type="spellEnd"/>
      <w:r>
        <w:rPr>
          <w:rFonts w:ascii="Arial" w:hAnsi="Arial" w:cs="Arial"/>
          <w:sz w:val="20"/>
          <w:szCs w:val="20"/>
        </w:rPr>
        <w:t xml:space="preserve"> and Shahid, 2013). The most basic element needed by humans, plants, and animals is water, which is often obtained from two main natural sources: fresh surface water from lakes, rivers, and groundwater (Vanloon and Duffy, 2005). Additionally, water is essential for a variety of uses in Bangladesh, including drinking, residential and industrial uses, livestock and aquaculture, and irrigation (Uddin et al., 2013; Hossain et al., 2020). It is unclear how water's unique chemical properties which stem from its polarization and hydrogen bonds-allow it to absorb, dissolve, and suspend different combinations of substances in natural water while also absorbing pollutants from nearby sources and from people, animals, and other biochemical processes (Mendie, 2005). The supreme significant environmental problems today are ground water contamination (</w:t>
      </w:r>
      <w:proofErr w:type="spellStart"/>
      <w:r>
        <w:rPr>
          <w:rFonts w:ascii="Arial" w:hAnsi="Arial" w:cs="Arial"/>
          <w:sz w:val="20"/>
          <w:szCs w:val="20"/>
        </w:rPr>
        <w:t>Vodela</w:t>
      </w:r>
      <w:proofErr w:type="spellEnd"/>
      <w:r>
        <w:rPr>
          <w:rFonts w:ascii="Arial" w:hAnsi="Arial" w:cs="Arial"/>
          <w:sz w:val="20"/>
          <w:szCs w:val="20"/>
        </w:rPr>
        <w:t xml:space="preserve"> et al., 2001) and among the extensive variety of pollutants effecting water properties, heavy metals obtain specific concern seeing their tough toxicity even at small applications (Marcovecchio et al., 2007). Heavy metal can origin major effects of health with diverse signs dependent on the nature and amount of the heavy metal consumed (Adepoju and Alibi, 2005).</w:t>
      </w:r>
      <w:r>
        <w:rPr>
          <w:rFonts w:ascii="Arial" w:hAnsi="Arial" w:cs="Arial"/>
          <w:sz w:val="18"/>
          <w:szCs w:val="18"/>
        </w:rPr>
        <w:t xml:space="preserve"> </w:t>
      </w:r>
      <w:r>
        <w:rPr>
          <w:rFonts w:ascii="Arial" w:hAnsi="Arial" w:cs="Arial"/>
          <w:sz w:val="20"/>
          <w:szCs w:val="20"/>
        </w:rPr>
        <w:t>Water quality deteriorates and becomes contaminated due to chemical or biological pollution. Both humans and other living things are negatively impacted by this water (Hanif et al., 2020). Mining operations and other forms of human interference usually hasten the detrimental effects of geology's influence on water quality (Baba and Gunde, 2017). A contaminant released into the environment may travel throughout an aquifer similarly to how ground water flows, depending on its physical, chemical, and biological characteristics. Permeable and porous soils have a tendency to transfer water and some kinds of pollutants rather easily to an aquifer below.</w:t>
      </w:r>
      <w:r>
        <w:rPr>
          <w:rFonts w:ascii="Arial" w:hAnsi="Arial" w:cs="Arial"/>
          <w:sz w:val="18"/>
          <w:szCs w:val="18"/>
        </w:rPr>
        <w:t xml:space="preserve"> </w:t>
      </w:r>
      <w:r>
        <w:rPr>
          <w:rFonts w:ascii="Arial" w:hAnsi="Arial" w:cs="Arial"/>
          <w:sz w:val="20"/>
          <w:szCs w:val="20"/>
        </w:rPr>
        <w:t>Heavy metals contamination in aquatic environment is of critical concern, due to toxicity of metals and their accumulation in aquatic habitats (Rahman et al., 2016).</w:t>
      </w:r>
    </w:p>
    <w:p w14:paraId="2786C268"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The water-soil interface and the water-atmosphere interface are the medium through which the heavy metals travel (Varol, 2011; Ali et al., 2018). In this context, it is currently considered that one of the main factors influencing the quality of water resources is the interaction between water and rocks in the changing areas of geological units. These interactions are mostly responsible for a variety of health consequences of local inhabitants who consume such water resources for drinking purposes (Nouri et al., 2008; Baba and Gunde, 2017). The key objectives of this study </w:t>
      </w:r>
      <w:proofErr w:type="gramStart"/>
      <w:r>
        <w:rPr>
          <w:rFonts w:ascii="Arial" w:hAnsi="Arial" w:cs="Arial"/>
          <w:sz w:val="20"/>
          <w:szCs w:val="20"/>
        </w:rPr>
        <w:t>was</w:t>
      </w:r>
      <w:proofErr w:type="gramEnd"/>
      <w:r>
        <w:rPr>
          <w:rFonts w:ascii="Arial" w:hAnsi="Arial" w:cs="Arial"/>
          <w:sz w:val="20"/>
          <w:szCs w:val="20"/>
        </w:rPr>
        <w:t xml:space="preserve"> to determine the abundance of heavy metals in white clay, lake water and groundwater of </w:t>
      </w:r>
      <w:proofErr w:type="spellStart"/>
      <w:r>
        <w:rPr>
          <w:rFonts w:ascii="Arial" w:hAnsi="Arial" w:cs="Arial"/>
          <w:sz w:val="20"/>
          <w:szCs w:val="20"/>
        </w:rPr>
        <w:t>Bijoypur</w:t>
      </w:r>
      <w:proofErr w:type="spellEnd"/>
      <w:r>
        <w:rPr>
          <w:rFonts w:ascii="Arial" w:hAnsi="Arial" w:cs="Arial"/>
          <w:sz w:val="20"/>
          <w:szCs w:val="20"/>
        </w:rPr>
        <w:t xml:space="preserve"> area and analysis the potential heavy metal impact on groundwater.</w:t>
      </w:r>
    </w:p>
    <w:p w14:paraId="77DCE3EC" w14:textId="77777777" w:rsidR="000D2B0F" w:rsidRDefault="00000000">
      <w:pPr>
        <w:pStyle w:val="ListParagraph"/>
        <w:numPr>
          <w:ilvl w:val="0"/>
          <w:numId w:val="1"/>
        </w:numPr>
        <w:spacing w:line="240" w:lineRule="auto"/>
        <w:rPr>
          <w:rFonts w:ascii="Arial" w:hAnsi="Arial" w:cs="Arial"/>
          <w:b/>
          <w:bCs/>
        </w:rPr>
      </w:pPr>
      <w:r>
        <w:rPr>
          <w:rFonts w:ascii="Arial" w:hAnsi="Arial" w:cs="Arial"/>
          <w:b/>
          <w:bCs/>
        </w:rPr>
        <w:t>MATERIALS AND METHODS</w:t>
      </w:r>
    </w:p>
    <w:p w14:paraId="7020D442" w14:textId="77777777" w:rsidR="000D2B0F" w:rsidRDefault="00000000">
      <w:pPr>
        <w:spacing w:after="0" w:line="276" w:lineRule="auto"/>
        <w:rPr>
          <w:rFonts w:ascii="Arial" w:hAnsi="Arial" w:cs="Arial"/>
          <w:b/>
          <w:bCs/>
        </w:rPr>
      </w:pPr>
      <w:r>
        <w:rPr>
          <w:rFonts w:ascii="Arial" w:hAnsi="Arial" w:cs="Arial"/>
          <w:b/>
          <w:bCs/>
        </w:rPr>
        <w:t>2.1 Location of the study area</w:t>
      </w:r>
    </w:p>
    <w:p w14:paraId="367BEE2D" w14:textId="77777777" w:rsidR="000D2B0F" w:rsidRDefault="00000000">
      <w:pPr>
        <w:spacing w:after="0" w:line="240" w:lineRule="auto"/>
        <w:jc w:val="both"/>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Bijoypur</w:t>
      </w:r>
      <w:proofErr w:type="spellEnd"/>
      <w:r>
        <w:rPr>
          <w:rFonts w:ascii="Arial" w:hAnsi="Arial" w:cs="Arial"/>
          <w:sz w:val="20"/>
          <w:szCs w:val="20"/>
        </w:rPr>
        <w:t xml:space="preserve"> white clay deposit which is studied in this research is located in the north eastern part of Bangladesh. White clay deposits are exposed in a series of hillocks from </w:t>
      </w:r>
      <w:proofErr w:type="spellStart"/>
      <w:r>
        <w:rPr>
          <w:rFonts w:ascii="Arial" w:hAnsi="Arial" w:cs="Arial"/>
          <w:sz w:val="20"/>
          <w:szCs w:val="20"/>
        </w:rPr>
        <w:t>Bhedikura</w:t>
      </w:r>
      <w:proofErr w:type="spellEnd"/>
      <w:r>
        <w:rPr>
          <w:rFonts w:ascii="Arial" w:hAnsi="Arial" w:cs="Arial"/>
          <w:sz w:val="20"/>
          <w:szCs w:val="20"/>
        </w:rPr>
        <w:t xml:space="preserve"> in the west to Gopalpur in the east in an area of about 10.5 km long 600 meters wide (Islam, 1985). This study area is located in the near of Garo Hills of Meghalaya. It lies between 25°09´26.89´´N to 25°10´25.64´´N latitudes and 90°38´37.26´´E to 90°36´56.07´´E longitudes. It comprises mostly at </w:t>
      </w:r>
      <w:proofErr w:type="spellStart"/>
      <w:r>
        <w:rPr>
          <w:rFonts w:ascii="Arial" w:hAnsi="Arial" w:cs="Arial"/>
          <w:sz w:val="20"/>
          <w:szCs w:val="20"/>
        </w:rPr>
        <w:t>Kullagora</w:t>
      </w:r>
      <w:proofErr w:type="spellEnd"/>
      <w:r>
        <w:rPr>
          <w:rFonts w:ascii="Arial" w:hAnsi="Arial" w:cs="Arial"/>
          <w:sz w:val="20"/>
          <w:szCs w:val="20"/>
        </w:rPr>
        <w:t xml:space="preserve"> union in Durgapur Upazilas of </w:t>
      </w:r>
      <w:proofErr w:type="spellStart"/>
      <w:r>
        <w:rPr>
          <w:rFonts w:ascii="Arial" w:hAnsi="Arial" w:cs="Arial"/>
          <w:sz w:val="20"/>
          <w:szCs w:val="20"/>
        </w:rPr>
        <w:t>Netrokona</w:t>
      </w:r>
      <w:proofErr w:type="spellEnd"/>
      <w:r>
        <w:rPr>
          <w:rFonts w:ascii="Arial" w:hAnsi="Arial" w:cs="Arial"/>
          <w:sz w:val="20"/>
          <w:szCs w:val="20"/>
        </w:rPr>
        <w:t xml:space="preserve"> District (Figure 1).</w:t>
      </w:r>
      <w:r>
        <w:rPr>
          <w:rFonts w:ascii="Arial" w:hAnsi="Arial" w:cs="Arial"/>
          <w:sz w:val="20"/>
          <w:szCs w:val="20"/>
          <w:lang w:val="en"/>
        </w:rPr>
        <w:t xml:space="preserve"> The diverse colors of soil, water and the endless beauty of nature captivates the mind. White, pink, yellow, purple, brown, blue mud hills of different colors attract the eye.</w:t>
      </w:r>
      <w:r>
        <w:rPr>
          <w:rFonts w:ascii="Arial" w:hAnsi="Arial" w:cs="Arial"/>
          <w:sz w:val="20"/>
          <w:szCs w:val="20"/>
        </w:rPr>
        <w:t xml:space="preserve"> The Mymensingh-</w:t>
      </w:r>
      <w:proofErr w:type="spellStart"/>
      <w:r>
        <w:rPr>
          <w:rFonts w:ascii="Arial" w:hAnsi="Arial" w:cs="Arial"/>
          <w:sz w:val="20"/>
          <w:szCs w:val="20"/>
        </w:rPr>
        <w:t>Birishiri</w:t>
      </w:r>
      <w:proofErr w:type="spellEnd"/>
      <w:r>
        <w:rPr>
          <w:rFonts w:ascii="Arial" w:hAnsi="Arial" w:cs="Arial"/>
          <w:sz w:val="20"/>
          <w:szCs w:val="20"/>
        </w:rPr>
        <w:t xml:space="preserve"> highway runs through the north-eastern part of the surveyed area. The nearest bus stations are at </w:t>
      </w:r>
      <w:proofErr w:type="spellStart"/>
      <w:r>
        <w:rPr>
          <w:rFonts w:ascii="Arial" w:hAnsi="Arial" w:cs="Arial"/>
          <w:sz w:val="20"/>
          <w:szCs w:val="20"/>
        </w:rPr>
        <w:t>Birishiri</w:t>
      </w:r>
      <w:proofErr w:type="spellEnd"/>
      <w:r>
        <w:rPr>
          <w:rFonts w:ascii="Arial" w:hAnsi="Arial" w:cs="Arial"/>
          <w:sz w:val="20"/>
          <w:szCs w:val="20"/>
        </w:rPr>
        <w:t>. There are some sub roads leading to the investigated areas from the highway.</w:t>
      </w:r>
    </w:p>
    <w:p w14:paraId="4B6CF41C" w14:textId="77777777" w:rsidR="000D2B0F" w:rsidRDefault="00000000">
      <w:pPr>
        <w:spacing w:line="240" w:lineRule="auto"/>
        <w:jc w:val="center"/>
        <w:rPr>
          <w:rFonts w:ascii="Times New Roman" w:eastAsia="Times New Roman" w:hAnsi="Times New Roman" w:cs="Times New Roman"/>
          <w:sz w:val="24"/>
          <w:szCs w:val="24"/>
          <w:lang w:val="en"/>
        </w:rPr>
      </w:pPr>
      <w:r>
        <w:rPr>
          <w:rFonts w:ascii="Times New Roman" w:eastAsia="Times New Roman" w:hAnsi="Times New Roman" w:cs="Times New Roman"/>
          <w:noProof/>
          <w:sz w:val="24"/>
          <w:szCs w:val="24"/>
        </w:rPr>
        <w:lastRenderedPageBreak/>
        <w:drawing>
          <wp:inline distT="0" distB="0" distL="0" distR="0" wp14:anchorId="6FB71503" wp14:editId="5DAE0B4D">
            <wp:extent cx="5591175" cy="3629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9467" cy="3634407"/>
                    </a:xfrm>
                    <a:prstGeom prst="rect">
                      <a:avLst/>
                    </a:prstGeom>
                  </pic:spPr>
                </pic:pic>
              </a:graphicData>
            </a:graphic>
          </wp:inline>
        </w:drawing>
      </w:r>
    </w:p>
    <w:p w14:paraId="2DDDC61E" w14:textId="77777777" w:rsidR="000D2B0F" w:rsidRDefault="00000000">
      <w:pPr>
        <w:spacing w:line="240" w:lineRule="auto"/>
        <w:jc w:val="center"/>
        <w:rPr>
          <w:rFonts w:ascii="Arial" w:eastAsia="Times New Roman" w:hAnsi="Arial" w:cs="Arial"/>
          <w:b/>
          <w:sz w:val="20"/>
          <w:szCs w:val="20"/>
          <w:lang w:val="en"/>
        </w:rPr>
      </w:pPr>
      <w:r>
        <w:rPr>
          <w:rFonts w:ascii="Arial" w:eastAsia="Times New Roman" w:hAnsi="Arial" w:cs="Arial"/>
          <w:b/>
          <w:sz w:val="20"/>
          <w:szCs w:val="20"/>
          <w:lang w:val="en"/>
        </w:rPr>
        <w:t>Fig. 1. Location map of the study area</w:t>
      </w:r>
    </w:p>
    <w:p w14:paraId="30062E9D" w14:textId="77777777" w:rsidR="000D2B0F" w:rsidRDefault="00000000">
      <w:pPr>
        <w:spacing w:line="240" w:lineRule="auto"/>
        <w:rPr>
          <w:rFonts w:ascii="Arial" w:hAnsi="Arial" w:cs="Arial"/>
          <w:b/>
          <w:bCs/>
        </w:rPr>
      </w:pPr>
      <w:r>
        <w:rPr>
          <w:rFonts w:ascii="Arial" w:hAnsi="Arial" w:cs="Arial"/>
          <w:b/>
          <w:bCs/>
        </w:rPr>
        <w:t>2.2 Sample collection</w:t>
      </w:r>
    </w:p>
    <w:p w14:paraId="7836FBF9" w14:textId="77777777" w:rsidR="000D2B0F" w:rsidRDefault="00000000">
      <w:pPr>
        <w:spacing w:line="240" w:lineRule="auto"/>
        <w:jc w:val="both"/>
        <w:rPr>
          <w:rFonts w:ascii="Arial" w:eastAsia="Times New Roman" w:hAnsi="Arial" w:cs="Arial"/>
          <w:sz w:val="20"/>
          <w:szCs w:val="20"/>
          <w:lang w:val="en"/>
        </w:rPr>
      </w:pPr>
      <w:r>
        <w:rPr>
          <w:rFonts w:ascii="Arial" w:hAnsi="Arial" w:cs="Arial"/>
          <w:sz w:val="20"/>
          <w:szCs w:val="20"/>
        </w:rPr>
        <w:t xml:space="preserve">White clay samples were collected from four locations of </w:t>
      </w:r>
      <w:proofErr w:type="spellStart"/>
      <w:r>
        <w:rPr>
          <w:rFonts w:ascii="Arial" w:hAnsi="Arial" w:cs="Arial"/>
          <w:sz w:val="20"/>
          <w:szCs w:val="20"/>
        </w:rPr>
        <w:t>Bijoypur</w:t>
      </w:r>
      <w:proofErr w:type="spellEnd"/>
      <w:r>
        <w:rPr>
          <w:rFonts w:ascii="Arial" w:hAnsi="Arial" w:cs="Arial"/>
          <w:sz w:val="20"/>
          <w:szCs w:val="20"/>
        </w:rPr>
        <w:t xml:space="preserve"> i.e., Hill 1, Hill 2, </w:t>
      </w:r>
      <w:proofErr w:type="spellStart"/>
      <w:r>
        <w:rPr>
          <w:rFonts w:ascii="Arial" w:hAnsi="Arial" w:cs="Arial"/>
          <w:sz w:val="20"/>
          <w:szCs w:val="20"/>
        </w:rPr>
        <w:t>Bipinganj</w:t>
      </w:r>
      <w:proofErr w:type="spellEnd"/>
      <w:r>
        <w:rPr>
          <w:rFonts w:ascii="Arial" w:hAnsi="Arial" w:cs="Arial"/>
          <w:sz w:val="20"/>
          <w:szCs w:val="20"/>
        </w:rPr>
        <w:t xml:space="preserve"> and </w:t>
      </w:r>
      <w:proofErr w:type="spellStart"/>
      <w:r>
        <w:rPr>
          <w:rFonts w:ascii="Arial" w:hAnsi="Arial" w:cs="Arial"/>
          <w:sz w:val="20"/>
          <w:szCs w:val="20"/>
        </w:rPr>
        <w:t>Monoshapara</w:t>
      </w:r>
      <w:proofErr w:type="spellEnd"/>
      <w:r>
        <w:rPr>
          <w:rFonts w:ascii="Arial" w:hAnsi="Arial" w:cs="Arial"/>
          <w:sz w:val="20"/>
          <w:szCs w:val="20"/>
        </w:rPr>
        <w:t xml:space="preserve">. Samples were taken at a depth of 5-10 cm which was quickly packed in air tight polythene sampling bags. Approximately, 400-500 g white clay samples were collected from each sampling site. Groundwater samples were collected from six locations of the </w:t>
      </w:r>
      <w:proofErr w:type="spellStart"/>
      <w:r>
        <w:rPr>
          <w:rFonts w:ascii="Arial" w:hAnsi="Arial" w:cs="Arial"/>
          <w:sz w:val="20"/>
          <w:szCs w:val="20"/>
        </w:rPr>
        <w:t>Bijoypur</w:t>
      </w:r>
      <w:proofErr w:type="spellEnd"/>
      <w:r>
        <w:rPr>
          <w:rFonts w:ascii="Arial" w:hAnsi="Arial" w:cs="Arial"/>
          <w:sz w:val="20"/>
          <w:szCs w:val="20"/>
        </w:rPr>
        <w:t xml:space="preserve"> and its surrounding area such as </w:t>
      </w:r>
      <w:proofErr w:type="spellStart"/>
      <w:r>
        <w:rPr>
          <w:rFonts w:ascii="Arial" w:eastAsia="Times New Roman" w:hAnsi="Arial" w:cs="Arial"/>
          <w:sz w:val="20"/>
          <w:szCs w:val="20"/>
          <w:lang w:val="en"/>
        </w:rPr>
        <w:t>Bijoypur</w:t>
      </w:r>
      <w:proofErr w:type="spellEnd"/>
      <w:r>
        <w:rPr>
          <w:rFonts w:ascii="Arial" w:eastAsia="Times New Roman" w:hAnsi="Arial" w:cs="Arial"/>
          <w:sz w:val="20"/>
          <w:szCs w:val="20"/>
          <w:lang w:val="en"/>
        </w:rPr>
        <w:t xml:space="preserve">, </w:t>
      </w:r>
      <w:proofErr w:type="spellStart"/>
      <w:r>
        <w:rPr>
          <w:rFonts w:ascii="Arial" w:eastAsia="Times New Roman" w:hAnsi="Arial" w:cs="Arial"/>
          <w:sz w:val="20"/>
          <w:szCs w:val="20"/>
          <w:lang w:val="en"/>
        </w:rPr>
        <w:t>Bipinganj</w:t>
      </w:r>
      <w:proofErr w:type="spellEnd"/>
      <w:r>
        <w:rPr>
          <w:rFonts w:ascii="Arial" w:eastAsia="Times New Roman" w:hAnsi="Arial" w:cs="Arial"/>
          <w:sz w:val="20"/>
          <w:szCs w:val="20"/>
          <w:lang w:val="en"/>
        </w:rPr>
        <w:t xml:space="preserve">, </w:t>
      </w:r>
      <w:proofErr w:type="spellStart"/>
      <w:r>
        <w:rPr>
          <w:rFonts w:ascii="Arial" w:eastAsia="Times New Roman" w:hAnsi="Arial" w:cs="Arial"/>
          <w:sz w:val="20"/>
          <w:szCs w:val="20"/>
          <w:lang w:val="en"/>
        </w:rPr>
        <w:t>Bhedikura</w:t>
      </w:r>
      <w:proofErr w:type="spellEnd"/>
      <w:r>
        <w:rPr>
          <w:rFonts w:ascii="Arial" w:eastAsia="Times New Roman" w:hAnsi="Arial" w:cs="Arial"/>
          <w:sz w:val="20"/>
          <w:szCs w:val="20"/>
          <w:lang w:val="en"/>
        </w:rPr>
        <w:t xml:space="preserve">, </w:t>
      </w:r>
      <w:proofErr w:type="spellStart"/>
      <w:r>
        <w:rPr>
          <w:rFonts w:ascii="Arial" w:eastAsia="Times New Roman" w:hAnsi="Arial" w:cs="Arial"/>
          <w:sz w:val="20"/>
          <w:szCs w:val="20"/>
          <w:lang w:val="en"/>
        </w:rPr>
        <w:t>Monoshapara</w:t>
      </w:r>
      <w:proofErr w:type="spellEnd"/>
      <w:r>
        <w:rPr>
          <w:rFonts w:ascii="Arial" w:eastAsia="Times New Roman" w:hAnsi="Arial" w:cs="Arial"/>
          <w:sz w:val="20"/>
          <w:szCs w:val="20"/>
          <w:lang w:val="en"/>
        </w:rPr>
        <w:t xml:space="preserve">, and </w:t>
      </w:r>
      <w:proofErr w:type="spellStart"/>
      <w:r>
        <w:rPr>
          <w:rFonts w:ascii="Arial" w:eastAsia="Times New Roman" w:hAnsi="Arial" w:cs="Arial"/>
          <w:sz w:val="20"/>
          <w:szCs w:val="20"/>
          <w:lang w:val="en"/>
        </w:rPr>
        <w:t>Gesuapara</w:t>
      </w:r>
      <w:proofErr w:type="spellEnd"/>
      <w:r>
        <w:rPr>
          <w:rFonts w:ascii="Arial" w:eastAsia="Times New Roman" w:hAnsi="Arial" w:cs="Arial"/>
          <w:sz w:val="20"/>
          <w:szCs w:val="20"/>
          <w:lang w:val="en"/>
        </w:rPr>
        <w:t xml:space="preserve">. </w:t>
      </w:r>
      <w:r>
        <w:rPr>
          <w:rFonts w:ascii="Arial" w:hAnsi="Arial" w:cs="Arial"/>
          <w:sz w:val="20"/>
          <w:szCs w:val="20"/>
        </w:rPr>
        <w:t xml:space="preserve">Also, Lake water samples were collected from two lakes of </w:t>
      </w:r>
      <w:proofErr w:type="spellStart"/>
      <w:r>
        <w:rPr>
          <w:rFonts w:ascii="Arial" w:hAnsi="Arial" w:cs="Arial"/>
          <w:sz w:val="20"/>
          <w:szCs w:val="20"/>
        </w:rPr>
        <w:t>Bijoypur</w:t>
      </w:r>
      <w:proofErr w:type="spellEnd"/>
      <w:r>
        <w:rPr>
          <w:rFonts w:ascii="Arial" w:hAnsi="Arial" w:cs="Arial"/>
          <w:sz w:val="20"/>
          <w:szCs w:val="20"/>
        </w:rPr>
        <w:t>. Groundwater samples collected in the depth of different range. Samples were acidified with 10% HNO</w:t>
      </w:r>
      <w:r>
        <w:rPr>
          <w:rFonts w:ascii="Arial" w:hAnsi="Arial" w:cs="Arial"/>
          <w:sz w:val="20"/>
          <w:szCs w:val="20"/>
          <w:vertAlign w:val="subscript"/>
        </w:rPr>
        <w:t>3</w:t>
      </w:r>
      <w:r>
        <w:rPr>
          <w:rFonts w:ascii="Arial" w:hAnsi="Arial" w:cs="Arial"/>
          <w:sz w:val="20"/>
          <w:szCs w:val="20"/>
        </w:rPr>
        <w:t xml:space="preserve">. </w:t>
      </w:r>
    </w:p>
    <w:p w14:paraId="706D6F79" w14:textId="77777777" w:rsidR="000D2B0F" w:rsidRDefault="00000000">
      <w:pPr>
        <w:spacing w:line="240" w:lineRule="auto"/>
        <w:rPr>
          <w:rFonts w:ascii="Arial" w:hAnsi="Arial" w:cs="Arial"/>
          <w:b/>
          <w:bCs/>
        </w:rPr>
      </w:pPr>
      <w:r>
        <w:rPr>
          <w:rFonts w:ascii="Arial" w:hAnsi="Arial" w:cs="Arial"/>
          <w:b/>
          <w:bCs/>
        </w:rPr>
        <w:t>2.3 Sample preparation</w:t>
      </w:r>
    </w:p>
    <w:p w14:paraId="315A6414" w14:textId="77777777" w:rsidR="000D2B0F" w:rsidRDefault="00000000">
      <w:pPr>
        <w:spacing w:line="240" w:lineRule="auto"/>
        <w:jc w:val="both"/>
        <w:rPr>
          <w:rFonts w:ascii="Arial" w:hAnsi="Arial" w:cs="Arial"/>
          <w:sz w:val="20"/>
          <w:szCs w:val="20"/>
        </w:rPr>
      </w:pPr>
      <w:r>
        <w:rPr>
          <w:rFonts w:ascii="Arial" w:hAnsi="Arial" w:cs="Arial"/>
          <w:sz w:val="20"/>
          <w:szCs w:val="20"/>
        </w:rPr>
        <w:t>To begin with, white clay samples were sun- dried for 48 hours. After that, samples were transported to the laboratory. The samples were dried in an oven at 70 °C for 48 hours and ground using a mortar and pestle. Then the samples were sieved by a sieve (0.63 to .75 mm). The lower particle size fraction was homogenized by grinding again in the mortar and stored in plastic bag until chemical analyses were carried out and marked well. Precautions were taken to avoid contamination during drying, grinding, sieving and storage. At a time acidify water samples were stored in ice box.</w:t>
      </w:r>
    </w:p>
    <w:p w14:paraId="73BE1520" w14:textId="77777777" w:rsidR="000D2B0F" w:rsidRDefault="00000000">
      <w:pPr>
        <w:spacing w:line="240" w:lineRule="auto"/>
        <w:rPr>
          <w:rFonts w:ascii="Arial" w:hAnsi="Arial" w:cs="Arial"/>
          <w:b/>
          <w:bCs/>
        </w:rPr>
      </w:pPr>
      <w:r>
        <w:rPr>
          <w:rFonts w:ascii="Arial" w:hAnsi="Arial" w:cs="Arial"/>
          <w:b/>
          <w:bCs/>
        </w:rPr>
        <w:t>2.4 Digestion of white clay</w:t>
      </w:r>
    </w:p>
    <w:p w14:paraId="5E3D5FDD" w14:textId="77777777" w:rsidR="000D2B0F" w:rsidRDefault="00000000">
      <w:pPr>
        <w:spacing w:line="240" w:lineRule="auto"/>
        <w:jc w:val="both"/>
        <w:rPr>
          <w:rFonts w:ascii="Arial" w:hAnsi="Arial" w:cs="Arial"/>
          <w:sz w:val="20"/>
          <w:szCs w:val="20"/>
        </w:rPr>
      </w:pPr>
      <w:r>
        <w:rPr>
          <w:rFonts w:ascii="Arial" w:hAnsi="Arial" w:cs="Arial"/>
          <w:sz w:val="20"/>
          <w:szCs w:val="20"/>
        </w:rPr>
        <w:t>For metal analysis, powdered white clay sample weighing 0.2g was digested using 7 ml 70% Nitric acid (HNO</w:t>
      </w:r>
      <w:r>
        <w:rPr>
          <w:rFonts w:ascii="Arial" w:hAnsi="Arial" w:cs="Arial"/>
          <w:sz w:val="20"/>
          <w:szCs w:val="20"/>
          <w:vertAlign w:val="subscript"/>
        </w:rPr>
        <w:t>3</w:t>
      </w:r>
      <w:r>
        <w:rPr>
          <w:rFonts w:ascii="Arial" w:hAnsi="Arial" w:cs="Arial"/>
          <w:sz w:val="20"/>
          <w:szCs w:val="20"/>
        </w:rPr>
        <w:t>) and 3 ml H</w:t>
      </w:r>
      <w:r>
        <w:rPr>
          <w:rFonts w:ascii="Arial" w:hAnsi="Arial" w:cs="Arial"/>
          <w:sz w:val="20"/>
          <w:szCs w:val="20"/>
          <w:vertAlign w:val="subscript"/>
        </w:rPr>
        <w:t>2</w:t>
      </w:r>
      <w:r>
        <w:rPr>
          <w:rFonts w:ascii="Arial" w:hAnsi="Arial" w:cs="Arial"/>
          <w:sz w:val="20"/>
          <w:szCs w:val="20"/>
        </w:rPr>
        <w:t>O</w:t>
      </w:r>
      <w:r>
        <w:rPr>
          <w:rFonts w:ascii="Arial" w:hAnsi="Arial" w:cs="Arial"/>
          <w:sz w:val="20"/>
          <w:szCs w:val="20"/>
          <w:vertAlign w:val="subscript"/>
        </w:rPr>
        <w:t>2</w:t>
      </w:r>
      <w:r>
        <w:rPr>
          <w:rFonts w:ascii="Arial" w:hAnsi="Arial" w:cs="Arial"/>
          <w:sz w:val="20"/>
          <w:szCs w:val="20"/>
        </w:rPr>
        <w:t xml:space="preserve">. Both chemicals were used of analytical grade. Sample and both reagents were mixed in vessel tube. After that, all of vessels were sealed properly and kept in Microwave Digestion system (Ethos Easy Milestone) for 40 minutes where temperature rising up to 200 °C. After cooling, this digested samples filtered by using 125 mm filter paper (Whatman grade 42). Thereafter filtered paper kept in separate places to avoid contamination. After filtering the mixer was poured into 50 ml plastic bottle and filled with deionized water. </w:t>
      </w:r>
      <w:proofErr w:type="gramStart"/>
      <w:r>
        <w:rPr>
          <w:rFonts w:ascii="Arial" w:hAnsi="Arial" w:cs="Arial"/>
          <w:sz w:val="20"/>
          <w:szCs w:val="20"/>
          <w:lang w:val="en"/>
        </w:rPr>
        <w:t>Also</w:t>
      </w:r>
      <w:proofErr w:type="gramEnd"/>
      <w:r>
        <w:rPr>
          <w:rFonts w:ascii="Arial" w:hAnsi="Arial" w:cs="Arial"/>
          <w:sz w:val="20"/>
          <w:szCs w:val="20"/>
          <w:lang w:val="en"/>
        </w:rPr>
        <w:t xml:space="preserve"> for detection of heavy metals from water, 50 ml acidified water samples were filtered using 125 mm filter paper (Whatman grade 42) and poured into plastic bottles.</w:t>
      </w:r>
      <w:r>
        <w:rPr>
          <w:rFonts w:ascii="Arial" w:hAnsi="Arial" w:cs="Arial"/>
          <w:sz w:val="20"/>
          <w:szCs w:val="20"/>
        </w:rPr>
        <w:t xml:space="preserve"> Samples were again filtered by syringe filter (0.45 µm </w:t>
      </w:r>
      <w:proofErr w:type="spellStart"/>
      <w:r>
        <w:rPr>
          <w:rFonts w:ascii="Arial" w:hAnsi="Arial" w:cs="Arial"/>
          <w:sz w:val="20"/>
          <w:szCs w:val="20"/>
        </w:rPr>
        <w:t>hpPTFE</w:t>
      </w:r>
      <w:proofErr w:type="spellEnd"/>
      <w:r>
        <w:rPr>
          <w:rFonts w:ascii="Arial" w:hAnsi="Arial" w:cs="Arial"/>
          <w:sz w:val="20"/>
          <w:szCs w:val="20"/>
        </w:rPr>
        <w:t xml:space="preserve">) then set into ICP-MS sampling point by using test tube. Filtered white clay and water samples were prepared for ICP-MS (Inducted Coupled Plasma </w:t>
      </w:r>
      <w:proofErr w:type="gramStart"/>
      <w:r>
        <w:rPr>
          <w:rFonts w:ascii="Arial" w:hAnsi="Arial" w:cs="Arial"/>
          <w:sz w:val="20"/>
          <w:szCs w:val="20"/>
        </w:rPr>
        <w:t>mass</w:t>
      </w:r>
      <w:proofErr w:type="gramEnd"/>
      <w:r>
        <w:rPr>
          <w:rFonts w:ascii="Arial" w:hAnsi="Arial" w:cs="Arial"/>
          <w:sz w:val="20"/>
          <w:szCs w:val="20"/>
        </w:rPr>
        <w:t xml:space="preserve"> Spectrometry) (SHIMADZU-2030LF) analysis. </w:t>
      </w:r>
    </w:p>
    <w:p w14:paraId="73938935" w14:textId="77777777" w:rsidR="000D2B0F" w:rsidRDefault="000D2B0F">
      <w:pPr>
        <w:spacing w:line="240" w:lineRule="auto"/>
        <w:jc w:val="both"/>
        <w:rPr>
          <w:rFonts w:ascii="Arial" w:hAnsi="Arial" w:cs="Arial"/>
          <w:sz w:val="20"/>
          <w:szCs w:val="20"/>
        </w:rPr>
      </w:pPr>
    </w:p>
    <w:p w14:paraId="7E03B3FB" w14:textId="77777777" w:rsidR="000D2B0F" w:rsidRDefault="00000000">
      <w:pPr>
        <w:spacing w:line="240" w:lineRule="auto"/>
        <w:rPr>
          <w:rFonts w:ascii="Arial" w:hAnsi="Arial" w:cs="Arial"/>
          <w:b/>
          <w:bCs/>
        </w:rPr>
      </w:pPr>
      <w:r>
        <w:rPr>
          <w:rFonts w:ascii="Arial" w:hAnsi="Arial" w:cs="Arial"/>
          <w:b/>
          <w:bCs/>
        </w:rPr>
        <w:lastRenderedPageBreak/>
        <w:t>2.5 Data analysis</w:t>
      </w:r>
    </w:p>
    <w:p w14:paraId="6F1C9C97"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HPI, Correlation analysis and MI were used to perform an analysis of all the statistical analysis in this study by Microsoft excel 2016. ArcGIS 10.8 software was used to explore the spatial distribution of different heavy metals of groundwater employing the IDW technique (APHA, 2005; Robinson and </w:t>
      </w:r>
      <w:proofErr w:type="spellStart"/>
      <w:r>
        <w:rPr>
          <w:rFonts w:ascii="Arial" w:hAnsi="Arial" w:cs="Arial"/>
          <w:sz w:val="20"/>
          <w:szCs w:val="20"/>
        </w:rPr>
        <w:t>Metternicht</w:t>
      </w:r>
      <w:proofErr w:type="spellEnd"/>
      <w:r>
        <w:rPr>
          <w:rFonts w:ascii="Arial" w:hAnsi="Arial" w:cs="Arial"/>
          <w:sz w:val="20"/>
          <w:szCs w:val="20"/>
        </w:rPr>
        <w:t>, 2006), a type of deterministic methods for multivariate interpolation used to predict a value of any unmeasured or un-sampled location employing a set of measured values.</w:t>
      </w:r>
    </w:p>
    <w:p w14:paraId="37B0492A"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To assess the relationship between the groundwater's heavy metal concentrations, Pearson's correlation coefficient matrix (r) was utilized (Javed et al., 2019). The ideal linear relationship between the two variables is represented by a value of r that is closer to +1 or -1 (Al </w:t>
      </w:r>
      <w:proofErr w:type="spellStart"/>
      <w:r>
        <w:rPr>
          <w:rFonts w:ascii="Arial" w:hAnsi="Arial" w:cs="Arial"/>
          <w:sz w:val="20"/>
          <w:szCs w:val="20"/>
        </w:rPr>
        <w:t>hadithi</w:t>
      </w:r>
      <w:proofErr w:type="spellEnd"/>
      <w:r>
        <w:rPr>
          <w:rFonts w:ascii="Arial" w:hAnsi="Arial" w:cs="Arial"/>
          <w:sz w:val="20"/>
          <w:szCs w:val="20"/>
        </w:rPr>
        <w:t>, 2012), while zero indicates that there is no connection at all between the parameters (Srivastava and Ramanathan, 2007). If the value of r is more than 0.7, it is considered as strongly correlated, whereas if its value extends from 0.5 to 0.7, the parameters are moderately correlated, and in case of negative value, it implies that the value of one parameter is diminishing with the expansion in another parameter (Giridharan et al., 2007).</w:t>
      </w:r>
    </w:p>
    <w:p w14:paraId="00F390ED" w14:textId="77777777" w:rsidR="000D2B0F" w:rsidRDefault="00000000">
      <w:pPr>
        <w:spacing w:line="240" w:lineRule="auto"/>
        <w:rPr>
          <w:rFonts w:ascii="Arial" w:hAnsi="Arial" w:cs="Arial"/>
          <w:b/>
          <w:bCs/>
        </w:rPr>
      </w:pPr>
      <w:r>
        <w:rPr>
          <w:rFonts w:ascii="Arial" w:hAnsi="Arial" w:cs="Arial"/>
          <w:b/>
          <w:bCs/>
        </w:rPr>
        <w:t>2.6 Heavy Metal Pollution Index (HPI)</w:t>
      </w:r>
    </w:p>
    <w:p w14:paraId="1B0B7E36" w14:textId="77777777" w:rsidR="000D2B0F" w:rsidRDefault="00000000">
      <w:pPr>
        <w:spacing w:line="240" w:lineRule="auto"/>
        <w:jc w:val="both"/>
        <w:rPr>
          <w:rFonts w:ascii="Arial" w:hAnsi="Arial" w:cs="Arial"/>
          <w:sz w:val="20"/>
          <w:szCs w:val="20"/>
        </w:rPr>
      </w:pPr>
      <w:r>
        <w:rPr>
          <w:rFonts w:ascii="Arial" w:hAnsi="Arial" w:cs="Arial"/>
          <w:sz w:val="20"/>
          <w:szCs w:val="20"/>
        </w:rPr>
        <w:t>The heavy metal pollution index (HPI) is a ranking system and a useful tool for determining the quality of water in terms of heavy metals (</w:t>
      </w:r>
      <w:proofErr w:type="spellStart"/>
      <w:r>
        <w:rPr>
          <w:rFonts w:ascii="Arial" w:hAnsi="Arial" w:cs="Arial"/>
          <w:sz w:val="20"/>
          <w:szCs w:val="20"/>
        </w:rPr>
        <w:t>Sheykhi</w:t>
      </w:r>
      <w:proofErr w:type="spellEnd"/>
      <w:r>
        <w:rPr>
          <w:rFonts w:ascii="Arial" w:hAnsi="Arial" w:cs="Arial"/>
          <w:sz w:val="20"/>
          <w:szCs w:val="20"/>
        </w:rPr>
        <w:t xml:space="preserve"> and Moore, 2012). This was used as a representation of the cumulative effect of metals on general water quality (Reza and Singh, 2010; Reza et al., 2011). </w:t>
      </w:r>
    </w:p>
    <w:p w14:paraId="22F5943E" w14:textId="77777777" w:rsidR="000D2B0F" w:rsidRDefault="00000000">
      <w:pPr>
        <w:spacing w:line="240" w:lineRule="auto"/>
        <w:jc w:val="center"/>
        <w:rPr>
          <w:rFonts w:ascii="Arial" w:hAnsi="Arial" w:cs="Arial"/>
          <w:sz w:val="20"/>
          <w:szCs w:val="20"/>
        </w:rPr>
      </w:pPr>
      <m:oMath>
        <m:r>
          <w:rPr>
            <w:rFonts w:ascii="Cambria Math" w:hAnsi="Cambria Math" w:cs="Arial"/>
            <w:sz w:val="20"/>
            <w:szCs w:val="20"/>
          </w:rPr>
          <m:t>HPI=</m:t>
        </m:r>
        <m:f>
          <m:fPr>
            <m:ctrlPr>
              <w:rPr>
                <w:rFonts w:ascii="Cambria Math" w:hAnsi="Cambria Math" w:cs="Arial"/>
                <w:i/>
                <w:sz w:val="20"/>
                <w:szCs w:val="20"/>
              </w:rPr>
            </m:ctrlPr>
          </m:fPr>
          <m:num>
            <m:nary>
              <m:naryPr>
                <m:chr m:val="∑"/>
                <m:grow m:val="1"/>
                <m:ctrlPr>
                  <w:rPr>
                    <w:rFonts w:ascii="Cambria Math" w:hAnsi="Cambria Math" w:cs="Arial"/>
                    <w:sz w:val="20"/>
                    <w:szCs w:val="20"/>
                    <w:vertAlign w:val="superscript"/>
                  </w:rPr>
                </m:ctrlPr>
              </m:naryPr>
              <m:sub>
                <m:r>
                  <w:rPr>
                    <w:rFonts w:ascii="Cambria Math" w:eastAsia="Cambria Math" w:hAnsi="Cambria Math" w:cs="Arial"/>
                    <w:sz w:val="20"/>
                    <w:szCs w:val="20"/>
                    <w:vertAlign w:val="superscript"/>
                  </w:rPr>
                  <m:t>i=1</m:t>
                </m:r>
              </m:sub>
              <m:sup>
                <m:r>
                  <w:rPr>
                    <w:rFonts w:ascii="Cambria Math" w:eastAsia="Cambria Math" w:hAnsi="Cambria Math" w:cs="Arial"/>
                    <w:sz w:val="20"/>
                    <w:szCs w:val="20"/>
                    <w:vertAlign w:val="superscript"/>
                  </w:rPr>
                  <m:t>n</m:t>
                </m:r>
              </m:sup>
              <m:e>
                <m:sSub>
                  <m:sSubPr>
                    <m:ctrlPr>
                      <w:rPr>
                        <w:rFonts w:ascii="Cambria Math" w:hAnsi="Cambria Math" w:cs="Arial"/>
                        <w:sz w:val="20"/>
                        <w:szCs w:val="20"/>
                        <w:vertAlign w:val="superscript"/>
                      </w:rPr>
                    </m:ctrlPr>
                  </m:sSubPr>
                  <m:e>
                    <m:r>
                      <w:rPr>
                        <w:rFonts w:ascii="Cambria Math" w:hAnsi="Cambria Math" w:cs="Arial"/>
                        <w:sz w:val="20"/>
                        <w:szCs w:val="20"/>
                        <w:vertAlign w:val="superscript"/>
                      </w:rPr>
                      <m:t>W</m:t>
                    </m:r>
                  </m:e>
                  <m:sub>
                    <m:r>
                      <w:rPr>
                        <w:rFonts w:ascii="Cambria Math" w:hAnsi="Cambria Math" w:cs="Arial"/>
                        <w:sz w:val="20"/>
                        <w:szCs w:val="20"/>
                        <w:vertAlign w:val="superscript"/>
                      </w:rPr>
                      <m:t>i</m:t>
                    </m:r>
                  </m:sub>
                </m:sSub>
                <m:r>
                  <m:rPr>
                    <m:sty m:val="p"/>
                  </m:rPr>
                  <w:rPr>
                    <w:rFonts w:ascii="Cambria Math" w:hAnsi="Cambria Math" w:cs="Arial"/>
                    <w:sz w:val="20"/>
                    <w:szCs w:val="20"/>
                    <w:vertAlign w:val="superscript"/>
                  </w:rPr>
                  <m:t>*</m:t>
                </m:r>
                <m:sSub>
                  <m:sSubPr>
                    <m:ctrlPr>
                      <w:rPr>
                        <w:rFonts w:ascii="Cambria Math" w:hAnsi="Cambria Math" w:cs="Arial"/>
                        <w:sz w:val="20"/>
                        <w:szCs w:val="20"/>
                        <w:vertAlign w:val="superscript"/>
                      </w:rPr>
                    </m:ctrlPr>
                  </m:sSubPr>
                  <m:e>
                    <m:r>
                      <w:rPr>
                        <w:rFonts w:ascii="Cambria Math" w:hAnsi="Cambria Math" w:cs="Arial"/>
                        <w:sz w:val="20"/>
                        <w:szCs w:val="20"/>
                        <w:vertAlign w:val="superscript"/>
                      </w:rPr>
                      <m:t>Q</m:t>
                    </m:r>
                  </m:e>
                  <m:sub>
                    <m:r>
                      <w:rPr>
                        <w:rFonts w:ascii="Cambria Math" w:hAnsi="Cambria Math" w:cs="Arial"/>
                        <w:sz w:val="20"/>
                        <w:szCs w:val="20"/>
                        <w:vertAlign w:val="superscript"/>
                      </w:rPr>
                      <m:t>i</m:t>
                    </m:r>
                  </m:sub>
                </m:sSub>
              </m:e>
            </m:nary>
          </m:num>
          <m:den>
            <m:nary>
              <m:naryPr>
                <m:chr m:val="∑"/>
                <m:grow m:val="1"/>
                <m:ctrlPr>
                  <w:rPr>
                    <w:rFonts w:ascii="Cambria Math" w:eastAsiaTheme="minorEastAsia" w:hAnsi="Cambria Math" w:cs="Arial"/>
                    <w:sz w:val="20"/>
                    <w:szCs w:val="20"/>
                    <w:vertAlign w:val="superscript"/>
                  </w:rPr>
                </m:ctrlPr>
              </m:naryPr>
              <m:sub>
                <m:r>
                  <w:rPr>
                    <w:rFonts w:ascii="Cambria Math" w:eastAsiaTheme="minorEastAsia" w:hAnsi="Cambria Math" w:cs="Arial"/>
                    <w:sz w:val="20"/>
                    <w:szCs w:val="20"/>
                    <w:vertAlign w:val="superscript"/>
                  </w:rPr>
                  <m:t>i=1</m:t>
                </m:r>
              </m:sub>
              <m:sup>
                <m:r>
                  <w:rPr>
                    <w:rFonts w:ascii="Cambria Math" w:eastAsiaTheme="minorEastAsia" w:hAnsi="Cambria Math" w:cs="Arial"/>
                    <w:sz w:val="20"/>
                    <w:szCs w:val="20"/>
                    <w:vertAlign w:val="superscript"/>
                  </w:rPr>
                  <m:t>n</m:t>
                </m:r>
              </m:sup>
              <m:e>
                <m:sSub>
                  <m:sSubPr>
                    <m:ctrlPr>
                      <w:rPr>
                        <w:rFonts w:ascii="Cambria Math" w:eastAsiaTheme="minorEastAsia" w:hAnsi="Cambria Math" w:cs="Arial"/>
                        <w:i/>
                        <w:sz w:val="20"/>
                        <w:szCs w:val="20"/>
                        <w:vertAlign w:val="superscript"/>
                      </w:rPr>
                    </m:ctrlPr>
                  </m:sSubPr>
                  <m:e>
                    <m:r>
                      <w:rPr>
                        <w:rFonts w:ascii="Cambria Math" w:eastAsiaTheme="minorEastAsia" w:hAnsi="Cambria Math" w:cs="Arial"/>
                        <w:sz w:val="20"/>
                        <w:szCs w:val="20"/>
                        <w:vertAlign w:val="superscript"/>
                      </w:rPr>
                      <m:t>W</m:t>
                    </m:r>
                  </m:e>
                  <m:sub>
                    <m:r>
                      <w:rPr>
                        <w:rFonts w:ascii="Cambria Math" w:eastAsiaTheme="minorEastAsia" w:hAnsi="Cambria Math" w:cs="Arial"/>
                        <w:sz w:val="20"/>
                        <w:szCs w:val="20"/>
                        <w:vertAlign w:val="superscript"/>
                      </w:rPr>
                      <m:t>i</m:t>
                    </m:r>
                  </m:sub>
                </m:sSub>
              </m:e>
            </m:nary>
          </m:den>
        </m:f>
      </m:oMath>
      <w:r>
        <w:rPr>
          <w:rFonts w:ascii="Arial" w:eastAsiaTheme="minorEastAsia" w:hAnsi="Arial" w:cs="Arial"/>
          <w:sz w:val="20"/>
          <w:szCs w:val="20"/>
        </w:rPr>
        <w:t xml:space="preserve">  ………………eq                             </w:t>
      </w:r>
      <w:proofErr w:type="gramStart"/>
      <w:r>
        <w:rPr>
          <w:rFonts w:ascii="Arial" w:eastAsiaTheme="minorEastAsia" w:hAnsi="Arial" w:cs="Arial"/>
          <w:sz w:val="20"/>
          <w:szCs w:val="20"/>
        </w:rPr>
        <w:t xml:space="preserve">   (</w:t>
      </w:r>
      <w:proofErr w:type="gramEnd"/>
      <w:r>
        <w:rPr>
          <w:rFonts w:ascii="Arial" w:eastAsiaTheme="minorEastAsia" w:hAnsi="Arial" w:cs="Arial"/>
          <w:sz w:val="20"/>
          <w:szCs w:val="20"/>
        </w:rPr>
        <w:t>1)</w:t>
      </w:r>
    </w:p>
    <w:p w14:paraId="4244DD76" w14:textId="77777777" w:rsidR="000D2B0F" w:rsidRDefault="00000000">
      <w:pPr>
        <w:spacing w:line="240" w:lineRule="auto"/>
        <w:jc w:val="both"/>
        <w:rPr>
          <w:rFonts w:ascii="Arial" w:hAnsi="Arial" w:cs="Arial"/>
          <w:sz w:val="20"/>
          <w:szCs w:val="20"/>
        </w:rPr>
      </w:pPr>
      <w:r>
        <w:rPr>
          <w:rFonts w:ascii="Arial" w:hAnsi="Arial" w:cs="Arial"/>
          <w:sz w:val="20"/>
          <w:szCs w:val="20"/>
        </w:rPr>
        <w:t>Where, Q</w:t>
      </w:r>
      <w:r>
        <w:rPr>
          <w:rFonts w:ascii="Arial" w:hAnsi="Arial" w:cs="Arial"/>
          <w:sz w:val="20"/>
          <w:szCs w:val="20"/>
          <w:vertAlign w:val="subscript"/>
        </w:rPr>
        <w:t>i</w:t>
      </w:r>
      <w:r>
        <w:rPr>
          <w:rFonts w:ascii="Arial" w:hAnsi="Arial" w:cs="Arial"/>
          <w:sz w:val="20"/>
          <w:szCs w:val="20"/>
        </w:rPr>
        <w:t xml:space="preserve"> = Sub index of the </w:t>
      </w:r>
      <w:proofErr w:type="spellStart"/>
      <w:r>
        <w:rPr>
          <w:rFonts w:ascii="Arial" w:hAnsi="Arial" w:cs="Arial"/>
          <w:sz w:val="20"/>
          <w:szCs w:val="20"/>
        </w:rPr>
        <w:t>i</w:t>
      </w:r>
      <w:r>
        <w:rPr>
          <w:rFonts w:ascii="Arial" w:hAnsi="Arial" w:cs="Arial"/>
          <w:sz w:val="20"/>
          <w:szCs w:val="20"/>
          <w:vertAlign w:val="superscript"/>
        </w:rPr>
        <w:t>th</w:t>
      </w:r>
      <w:proofErr w:type="spellEnd"/>
      <w:r>
        <w:rPr>
          <w:rFonts w:ascii="Arial" w:hAnsi="Arial" w:cs="Arial"/>
          <w:sz w:val="20"/>
          <w:szCs w:val="20"/>
        </w:rPr>
        <w:t xml:space="preserve"> parameter </w:t>
      </w:r>
    </w:p>
    <w:p w14:paraId="66F0CC46" w14:textId="77777777" w:rsidR="000D2B0F" w:rsidRDefault="00000000">
      <w:pPr>
        <w:spacing w:line="240" w:lineRule="auto"/>
        <w:jc w:val="both"/>
        <w:rPr>
          <w:rFonts w:ascii="Arial" w:hAnsi="Arial" w:cs="Arial"/>
          <w:sz w:val="20"/>
          <w:szCs w:val="20"/>
        </w:rPr>
      </w:pPr>
      <w:r>
        <w:rPr>
          <w:rFonts w:ascii="Arial" w:hAnsi="Arial" w:cs="Arial"/>
          <w:sz w:val="20"/>
          <w:szCs w:val="20"/>
        </w:rPr>
        <w:t>W</w:t>
      </w:r>
      <w:r>
        <w:rPr>
          <w:rFonts w:ascii="Arial" w:hAnsi="Arial" w:cs="Arial"/>
          <w:sz w:val="20"/>
          <w:szCs w:val="20"/>
          <w:vertAlign w:val="subscript"/>
        </w:rPr>
        <w:t>i</w:t>
      </w:r>
      <w:r>
        <w:rPr>
          <w:rFonts w:ascii="Arial" w:hAnsi="Arial" w:cs="Arial"/>
          <w:sz w:val="20"/>
          <w:szCs w:val="20"/>
        </w:rPr>
        <w:t xml:space="preserve"> = The unit weight of the </w:t>
      </w:r>
      <w:proofErr w:type="spellStart"/>
      <w:r>
        <w:rPr>
          <w:rFonts w:ascii="Arial" w:hAnsi="Arial" w:cs="Arial"/>
          <w:sz w:val="20"/>
          <w:szCs w:val="20"/>
        </w:rPr>
        <w:t>i</w:t>
      </w:r>
      <w:r>
        <w:rPr>
          <w:rFonts w:ascii="Arial" w:hAnsi="Arial" w:cs="Arial"/>
          <w:sz w:val="20"/>
          <w:szCs w:val="20"/>
          <w:vertAlign w:val="superscript"/>
        </w:rPr>
        <w:t>th</w:t>
      </w:r>
      <w:proofErr w:type="spellEnd"/>
      <w:r>
        <w:rPr>
          <w:rFonts w:ascii="Arial" w:hAnsi="Arial" w:cs="Arial"/>
          <w:sz w:val="20"/>
          <w:szCs w:val="20"/>
        </w:rPr>
        <w:t xml:space="preserve"> parameter and n is the number of parameters considered. </w:t>
      </w:r>
    </w:p>
    <w:p w14:paraId="3ED977D7" w14:textId="77777777" w:rsidR="000D2B0F" w:rsidRDefault="00000000">
      <w:pPr>
        <w:spacing w:line="240" w:lineRule="auto"/>
        <w:jc w:val="both"/>
        <w:rPr>
          <w:rFonts w:ascii="Arial" w:hAnsi="Arial" w:cs="Arial"/>
          <w:sz w:val="20"/>
          <w:szCs w:val="20"/>
        </w:rPr>
      </w:pPr>
      <w:r>
        <w:rPr>
          <w:rFonts w:ascii="Arial" w:hAnsi="Arial" w:cs="Arial"/>
          <w:sz w:val="20"/>
          <w:szCs w:val="20"/>
        </w:rPr>
        <w:t>The sub index (Q</w:t>
      </w:r>
      <w:r>
        <w:rPr>
          <w:rFonts w:ascii="Arial" w:hAnsi="Arial" w:cs="Arial"/>
          <w:sz w:val="20"/>
          <w:szCs w:val="20"/>
          <w:vertAlign w:val="subscript"/>
        </w:rPr>
        <w:t>i</w:t>
      </w:r>
      <w:r>
        <w:rPr>
          <w:rFonts w:ascii="Arial" w:hAnsi="Arial" w:cs="Arial"/>
          <w:sz w:val="20"/>
          <w:szCs w:val="20"/>
        </w:rPr>
        <w:t>) of the parameter is calculated by</w:t>
      </w:r>
    </w:p>
    <w:p w14:paraId="37D747DA" w14:textId="77777777" w:rsidR="000D2B0F" w:rsidRDefault="00000000">
      <w:pPr>
        <w:spacing w:line="240" w:lineRule="auto"/>
        <w:jc w:val="center"/>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Q</m:t>
            </m:r>
          </m:e>
          <m:sub>
            <m:r>
              <w:rPr>
                <w:rFonts w:ascii="Cambria Math" w:hAnsi="Cambria Math" w:cs="Arial"/>
                <w:sz w:val="20"/>
                <w:szCs w:val="20"/>
              </w:rPr>
              <m:t>i</m:t>
            </m:r>
          </m:sub>
        </m:sSub>
        <m:r>
          <w:rPr>
            <w:rFonts w:ascii="Cambria Math" w:hAnsi="Cambria Math" w:cs="Arial"/>
            <w:sz w:val="20"/>
            <w:szCs w:val="20"/>
          </w:rPr>
          <m:t>=</m:t>
        </m:r>
        <m:nary>
          <m:naryPr>
            <m:chr m:val="∑"/>
            <m:grow m:val="1"/>
            <m:ctrlPr>
              <w:rPr>
                <w:rFonts w:ascii="Cambria Math" w:hAnsi="Cambria Math" w:cs="Arial"/>
                <w:sz w:val="20"/>
                <w:szCs w:val="20"/>
                <w:vertAlign w:val="superscript"/>
              </w:rPr>
            </m:ctrlPr>
          </m:naryPr>
          <m:sub>
            <m:r>
              <w:rPr>
                <w:rFonts w:ascii="Cambria Math" w:eastAsia="Cambria Math" w:hAnsi="Cambria Math" w:cs="Arial"/>
                <w:sz w:val="20"/>
                <w:szCs w:val="20"/>
                <w:vertAlign w:val="superscript"/>
              </w:rPr>
              <m:t>i=1</m:t>
            </m:r>
          </m:sub>
          <m:sup>
            <m:r>
              <w:rPr>
                <w:rFonts w:ascii="Cambria Math" w:eastAsia="Cambria Math" w:hAnsi="Cambria Math" w:cs="Arial"/>
                <w:sz w:val="20"/>
                <w:szCs w:val="20"/>
                <w:vertAlign w:val="superscript"/>
              </w:rPr>
              <m:t>n</m:t>
            </m:r>
          </m:sup>
          <m:e>
            <m:f>
              <m:fPr>
                <m:ctrlPr>
                  <w:rPr>
                    <w:rFonts w:ascii="Cambria Math" w:hAnsi="Cambria Math" w:cs="Arial"/>
                    <w:i/>
                    <w:sz w:val="20"/>
                    <w:szCs w:val="20"/>
                    <w:vertAlign w:val="superscript"/>
                  </w:rPr>
                </m:ctrlPr>
              </m:fPr>
              <m:num>
                <m:r>
                  <w:rPr>
                    <w:rFonts w:ascii="Cambria Math" w:hAnsi="Cambria Math" w:cs="Arial"/>
                    <w:sz w:val="20"/>
                    <w:szCs w:val="20"/>
                    <w:vertAlign w:val="superscript"/>
                  </w:rPr>
                  <m:t>(</m:t>
                </m:r>
                <m:sSub>
                  <m:sSubPr>
                    <m:ctrlPr>
                      <w:rPr>
                        <w:rFonts w:ascii="Cambria Math" w:hAnsi="Cambria Math" w:cs="Arial"/>
                        <w:i/>
                        <w:sz w:val="20"/>
                        <w:szCs w:val="20"/>
                        <w:vertAlign w:val="superscript"/>
                      </w:rPr>
                    </m:ctrlPr>
                  </m:sSubPr>
                  <m:e>
                    <m:r>
                      <w:rPr>
                        <w:rFonts w:ascii="Cambria Math" w:hAnsi="Cambria Math" w:cs="Arial"/>
                        <w:sz w:val="20"/>
                        <w:szCs w:val="20"/>
                        <w:vertAlign w:val="superscript"/>
                      </w:rPr>
                      <m:t>M</m:t>
                    </m:r>
                  </m:e>
                  <m:sub>
                    <m:r>
                      <w:rPr>
                        <w:rFonts w:ascii="Cambria Math" w:hAnsi="Cambria Math" w:cs="Arial"/>
                        <w:sz w:val="20"/>
                        <w:szCs w:val="20"/>
                        <w:vertAlign w:val="superscript"/>
                      </w:rPr>
                      <m:t>i</m:t>
                    </m:r>
                  </m:sub>
                </m:sSub>
                <m:r>
                  <w:rPr>
                    <w:rFonts w:ascii="Cambria Math" w:hAnsi="Cambria Math" w:cs="Arial"/>
                    <w:sz w:val="20"/>
                    <w:szCs w:val="20"/>
                    <w:vertAlign w:val="superscript"/>
                  </w:rPr>
                  <m:t>-</m:t>
                </m:r>
                <m:sSub>
                  <m:sSubPr>
                    <m:ctrlPr>
                      <w:rPr>
                        <w:rFonts w:ascii="Cambria Math" w:hAnsi="Cambria Math" w:cs="Arial"/>
                        <w:i/>
                        <w:sz w:val="20"/>
                        <w:szCs w:val="20"/>
                        <w:vertAlign w:val="superscript"/>
                      </w:rPr>
                    </m:ctrlPr>
                  </m:sSubPr>
                  <m:e>
                    <m:r>
                      <w:rPr>
                        <w:rFonts w:ascii="Cambria Math" w:hAnsi="Cambria Math" w:cs="Arial"/>
                        <w:sz w:val="20"/>
                        <w:szCs w:val="20"/>
                        <w:vertAlign w:val="superscript"/>
                      </w:rPr>
                      <m:t>I</m:t>
                    </m:r>
                  </m:e>
                  <m:sub>
                    <m:r>
                      <w:rPr>
                        <w:rFonts w:ascii="Cambria Math" w:hAnsi="Cambria Math" w:cs="Arial"/>
                        <w:sz w:val="20"/>
                        <w:szCs w:val="20"/>
                        <w:vertAlign w:val="superscript"/>
                      </w:rPr>
                      <m:t>i</m:t>
                    </m:r>
                  </m:sub>
                </m:sSub>
                <m:r>
                  <w:rPr>
                    <w:rFonts w:ascii="Cambria Math" w:hAnsi="Cambria Math" w:cs="Arial"/>
                    <w:sz w:val="20"/>
                    <w:szCs w:val="20"/>
                    <w:vertAlign w:val="superscript"/>
                  </w:rPr>
                  <m:t>)</m:t>
                </m:r>
              </m:num>
              <m:den>
                <m:r>
                  <w:rPr>
                    <w:rFonts w:ascii="Cambria Math" w:hAnsi="Cambria Math" w:cs="Arial"/>
                    <w:sz w:val="20"/>
                    <w:szCs w:val="20"/>
                    <w:vertAlign w:val="superscript"/>
                  </w:rPr>
                  <m:t>(</m:t>
                </m:r>
                <m:sSub>
                  <m:sSubPr>
                    <m:ctrlPr>
                      <w:rPr>
                        <w:rFonts w:ascii="Cambria Math" w:hAnsi="Cambria Math" w:cs="Arial"/>
                        <w:i/>
                        <w:sz w:val="20"/>
                        <w:szCs w:val="20"/>
                        <w:vertAlign w:val="superscript"/>
                      </w:rPr>
                    </m:ctrlPr>
                  </m:sSubPr>
                  <m:e>
                    <m:r>
                      <w:rPr>
                        <w:rFonts w:ascii="Cambria Math" w:hAnsi="Cambria Math" w:cs="Arial"/>
                        <w:sz w:val="20"/>
                        <w:szCs w:val="20"/>
                        <w:vertAlign w:val="superscript"/>
                      </w:rPr>
                      <m:t>S</m:t>
                    </m:r>
                  </m:e>
                  <m:sub>
                    <m:r>
                      <w:rPr>
                        <w:rFonts w:ascii="Cambria Math" w:hAnsi="Cambria Math" w:cs="Arial"/>
                        <w:sz w:val="20"/>
                        <w:szCs w:val="20"/>
                        <w:vertAlign w:val="superscript"/>
                      </w:rPr>
                      <m:t>i</m:t>
                    </m:r>
                  </m:sub>
                </m:sSub>
                <m:r>
                  <w:rPr>
                    <w:rFonts w:ascii="Cambria Math" w:hAnsi="Cambria Math" w:cs="Arial"/>
                    <w:sz w:val="20"/>
                    <w:szCs w:val="20"/>
                    <w:vertAlign w:val="superscript"/>
                  </w:rPr>
                  <m:t>-</m:t>
                </m:r>
                <m:sSub>
                  <m:sSubPr>
                    <m:ctrlPr>
                      <w:rPr>
                        <w:rFonts w:ascii="Cambria Math" w:hAnsi="Cambria Math" w:cs="Arial"/>
                        <w:i/>
                        <w:sz w:val="20"/>
                        <w:szCs w:val="20"/>
                        <w:vertAlign w:val="superscript"/>
                      </w:rPr>
                    </m:ctrlPr>
                  </m:sSubPr>
                  <m:e>
                    <m:r>
                      <w:rPr>
                        <w:rFonts w:ascii="Cambria Math" w:hAnsi="Cambria Math" w:cs="Arial"/>
                        <w:sz w:val="20"/>
                        <w:szCs w:val="20"/>
                        <w:vertAlign w:val="superscript"/>
                      </w:rPr>
                      <m:t>I</m:t>
                    </m:r>
                  </m:e>
                  <m:sub>
                    <m:r>
                      <w:rPr>
                        <w:rFonts w:ascii="Cambria Math" w:hAnsi="Cambria Math" w:cs="Arial"/>
                        <w:sz w:val="20"/>
                        <w:szCs w:val="20"/>
                        <w:vertAlign w:val="superscript"/>
                      </w:rPr>
                      <m:t>i</m:t>
                    </m:r>
                  </m:sub>
                </m:sSub>
                <m:r>
                  <w:rPr>
                    <w:rFonts w:ascii="Cambria Math" w:hAnsi="Cambria Math" w:cs="Arial"/>
                    <w:sz w:val="20"/>
                    <w:szCs w:val="20"/>
                    <w:vertAlign w:val="superscript"/>
                  </w:rPr>
                  <m:t>)</m:t>
                </m:r>
              </m:den>
            </m:f>
            <m:r>
              <w:rPr>
                <w:rFonts w:ascii="Cambria Math" w:hAnsi="Cambria Math" w:cs="Arial"/>
                <w:sz w:val="20"/>
                <w:szCs w:val="20"/>
                <w:vertAlign w:val="superscript"/>
              </w:rPr>
              <m:t>×100</m:t>
            </m:r>
          </m:e>
        </m:nary>
      </m:oMath>
      <w:r>
        <w:rPr>
          <w:rFonts w:ascii="Arial" w:eastAsiaTheme="minorEastAsia" w:hAnsi="Arial" w:cs="Arial"/>
          <w:sz w:val="20"/>
          <w:szCs w:val="20"/>
          <w:vertAlign w:val="superscript"/>
        </w:rPr>
        <w:t xml:space="preserve">  </w:t>
      </w:r>
      <w:r>
        <w:rPr>
          <w:rFonts w:ascii="Arial" w:hAnsi="Arial" w:cs="Arial"/>
          <w:sz w:val="20"/>
          <w:szCs w:val="20"/>
        </w:rPr>
        <w:t xml:space="preserve">………...............eq                       </w:t>
      </w:r>
      <w:proofErr w:type="gramStart"/>
      <w:r>
        <w:rPr>
          <w:rFonts w:ascii="Arial" w:hAnsi="Arial" w:cs="Arial"/>
          <w:sz w:val="20"/>
          <w:szCs w:val="20"/>
        </w:rPr>
        <w:t xml:space="preserve">   (</w:t>
      </w:r>
      <w:proofErr w:type="gramEnd"/>
      <w:r>
        <w:rPr>
          <w:rFonts w:ascii="Arial" w:hAnsi="Arial" w:cs="Arial"/>
          <w:sz w:val="20"/>
          <w:szCs w:val="20"/>
        </w:rPr>
        <w:t>2)</w:t>
      </w:r>
    </w:p>
    <w:p w14:paraId="58EC3A61" w14:textId="77777777" w:rsidR="000D2B0F" w:rsidRDefault="00000000">
      <w:pPr>
        <w:spacing w:line="240" w:lineRule="auto"/>
        <w:rPr>
          <w:rFonts w:ascii="Arial" w:hAnsi="Arial" w:cs="Arial"/>
          <w:sz w:val="20"/>
          <w:szCs w:val="20"/>
        </w:rPr>
      </w:pPr>
      <w:proofErr w:type="gramStart"/>
      <w:r>
        <w:rPr>
          <w:rFonts w:ascii="Arial" w:hAnsi="Arial" w:cs="Arial"/>
          <w:sz w:val="20"/>
          <w:szCs w:val="20"/>
        </w:rPr>
        <w:t>Where</w:t>
      </w:r>
      <w:proofErr w:type="gramEnd"/>
      <w:r>
        <w:rPr>
          <w:rFonts w:ascii="Arial" w:hAnsi="Arial" w:cs="Arial"/>
          <w:sz w:val="20"/>
          <w:szCs w:val="20"/>
        </w:rPr>
        <w:t xml:space="preserve">, </w:t>
      </w:r>
    </w:p>
    <w:p w14:paraId="79888050" w14:textId="77777777" w:rsidR="000D2B0F" w:rsidRDefault="00000000">
      <w:pPr>
        <w:spacing w:line="240" w:lineRule="auto"/>
        <w:rPr>
          <w:rFonts w:ascii="Arial" w:hAnsi="Arial" w:cs="Arial"/>
          <w:sz w:val="20"/>
          <w:szCs w:val="20"/>
        </w:rPr>
      </w:pPr>
      <w:r>
        <w:rPr>
          <w:rFonts w:ascii="Arial" w:hAnsi="Arial" w:cs="Arial"/>
          <w:sz w:val="20"/>
          <w:szCs w:val="20"/>
        </w:rPr>
        <w:t>M</w:t>
      </w:r>
      <w:r>
        <w:rPr>
          <w:rFonts w:ascii="Arial" w:hAnsi="Arial" w:cs="Arial"/>
          <w:sz w:val="20"/>
          <w:szCs w:val="20"/>
          <w:vertAlign w:val="subscript"/>
        </w:rPr>
        <w:t>i</w:t>
      </w:r>
      <w:r>
        <w:rPr>
          <w:rFonts w:ascii="Arial" w:hAnsi="Arial" w:cs="Arial"/>
          <w:sz w:val="20"/>
          <w:szCs w:val="20"/>
        </w:rPr>
        <w:t xml:space="preserve"> = Monitored value of heavy metal of the </w:t>
      </w:r>
      <w:proofErr w:type="spellStart"/>
      <w:r>
        <w:rPr>
          <w:rFonts w:ascii="Arial" w:hAnsi="Arial" w:cs="Arial"/>
          <w:sz w:val="20"/>
          <w:szCs w:val="20"/>
        </w:rPr>
        <w:t>i</w:t>
      </w:r>
      <w:r>
        <w:rPr>
          <w:rFonts w:ascii="Arial" w:hAnsi="Arial" w:cs="Arial"/>
          <w:sz w:val="20"/>
          <w:szCs w:val="20"/>
          <w:vertAlign w:val="superscript"/>
        </w:rPr>
        <w:t>th</w:t>
      </w:r>
      <w:proofErr w:type="spellEnd"/>
      <w:r>
        <w:rPr>
          <w:rFonts w:ascii="Arial" w:hAnsi="Arial" w:cs="Arial"/>
          <w:sz w:val="20"/>
          <w:szCs w:val="20"/>
        </w:rPr>
        <w:t xml:space="preserve"> parameter </w:t>
      </w:r>
    </w:p>
    <w:p w14:paraId="04AF7E8B" w14:textId="77777777" w:rsidR="000D2B0F" w:rsidRDefault="00000000">
      <w:pPr>
        <w:spacing w:line="240" w:lineRule="auto"/>
        <w:rPr>
          <w:rFonts w:ascii="Arial" w:hAnsi="Arial" w:cs="Arial"/>
          <w:sz w:val="20"/>
          <w:szCs w:val="20"/>
        </w:rPr>
      </w:pPr>
      <w:proofErr w:type="spellStart"/>
      <w:r>
        <w:rPr>
          <w:rFonts w:ascii="Arial" w:hAnsi="Arial" w:cs="Arial"/>
          <w:sz w:val="20"/>
          <w:szCs w:val="20"/>
        </w:rPr>
        <w:t>I</w:t>
      </w:r>
      <w:r>
        <w:rPr>
          <w:rFonts w:ascii="Arial" w:hAnsi="Arial" w:cs="Arial"/>
          <w:sz w:val="20"/>
          <w:szCs w:val="20"/>
          <w:vertAlign w:val="subscript"/>
        </w:rPr>
        <w:t>i</w:t>
      </w:r>
      <w:proofErr w:type="spellEnd"/>
      <w:r>
        <w:rPr>
          <w:rFonts w:ascii="Arial" w:hAnsi="Arial" w:cs="Arial"/>
          <w:sz w:val="20"/>
          <w:szCs w:val="20"/>
        </w:rPr>
        <w:t xml:space="preserve"> = Ideal value of the </w:t>
      </w:r>
      <w:proofErr w:type="spellStart"/>
      <w:r>
        <w:rPr>
          <w:rFonts w:ascii="Arial" w:hAnsi="Arial" w:cs="Arial"/>
          <w:sz w:val="20"/>
          <w:szCs w:val="20"/>
        </w:rPr>
        <w:t>i</w:t>
      </w:r>
      <w:r>
        <w:rPr>
          <w:rFonts w:ascii="Arial" w:hAnsi="Arial" w:cs="Arial"/>
          <w:sz w:val="20"/>
          <w:szCs w:val="20"/>
          <w:vertAlign w:val="superscript"/>
        </w:rPr>
        <w:t>th</w:t>
      </w:r>
      <w:proofErr w:type="spellEnd"/>
      <w:r>
        <w:rPr>
          <w:rFonts w:ascii="Arial" w:hAnsi="Arial" w:cs="Arial"/>
          <w:sz w:val="20"/>
          <w:szCs w:val="20"/>
        </w:rPr>
        <w:t xml:space="preserve"> parameter </w:t>
      </w:r>
    </w:p>
    <w:p w14:paraId="5B96492D" w14:textId="77777777" w:rsidR="000D2B0F" w:rsidRDefault="00000000">
      <w:pPr>
        <w:spacing w:line="240" w:lineRule="auto"/>
        <w:rPr>
          <w:rFonts w:ascii="Arial" w:hAnsi="Arial" w:cs="Arial"/>
          <w:sz w:val="20"/>
          <w:szCs w:val="20"/>
        </w:rPr>
      </w:pPr>
      <w:r>
        <w:rPr>
          <w:rFonts w:ascii="Arial" w:hAnsi="Arial" w:cs="Arial"/>
          <w:sz w:val="20"/>
          <w:szCs w:val="20"/>
        </w:rPr>
        <w:t>S</w:t>
      </w:r>
      <w:r>
        <w:rPr>
          <w:rFonts w:ascii="Arial" w:hAnsi="Arial" w:cs="Arial"/>
          <w:sz w:val="20"/>
          <w:szCs w:val="20"/>
          <w:vertAlign w:val="subscript"/>
        </w:rPr>
        <w:t>i</w:t>
      </w:r>
      <w:r>
        <w:rPr>
          <w:rFonts w:ascii="Arial" w:hAnsi="Arial" w:cs="Arial"/>
          <w:sz w:val="20"/>
          <w:szCs w:val="20"/>
        </w:rPr>
        <w:t xml:space="preserve"> = Standard value of </w:t>
      </w:r>
      <w:proofErr w:type="spellStart"/>
      <w:r>
        <w:rPr>
          <w:rFonts w:ascii="Arial" w:hAnsi="Arial" w:cs="Arial"/>
          <w:sz w:val="20"/>
          <w:szCs w:val="20"/>
        </w:rPr>
        <w:t>i</w:t>
      </w:r>
      <w:r>
        <w:rPr>
          <w:rFonts w:ascii="Arial" w:hAnsi="Arial" w:cs="Arial"/>
          <w:sz w:val="20"/>
          <w:szCs w:val="20"/>
          <w:vertAlign w:val="superscript"/>
        </w:rPr>
        <w:t>th</w:t>
      </w:r>
      <w:proofErr w:type="spellEnd"/>
      <w:r>
        <w:rPr>
          <w:rFonts w:ascii="Arial" w:hAnsi="Arial" w:cs="Arial"/>
          <w:sz w:val="20"/>
          <w:szCs w:val="20"/>
        </w:rPr>
        <w:t xml:space="preserve"> parameter</w:t>
      </w:r>
    </w:p>
    <w:p w14:paraId="2F822368" w14:textId="77777777" w:rsidR="000D2B0F" w:rsidRDefault="00000000">
      <w:pPr>
        <w:spacing w:line="240" w:lineRule="auto"/>
        <w:jc w:val="both"/>
        <w:rPr>
          <w:rFonts w:ascii="Arial" w:hAnsi="Arial" w:cs="Arial"/>
          <w:sz w:val="20"/>
          <w:szCs w:val="20"/>
        </w:rPr>
      </w:pPr>
      <w:r>
        <w:rPr>
          <w:rFonts w:ascii="Arial" w:hAnsi="Arial" w:cs="Arial"/>
          <w:sz w:val="20"/>
          <w:szCs w:val="20"/>
        </w:rPr>
        <w:t>According to HPI values, the groundwater is divided into three zones: low (&lt;90), medium (90–180), and high (&gt;180) (Prasad and Sangita, 2008; Reza and Singh, 2010).</w:t>
      </w:r>
    </w:p>
    <w:p w14:paraId="2E952160" w14:textId="77777777" w:rsidR="000D2B0F" w:rsidRDefault="00000000">
      <w:pPr>
        <w:spacing w:line="240" w:lineRule="auto"/>
        <w:rPr>
          <w:rFonts w:ascii="Arial" w:hAnsi="Arial" w:cs="Arial"/>
          <w:b/>
          <w:bCs/>
        </w:rPr>
      </w:pPr>
      <w:r>
        <w:rPr>
          <w:rFonts w:ascii="Arial" w:hAnsi="Arial" w:cs="Arial"/>
          <w:b/>
          <w:bCs/>
        </w:rPr>
        <w:t>2.7 Metal Index (MI)</w:t>
      </w:r>
    </w:p>
    <w:p w14:paraId="2A2E3C7D" w14:textId="77777777" w:rsidR="000D2B0F" w:rsidRDefault="00000000">
      <w:pPr>
        <w:spacing w:line="240" w:lineRule="auto"/>
        <w:jc w:val="both"/>
        <w:rPr>
          <w:rFonts w:ascii="Arial" w:hAnsi="Arial" w:cs="Arial"/>
          <w:sz w:val="20"/>
          <w:szCs w:val="20"/>
        </w:rPr>
      </w:pPr>
      <w:r>
        <w:rPr>
          <w:rFonts w:ascii="Arial" w:hAnsi="Arial" w:cs="Arial"/>
          <w:sz w:val="20"/>
          <w:szCs w:val="20"/>
        </w:rPr>
        <w:t>When the metal index is assessed for drinking water, it provides information about the possible cumulative effects of all the heavy metals that can be detected in the water on human health, which is extremely helpful in determining the overall quality of the water. MI was computed by:</w:t>
      </w:r>
    </w:p>
    <w:p w14:paraId="4AD34E5E" w14:textId="77777777" w:rsidR="000D2B0F" w:rsidRDefault="00000000">
      <w:pPr>
        <w:spacing w:line="240" w:lineRule="auto"/>
        <w:jc w:val="both"/>
        <w:rPr>
          <w:rFonts w:ascii="Arial" w:hAnsi="Arial" w:cs="Arial"/>
          <w:sz w:val="20"/>
          <w:szCs w:val="20"/>
        </w:rPr>
      </w:pPr>
      <m:oMathPara>
        <m:oMath>
          <m:r>
            <w:rPr>
              <w:rFonts w:ascii="Cambria Math" w:hAnsi="Cambria Math" w:cs="Arial"/>
              <w:sz w:val="20"/>
              <w:szCs w:val="20"/>
            </w:rPr>
            <m:t>MI=</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i</m:t>
                  </m:r>
                </m:sub>
              </m:sSub>
            </m:num>
            <m:den>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i</m:t>
                  </m:r>
                </m:sub>
              </m:sSub>
            </m:den>
          </m:f>
        </m:oMath>
      </m:oMathPara>
    </w:p>
    <w:p w14:paraId="27724684" w14:textId="77777777" w:rsidR="000D2B0F" w:rsidRDefault="00000000">
      <w:pPr>
        <w:spacing w:line="240" w:lineRule="auto"/>
        <w:jc w:val="both"/>
        <w:rPr>
          <w:rFonts w:ascii="Arial" w:hAnsi="Arial" w:cs="Arial"/>
          <w:sz w:val="20"/>
          <w:szCs w:val="20"/>
        </w:rPr>
      </w:pPr>
      <w:r>
        <w:rPr>
          <w:rFonts w:ascii="Arial" w:hAnsi="Arial" w:cs="Arial"/>
          <w:sz w:val="20"/>
          <w:szCs w:val="20"/>
        </w:rPr>
        <w:t>Where MI is the metal index, M</w:t>
      </w:r>
      <w:r>
        <w:rPr>
          <w:rFonts w:ascii="Arial" w:hAnsi="Arial" w:cs="Arial"/>
          <w:sz w:val="20"/>
          <w:szCs w:val="20"/>
          <w:vertAlign w:val="subscript"/>
        </w:rPr>
        <w:t>i</w:t>
      </w:r>
      <w:r>
        <w:rPr>
          <w:rFonts w:ascii="Arial" w:hAnsi="Arial" w:cs="Arial"/>
          <w:sz w:val="20"/>
          <w:szCs w:val="20"/>
        </w:rPr>
        <w:t xml:space="preserve"> is the observed metal level in water and S</w:t>
      </w:r>
      <w:r>
        <w:rPr>
          <w:rFonts w:ascii="Arial" w:hAnsi="Arial" w:cs="Arial"/>
          <w:sz w:val="20"/>
          <w:szCs w:val="20"/>
          <w:vertAlign w:val="subscript"/>
        </w:rPr>
        <w:t>i</w:t>
      </w:r>
      <w:r>
        <w:rPr>
          <w:rFonts w:ascii="Arial" w:hAnsi="Arial" w:cs="Arial"/>
          <w:sz w:val="20"/>
          <w:szCs w:val="20"/>
        </w:rPr>
        <w:t xml:space="preserve"> is the highest recommended permissible limit. MI is a technique used to assess the appropriateness and quality of water for human consumption. The classification of water quality using metal index are; &lt;0.3 very pure, 0.3-1.0 pure, 1.0-2.0 slightly affected, 2.0-4.0 moderately affected, 4.0-6.0 strongly affected and &gt;6.0 seriously affected (Yusuf et al., 2018).</w:t>
      </w:r>
    </w:p>
    <w:p w14:paraId="6607EBAD" w14:textId="77777777" w:rsidR="000D2B0F" w:rsidRDefault="00000000">
      <w:pPr>
        <w:pStyle w:val="ListParagraph"/>
        <w:numPr>
          <w:ilvl w:val="0"/>
          <w:numId w:val="1"/>
        </w:numPr>
        <w:spacing w:after="100" w:afterAutospacing="1" w:line="240" w:lineRule="auto"/>
        <w:rPr>
          <w:rFonts w:ascii="Arial" w:hAnsi="Arial" w:cs="Arial"/>
          <w:b/>
          <w:bCs/>
        </w:rPr>
      </w:pPr>
      <w:r>
        <w:rPr>
          <w:rFonts w:ascii="Arial" w:hAnsi="Arial" w:cs="Arial"/>
          <w:b/>
          <w:bCs/>
        </w:rPr>
        <w:t>RESULTS AND DISCUSSION</w:t>
      </w:r>
    </w:p>
    <w:p w14:paraId="58E92EC0" w14:textId="77777777" w:rsidR="000D2B0F" w:rsidRDefault="00000000">
      <w:pPr>
        <w:pStyle w:val="ListParagraph"/>
        <w:numPr>
          <w:ilvl w:val="1"/>
          <w:numId w:val="1"/>
        </w:numPr>
        <w:spacing w:after="100" w:afterAutospacing="1" w:line="240" w:lineRule="auto"/>
        <w:rPr>
          <w:rFonts w:ascii="Arial" w:hAnsi="Arial" w:cs="Arial"/>
          <w:b/>
        </w:rPr>
      </w:pPr>
      <w:r>
        <w:rPr>
          <w:rFonts w:ascii="Arial" w:hAnsi="Arial" w:cs="Arial"/>
          <w:b/>
        </w:rPr>
        <w:t>Abundance of Heavy metals in white clay</w:t>
      </w:r>
    </w:p>
    <w:p w14:paraId="04B372F7" w14:textId="77777777" w:rsidR="000D2B0F" w:rsidRDefault="00000000">
      <w:pPr>
        <w:spacing w:after="0" w:line="240" w:lineRule="auto"/>
        <w:jc w:val="both"/>
        <w:rPr>
          <w:rFonts w:ascii="Arial" w:hAnsi="Arial" w:cs="Arial"/>
          <w:sz w:val="20"/>
          <w:szCs w:val="20"/>
        </w:rPr>
      </w:pPr>
      <w:r>
        <w:rPr>
          <w:rFonts w:ascii="Arial" w:hAnsi="Arial" w:cs="Arial"/>
          <w:sz w:val="20"/>
          <w:szCs w:val="20"/>
        </w:rPr>
        <w:lastRenderedPageBreak/>
        <w:t xml:space="preserve">In this study, presence of heavy metal in all studied white clay sample of </w:t>
      </w:r>
      <w:proofErr w:type="spellStart"/>
      <w:r>
        <w:rPr>
          <w:rFonts w:ascii="Arial" w:hAnsi="Arial" w:cs="Arial"/>
          <w:sz w:val="20"/>
          <w:szCs w:val="20"/>
        </w:rPr>
        <w:t>Bijoypur</w:t>
      </w:r>
      <w:proofErr w:type="spellEnd"/>
      <w:r>
        <w:rPr>
          <w:rFonts w:ascii="Arial" w:hAnsi="Arial" w:cs="Arial"/>
          <w:sz w:val="20"/>
          <w:szCs w:val="20"/>
        </w:rPr>
        <w:t xml:space="preserve"> area, which imposed a matter of concern in terms of heavy metal pollution in the groundwater. Present study indicate that highest concentration of arsenic was found at </w:t>
      </w:r>
      <w:proofErr w:type="spellStart"/>
      <w:r>
        <w:rPr>
          <w:rFonts w:ascii="Arial" w:hAnsi="Arial" w:cs="Arial"/>
          <w:sz w:val="20"/>
          <w:szCs w:val="20"/>
        </w:rPr>
        <w:t>Monoshapara</w:t>
      </w:r>
      <w:proofErr w:type="spellEnd"/>
      <w:r>
        <w:rPr>
          <w:rFonts w:ascii="Arial" w:hAnsi="Arial" w:cs="Arial"/>
          <w:sz w:val="20"/>
          <w:szCs w:val="20"/>
        </w:rPr>
        <w:t xml:space="preserve"> sampling point (WC4). Xu et al., (2021) studied heavy metal in black shale which is sedimentary rock and found that Cd, As, Pb, Cu, Cr and Ni concentrations in the </w:t>
      </w:r>
      <w:proofErr w:type="spellStart"/>
      <w:r>
        <w:rPr>
          <w:rFonts w:ascii="Arial" w:hAnsi="Arial" w:cs="Arial"/>
          <w:sz w:val="20"/>
          <w:szCs w:val="20"/>
        </w:rPr>
        <w:t>Gaoqiao</w:t>
      </w:r>
      <w:proofErr w:type="spellEnd"/>
      <w:r>
        <w:rPr>
          <w:rFonts w:ascii="Arial" w:hAnsi="Arial" w:cs="Arial"/>
          <w:sz w:val="20"/>
          <w:szCs w:val="20"/>
        </w:rPr>
        <w:t xml:space="preserve"> are 3.2–97.7 mg kg</w:t>
      </w:r>
      <w:r>
        <w:rPr>
          <w:rFonts w:ascii="Arial" w:hAnsi="Arial" w:cs="Arial"/>
          <w:sz w:val="20"/>
          <w:szCs w:val="20"/>
          <w:vertAlign w:val="superscript"/>
        </w:rPr>
        <w:t>-1</w:t>
      </w:r>
      <w:r>
        <w:rPr>
          <w:rFonts w:ascii="Arial" w:hAnsi="Arial" w:cs="Arial"/>
          <w:sz w:val="20"/>
          <w:szCs w:val="20"/>
        </w:rPr>
        <w:t>, 12.3–62.0 mg kg</w:t>
      </w:r>
      <w:r>
        <w:rPr>
          <w:rFonts w:ascii="Arial" w:hAnsi="Arial" w:cs="Arial"/>
          <w:sz w:val="20"/>
          <w:szCs w:val="20"/>
          <w:vertAlign w:val="superscript"/>
        </w:rPr>
        <w:t>-1</w:t>
      </w:r>
      <w:r>
        <w:rPr>
          <w:rFonts w:ascii="Arial" w:hAnsi="Arial" w:cs="Arial"/>
          <w:sz w:val="20"/>
          <w:szCs w:val="20"/>
        </w:rPr>
        <w:t>, 11.6– 105.0 mg kg</w:t>
      </w:r>
      <w:r>
        <w:rPr>
          <w:rFonts w:ascii="Arial" w:hAnsi="Arial" w:cs="Arial"/>
          <w:sz w:val="20"/>
          <w:szCs w:val="20"/>
          <w:vertAlign w:val="superscript"/>
        </w:rPr>
        <w:t>-1</w:t>
      </w:r>
      <w:r>
        <w:rPr>
          <w:rFonts w:ascii="Arial" w:hAnsi="Arial" w:cs="Arial"/>
          <w:sz w:val="20"/>
          <w:szCs w:val="20"/>
        </w:rPr>
        <w:t>, 327.0–919.0 mg kg</w:t>
      </w:r>
      <w:r>
        <w:rPr>
          <w:rFonts w:ascii="Arial" w:hAnsi="Arial" w:cs="Arial"/>
          <w:sz w:val="20"/>
          <w:szCs w:val="20"/>
          <w:vertAlign w:val="superscript"/>
        </w:rPr>
        <w:t>-1</w:t>
      </w:r>
      <w:r>
        <w:rPr>
          <w:rFonts w:ascii="Arial" w:hAnsi="Arial" w:cs="Arial"/>
          <w:sz w:val="20"/>
          <w:szCs w:val="20"/>
        </w:rPr>
        <w:t>, 100.0–4630.0 mg kg</w:t>
      </w:r>
      <w:r>
        <w:rPr>
          <w:rFonts w:ascii="Arial" w:hAnsi="Arial" w:cs="Arial"/>
          <w:sz w:val="20"/>
          <w:szCs w:val="20"/>
          <w:vertAlign w:val="superscript"/>
        </w:rPr>
        <w:t>-1</w:t>
      </w:r>
      <w:r>
        <w:rPr>
          <w:rFonts w:ascii="Arial" w:hAnsi="Arial" w:cs="Arial"/>
          <w:sz w:val="20"/>
          <w:szCs w:val="20"/>
        </w:rPr>
        <w:t xml:space="preserve"> and 7.2–98.2 mg kg</w:t>
      </w:r>
      <w:r>
        <w:rPr>
          <w:rFonts w:ascii="Arial" w:hAnsi="Arial" w:cs="Arial"/>
          <w:sz w:val="20"/>
          <w:szCs w:val="20"/>
          <w:vertAlign w:val="superscript"/>
        </w:rPr>
        <w:t>-1</w:t>
      </w:r>
      <w:r>
        <w:rPr>
          <w:rFonts w:ascii="Arial" w:hAnsi="Arial" w:cs="Arial"/>
          <w:sz w:val="20"/>
          <w:szCs w:val="20"/>
        </w:rPr>
        <w:t xml:space="preserve"> respectively. Present study detected that high percentage of heavy metal is present (Table 1) in </w:t>
      </w:r>
      <w:proofErr w:type="spellStart"/>
      <w:r>
        <w:rPr>
          <w:rFonts w:ascii="Arial" w:hAnsi="Arial" w:cs="Arial"/>
          <w:sz w:val="20"/>
          <w:szCs w:val="20"/>
        </w:rPr>
        <w:t>Bijoypur</w:t>
      </w:r>
      <w:proofErr w:type="spellEnd"/>
      <w:r>
        <w:rPr>
          <w:rFonts w:ascii="Arial" w:hAnsi="Arial" w:cs="Arial"/>
          <w:sz w:val="20"/>
          <w:szCs w:val="20"/>
        </w:rPr>
        <w:t xml:space="preserve"> white clay like Arsenic (0.0104 mg kg</w:t>
      </w:r>
      <w:r>
        <w:rPr>
          <w:rFonts w:ascii="Arial" w:hAnsi="Arial" w:cs="Arial"/>
          <w:sz w:val="20"/>
          <w:szCs w:val="20"/>
          <w:vertAlign w:val="superscript"/>
        </w:rPr>
        <w:t>-1</w:t>
      </w:r>
      <w:r>
        <w:rPr>
          <w:rFonts w:ascii="Arial" w:hAnsi="Arial" w:cs="Arial"/>
          <w:sz w:val="20"/>
          <w:szCs w:val="20"/>
        </w:rPr>
        <w:t>), Cadmium(0.0005 mg kg</w:t>
      </w:r>
      <w:r>
        <w:rPr>
          <w:rFonts w:ascii="Arial" w:hAnsi="Arial" w:cs="Arial"/>
          <w:sz w:val="20"/>
          <w:szCs w:val="20"/>
          <w:vertAlign w:val="superscript"/>
        </w:rPr>
        <w:t>-1</w:t>
      </w:r>
      <w:r>
        <w:rPr>
          <w:rFonts w:ascii="Arial" w:hAnsi="Arial" w:cs="Arial"/>
          <w:sz w:val="20"/>
          <w:szCs w:val="20"/>
        </w:rPr>
        <w:t>), Cobalt (0.01 mg kg</w:t>
      </w:r>
      <w:r>
        <w:rPr>
          <w:rFonts w:ascii="Arial" w:hAnsi="Arial" w:cs="Arial"/>
          <w:sz w:val="20"/>
          <w:szCs w:val="20"/>
          <w:vertAlign w:val="superscript"/>
        </w:rPr>
        <w:t>-1</w:t>
      </w:r>
      <w:r>
        <w:rPr>
          <w:rFonts w:ascii="Arial" w:hAnsi="Arial" w:cs="Arial"/>
          <w:sz w:val="20"/>
          <w:szCs w:val="20"/>
        </w:rPr>
        <w:t>), Chromium (0.22 mg kg</w:t>
      </w:r>
      <w:r>
        <w:rPr>
          <w:rFonts w:ascii="Arial" w:hAnsi="Arial" w:cs="Arial"/>
          <w:sz w:val="20"/>
          <w:szCs w:val="20"/>
          <w:vertAlign w:val="superscript"/>
        </w:rPr>
        <w:t>-1</w:t>
      </w:r>
      <w:r>
        <w:rPr>
          <w:rFonts w:ascii="Arial" w:hAnsi="Arial" w:cs="Arial"/>
          <w:sz w:val="20"/>
          <w:szCs w:val="20"/>
        </w:rPr>
        <w:t>), Copper (0.029 mg kg</w:t>
      </w:r>
      <w:r>
        <w:rPr>
          <w:rFonts w:ascii="Arial" w:hAnsi="Arial" w:cs="Arial"/>
          <w:sz w:val="20"/>
          <w:szCs w:val="20"/>
          <w:vertAlign w:val="superscript"/>
        </w:rPr>
        <w:t>-1</w:t>
      </w:r>
      <w:r>
        <w:rPr>
          <w:rFonts w:ascii="Arial" w:hAnsi="Arial" w:cs="Arial"/>
          <w:sz w:val="20"/>
          <w:szCs w:val="20"/>
        </w:rPr>
        <w:t>), Iron (36.08 mg kg</w:t>
      </w:r>
      <w:r>
        <w:rPr>
          <w:rFonts w:ascii="Arial" w:hAnsi="Arial" w:cs="Arial"/>
          <w:sz w:val="20"/>
          <w:szCs w:val="20"/>
          <w:vertAlign w:val="superscript"/>
        </w:rPr>
        <w:t>-1</w:t>
      </w:r>
      <w:r>
        <w:rPr>
          <w:rFonts w:ascii="Arial" w:hAnsi="Arial" w:cs="Arial"/>
          <w:sz w:val="20"/>
          <w:szCs w:val="20"/>
        </w:rPr>
        <w:t>), Manganese (0.044 mg kg</w:t>
      </w:r>
      <w:r>
        <w:rPr>
          <w:rFonts w:ascii="Arial" w:hAnsi="Arial" w:cs="Arial"/>
          <w:sz w:val="20"/>
          <w:szCs w:val="20"/>
          <w:vertAlign w:val="superscript"/>
        </w:rPr>
        <w:t>-1</w:t>
      </w:r>
      <w:r>
        <w:rPr>
          <w:rFonts w:ascii="Arial" w:hAnsi="Arial" w:cs="Arial"/>
          <w:sz w:val="20"/>
          <w:szCs w:val="20"/>
        </w:rPr>
        <w:t>), Nickel (0.15 mg kg</w:t>
      </w:r>
      <w:r>
        <w:rPr>
          <w:rFonts w:ascii="Arial" w:hAnsi="Arial" w:cs="Arial"/>
          <w:sz w:val="20"/>
          <w:szCs w:val="20"/>
          <w:vertAlign w:val="superscript"/>
        </w:rPr>
        <w:t>-1</w:t>
      </w:r>
      <w:r>
        <w:rPr>
          <w:rFonts w:ascii="Arial" w:hAnsi="Arial" w:cs="Arial"/>
          <w:sz w:val="20"/>
          <w:szCs w:val="20"/>
        </w:rPr>
        <w:t>), Lead (0.059 mg kg</w:t>
      </w:r>
      <w:r>
        <w:rPr>
          <w:rFonts w:ascii="Arial" w:hAnsi="Arial" w:cs="Arial"/>
          <w:sz w:val="20"/>
          <w:szCs w:val="20"/>
          <w:vertAlign w:val="superscript"/>
        </w:rPr>
        <w:t>-1</w:t>
      </w:r>
      <w:r>
        <w:rPr>
          <w:rFonts w:ascii="Arial" w:hAnsi="Arial" w:cs="Arial"/>
          <w:sz w:val="20"/>
          <w:szCs w:val="20"/>
        </w:rPr>
        <w:t>) and Zinc (0.045 mg kg</w:t>
      </w:r>
      <w:r>
        <w:rPr>
          <w:rFonts w:ascii="Arial" w:hAnsi="Arial" w:cs="Arial"/>
          <w:sz w:val="20"/>
          <w:szCs w:val="20"/>
          <w:vertAlign w:val="superscript"/>
        </w:rPr>
        <w:t>-1</w:t>
      </w:r>
      <w:r>
        <w:rPr>
          <w:rFonts w:ascii="Arial" w:hAnsi="Arial" w:cs="Arial"/>
          <w:sz w:val="20"/>
          <w:szCs w:val="20"/>
        </w:rPr>
        <w:t>) which is lower than Xu et al., 2021 study.</w:t>
      </w:r>
    </w:p>
    <w:p w14:paraId="734E20D4" w14:textId="77777777" w:rsidR="000D2B0F" w:rsidRDefault="000D2B0F">
      <w:pPr>
        <w:spacing w:after="0" w:line="240" w:lineRule="auto"/>
        <w:jc w:val="both"/>
        <w:rPr>
          <w:rFonts w:ascii="Times New Roman" w:hAnsi="Times New Roman" w:cs="Times New Roman"/>
          <w:b/>
          <w:bCs/>
          <w:sz w:val="24"/>
          <w:szCs w:val="24"/>
        </w:rPr>
      </w:pPr>
    </w:p>
    <w:p w14:paraId="174E6093" w14:textId="77777777" w:rsidR="000D2B0F" w:rsidRDefault="00000000">
      <w:pPr>
        <w:spacing w:after="0" w:line="240" w:lineRule="auto"/>
        <w:jc w:val="both"/>
        <w:rPr>
          <w:rFonts w:ascii="Arial" w:hAnsi="Arial" w:cs="Arial"/>
          <w:b/>
          <w:bCs/>
          <w:sz w:val="20"/>
          <w:szCs w:val="20"/>
        </w:rPr>
      </w:pPr>
      <w:r>
        <w:rPr>
          <w:rFonts w:ascii="Arial" w:hAnsi="Arial" w:cs="Arial"/>
          <w:b/>
          <w:bCs/>
          <w:sz w:val="20"/>
          <w:szCs w:val="20"/>
        </w:rPr>
        <w:t>Table 1. Heavy metals concentration ((mg kg</w:t>
      </w:r>
      <w:r>
        <w:rPr>
          <w:rFonts w:ascii="Arial" w:hAnsi="Arial" w:cs="Arial"/>
          <w:b/>
          <w:bCs/>
          <w:sz w:val="20"/>
          <w:szCs w:val="20"/>
          <w:vertAlign w:val="superscript"/>
        </w:rPr>
        <w:t>-1</w:t>
      </w:r>
      <w:r>
        <w:rPr>
          <w:rFonts w:ascii="Arial" w:hAnsi="Arial" w:cs="Arial"/>
          <w:b/>
          <w:bCs/>
          <w:sz w:val="20"/>
          <w:szCs w:val="20"/>
        </w:rPr>
        <w:t>) in white clay</w:t>
      </w:r>
    </w:p>
    <w:p w14:paraId="34DBAF1C" w14:textId="77777777" w:rsidR="000D2B0F" w:rsidRDefault="000D2B0F">
      <w:pPr>
        <w:spacing w:after="0" w:line="240" w:lineRule="auto"/>
        <w:jc w:val="both"/>
        <w:rPr>
          <w:rFonts w:ascii="Times New Roman" w:hAnsi="Times New Roman" w:cs="Times New Roman"/>
          <w:sz w:val="24"/>
          <w:szCs w:val="24"/>
        </w:rPr>
      </w:pPr>
    </w:p>
    <w:tbl>
      <w:tblPr>
        <w:tblStyle w:val="TableGrid"/>
        <w:tblW w:w="9351" w:type="dxa"/>
        <w:tblLook w:val="04A0" w:firstRow="1" w:lastRow="0" w:firstColumn="1" w:lastColumn="0" w:noHBand="0" w:noVBand="1"/>
      </w:tblPr>
      <w:tblGrid>
        <w:gridCol w:w="1137"/>
        <w:gridCol w:w="914"/>
        <w:gridCol w:w="996"/>
        <w:gridCol w:w="756"/>
        <w:gridCol w:w="728"/>
        <w:gridCol w:w="756"/>
        <w:gridCol w:w="756"/>
        <w:gridCol w:w="756"/>
        <w:gridCol w:w="876"/>
        <w:gridCol w:w="825"/>
        <w:gridCol w:w="851"/>
      </w:tblGrid>
      <w:tr w:rsidR="000D2B0F" w14:paraId="547141BB" w14:textId="77777777">
        <w:trPr>
          <w:trHeight w:val="300"/>
        </w:trPr>
        <w:tc>
          <w:tcPr>
            <w:tcW w:w="1137" w:type="dxa"/>
            <w:noWrap/>
          </w:tcPr>
          <w:p w14:paraId="6AD9987D"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Sampling point</w:t>
            </w:r>
          </w:p>
        </w:tc>
        <w:tc>
          <w:tcPr>
            <w:tcW w:w="914" w:type="dxa"/>
            <w:noWrap/>
          </w:tcPr>
          <w:p w14:paraId="38BBF304"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As</w:t>
            </w:r>
          </w:p>
        </w:tc>
        <w:tc>
          <w:tcPr>
            <w:tcW w:w="996" w:type="dxa"/>
            <w:noWrap/>
          </w:tcPr>
          <w:p w14:paraId="1D66A0D2"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Cd</w:t>
            </w:r>
          </w:p>
        </w:tc>
        <w:tc>
          <w:tcPr>
            <w:tcW w:w="756" w:type="dxa"/>
            <w:noWrap/>
          </w:tcPr>
          <w:p w14:paraId="05344CE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Co</w:t>
            </w:r>
          </w:p>
        </w:tc>
        <w:tc>
          <w:tcPr>
            <w:tcW w:w="728" w:type="dxa"/>
            <w:noWrap/>
          </w:tcPr>
          <w:p w14:paraId="42768DEF"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Cr</w:t>
            </w:r>
          </w:p>
        </w:tc>
        <w:tc>
          <w:tcPr>
            <w:tcW w:w="756" w:type="dxa"/>
            <w:noWrap/>
          </w:tcPr>
          <w:p w14:paraId="592FF22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Cu</w:t>
            </w:r>
          </w:p>
        </w:tc>
        <w:tc>
          <w:tcPr>
            <w:tcW w:w="756" w:type="dxa"/>
            <w:noWrap/>
          </w:tcPr>
          <w:p w14:paraId="1F688979"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Fe</w:t>
            </w:r>
          </w:p>
        </w:tc>
        <w:tc>
          <w:tcPr>
            <w:tcW w:w="756" w:type="dxa"/>
            <w:noWrap/>
          </w:tcPr>
          <w:p w14:paraId="086EA44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Mn</w:t>
            </w:r>
          </w:p>
        </w:tc>
        <w:tc>
          <w:tcPr>
            <w:tcW w:w="876" w:type="dxa"/>
            <w:noWrap/>
          </w:tcPr>
          <w:p w14:paraId="179FF50F"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Ni</w:t>
            </w:r>
          </w:p>
        </w:tc>
        <w:tc>
          <w:tcPr>
            <w:tcW w:w="825" w:type="dxa"/>
            <w:noWrap/>
          </w:tcPr>
          <w:p w14:paraId="6E88F0B3"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Pb</w:t>
            </w:r>
          </w:p>
        </w:tc>
        <w:tc>
          <w:tcPr>
            <w:tcW w:w="851" w:type="dxa"/>
            <w:noWrap/>
          </w:tcPr>
          <w:p w14:paraId="1687025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Zn</w:t>
            </w:r>
          </w:p>
        </w:tc>
      </w:tr>
      <w:tr w:rsidR="000D2B0F" w14:paraId="26C54D9F" w14:textId="77777777">
        <w:trPr>
          <w:trHeight w:val="300"/>
        </w:trPr>
        <w:tc>
          <w:tcPr>
            <w:tcW w:w="1137" w:type="dxa"/>
            <w:noWrap/>
          </w:tcPr>
          <w:p w14:paraId="17F38E62"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WC1</w:t>
            </w:r>
          </w:p>
        </w:tc>
        <w:tc>
          <w:tcPr>
            <w:tcW w:w="914" w:type="dxa"/>
            <w:noWrap/>
          </w:tcPr>
          <w:p w14:paraId="75AA0B3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0.012</w:t>
            </w:r>
          </w:p>
        </w:tc>
        <w:tc>
          <w:tcPr>
            <w:tcW w:w="996" w:type="dxa"/>
            <w:noWrap/>
          </w:tcPr>
          <w:p w14:paraId="177CE6A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0.0006</w:t>
            </w:r>
          </w:p>
        </w:tc>
        <w:tc>
          <w:tcPr>
            <w:tcW w:w="756" w:type="dxa"/>
            <w:noWrap/>
          </w:tcPr>
          <w:p w14:paraId="2DA8FB1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0.012</w:t>
            </w:r>
          </w:p>
        </w:tc>
        <w:tc>
          <w:tcPr>
            <w:tcW w:w="728" w:type="dxa"/>
            <w:noWrap/>
          </w:tcPr>
          <w:p w14:paraId="46B68A0F"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0.25</w:t>
            </w:r>
          </w:p>
        </w:tc>
        <w:tc>
          <w:tcPr>
            <w:tcW w:w="756" w:type="dxa"/>
            <w:noWrap/>
          </w:tcPr>
          <w:p w14:paraId="63DB4B52"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0.033</w:t>
            </w:r>
          </w:p>
        </w:tc>
        <w:tc>
          <w:tcPr>
            <w:tcW w:w="756" w:type="dxa"/>
            <w:noWrap/>
          </w:tcPr>
          <w:p w14:paraId="6EE57BE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34</w:t>
            </w:r>
          </w:p>
        </w:tc>
        <w:tc>
          <w:tcPr>
            <w:tcW w:w="756" w:type="dxa"/>
            <w:noWrap/>
          </w:tcPr>
          <w:p w14:paraId="74CE4093"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0.051</w:t>
            </w:r>
          </w:p>
        </w:tc>
        <w:tc>
          <w:tcPr>
            <w:tcW w:w="876" w:type="dxa"/>
            <w:noWrap/>
          </w:tcPr>
          <w:p w14:paraId="27903F84"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0.163</w:t>
            </w:r>
          </w:p>
        </w:tc>
        <w:tc>
          <w:tcPr>
            <w:tcW w:w="825" w:type="dxa"/>
            <w:noWrap/>
          </w:tcPr>
          <w:p w14:paraId="63E1650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0.086</w:t>
            </w:r>
          </w:p>
        </w:tc>
        <w:tc>
          <w:tcPr>
            <w:tcW w:w="851" w:type="dxa"/>
            <w:noWrap/>
          </w:tcPr>
          <w:p w14:paraId="58ED684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0.050</w:t>
            </w:r>
          </w:p>
        </w:tc>
      </w:tr>
      <w:tr w:rsidR="000D2B0F" w14:paraId="03C2DD12" w14:textId="77777777">
        <w:trPr>
          <w:trHeight w:val="300"/>
        </w:trPr>
        <w:tc>
          <w:tcPr>
            <w:tcW w:w="1137" w:type="dxa"/>
            <w:noWrap/>
          </w:tcPr>
          <w:p w14:paraId="7A3F9597"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WC2</w:t>
            </w:r>
          </w:p>
        </w:tc>
        <w:tc>
          <w:tcPr>
            <w:tcW w:w="914" w:type="dxa"/>
            <w:noWrap/>
          </w:tcPr>
          <w:p w14:paraId="745AB0F9"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0.0086</w:t>
            </w:r>
          </w:p>
        </w:tc>
        <w:tc>
          <w:tcPr>
            <w:tcW w:w="996" w:type="dxa"/>
            <w:noWrap/>
          </w:tcPr>
          <w:p w14:paraId="564428A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0.00043</w:t>
            </w:r>
          </w:p>
        </w:tc>
        <w:tc>
          <w:tcPr>
            <w:tcW w:w="756" w:type="dxa"/>
            <w:noWrap/>
          </w:tcPr>
          <w:p w14:paraId="0FD98E87"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0.011</w:t>
            </w:r>
          </w:p>
        </w:tc>
        <w:tc>
          <w:tcPr>
            <w:tcW w:w="728" w:type="dxa"/>
            <w:noWrap/>
          </w:tcPr>
          <w:p w14:paraId="283D996D"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0.22</w:t>
            </w:r>
          </w:p>
        </w:tc>
        <w:tc>
          <w:tcPr>
            <w:tcW w:w="756" w:type="dxa"/>
            <w:noWrap/>
          </w:tcPr>
          <w:p w14:paraId="5E33AFE8"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0.035</w:t>
            </w:r>
          </w:p>
        </w:tc>
        <w:tc>
          <w:tcPr>
            <w:tcW w:w="756" w:type="dxa"/>
            <w:noWrap/>
          </w:tcPr>
          <w:p w14:paraId="7FF031CB"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47.8</w:t>
            </w:r>
          </w:p>
        </w:tc>
        <w:tc>
          <w:tcPr>
            <w:tcW w:w="756" w:type="dxa"/>
            <w:noWrap/>
          </w:tcPr>
          <w:p w14:paraId="3CB322C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0.054</w:t>
            </w:r>
          </w:p>
        </w:tc>
        <w:tc>
          <w:tcPr>
            <w:tcW w:w="876" w:type="dxa"/>
            <w:noWrap/>
          </w:tcPr>
          <w:p w14:paraId="3F49BA4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0.17</w:t>
            </w:r>
          </w:p>
        </w:tc>
        <w:tc>
          <w:tcPr>
            <w:tcW w:w="825" w:type="dxa"/>
            <w:noWrap/>
          </w:tcPr>
          <w:p w14:paraId="0A7D1AE8"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0.043</w:t>
            </w:r>
          </w:p>
        </w:tc>
        <w:tc>
          <w:tcPr>
            <w:tcW w:w="851" w:type="dxa"/>
            <w:noWrap/>
          </w:tcPr>
          <w:p w14:paraId="7C7DDE37"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0.046</w:t>
            </w:r>
          </w:p>
        </w:tc>
      </w:tr>
      <w:tr w:rsidR="000D2B0F" w14:paraId="60D3EEDC" w14:textId="77777777">
        <w:trPr>
          <w:trHeight w:val="300"/>
        </w:trPr>
        <w:tc>
          <w:tcPr>
            <w:tcW w:w="1137" w:type="dxa"/>
            <w:noWrap/>
          </w:tcPr>
          <w:p w14:paraId="65A79D08"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WC3</w:t>
            </w:r>
          </w:p>
        </w:tc>
        <w:tc>
          <w:tcPr>
            <w:tcW w:w="914" w:type="dxa"/>
            <w:noWrap/>
          </w:tcPr>
          <w:p w14:paraId="6A401D29"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0.0084</w:t>
            </w:r>
          </w:p>
        </w:tc>
        <w:tc>
          <w:tcPr>
            <w:tcW w:w="996" w:type="dxa"/>
            <w:noWrap/>
          </w:tcPr>
          <w:p w14:paraId="38ABA542"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0.00042</w:t>
            </w:r>
          </w:p>
        </w:tc>
        <w:tc>
          <w:tcPr>
            <w:tcW w:w="756" w:type="dxa"/>
            <w:noWrap/>
          </w:tcPr>
          <w:p w14:paraId="2BEF9604"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0.006</w:t>
            </w:r>
          </w:p>
        </w:tc>
        <w:tc>
          <w:tcPr>
            <w:tcW w:w="728" w:type="dxa"/>
            <w:noWrap/>
          </w:tcPr>
          <w:p w14:paraId="215AE468"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0.14</w:t>
            </w:r>
          </w:p>
        </w:tc>
        <w:tc>
          <w:tcPr>
            <w:tcW w:w="756" w:type="dxa"/>
            <w:noWrap/>
          </w:tcPr>
          <w:p w14:paraId="36F9322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0.014</w:t>
            </w:r>
          </w:p>
        </w:tc>
        <w:tc>
          <w:tcPr>
            <w:tcW w:w="756" w:type="dxa"/>
            <w:noWrap/>
          </w:tcPr>
          <w:p w14:paraId="11063A92"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9.2</w:t>
            </w:r>
          </w:p>
        </w:tc>
        <w:tc>
          <w:tcPr>
            <w:tcW w:w="756" w:type="dxa"/>
            <w:noWrap/>
          </w:tcPr>
          <w:p w14:paraId="3701A73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0.030</w:t>
            </w:r>
          </w:p>
        </w:tc>
        <w:tc>
          <w:tcPr>
            <w:tcW w:w="876" w:type="dxa"/>
            <w:noWrap/>
          </w:tcPr>
          <w:p w14:paraId="5577C676"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0.0616</w:t>
            </w:r>
          </w:p>
        </w:tc>
        <w:tc>
          <w:tcPr>
            <w:tcW w:w="825" w:type="dxa"/>
            <w:noWrap/>
          </w:tcPr>
          <w:p w14:paraId="6F057787"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0.039</w:t>
            </w:r>
          </w:p>
        </w:tc>
        <w:tc>
          <w:tcPr>
            <w:tcW w:w="851" w:type="dxa"/>
            <w:noWrap/>
          </w:tcPr>
          <w:p w14:paraId="3FC76E0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0.028</w:t>
            </w:r>
          </w:p>
        </w:tc>
      </w:tr>
      <w:tr w:rsidR="000D2B0F" w14:paraId="394E2F3D" w14:textId="77777777">
        <w:trPr>
          <w:trHeight w:val="300"/>
        </w:trPr>
        <w:tc>
          <w:tcPr>
            <w:tcW w:w="1137" w:type="dxa"/>
            <w:noWrap/>
          </w:tcPr>
          <w:p w14:paraId="3D7F473D"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WC4</w:t>
            </w:r>
          </w:p>
        </w:tc>
        <w:tc>
          <w:tcPr>
            <w:tcW w:w="914" w:type="dxa"/>
            <w:noWrap/>
          </w:tcPr>
          <w:p w14:paraId="56DCB66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0.014</w:t>
            </w:r>
          </w:p>
        </w:tc>
        <w:tc>
          <w:tcPr>
            <w:tcW w:w="996" w:type="dxa"/>
            <w:noWrap/>
          </w:tcPr>
          <w:p w14:paraId="6C4EF6B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0.00042</w:t>
            </w:r>
          </w:p>
        </w:tc>
        <w:tc>
          <w:tcPr>
            <w:tcW w:w="756" w:type="dxa"/>
            <w:noWrap/>
          </w:tcPr>
          <w:p w14:paraId="2C5CC8F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0.011</w:t>
            </w:r>
          </w:p>
        </w:tc>
        <w:tc>
          <w:tcPr>
            <w:tcW w:w="728" w:type="dxa"/>
            <w:noWrap/>
          </w:tcPr>
          <w:p w14:paraId="7E977663"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0.27</w:t>
            </w:r>
          </w:p>
        </w:tc>
        <w:tc>
          <w:tcPr>
            <w:tcW w:w="756" w:type="dxa"/>
            <w:noWrap/>
          </w:tcPr>
          <w:p w14:paraId="13A5A41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0.032</w:t>
            </w:r>
          </w:p>
        </w:tc>
        <w:tc>
          <w:tcPr>
            <w:tcW w:w="756" w:type="dxa"/>
            <w:noWrap/>
          </w:tcPr>
          <w:p w14:paraId="5493A319"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53.3</w:t>
            </w:r>
          </w:p>
        </w:tc>
        <w:tc>
          <w:tcPr>
            <w:tcW w:w="756" w:type="dxa"/>
            <w:noWrap/>
          </w:tcPr>
          <w:p w14:paraId="3EE4D32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0.036</w:t>
            </w:r>
          </w:p>
        </w:tc>
        <w:tc>
          <w:tcPr>
            <w:tcW w:w="876" w:type="dxa"/>
            <w:noWrap/>
          </w:tcPr>
          <w:p w14:paraId="6B84FCD8"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0.187</w:t>
            </w:r>
          </w:p>
        </w:tc>
        <w:tc>
          <w:tcPr>
            <w:tcW w:w="825" w:type="dxa"/>
            <w:noWrap/>
          </w:tcPr>
          <w:p w14:paraId="67E4D278"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0.066</w:t>
            </w:r>
          </w:p>
        </w:tc>
        <w:tc>
          <w:tcPr>
            <w:tcW w:w="851" w:type="dxa"/>
            <w:noWrap/>
          </w:tcPr>
          <w:p w14:paraId="506B23E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0.051</w:t>
            </w:r>
          </w:p>
        </w:tc>
      </w:tr>
      <w:tr w:rsidR="000D2B0F" w14:paraId="447C97CE" w14:textId="77777777">
        <w:trPr>
          <w:trHeight w:val="300"/>
        </w:trPr>
        <w:tc>
          <w:tcPr>
            <w:tcW w:w="1137" w:type="dxa"/>
            <w:noWrap/>
          </w:tcPr>
          <w:p w14:paraId="0776FF78"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Mean</w:t>
            </w:r>
          </w:p>
        </w:tc>
        <w:tc>
          <w:tcPr>
            <w:tcW w:w="914" w:type="dxa"/>
            <w:noWrap/>
          </w:tcPr>
          <w:p w14:paraId="7B335CE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0.0104</w:t>
            </w:r>
          </w:p>
        </w:tc>
        <w:tc>
          <w:tcPr>
            <w:tcW w:w="996" w:type="dxa"/>
            <w:noWrap/>
          </w:tcPr>
          <w:p w14:paraId="7C811B7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0.0005</w:t>
            </w:r>
          </w:p>
        </w:tc>
        <w:tc>
          <w:tcPr>
            <w:tcW w:w="756" w:type="dxa"/>
            <w:noWrap/>
          </w:tcPr>
          <w:p w14:paraId="0007413B"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w:t>
            </w:r>
          </w:p>
        </w:tc>
        <w:tc>
          <w:tcPr>
            <w:tcW w:w="728" w:type="dxa"/>
            <w:noWrap/>
          </w:tcPr>
          <w:p w14:paraId="315E334D"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0.22</w:t>
            </w:r>
          </w:p>
        </w:tc>
        <w:tc>
          <w:tcPr>
            <w:tcW w:w="756" w:type="dxa"/>
            <w:noWrap/>
          </w:tcPr>
          <w:p w14:paraId="05E2D3A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0.029</w:t>
            </w:r>
          </w:p>
        </w:tc>
        <w:tc>
          <w:tcPr>
            <w:tcW w:w="756" w:type="dxa"/>
            <w:noWrap/>
          </w:tcPr>
          <w:p w14:paraId="69DED4D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36.08</w:t>
            </w:r>
          </w:p>
        </w:tc>
        <w:tc>
          <w:tcPr>
            <w:tcW w:w="756" w:type="dxa"/>
            <w:noWrap/>
          </w:tcPr>
          <w:p w14:paraId="2497D27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0.044</w:t>
            </w:r>
          </w:p>
        </w:tc>
        <w:tc>
          <w:tcPr>
            <w:tcW w:w="876" w:type="dxa"/>
            <w:noWrap/>
          </w:tcPr>
          <w:p w14:paraId="6F70CB1B"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0.15</w:t>
            </w:r>
          </w:p>
        </w:tc>
        <w:tc>
          <w:tcPr>
            <w:tcW w:w="825" w:type="dxa"/>
            <w:noWrap/>
          </w:tcPr>
          <w:p w14:paraId="552CC265"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0.059</w:t>
            </w:r>
          </w:p>
        </w:tc>
        <w:tc>
          <w:tcPr>
            <w:tcW w:w="851" w:type="dxa"/>
            <w:noWrap/>
          </w:tcPr>
          <w:p w14:paraId="312A72A3"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0.045</w:t>
            </w:r>
          </w:p>
        </w:tc>
      </w:tr>
    </w:tbl>
    <w:p w14:paraId="7AD88356" w14:textId="77777777" w:rsidR="000D2B0F" w:rsidRDefault="000D2B0F">
      <w:pPr>
        <w:spacing w:line="240" w:lineRule="auto"/>
        <w:jc w:val="both"/>
        <w:rPr>
          <w:rFonts w:ascii="Times New Roman" w:hAnsi="Times New Roman" w:cs="Times New Roman"/>
          <w:sz w:val="24"/>
          <w:szCs w:val="24"/>
        </w:rPr>
      </w:pPr>
    </w:p>
    <w:p w14:paraId="5F3381B6" w14:textId="77777777" w:rsidR="000D2B0F" w:rsidRDefault="00000000">
      <w:pPr>
        <w:spacing w:line="240" w:lineRule="auto"/>
        <w:jc w:val="both"/>
        <w:rPr>
          <w:rFonts w:ascii="Arial" w:hAnsi="Arial" w:cs="Arial"/>
          <w:sz w:val="20"/>
          <w:szCs w:val="20"/>
        </w:rPr>
      </w:pPr>
      <w:proofErr w:type="gramStart"/>
      <w:r>
        <w:rPr>
          <w:rFonts w:ascii="Arial" w:hAnsi="Arial" w:cs="Arial"/>
          <w:sz w:val="20"/>
          <w:szCs w:val="20"/>
        </w:rPr>
        <w:t>A research</w:t>
      </w:r>
      <w:proofErr w:type="gramEnd"/>
      <w:r>
        <w:rPr>
          <w:rFonts w:ascii="Arial" w:hAnsi="Arial" w:cs="Arial"/>
          <w:sz w:val="20"/>
          <w:szCs w:val="20"/>
        </w:rPr>
        <w:t xml:space="preserve"> conducted by Woode and Hackman (2014) revealed that </w:t>
      </w:r>
      <w:proofErr w:type="spellStart"/>
      <w:r>
        <w:rPr>
          <w:rFonts w:ascii="Arial" w:hAnsi="Arial" w:cs="Arial"/>
          <w:sz w:val="20"/>
          <w:szCs w:val="20"/>
        </w:rPr>
        <w:t>geoghagic</w:t>
      </w:r>
      <w:proofErr w:type="spellEnd"/>
      <w:r>
        <w:rPr>
          <w:rFonts w:ascii="Arial" w:hAnsi="Arial" w:cs="Arial"/>
          <w:sz w:val="20"/>
          <w:szCs w:val="20"/>
        </w:rPr>
        <w:t xml:space="preserve"> clayey soils sold in three major markets (Madina, Makola and Ashaiman) in Ghana contained high levels of As, Pb, Hg, Cd and Co. According to Momade and </w:t>
      </w:r>
      <w:proofErr w:type="spellStart"/>
      <w:r>
        <w:rPr>
          <w:rFonts w:ascii="Arial" w:hAnsi="Arial" w:cs="Arial"/>
          <w:sz w:val="20"/>
          <w:szCs w:val="20"/>
        </w:rPr>
        <w:t>Gawu</w:t>
      </w:r>
      <w:proofErr w:type="spellEnd"/>
      <w:r>
        <w:rPr>
          <w:rFonts w:ascii="Arial" w:hAnsi="Arial" w:cs="Arial"/>
          <w:sz w:val="20"/>
          <w:szCs w:val="20"/>
        </w:rPr>
        <w:t xml:space="preserve"> (2009), the most popular </w:t>
      </w:r>
      <w:proofErr w:type="spellStart"/>
      <w:r>
        <w:rPr>
          <w:rFonts w:ascii="Arial" w:hAnsi="Arial" w:cs="Arial"/>
          <w:sz w:val="20"/>
          <w:szCs w:val="20"/>
        </w:rPr>
        <w:t>geophagic</w:t>
      </w:r>
      <w:proofErr w:type="spellEnd"/>
      <w:r>
        <w:rPr>
          <w:rFonts w:ascii="Arial" w:hAnsi="Arial" w:cs="Arial"/>
          <w:sz w:val="20"/>
          <w:szCs w:val="20"/>
        </w:rPr>
        <w:t xml:space="preserve"> clay in Ghana is called "white clay," which is primarily composed of kaolin and is especially popular in </w:t>
      </w:r>
      <w:proofErr w:type="spellStart"/>
      <w:r>
        <w:rPr>
          <w:rFonts w:ascii="Arial" w:hAnsi="Arial" w:cs="Arial"/>
          <w:sz w:val="20"/>
          <w:szCs w:val="20"/>
        </w:rPr>
        <w:t>Anfoega</w:t>
      </w:r>
      <w:proofErr w:type="spellEnd"/>
      <w:r>
        <w:rPr>
          <w:rFonts w:ascii="Arial" w:hAnsi="Arial" w:cs="Arial"/>
          <w:sz w:val="20"/>
          <w:szCs w:val="20"/>
        </w:rPr>
        <w:t xml:space="preserve">, in the Volta Region (Woode and Hackman, 2014). Present study also declared that major heavy metals on </w:t>
      </w:r>
      <w:proofErr w:type="spellStart"/>
      <w:r>
        <w:rPr>
          <w:rFonts w:ascii="Arial" w:hAnsi="Arial" w:cs="Arial"/>
          <w:sz w:val="20"/>
          <w:szCs w:val="20"/>
        </w:rPr>
        <w:t>Bijoypur</w:t>
      </w:r>
      <w:proofErr w:type="spellEnd"/>
      <w:r>
        <w:rPr>
          <w:rFonts w:ascii="Arial" w:hAnsi="Arial" w:cs="Arial"/>
          <w:sz w:val="20"/>
          <w:szCs w:val="20"/>
        </w:rPr>
        <w:t xml:space="preserve"> white clay like Arsenic, Cadmium, Chromium, Cobalt etc. Several studies have been reported on the mineralogy and microbiology of </w:t>
      </w:r>
      <w:proofErr w:type="spellStart"/>
      <w:r>
        <w:rPr>
          <w:rFonts w:ascii="Arial" w:hAnsi="Arial" w:cs="Arial"/>
          <w:sz w:val="20"/>
          <w:szCs w:val="20"/>
        </w:rPr>
        <w:t>geophagic</w:t>
      </w:r>
      <w:proofErr w:type="spellEnd"/>
      <w:r>
        <w:rPr>
          <w:rFonts w:ascii="Arial" w:hAnsi="Arial" w:cs="Arial"/>
          <w:sz w:val="20"/>
          <w:szCs w:val="20"/>
        </w:rPr>
        <w:t xml:space="preserve"> clay in </w:t>
      </w:r>
      <w:proofErr w:type="spellStart"/>
      <w:r>
        <w:rPr>
          <w:rFonts w:ascii="Arial" w:hAnsi="Arial" w:cs="Arial"/>
          <w:sz w:val="20"/>
          <w:szCs w:val="20"/>
        </w:rPr>
        <w:t>sub-saharan</w:t>
      </w:r>
      <w:proofErr w:type="spellEnd"/>
      <w:r>
        <w:rPr>
          <w:rFonts w:ascii="Arial" w:hAnsi="Arial" w:cs="Arial"/>
          <w:sz w:val="20"/>
          <w:szCs w:val="20"/>
        </w:rPr>
        <w:t xml:space="preserve"> Africa including Ghana (Ngole et al., 2010; </w:t>
      </w:r>
      <w:proofErr w:type="spellStart"/>
      <w:r>
        <w:rPr>
          <w:rFonts w:ascii="Arial" w:hAnsi="Arial" w:cs="Arial"/>
          <w:sz w:val="20"/>
          <w:szCs w:val="20"/>
        </w:rPr>
        <w:t>Gichumbi</w:t>
      </w:r>
      <w:proofErr w:type="spellEnd"/>
      <w:r>
        <w:rPr>
          <w:rFonts w:ascii="Arial" w:hAnsi="Arial" w:cs="Arial"/>
          <w:sz w:val="20"/>
          <w:szCs w:val="20"/>
        </w:rPr>
        <w:t xml:space="preserve"> </w:t>
      </w:r>
      <w:r>
        <w:rPr>
          <w:rFonts w:ascii="Arial" w:hAnsi="Arial" w:cs="Arial"/>
          <w:i/>
          <w:sz w:val="20"/>
          <w:szCs w:val="20"/>
        </w:rPr>
        <w:t>et al.,</w:t>
      </w:r>
      <w:r>
        <w:rPr>
          <w:rFonts w:ascii="Arial" w:hAnsi="Arial" w:cs="Arial"/>
          <w:sz w:val="20"/>
          <w:szCs w:val="20"/>
        </w:rPr>
        <w:t xml:space="preserve"> 2011). The upper crustal abundances of As, Cd, Cr, Cu, Hg, Mn, Ni, Pb and Zn were 1.5, 0.098, 35, 25, 0.103, 600, 20, 20, and 71 mg kg</w:t>
      </w:r>
      <w:r>
        <w:rPr>
          <w:rFonts w:ascii="Arial" w:hAnsi="Arial" w:cs="Arial"/>
          <w:sz w:val="20"/>
          <w:szCs w:val="20"/>
          <w:vertAlign w:val="superscript"/>
        </w:rPr>
        <w:t>-1</w:t>
      </w:r>
      <w:r>
        <w:rPr>
          <w:rFonts w:ascii="Arial" w:hAnsi="Arial" w:cs="Arial"/>
          <w:sz w:val="20"/>
          <w:szCs w:val="20"/>
        </w:rPr>
        <w:t xml:space="preserve">, respectively (Taylor and </w:t>
      </w:r>
      <w:proofErr w:type="spellStart"/>
      <w:r>
        <w:rPr>
          <w:rFonts w:ascii="Arial" w:hAnsi="Arial" w:cs="Arial"/>
          <w:sz w:val="20"/>
          <w:szCs w:val="20"/>
        </w:rPr>
        <w:t>Mclennan</w:t>
      </w:r>
      <w:proofErr w:type="spellEnd"/>
      <w:r>
        <w:rPr>
          <w:rFonts w:ascii="Arial" w:hAnsi="Arial" w:cs="Arial"/>
          <w:sz w:val="20"/>
          <w:szCs w:val="20"/>
        </w:rPr>
        <w:t xml:space="preserve">, 1995). It is well known that white clay or kaolin are widely distributed in the world and many varieties shale have been recognized and studied on the basis of trace element concentrations. </w:t>
      </w:r>
    </w:p>
    <w:p w14:paraId="56040C8A" w14:textId="77777777" w:rsidR="000D2B0F" w:rsidRDefault="00000000">
      <w:pPr>
        <w:spacing w:line="240" w:lineRule="auto"/>
        <w:jc w:val="both"/>
        <w:rPr>
          <w:rFonts w:ascii="Arial" w:hAnsi="Arial" w:cs="Arial"/>
          <w:sz w:val="20"/>
          <w:szCs w:val="20"/>
        </w:rPr>
      </w:pPr>
      <w:proofErr w:type="spellStart"/>
      <w:r>
        <w:rPr>
          <w:rFonts w:ascii="Arial" w:hAnsi="Arial" w:cs="Arial"/>
          <w:sz w:val="20"/>
          <w:szCs w:val="20"/>
        </w:rPr>
        <w:t>Nkansha</w:t>
      </w:r>
      <w:proofErr w:type="spellEnd"/>
      <w:r>
        <w:rPr>
          <w:rFonts w:ascii="Arial" w:hAnsi="Arial" w:cs="Arial"/>
          <w:sz w:val="20"/>
          <w:szCs w:val="20"/>
        </w:rPr>
        <w:t xml:space="preserve"> et al., (2016) stated that, the levels of Arsenic (As) in the </w:t>
      </w:r>
      <w:proofErr w:type="spellStart"/>
      <w:r>
        <w:rPr>
          <w:rFonts w:ascii="Arial" w:hAnsi="Arial" w:cs="Arial"/>
          <w:sz w:val="20"/>
          <w:szCs w:val="20"/>
        </w:rPr>
        <w:t>geophagic</w:t>
      </w:r>
      <w:proofErr w:type="spellEnd"/>
      <w:r>
        <w:rPr>
          <w:rFonts w:ascii="Arial" w:hAnsi="Arial" w:cs="Arial"/>
          <w:sz w:val="20"/>
          <w:szCs w:val="20"/>
        </w:rPr>
        <w:t xml:space="preserve"> clay samples from selected markets in the Kumasi Metropolis ranged from 8.11 to 14.18 mg kg</w:t>
      </w:r>
      <w:r>
        <w:rPr>
          <w:rFonts w:ascii="Arial" w:hAnsi="Arial" w:cs="Arial"/>
          <w:sz w:val="20"/>
          <w:szCs w:val="20"/>
          <w:vertAlign w:val="superscript"/>
        </w:rPr>
        <w:t>-1</w:t>
      </w:r>
      <w:r>
        <w:rPr>
          <w:rFonts w:ascii="Arial" w:hAnsi="Arial" w:cs="Arial"/>
          <w:sz w:val="20"/>
          <w:szCs w:val="20"/>
        </w:rPr>
        <w:t xml:space="preserve"> which is higher than </w:t>
      </w:r>
      <w:proofErr w:type="spellStart"/>
      <w:r>
        <w:rPr>
          <w:rFonts w:ascii="Arial" w:hAnsi="Arial" w:cs="Arial"/>
          <w:sz w:val="20"/>
          <w:szCs w:val="20"/>
        </w:rPr>
        <w:t>bijoypur</w:t>
      </w:r>
      <w:proofErr w:type="spellEnd"/>
      <w:r>
        <w:rPr>
          <w:rFonts w:ascii="Arial" w:hAnsi="Arial" w:cs="Arial"/>
          <w:sz w:val="20"/>
          <w:szCs w:val="20"/>
        </w:rPr>
        <w:t xml:space="preserve"> study. The levels of Lead (Pb) in 70 g of </w:t>
      </w:r>
      <w:proofErr w:type="spellStart"/>
      <w:r>
        <w:rPr>
          <w:rFonts w:ascii="Arial" w:hAnsi="Arial" w:cs="Arial"/>
          <w:sz w:val="20"/>
          <w:szCs w:val="20"/>
        </w:rPr>
        <w:t>geophagic</w:t>
      </w:r>
      <w:proofErr w:type="spellEnd"/>
      <w:r>
        <w:rPr>
          <w:rFonts w:ascii="Arial" w:hAnsi="Arial" w:cs="Arial"/>
          <w:sz w:val="20"/>
          <w:szCs w:val="20"/>
        </w:rPr>
        <w:t xml:space="preserve"> clay samples from the selected markets in the range (0.54934 mg kg</w:t>
      </w:r>
      <w:r>
        <w:rPr>
          <w:rFonts w:ascii="Arial" w:hAnsi="Arial" w:cs="Arial"/>
          <w:sz w:val="20"/>
          <w:szCs w:val="20"/>
          <w:vertAlign w:val="superscript"/>
        </w:rPr>
        <w:t>-1</w:t>
      </w:r>
      <w:r>
        <w:rPr>
          <w:rFonts w:ascii="Arial" w:hAnsi="Arial" w:cs="Arial"/>
          <w:sz w:val="20"/>
          <w:szCs w:val="20"/>
        </w:rPr>
        <w:t xml:space="preserve"> 0.62292 mg kg</w:t>
      </w:r>
      <w:r>
        <w:rPr>
          <w:rFonts w:ascii="Arial" w:hAnsi="Arial" w:cs="Arial"/>
          <w:sz w:val="20"/>
          <w:szCs w:val="20"/>
          <w:vertAlign w:val="superscript"/>
        </w:rPr>
        <w:t>-1</w:t>
      </w:r>
      <w:r>
        <w:rPr>
          <w:rFonts w:ascii="Arial" w:hAnsi="Arial" w:cs="Arial"/>
          <w:sz w:val="20"/>
          <w:szCs w:val="20"/>
        </w:rPr>
        <w:t>) which is lower than to current investigation. Mahurpawar (2015) stated that Ingestion of large amounts of arsenic can lead to gastrointestinal symptoms such as severe vomiting, disturbances of the blood and circulation systems, damage to the nervous system, and eventually death. High concentrations of lead can result in coma, seizure and even death (</w:t>
      </w:r>
      <w:proofErr w:type="spellStart"/>
      <w:r>
        <w:rPr>
          <w:rFonts w:ascii="Arial" w:hAnsi="Arial" w:cs="Arial"/>
          <w:sz w:val="20"/>
          <w:szCs w:val="20"/>
        </w:rPr>
        <w:t>Bonglaisn</w:t>
      </w:r>
      <w:proofErr w:type="spellEnd"/>
      <w:r>
        <w:rPr>
          <w:rFonts w:ascii="Arial" w:hAnsi="Arial" w:cs="Arial"/>
          <w:sz w:val="20"/>
          <w:szCs w:val="20"/>
        </w:rPr>
        <w:t xml:space="preserve"> et al., 2011). Lead targets multiple organs in the body due to its systemic toxicity which can cause cardiovascular, renal, gastro-intestinal and hematological effects (Mahurpawar, 2015). The high levels of the essential metals can cause serious health problems to consumers. According to </w:t>
      </w:r>
      <w:proofErr w:type="spellStart"/>
      <w:r>
        <w:rPr>
          <w:rFonts w:ascii="Arial" w:hAnsi="Arial" w:cs="Arial"/>
          <w:sz w:val="20"/>
          <w:szCs w:val="20"/>
        </w:rPr>
        <w:t>Mathee</w:t>
      </w:r>
      <w:proofErr w:type="spellEnd"/>
      <w:r>
        <w:rPr>
          <w:rFonts w:ascii="Arial" w:hAnsi="Arial" w:cs="Arial"/>
          <w:sz w:val="20"/>
          <w:szCs w:val="20"/>
        </w:rPr>
        <w:t xml:space="preserve"> et al., (2014), high concentration of Iron (Fe) in </w:t>
      </w:r>
      <w:proofErr w:type="spellStart"/>
      <w:r>
        <w:rPr>
          <w:rFonts w:ascii="Arial" w:hAnsi="Arial" w:cs="Arial"/>
          <w:sz w:val="20"/>
          <w:szCs w:val="20"/>
        </w:rPr>
        <w:t>geophagic</w:t>
      </w:r>
      <w:proofErr w:type="spellEnd"/>
      <w:r>
        <w:rPr>
          <w:rFonts w:ascii="Arial" w:hAnsi="Arial" w:cs="Arial"/>
          <w:sz w:val="20"/>
          <w:szCs w:val="20"/>
        </w:rPr>
        <w:t xml:space="preserve"> clayey samples can result in </w:t>
      </w:r>
      <w:proofErr w:type="spellStart"/>
      <w:r>
        <w:rPr>
          <w:rFonts w:ascii="Arial" w:hAnsi="Arial" w:cs="Arial"/>
          <w:sz w:val="20"/>
          <w:szCs w:val="20"/>
        </w:rPr>
        <w:t>anaemia</w:t>
      </w:r>
      <w:proofErr w:type="spellEnd"/>
      <w:r>
        <w:rPr>
          <w:rFonts w:ascii="Arial" w:hAnsi="Arial" w:cs="Arial"/>
          <w:sz w:val="20"/>
          <w:szCs w:val="20"/>
        </w:rPr>
        <w:t xml:space="preserve"> among pregnant women and children. Of the six metals investigated, only As and Cd have the potential of inducing both noncarcinogenic and carcinogenic risk, while Pb has the potential of inducing only noncarcinogenic risk. In the case of mercury very sparse data is available on its carcinogenicity. It is necessary to calculate the cancer risk value to estimate whether the consumers within the Kumasi Metropolis are likely to suffer from cancer (Liu et al., 2013). The fact that zinc is regarded as a necessary component for the growth of organisms, its great bio accessibility may not have any negative health effects. Zinc is a mineral found in all bodily fluids and tissues, and it plays a variety of roles in cellular metabolism. In addition to hundreds of proteins that transport zinc, it has been estimated that roughly 10% of human proteins have the ability to bind zinc.</w:t>
      </w:r>
    </w:p>
    <w:p w14:paraId="7461F9C6" w14:textId="77777777" w:rsidR="000D2B0F" w:rsidRDefault="00000000">
      <w:pPr>
        <w:spacing w:after="0" w:line="240" w:lineRule="auto"/>
        <w:rPr>
          <w:rFonts w:ascii="Arial" w:hAnsi="Arial" w:cs="Arial"/>
          <w:b/>
        </w:rPr>
      </w:pPr>
      <w:r>
        <w:rPr>
          <w:rFonts w:ascii="Arial" w:hAnsi="Arial" w:cs="Arial"/>
          <w:b/>
        </w:rPr>
        <w:t>3.2 Abundance of Heavy metals in lake water</w:t>
      </w:r>
    </w:p>
    <w:p w14:paraId="6DB8137E" w14:textId="77777777" w:rsidR="000D2B0F" w:rsidRDefault="00000000">
      <w:pPr>
        <w:spacing w:after="0" w:line="240" w:lineRule="auto"/>
        <w:jc w:val="both"/>
        <w:rPr>
          <w:rFonts w:ascii="Arial" w:hAnsi="Arial" w:cs="Arial"/>
          <w:bCs/>
          <w:sz w:val="20"/>
          <w:szCs w:val="20"/>
        </w:rPr>
      </w:pPr>
      <w:r>
        <w:rPr>
          <w:rFonts w:ascii="Arial" w:hAnsi="Arial" w:cs="Arial"/>
          <w:sz w:val="20"/>
          <w:szCs w:val="20"/>
        </w:rPr>
        <w:t>The given Table (Table 2) contains average measurements of various heavy metals (As, Cd, Co, Cr, Cu, Fe, Mn, Ni, Zn) in two different lake water samples. Each value represents the concentration of a particular heavy metal in the sample, likely measured in units such milligrams per liter (mg L</w:t>
      </w:r>
      <w:r>
        <w:rPr>
          <w:rFonts w:ascii="Arial" w:hAnsi="Arial" w:cs="Arial"/>
          <w:sz w:val="20"/>
          <w:szCs w:val="20"/>
          <w:vertAlign w:val="superscript"/>
        </w:rPr>
        <w:t>-1</w:t>
      </w:r>
      <w:r>
        <w:rPr>
          <w:rFonts w:ascii="Arial" w:hAnsi="Arial" w:cs="Arial"/>
          <w:sz w:val="20"/>
          <w:szCs w:val="20"/>
        </w:rPr>
        <w:t xml:space="preserve">). </w:t>
      </w:r>
      <w:r>
        <w:rPr>
          <w:rFonts w:ascii="Arial" w:hAnsi="Arial" w:cs="Arial"/>
          <w:bCs/>
          <w:sz w:val="20"/>
          <w:szCs w:val="20"/>
        </w:rPr>
        <w:t xml:space="preserve">In </w:t>
      </w:r>
      <w:proofErr w:type="spellStart"/>
      <w:r>
        <w:rPr>
          <w:rFonts w:ascii="Arial" w:hAnsi="Arial" w:cs="Arial"/>
          <w:bCs/>
          <w:sz w:val="20"/>
          <w:szCs w:val="20"/>
        </w:rPr>
        <w:lastRenderedPageBreak/>
        <w:t>Bijoypur</w:t>
      </w:r>
      <w:proofErr w:type="spellEnd"/>
      <w:r>
        <w:rPr>
          <w:rFonts w:ascii="Arial" w:hAnsi="Arial" w:cs="Arial"/>
          <w:bCs/>
          <w:sz w:val="20"/>
          <w:szCs w:val="20"/>
        </w:rPr>
        <w:t xml:space="preserve"> Lake different heavy metal were analyzed by ICP-MS. According to Table 2, Mn, Fe, Cu and Zn had the largest concentrations of heavy elements in Lakes. The geological composition of the surrounding area can influence the presence of heavy metals in lake water. White clay deposits may occur in areas with geological formations containing minerals rich in heavy metals. Over time, erosion and weathering processes can release these metals into the surrounding water bodies, leading to elevated concentrations in the lake water.</w:t>
      </w:r>
      <w:r>
        <w:rPr>
          <w:rFonts w:ascii="Arial" w:hAnsi="Arial" w:cs="Arial"/>
          <w:sz w:val="20"/>
          <w:szCs w:val="20"/>
        </w:rPr>
        <w:t xml:space="preserve"> </w:t>
      </w:r>
      <w:r>
        <w:rPr>
          <w:rFonts w:ascii="Arial" w:hAnsi="Arial" w:cs="Arial"/>
          <w:bCs/>
          <w:sz w:val="20"/>
          <w:szCs w:val="20"/>
        </w:rPr>
        <w:t>White clay soils are typically found in areas with low permeability, which can lead to increased runoff and erosion during rainfall events. This runoff can transport sediment containing heavy metals from surrounding areas into the lake, contributing to elevated concentrations of heavy metals in the water.</w:t>
      </w:r>
    </w:p>
    <w:p w14:paraId="49D0BEA3" w14:textId="77777777" w:rsidR="000D2B0F" w:rsidRDefault="000D2B0F">
      <w:pPr>
        <w:spacing w:after="0" w:line="240" w:lineRule="auto"/>
        <w:jc w:val="both"/>
        <w:rPr>
          <w:rFonts w:ascii="Arial" w:hAnsi="Arial" w:cs="Arial"/>
          <w:b/>
          <w:sz w:val="20"/>
          <w:szCs w:val="20"/>
        </w:rPr>
      </w:pPr>
    </w:p>
    <w:p w14:paraId="682E4269" w14:textId="77777777" w:rsidR="000D2B0F" w:rsidRDefault="00000000">
      <w:pPr>
        <w:spacing w:after="0" w:line="240" w:lineRule="auto"/>
        <w:jc w:val="both"/>
        <w:rPr>
          <w:rFonts w:ascii="Arial" w:hAnsi="Arial" w:cs="Arial"/>
          <w:b/>
          <w:sz w:val="20"/>
          <w:szCs w:val="20"/>
        </w:rPr>
      </w:pPr>
      <w:r>
        <w:rPr>
          <w:rFonts w:ascii="Arial" w:hAnsi="Arial" w:cs="Arial"/>
          <w:b/>
          <w:sz w:val="20"/>
          <w:szCs w:val="20"/>
        </w:rPr>
        <w:t>Table 2. Heavy metals concentration (mg L</w:t>
      </w:r>
      <w:r>
        <w:rPr>
          <w:rFonts w:ascii="Arial" w:hAnsi="Arial" w:cs="Arial"/>
          <w:b/>
          <w:sz w:val="20"/>
          <w:szCs w:val="20"/>
          <w:vertAlign w:val="superscript"/>
        </w:rPr>
        <w:t>-1</w:t>
      </w:r>
      <w:r>
        <w:rPr>
          <w:rFonts w:ascii="Arial" w:hAnsi="Arial" w:cs="Arial"/>
          <w:b/>
          <w:sz w:val="20"/>
          <w:szCs w:val="20"/>
        </w:rPr>
        <w:t>) in lake water</w:t>
      </w:r>
    </w:p>
    <w:p w14:paraId="51B6B61F" w14:textId="77777777" w:rsidR="000D2B0F" w:rsidRDefault="000D2B0F">
      <w:pPr>
        <w:spacing w:after="0" w:line="240" w:lineRule="auto"/>
        <w:jc w:val="both"/>
        <w:rPr>
          <w:rFonts w:ascii="Arial" w:hAnsi="Arial" w:cs="Arial"/>
          <w:bCs/>
          <w:sz w:val="20"/>
          <w:szCs w:val="20"/>
        </w:rPr>
      </w:pPr>
    </w:p>
    <w:tbl>
      <w:tblPr>
        <w:tblStyle w:val="TableGrid"/>
        <w:tblW w:w="9002" w:type="dxa"/>
        <w:tblLook w:val="04A0" w:firstRow="1" w:lastRow="0" w:firstColumn="1" w:lastColumn="0" w:noHBand="0" w:noVBand="1"/>
      </w:tblPr>
      <w:tblGrid>
        <w:gridCol w:w="895"/>
        <w:gridCol w:w="894"/>
        <w:gridCol w:w="893"/>
        <w:gridCol w:w="938"/>
        <w:gridCol w:w="938"/>
        <w:gridCol w:w="827"/>
        <w:gridCol w:w="827"/>
        <w:gridCol w:w="827"/>
        <w:gridCol w:w="1161"/>
        <w:gridCol w:w="861"/>
      </w:tblGrid>
      <w:tr w:rsidR="000D2B0F" w14:paraId="1C4F8544" w14:textId="77777777">
        <w:trPr>
          <w:trHeight w:val="300"/>
        </w:trPr>
        <w:tc>
          <w:tcPr>
            <w:tcW w:w="876" w:type="dxa"/>
            <w:noWrap/>
          </w:tcPr>
          <w:p w14:paraId="6975A664"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Sample Name</w:t>
            </w:r>
          </w:p>
        </w:tc>
        <w:tc>
          <w:tcPr>
            <w:tcW w:w="894" w:type="dxa"/>
            <w:noWrap/>
          </w:tcPr>
          <w:p w14:paraId="617D3014"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As </w:t>
            </w:r>
          </w:p>
        </w:tc>
        <w:tc>
          <w:tcPr>
            <w:tcW w:w="894" w:type="dxa"/>
            <w:noWrap/>
          </w:tcPr>
          <w:p w14:paraId="1AAA62BC"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Cd </w:t>
            </w:r>
          </w:p>
        </w:tc>
        <w:tc>
          <w:tcPr>
            <w:tcW w:w="931" w:type="dxa"/>
            <w:noWrap/>
          </w:tcPr>
          <w:p w14:paraId="159A7641"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 </w:t>
            </w:r>
          </w:p>
        </w:tc>
        <w:tc>
          <w:tcPr>
            <w:tcW w:w="931" w:type="dxa"/>
            <w:noWrap/>
          </w:tcPr>
          <w:p w14:paraId="61B758AE"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Cr </w:t>
            </w:r>
          </w:p>
        </w:tc>
        <w:tc>
          <w:tcPr>
            <w:tcW w:w="821" w:type="dxa"/>
            <w:noWrap/>
          </w:tcPr>
          <w:p w14:paraId="51D1E679"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Cu </w:t>
            </w:r>
          </w:p>
        </w:tc>
        <w:tc>
          <w:tcPr>
            <w:tcW w:w="821" w:type="dxa"/>
            <w:noWrap/>
          </w:tcPr>
          <w:p w14:paraId="7C8392EF"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Fe </w:t>
            </w:r>
          </w:p>
        </w:tc>
        <w:tc>
          <w:tcPr>
            <w:tcW w:w="821" w:type="dxa"/>
            <w:noWrap/>
          </w:tcPr>
          <w:p w14:paraId="5EA8D900"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Mn </w:t>
            </w:r>
          </w:p>
        </w:tc>
        <w:tc>
          <w:tcPr>
            <w:tcW w:w="1151" w:type="dxa"/>
            <w:noWrap/>
          </w:tcPr>
          <w:p w14:paraId="0E99D0B6"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Ni </w:t>
            </w:r>
          </w:p>
        </w:tc>
        <w:tc>
          <w:tcPr>
            <w:tcW w:w="862" w:type="dxa"/>
            <w:noWrap/>
          </w:tcPr>
          <w:p w14:paraId="3DE88553" w14:textId="77777777" w:rsidR="000D2B0F" w:rsidRDefault="0000000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Zn </w:t>
            </w:r>
          </w:p>
        </w:tc>
      </w:tr>
      <w:tr w:rsidR="000D2B0F" w14:paraId="0EE5991E" w14:textId="77777777">
        <w:trPr>
          <w:trHeight w:val="300"/>
        </w:trPr>
        <w:tc>
          <w:tcPr>
            <w:tcW w:w="876" w:type="dxa"/>
            <w:noWrap/>
          </w:tcPr>
          <w:p w14:paraId="31B83973"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L1</w:t>
            </w:r>
          </w:p>
        </w:tc>
        <w:tc>
          <w:tcPr>
            <w:tcW w:w="894" w:type="dxa"/>
            <w:noWrap/>
          </w:tcPr>
          <w:p w14:paraId="0380D004"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0.0009</w:t>
            </w:r>
          </w:p>
        </w:tc>
        <w:tc>
          <w:tcPr>
            <w:tcW w:w="894" w:type="dxa"/>
            <w:noWrap/>
          </w:tcPr>
          <w:p w14:paraId="7FB8D7C1"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0.001</w:t>
            </w:r>
          </w:p>
        </w:tc>
        <w:tc>
          <w:tcPr>
            <w:tcW w:w="931" w:type="dxa"/>
            <w:noWrap/>
          </w:tcPr>
          <w:p w14:paraId="713A110E"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0.00015</w:t>
            </w:r>
          </w:p>
        </w:tc>
        <w:tc>
          <w:tcPr>
            <w:tcW w:w="931" w:type="dxa"/>
            <w:noWrap/>
          </w:tcPr>
          <w:p w14:paraId="5BAD2F5C"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0.00053</w:t>
            </w:r>
          </w:p>
        </w:tc>
        <w:tc>
          <w:tcPr>
            <w:tcW w:w="821" w:type="dxa"/>
            <w:noWrap/>
          </w:tcPr>
          <w:p w14:paraId="1DFEBE35"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0.0035</w:t>
            </w:r>
          </w:p>
        </w:tc>
        <w:tc>
          <w:tcPr>
            <w:tcW w:w="821" w:type="dxa"/>
            <w:noWrap/>
          </w:tcPr>
          <w:p w14:paraId="50D3AC4D"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0.0171</w:t>
            </w:r>
          </w:p>
        </w:tc>
        <w:tc>
          <w:tcPr>
            <w:tcW w:w="821" w:type="dxa"/>
            <w:noWrap/>
          </w:tcPr>
          <w:p w14:paraId="6385F6E3"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0.071</w:t>
            </w:r>
          </w:p>
        </w:tc>
        <w:tc>
          <w:tcPr>
            <w:tcW w:w="1151" w:type="dxa"/>
            <w:noWrap/>
          </w:tcPr>
          <w:p w14:paraId="255D5867"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-0.000701</w:t>
            </w:r>
          </w:p>
        </w:tc>
        <w:tc>
          <w:tcPr>
            <w:tcW w:w="862" w:type="dxa"/>
            <w:noWrap/>
          </w:tcPr>
          <w:p w14:paraId="09153D84"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0.0288</w:t>
            </w:r>
          </w:p>
        </w:tc>
      </w:tr>
      <w:tr w:rsidR="000D2B0F" w14:paraId="39642A58" w14:textId="77777777">
        <w:trPr>
          <w:trHeight w:val="300"/>
        </w:trPr>
        <w:tc>
          <w:tcPr>
            <w:tcW w:w="876" w:type="dxa"/>
            <w:noWrap/>
          </w:tcPr>
          <w:p w14:paraId="192FD52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L2</w:t>
            </w:r>
          </w:p>
        </w:tc>
        <w:tc>
          <w:tcPr>
            <w:tcW w:w="894" w:type="dxa"/>
            <w:noWrap/>
          </w:tcPr>
          <w:p w14:paraId="5B1167C0"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0.0013</w:t>
            </w:r>
          </w:p>
        </w:tc>
        <w:tc>
          <w:tcPr>
            <w:tcW w:w="894" w:type="dxa"/>
            <w:noWrap/>
          </w:tcPr>
          <w:p w14:paraId="45C61321"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0.0005</w:t>
            </w:r>
          </w:p>
        </w:tc>
        <w:tc>
          <w:tcPr>
            <w:tcW w:w="931" w:type="dxa"/>
            <w:noWrap/>
          </w:tcPr>
          <w:p w14:paraId="5AD8C5C8"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0.00025</w:t>
            </w:r>
          </w:p>
        </w:tc>
        <w:tc>
          <w:tcPr>
            <w:tcW w:w="931" w:type="dxa"/>
            <w:noWrap/>
          </w:tcPr>
          <w:p w14:paraId="49287FF8"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0.00056</w:t>
            </w:r>
          </w:p>
        </w:tc>
        <w:tc>
          <w:tcPr>
            <w:tcW w:w="821" w:type="dxa"/>
            <w:noWrap/>
          </w:tcPr>
          <w:p w14:paraId="31C21FAA"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0.0023</w:t>
            </w:r>
          </w:p>
        </w:tc>
        <w:tc>
          <w:tcPr>
            <w:tcW w:w="821" w:type="dxa"/>
            <w:noWrap/>
          </w:tcPr>
          <w:p w14:paraId="7F459D0A"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1.03</w:t>
            </w:r>
          </w:p>
        </w:tc>
        <w:tc>
          <w:tcPr>
            <w:tcW w:w="821" w:type="dxa"/>
            <w:noWrap/>
          </w:tcPr>
          <w:p w14:paraId="2CA67222"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0.149</w:t>
            </w:r>
          </w:p>
        </w:tc>
        <w:tc>
          <w:tcPr>
            <w:tcW w:w="1151" w:type="dxa"/>
            <w:noWrap/>
          </w:tcPr>
          <w:p w14:paraId="0875529A"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0.0000735</w:t>
            </w:r>
          </w:p>
        </w:tc>
        <w:tc>
          <w:tcPr>
            <w:tcW w:w="862" w:type="dxa"/>
            <w:noWrap/>
          </w:tcPr>
          <w:p w14:paraId="17EEA607"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0.0119</w:t>
            </w:r>
          </w:p>
        </w:tc>
      </w:tr>
      <w:tr w:rsidR="000D2B0F" w14:paraId="53BD7B00" w14:textId="77777777">
        <w:trPr>
          <w:trHeight w:val="300"/>
        </w:trPr>
        <w:tc>
          <w:tcPr>
            <w:tcW w:w="876" w:type="dxa"/>
            <w:noWrap/>
          </w:tcPr>
          <w:p w14:paraId="52B9369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Mean</w:t>
            </w:r>
          </w:p>
        </w:tc>
        <w:tc>
          <w:tcPr>
            <w:tcW w:w="894" w:type="dxa"/>
            <w:noWrap/>
          </w:tcPr>
          <w:p w14:paraId="26709A79"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0.0011</w:t>
            </w:r>
          </w:p>
        </w:tc>
        <w:tc>
          <w:tcPr>
            <w:tcW w:w="894" w:type="dxa"/>
            <w:noWrap/>
          </w:tcPr>
          <w:p w14:paraId="48E2D658"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0.0008</w:t>
            </w:r>
          </w:p>
        </w:tc>
        <w:tc>
          <w:tcPr>
            <w:tcW w:w="931" w:type="dxa"/>
            <w:noWrap/>
          </w:tcPr>
          <w:p w14:paraId="4145C543"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0.0002</w:t>
            </w:r>
          </w:p>
        </w:tc>
        <w:tc>
          <w:tcPr>
            <w:tcW w:w="931" w:type="dxa"/>
            <w:noWrap/>
          </w:tcPr>
          <w:p w14:paraId="2CAD6645"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0.0005</w:t>
            </w:r>
          </w:p>
        </w:tc>
        <w:tc>
          <w:tcPr>
            <w:tcW w:w="821" w:type="dxa"/>
            <w:noWrap/>
          </w:tcPr>
          <w:p w14:paraId="1339311F"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0.0029</w:t>
            </w:r>
          </w:p>
        </w:tc>
        <w:tc>
          <w:tcPr>
            <w:tcW w:w="821" w:type="dxa"/>
            <w:noWrap/>
          </w:tcPr>
          <w:p w14:paraId="141E33C1"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0.5236</w:t>
            </w:r>
          </w:p>
        </w:tc>
        <w:tc>
          <w:tcPr>
            <w:tcW w:w="821" w:type="dxa"/>
            <w:noWrap/>
          </w:tcPr>
          <w:p w14:paraId="65B41D25"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0.1105</w:t>
            </w:r>
          </w:p>
        </w:tc>
        <w:tc>
          <w:tcPr>
            <w:tcW w:w="1151" w:type="dxa"/>
            <w:noWrap/>
          </w:tcPr>
          <w:p w14:paraId="49CF10D2"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-0.0003</w:t>
            </w:r>
          </w:p>
        </w:tc>
        <w:tc>
          <w:tcPr>
            <w:tcW w:w="862" w:type="dxa"/>
            <w:noWrap/>
          </w:tcPr>
          <w:p w14:paraId="27C53636" w14:textId="77777777" w:rsidR="000D2B0F" w:rsidRDefault="00000000">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0.0204</w:t>
            </w:r>
          </w:p>
        </w:tc>
      </w:tr>
    </w:tbl>
    <w:p w14:paraId="2724907C" w14:textId="77777777" w:rsidR="000D2B0F" w:rsidRDefault="000D2B0F">
      <w:pPr>
        <w:spacing w:after="0" w:line="240" w:lineRule="auto"/>
        <w:jc w:val="both"/>
        <w:rPr>
          <w:rFonts w:ascii="Arial" w:hAnsi="Arial" w:cs="Arial"/>
          <w:sz w:val="20"/>
          <w:szCs w:val="20"/>
        </w:rPr>
      </w:pPr>
    </w:p>
    <w:p w14:paraId="40C7A496" w14:textId="77777777" w:rsidR="000D2B0F" w:rsidRDefault="00000000">
      <w:pPr>
        <w:spacing w:after="100" w:afterAutospacing="1" w:line="240" w:lineRule="auto"/>
        <w:rPr>
          <w:rFonts w:ascii="Arial" w:hAnsi="Arial" w:cs="Arial"/>
          <w:b/>
        </w:rPr>
      </w:pPr>
      <w:r>
        <w:rPr>
          <w:rFonts w:ascii="Arial" w:hAnsi="Arial" w:cs="Arial"/>
          <w:b/>
        </w:rPr>
        <w:t>3.3 Abundance of Heavy metals in groundwater</w:t>
      </w:r>
    </w:p>
    <w:p w14:paraId="4601E988" w14:textId="77777777" w:rsidR="000D2B0F" w:rsidRDefault="00000000">
      <w:pPr>
        <w:spacing w:line="240" w:lineRule="auto"/>
        <w:jc w:val="both"/>
        <w:rPr>
          <w:rFonts w:ascii="Arial" w:hAnsi="Arial" w:cs="Arial"/>
          <w:bCs/>
          <w:sz w:val="20"/>
          <w:szCs w:val="20"/>
        </w:rPr>
      </w:pPr>
      <w:r>
        <w:rPr>
          <w:rFonts w:ascii="Arial" w:hAnsi="Arial" w:cs="Arial"/>
          <w:sz w:val="20"/>
          <w:szCs w:val="20"/>
          <w:lang w:bidi="bn-IN"/>
        </w:rPr>
        <w:t xml:space="preserve">Figure 2 (a) illustrates the Arsenic (As) concentration of different sampling point. Highest Arsenic (As) value (0.108 </w:t>
      </w:r>
      <w:r>
        <w:rPr>
          <w:rFonts w:ascii="Arial" w:hAnsi="Arial" w:cs="Arial"/>
          <w:bCs/>
          <w:sz w:val="20"/>
          <w:szCs w:val="20"/>
          <w:lang w:bidi="bn-IN"/>
        </w:rPr>
        <w:t>mg L</w:t>
      </w:r>
      <w:r>
        <w:rPr>
          <w:rFonts w:ascii="Arial" w:hAnsi="Arial" w:cs="Arial"/>
          <w:bCs/>
          <w:sz w:val="20"/>
          <w:szCs w:val="20"/>
          <w:vertAlign w:val="superscript"/>
          <w:lang w:bidi="bn-IN"/>
        </w:rPr>
        <w:t>-1</w:t>
      </w:r>
      <w:r>
        <w:rPr>
          <w:rFonts w:ascii="Arial" w:hAnsi="Arial" w:cs="Arial"/>
          <w:sz w:val="20"/>
          <w:szCs w:val="20"/>
          <w:lang w:bidi="bn-IN"/>
        </w:rPr>
        <w:t xml:space="preserve">) was found at </w:t>
      </w:r>
      <w:proofErr w:type="spellStart"/>
      <w:r>
        <w:rPr>
          <w:rFonts w:ascii="Arial" w:hAnsi="Arial" w:cs="Arial"/>
          <w:sz w:val="20"/>
          <w:szCs w:val="20"/>
          <w:lang w:bidi="bn-IN"/>
        </w:rPr>
        <w:t>Monoshapara</w:t>
      </w:r>
      <w:proofErr w:type="spellEnd"/>
      <w:r>
        <w:rPr>
          <w:rFonts w:ascii="Arial" w:hAnsi="Arial" w:cs="Arial"/>
          <w:sz w:val="20"/>
          <w:szCs w:val="20"/>
          <w:lang w:bidi="bn-IN"/>
        </w:rPr>
        <w:t xml:space="preserve"> which was G5 sampling point of </w:t>
      </w:r>
      <w:proofErr w:type="spellStart"/>
      <w:r>
        <w:rPr>
          <w:rFonts w:ascii="Arial" w:hAnsi="Arial" w:cs="Arial"/>
          <w:sz w:val="20"/>
          <w:szCs w:val="20"/>
          <w:lang w:bidi="bn-IN"/>
        </w:rPr>
        <w:t>Bijoypur</w:t>
      </w:r>
      <w:proofErr w:type="spellEnd"/>
      <w:r>
        <w:rPr>
          <w:rFonts w:ascii="Arial" w:hAnsi="Arial" w:cs="Arial"/>
          <w:sz w:val="20"/>
          <w:szCs w:val="20"/>
          <w:lang w:bidi="bn-IN"/>
        </w:rPr>
        <w:t xml:space="preserve"> and the lowest Arsenic (As) concentration (0.000957 </w:t>
      </w:r>
      <w:r>
        <w:rPr>
          <w:rFonts w:ascii="Arial" w:hAnsi="Arial" w:cs="Arial"/>
          <w:bCs/>
          <w:sz w:val="20"/>
          <w:szCs w:val="20"/>
          <w:lang w:bidi="bn-IN"/>
        </w:rPr>
        <w:t>mg L</w:t>
      </w:r>
      <w:r>
        <w:rPr>
          <w:rFonts w:ascii="Arial" w:hAnsi="Arial" w:cs="Arial"/>
          <w:bCs/>
          <w:sz w:val="20"/>
          <w:szCs w:val="20"/>
          <w:vertAlign w:val="superscript"/>
          <w:lang w:bidi="bn-IN"/>
        </w:rPr>
        <w:t>-1</w:t>
      </w:r>
      <w:r>
        <w:rPr>
          <w:rFonts w:ascii="Arial" w:hAnsi="Arial" w:cs="Arial"/>
          <w:sz w:val="20"/>
          <w:szCs w:val="20"/>
          <w:lang w:bidi="bn-IN"/>
        </w:rPr>
        <w:t xml:space="preserve">) was found at </w:t>
      </w:r>
      <w:proofErr w:type="spellStart"/>
      <w:r>
        <w:rPr>
          <w:rFonts w:ascii="Arial" w:hAnsi="Arial" w:cs="Arial"/>
          <w:sz w:val="20"/>
          <w:szCs w:val="20"/>
          <w:lang w:bidi="bn-IN"/>
        </w:rPr>
        <w:t>Bipinganj</w:t>
      </w:r>
      <w:proofErr w:type="spellEnd"/>
      <w:r>
        <w:rPr>
          <w:rFonts w:ascii="Arial" w:hAnsi="Arial" w:cs="Arial"/>
          <w:sz w:val="20"/>
          <w:szCs w:val="20"/>
          <w:lang w:bidi="bn-IN"/>
        </w:rPr>
        <w:t>. Here, except for samples G3 and G4, the rest of the samples (G1, G2, G5 and G6) exceeded WHO guideline value (WHO, 2011).</w:t>
      </w:r>
      <w:r>
        <w:rPr>
          <w:rFonts w:ascii="Arial" w:hAnsi="Arial" w:cs="Arial"/>
          <w:sz w:val="20"/>
          <w:szCs w:val="20"/>
        </w:rPr>
        <w:t xml:space="preserve"> Figure 2 (b) provides a spatial distribution map of Nickel (Ni). The highest Nickel (Ni) value (0.102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was found at </w:t>
      </w:r>
      <w:proofErr w:type="spellStart"/>
      <w:r>
        <w:rPr>
          <w:rFonts w:ascii="Arial" w:hAnsi="Arial" w:cs="Arial"/>
          <w:sz w:val="20"/>
          <w:szCs w:val="20"/>
        </w:rPr>
        <w:t>Monoshapara</w:t>
      </w:r>
      <w:proofErr w:type="spellEnd"/>
      <w:r>
        <w:rPr>
          <w:rFonts w:ascii="Arial" w:hAnsi="Arial" w:cs="Arial"/>
          <w:sz w:val="20"/>
          <w:szCs w:val="20"/>
        </w:rPr>
        <w:t xml:space="preserve"> which was G5 sampling point of </w:t>
      </w:r>
      <w:proofErr w:type="spellStart"/>
      <w:r>
        <w:rPr>
          <w:rFonts w:ascii="Arial" w:hAnsi="Arial" w:cs="Arial"/>
          <w:sz w:val="20"/>
          <w:szCs w:val="20"/>
        </w:rPr>
        <w:t>Bijoypur</w:t>
      </w:r>
      <w:proofErr w:type="spellEnd"/>
      <w:r>
        <w:rPr>
          <w:rFonts w:ascii="Arial" w:hAnsi="Arial" w:cs="Arial"/>
          <w:sz w:val="20"/>
          <w:szCs w:val="20"/>
        </w:rPr>
        <w:t xml:space="preserve"> area and the lowest value (-0.0021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of Nickel (Ni) was found at </w:t>
      </w:r>
      <w:proofErr w:type="spellStart"/>
      <w:r>
        <w:rPr>
          <w:rFonts w:ascii="Arial" w:hAnsi="Arial" w:cs="Arial"/>
          <w:sz w:val="20"/>
          <w:szCs w:val="20"/>
        </w:rPr>
        <w:t>Bipinganj</w:t>
      </w:r>
      <w:proofErr w:type="spellEnd"/>
      <w:r>
        <w:rPr>
          <w:rFonts w:ascii="Arial" w:hAnsi="Arial" w:cs="Arial"/>
          <w:sz w:val="20"/>
          <w:szCs w:val="20"/>
        </w:rPr>
        <w:t xml:space="preserve"> which was G3 sampling point. Except for samples G1, G2, G3, G4 and G6, the remaining sample (G5) exceeded the WHO guideline value </w:t>
      </w:r>
      <w:r>
        <w:rPr>
          <w:rFonts w:ascii="Arial" w:hAnsi="Arial" w:cs="Arial"/>
          <w:sz w:val="20"/>
          <w:szCs w:val="20"/>
          <w:lang w:bidi="bn-IN"/>
        </w:rPr>
        <w:t xml:space="preserve">(WHO, 2011). </w:t>
      </w:r>
      <w:r>
        <w:rPr>
          <w:rFonts w:ascii="Arial" w:hAnsi="Arial" w:cs="Arial"/>
          <w:bCs/>
          <w:sz w:val="20"/>
          <w:szCs w:val="20"/>
          <w:lang w:val="en"/>
        </w:rPr>
        <w:t>Based on the investigated Arsenic (As) content, it is clear that four samples fall within the permissible limits of Bangladesh Standard (ECR, 1997).</w:t>
      </w:r>
      <w:r>
        <w:rPr>
          <w:rFonts w:ascii="Arial" w:hAnsi="Arial" w:cs="Arial"/>
          <w:bCs/>
          <w:sz w:val="20"/>
          <w:szCs w:val="20"/>
        </w:rPr>
        <w:t xml:space="preserve"> </w:t>
      </w:r>
    </w:p>
    <w:p w14:paraId="5268D47B" w14:textId="77777777" w:rsidR="000D2B0F" w:rsidRDefault="00000000">
      <w:pPr>
        <w:spacing w:line="240" w:lineRule="auto"/>
        <w:jc w:val="both"/>
        <w:rPr>
          <w:rFonts w:ascii="Arial" w:hAnsi="Arial" w:cs="Arial"/>
          <w:sz w:val="20"/>
          <w:szCs w:val="20"/>
        </w:rPr>
      </w:pPr>
      <w:r>
        <w:rPr>
          <w:rFonts w:ascii="Arial" w:hAnsi="Arial" w:cs="Arial"/>
          <w:bCs/>
          <w:sz w:val="20"/>
          <w:szCs w:val="20"/>
        </w:rPr>
        <w:t>Two samples (G3 and G4) were lower than the acceptable limit, according to WHO (2011), whereas the other samples (G1, G2, G5, G6) above the WHO threshold value of 0.01 ppm. The average value of arsenic was found (0.02927 mg L</w:t>
      </w:r>
      <w:r>
        <w:rPr>
          <w:rFonts w:ascii="Arial" w:hAnsi="Arial" w:cs="Arial"/>
          <w:bCs/>
          <w:sz w:val="20"/>
          <w:szCs w:val="20"/>
          <w:vertAlign w:val="superscript"/>
        </w:rPr>
        <w:t>-1</w:t>
      </w:r>
      <w:r>
        <w:rPr>
          <w:rFonts w:ascii="Arial" w:hAnsi="Arial" w:cs="Arial"/>
          <w:bCs/>
          <w:sz w:val="20"/>
          <w:szCs w:val="20"/>
        </w:rPr>
        <w:t xml:space="preserve">). Figure 2 (a) illustrates the spatial distribution of </w:t>
      </w:r>
      <w:proofErr w:type="gramStart"/>
      <w:r>
        <w:rPr>
          <w:rFonts w:ascii="Arial" w:hAnsi="Arial" w:cs="Arial"/>
          <w:bCs/>
          <w:sz w:val="20"/>
          <w:szCs w:val="20"/>
        </w:rPr>
        <w:t>As</w:t>
      </w:r>
      <w:proofErr w:type="gramEnd"/>
      <w:r>
        <w:rPr>
          <w:rFonts w:ascii="Arial" w:hAnsi="Arial" w:cs="Arial"/>
          <w:bCs/>
          <w:sz w:val="20"/>
          <w:szCs w:val="20"/>
        </w:rPr>
        <w:t xml:space="preserve"> content across the study area, revealing that only two sampling site fall under the area of relatively lower concentration at the central part but remaining four samples stated that a very high concentration persists across the study area.</w:t>
      </w:r>
      <w:r>
        <w:rPr>
          <w:rFonts w:ascii="Arial" w:hAnsi="Arial" w:cs="Arial"/>
          <w:sz w:val="20"/>
          <w:szCs w:val="20"/>
        </w:rPr>
        <w:t xml:space="preserve"> </w:t>
      </w:r>
      <w:r>
        <w:rPr>
          <w:rFonts w:ascii="Arial" w:hAnsi="Arial" w:cs="Arial"/>
          <w:bCs/>
          <w:sz w:val="20"/>
          <w:szCs w:val="20"/>
        </w:rPr>
        <w:t xml:space="preserve">The average Arsenic value for groundwater in </w:t>
      </w:r>
      <w:proofErr w:type="spellStart"/>
      <w:r>
        <w:rPr>
          <w:rFonts w:ascii="Arial" w:hAnsi="Arial" w:cs="Arial"/>
          <w:bCs/>
          <w:sz w:val="20"/>
          <w:szCs w:val="20"/>
        </w:rPr>
        <w:t>Kalihati</w:t>
      </w:r>
      <w:proofErr w:type="spellEnd"/>
      <w:r>
        <w:rPr>
          <w:rFonts w:ascii="Arial" w:hAnsi="Arial" w:cs="Arial"/>
          <w:bCs/>
          <w:sz w:val="20"/>
          <w:szCs w:val="20"/>
        </w:rPr>
        <w:t xml:space="preserve"> Upazila, Bangladesh was determined to be 0.007 mg L</w:t>
      </w:r>
      <w:r>
        <w:rPr>
          <w:rFonts w:ascii="Arial" w:hAnsi="Arial" w:cs="Arial"/>
          <w:bCs/>
          <w:sz w:val="20"/>
          <w:szCs w:val="20"/>
          <w:vertAlign w:val="superscript"/>
        </w:rPr>
        <w:t>-1</w:t>
      </w:r>
      <w:r>
        <w:rPr>
          <w:rFonts w:ascii="Arial" w:hAnsi="Arial" w:cs="Arial"/>
          <w:bCs/>
          <w:sz w:val="20"/>
          <w:szCs w:val="20"/>
        </w:rPr>
        <w:t xml:space="preserve"> in a study by Jahan et al., (2020), which is significantly lower than the results of the current investigation.</w:t>
      </w:r>
      <w:r>
        <w:rPr>
          <w:rFonts w:ascii="Arial" w:hAnsi="Arial" w:cs="Arial"/>
          <w:sz w:val="20"/>
          <w:szCs w:val="20"/>
        </w:rPr>
        <w:t xml:space="preserve"> </w:t>
      </w:r>
      <w:r>
        <w:rPr>
          <w:rFonts w:ascii="Arial" w:hAnsi="Arial" w:cs="Arial"/>
          <w:bCs/>
          <w:sz w:val="20"/>
          <w:szCs w:val="20"/>
        </w:rPr>
        <w:t>The arsenic concentration (0.0026-0.0092 mg L</w:t>
      </w:r>
      <w:r>
        <w:rPr>
          <w:rFonts w:ascii="Arial" w:hAnsi="Arial" w:cs="Arial"/>
          <w:bCs/>
          <w:sz w:val="20"/>
          <w:szCs w:val="20"/>
          <w:vertAlign w:val="superscript"/>
        </w:rPr>
        <w:t>-1</w:t>
      </w:r>
      <w:r>
        <w:rPr>
          <w:rFonts w:ascii="Arial" w:hAnsi="Arial" w:cs="Arial"/>
          <w:bCs/>
          <w:sz w:val="20"/>
          <w:szCs w:val="20"/>
        </w:rPr>
        <w:t>) reported in a study by Deda et al., (2019) is likewise significantly lower than that of the current investigation.</w:t>
      </w:r>
      <w:r>
        <w:rPr>
          <w:rFonts w:ascii="Arial" w:hAnsi="Arial" w:cs="Arial"/>
          <w:sz w:val="20"/>
          <w:szCs w:val="20"/>
        </w:rPr>
        <w:t xml:space="preserve"> </w:t>
      </w:r>
      <w:r>
        <w:rPr>
          <w:rFonts w:ascii="Arial" w:hAnsi="Arial" w:cs="Arial"/>
          <w:bCs/>
          <w:sz w:val="20"/>
          <w:szCs w:val="20"/>
        </w:rPr>
        <w:t>In a groundwater investigation conducted in southern Italy, Triassi et al., (2023) reported an average Arsenic (As) value of 0.00356 mg L</w:t>
      </w:r>
      <w:r>
        <w:rPr>
          <w:rFonts w:ascii="Arial" w:hAnsi="Arial" w:cs="Arial"/>
          <w:bCs/>
          <w:sz w:val="20"/>
          <w:szCs w:val="20"/>
          <w:vertAlign w:val="superscript"/>
        </w:rPr>
        <w:t>-1</w:t>
      </w:r>
      <w:r>
        <w:rPr>
          <w:rFonts w:ascii="Arial" w:hAnsi="Arial" w:cs="Arial"/>
          <w:bCs/>
          <w:sz w:val="20"/>
          <w:szCs w:val="20"/>
        </w:rPr>
        <w:t>, which is also lower than the previous study.</w:t>
      </w:r>
      <w:r>
        <w:rPr>
          <w:rFonts w:ascii="Arial" w:hAnsi="Arial" w:cs="Arial"/>
          <w:sz w:val="20"/>
          <w:szCs w:val="20"/>
        </w:rPr>
        <w:t xml:space="preserve"> </w:t>
      </w:r>
    </w:p>
    <w:p w14:paraId="1AAC56DE" w14:textId="77777777" w:rsidR="000D2B0F" w:rsidRDefault="00000000">
      <w:pPr>
        <w:spacing w:line="240" w:lineRule="auto"/>
        <w:jc w:val="both"/>
        <w:rPr>
          <w:rFonts w:ascii="Arial" w:hAnsi="Arial" w:cs="Arial"/>
          <w:sz w:val="20"/>
          <w:szCs w:val="20"/>
          <w:lang w:bidi="bn-IN"/>
        </w:rPr>
      </w:pPr>
      <w:r>
        <w:rPr>
          <w:rFonts w:ascii="Arial" w:hAnsi="Arial" w:cs="Arial"/>
          <w:bCs/>
          <w:sz w:val="20"/>
          <w:szCs w:val="20"/>
        </w:rPr>
        <w:t xml:space="preserve">The average Arsenic (As) level in the southwest portion of the </w:t>
      </w:r>
      <w:proofErr w:type="spellStart"/>
      <w:r>
        <w:rPr>
          <w:rFonts w:ascii="Arial" w:hAnsi="Arial" w:cs="Arial"/>
          <w:bCs/>
          <w:sz w:val="20"/>
          <w:szCs w:val="20"/>
        </w:rPr>
        <w:t>Cuddapah</w:t>
      </w:r>
      <w:proofErr w:type="spellEnd"/>
      <w:r>
        <w:rPr>
          <w:rFonts w:ascii="Arial" w:hAnsi="Arial" w:cs="Arial"/>
          <w:bCs/>
          <w:sz w:val="20"/>
          <w:szCs w:val="20"/>
        </w:rPr>
        <w:t xml:space="preserve"> Basin in South India was determined to be 0.0106 mg L</w:t>
      </w:r>
      <w:r>
        <w:rPr>
          <w:rFonts w:ascii="Arial" w:hAnsi="Arial" w:cs="Arial"/>
          <w:bCs/>
          <w:sz w:val="20"/>
          <w:szCs w:val="20"/>
          <w:vertAlign w:val="superscript"/>
        </w:rPr>
        <w:t>-1</w:t>
      </w:r>
      <w:r>
        <w:rPr>
          <w:rFonts w:ascii="Arial" w:hAnsi="Arial" w:cs="Arial"/>
          <w:bCs/>
          <w:sz w:val="20"/>
          <w:szCs w:val="20"/>
        </w:rPr>
        <w:t xml:space="preserve"> in a study by Reddy and Sunitha (2023), which is likewise less than the amount obtained in this study. The presence of high Arsenic in drinking groundwater is a direct result of geogenic sources. Such sources may include mining actions, rock-water interaction, weathering, which has been identified as a severe environmental concern by many researchers such as documented by (Abbas et al., 2021; Rashid et al., 2022).</w:t>
      </w:r>
      <w:r>
        <w:rPr>
          <w:rFonts w:ascii="Arial" w:hAnsi="Arial" w:cs="Arial"/>
          <w:sz w:val="20"/>
          <w:szCs w:val="20"/>
        </w:rPr>
        <w:t xml:space="preserve"> </w:t>
      </w:r>
      <w:r>
        <w:rPr>
          <w:rFonts w:ascii="Arial" w:hAnsi="Arial" w:cs="Arial"/>
          <w:bCs/>
          <w:sz w:val="20"/>
          <w:szCs w:val="20"/>
        </w:rPr>
        <w:t>Geogenic Arsenic (As) pollution of groundwater is more widespread in alluvial aquifers. Gravel, sandstone, silt, and sand that have been in a river canal or flood plain for a long time make up these aquifers (</w:t>
      </w:r>
      <w:proofErr w:type="spellStart"/>
      <w:r>
        <w:rPr>
          <w:rFonts w:ascii="Arial" w:hAnsi="Arial" w:cs="Arial"/>
          <w:bCs/>
          <w:sz w:val="20"/>
          <w:szCs w:val="20"/>
        </w:rPr>
        <w:t>Mallongi</w:t>
      </w:r>
      <w:proofErr w:type="spellEnd"/>
      <w:r>
        <w:rPr>
          <w:rFonts w:ascii="Arial" w:hAnsi="Arial" w:cs="Arial"/>
          <w:bCs/>
          <w:sz w:val="20"/>
          <w:szCs w:val="20"/>
        </w:rPr>
        <w:t xml:space="preserve"> et al., 2022). </w:t>
      </w:r>
    </w:p>
    <w:p w14:paraId="608D3081" w14:textId="77777777" w:rsidR="000D2B0F" w:rsidRDefault="00000000">
      <w:pPr>
        <w:spacing w:line="240" w:lineRule="auto"/>
        <w:jc w:val="both"/>
        <w:rPr>
          <w:rFonts w:ascii="Arial" w:hAnsi="Arial" w:cs="Arial"/>
          <w:bCs/>
          <w:sz w:val="20"/>
          <w:szCs w:val="20"/>
        </w:rPr>
      </w:pPr>
      <w:r>
        <w:rPr>
          <w:rFonts w:ascii="Arial" w:hAnsi="Arial" w:cs="Arial"/>
          <w:bCs/>
          <w:sz w:val="20"/>
          <w:szCs w:val="20"/>
        </w:rPr>
        <w:t>According to the spatial distribution map of Nickel (Ni) (Figure 2 (b)), G5 sampling area showed the highest concentration of Nickel, which is above the WHO (2011) standard value of 0.07 mg L</w:t>
      </w:r>
      <w:r>
        <w:rPr>
          <w:rFonts w:ascii="Arial" w:hAnsi="Arial" w:cs="Arial"/>
          <w:bCs/>
          <w:sz w:val="20"/>
          <w:szCs w:val="20"/>
          <w:vertAlign w:val="superscript"/>
        </w:rPr>
        <w:t>-1</w:t>
      </w:r>
      <w:r>
        <w:rPr>
          <w:rFonts w:ascii="Arial" w:hAnsi="Arial" w:cs="Arial"/>
          <w:bCs/>
          <w:sz w:val="20"/>
          <w:szCs w:val="20"/>
        </w:rPr>
        <w:t>. The average nickel concentration, according to the current investigation, was 0.043158 mg L</w:t>
      </w:r>
      <w:r>
        <w:rPr>
          <w:rFonts w:ascii="Arial" w:hAnsi="Arial" w:cs="Arial"/>
          <w:bCs/>
          <w:sz w:val="20"/>
          <w:szCs w:val="20"/>
          <w:vertAlign w:val="superscript"/>
        </w:rPr>
        <w:t>-1</w:t>
      </w:r>
      <w:r>
        <w:rPr>
          <w:rFonts w:ascii="Arial" w:hAnsi="Arial" w:cs="Arial"/>
          <w:bCs/>
          <w:sz w:val="20"/>
          <w:szCs w:val="20"/>
        </w:rPr>
        <w:t>.</w:t>
      </w:r>
      <w:r>
        <w:rPr>
          <w:rFonts w:ascii="Arial" w:hAnsi="Arial" w:cs="Arial"/>
          <w:sz w:val="20"/>
          <w:szCs w:val="20"/>
        </w:rPr>
        <w:t xml:space="preserve"> </w:t>
      </w:r>
      <w:r>
        <w:rPr>
          <w:rFonts w:ascii="Arial" w:hAnsi="Arial" w:cs="Arial"/>
          <w:bCs/>
          <w:sz w:val="20"/>
          <w:szCs w:val="20"/>
        </w:rPr>
        <w:t>(Ni) may be present in some groundwater sources due to dissolution from Nickel ore-bearing rocks (Jehan et al., 2020; Bhatti et al., 2022).</w:t>
      </w:r>
      <w:r>
        <w:rPr>
          <w:rFonts w:ascii="Arial" w:hAnsi="Arial" w:cs="Arial"/>
          <w:sz w:val="20"/>
          <w:szCs w:val="20"/>
        </w:rPr>
        <w:t xml:space="preserve"> </w:t>
      </w:r>
      <w:r>
        <w:rPr>
          <w:rFonts w:ascii="Arial" w:hAnsi="Arial" w:cs="Arial"/>
          <w:bCs/>
          <w:sz w:val="20"/>
          <w:szCs w:val="20"/>
        </w:rPr>
        <w:t>The average Nickel content at Karu LGA in Nasarawa state, Nigeria, was reported to be 0.018 mg L</w:t>
      </w:r>
      <w:r>
        <w:rPr>
          <w:rFonts w:ascii="Arial" w:hAnsi="Arial" w:cs="Arial"/>
          <w:bCs/>
          <w:sz w:val="20"/>
          <w:szCs w:val="20"/>
          <w:vertAlign w:val="superscript"/>
        </w:rPr>
        <w:t>-1</w:t>
      </w:r>
      <w:r>
        <w:rPr>
          <w:rFonts w:ascii="Arial" w:hAnsi="Arial" w:cs="Arial"/>
          <w:bCs/>
          <w:sz w:val="20"/>
          <w:szCs w:val="20"/>
        </w:rPr>
        <w:t xml:space="preserve"> in a study by Daniel (2023), which is less than the value found in this study.</w:t>
      </w:r>
      <w:r>
        <w:rPr>
          <w:rFonts w:ascii="Arial" w:hAnsi="Arial" w:cs="Arial"/>
          <w:sz w:val="20"/>
          <w:szCs w:val="20"/>
        </w:rPr>
        <w:t xml:space="preserve"> </w:t>
      </w:r>
      <w:r>
        <w:rPr>
          <w:rFonts w:ascii="Arial" w:hAnsi="Arial" w:cs="Arial"/>
          <w:bCs/>
          <w:sz w:val="20"/>
          <w:szCs w:val="20"/>
        </w:rPr>
        <w:lastRenderedPageBreak/>
        <w:t>According to a study by Triassi et al., (2023), the average concentration of Nickel (Ni) in groundwater in southern Italy was determined to be 0.00366 mg L</w:t>
      </w:r>
      <w:r>
        <w:rPr>
          <w:rFonts w:ascii="Arial" w:hAnsi="Arial" w:cs="Arial"/>
          <w:bCs/>
          <w:sz w:val="20"/>
          <w:szCs w:val="20"/>
          <w:vertAlign w:val="superscript"/>
        </w:rPr>
        <w:t>-1</w:t>
      </w:r>
      <w:r>
        <w:rPr>
          <w:rFonts w:ascii="Arial" w:hAnsi="Arial" w:cs="Arial"/>
          <w:bCs/>
          <w:sz w:val="20"/>
          <w:szCs w:val="20"/>
        </w:rPr>
        <w:t>, which is also lower than the current investigation.</w:t>
      </w:r>
      <w:r>
        <w:rPr>
          <w:rFonts w:ascii="Arial" w:hAnsi="Arial" w:cs="Arial"/>
          <w:sz w:val="20"/>
          <w:szCs w:val="20"/>
        </w:rPr>
        <w:t xml:space="preserve"> </w:t>
      </w:r>
      <w:r>
        <w:rPr>
          <w:rFonts w:ascii="Arial" w:hAnsi="Arial" w:cs="Arial"/>
          <w:bCs/>
          <w:sz w:val="20"/>
          <w:szCs w:val="20"/>
        </w:rPr>
        <w:t xml:space="preserve">A study by Reddy and Sunitha (2023) discovered that the </w:t>
      </w:r>
      <w:proofErr w:type="spellStart"/>
      <w:r>
        <w:rPr>
          <w:rFonts w:ascii="Arial" w:hAnsi="Arial" w:cs="Arial"/>
          <w:bCs/>
          <w:sz w:val="20"/>
          <w:szCs w:val="20"/>
        </w:rPr>
        <w:t>Cuddapah</w:t>
      </w:r>
      <w:proofErr w:type="spellEnd"/>
      <w:r>
        <w:rPr>
          <w:rFonts w:ascii="Arial" w:hAnsi="Arial" w:cs="Arial"/>
          <w:bCs/>
          <w:sz w:val="20"/>
          <w:szCs w:val="20"/>
        </w:rPr>
        <w:t xml:space="preserve"> Basin in India's southwest section had an average nickel concentration of 0.028 mg L</w:t>
      </w:r>
      <w:r>
        <w:rPr>
          <w:rFonts w:ascii="Arial" w:hAnsi="Arial" w:cs="Arial"/>
          <w:bCs/>
          <w:sz w:val="20"/>
          <w:szCs w:val="20"/>
          <w:vertAlign w:val="superscript"/>
        </w:rPr>
        <w:t>-1</w:t>
      </w:r>
      <w:r>
        <w:rPr>
          <w:rFonts w:ascii="Arial" w:hAnsi="Arial" w:cs="Arial"/>
          <w:bCs/>
          <w:sz w:val="20"/>
          <w:szCs w:val="20"/>
        </w:rPr>
        <w:t xml:space="preserve"> which is also lower than my study.</w:t>
      </w:r>
    </w:p>
    <w:p w14:paraId="238AA500" w14:textId="77777777" w:rsidR="000D2B0F" w:rsidRDefault="000D2B0F">
      <w:pPr>
        <w:spacing w:after="0" w:line="240" w:lineRule="auto"/>
        <w:jc w:val="both"/>
        <w:rPr>
          <w:rFonts w:ascii="Arial" w:hAnsi="Arial" w:cs="Arial"/>
          <w:sz w:val="20"/>
          <w:szCs w:val="20"/>
          <w:lang w:bidi="bn-IN"/>
        </w:rPr>
      </w:pPr>
    </w:p>
    <w:p w14:paraId="18E8A634" w14:textId="77777777" w:rsidR="000D2B0F" w:rsidRDefault="000D2B0F">
      <w:pPr>
        <w:spacing w:after="0" w:line="240" w:lineRule="auto"/>
        <w:jc w:val="both"/>
        <w:rPr>
          <w:rFonts w:ascii="Arial" w:hAnsi="Arial" w:cs="Arial"/>
          <w:sz w:val="20"/>
          <w:szCs w:val="20"/>
          <w:lang w:bidi="bn-IN"/>
        </w:rPr>
      </w:pPr>
    </w:p>
    <w:p w14:paraId="303CCB05" w14:textId="77777777" w:rsidR="000D2B0F" w:rsidRDefault="00000000">
      <w:pPr>
        <w:spacing w:after="0" w:line="240" w:lineRule="auto"/>
        <w:jc w:val="both"/>
        <w:rPr>
          <w:rFonts w:ascii="Arial" w:hAnsi="Arial" w:cs="Arial"/>
          <w:sz w:val="20"/>
          <w:szCs w:val="20"/>
          <w:lang w:bidi="bn-IN"/>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14:anchorId="78F46282" wp14:editId="527417C0">
                <wp:simplePos x="0" y="0"/>
                <wp:positionH relativeFrom="column">
                  <wp:posOffset>2674620</wp:posOffset>
                </wp:positionH>
                <wp:positionV relativeFrom="paragraph">
                  <wp:posOffset>-198120</wp:posOffset>
                </wp:positionV>
                <wp:extent cx="228600" cy="2381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28600" cy="2381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7A4389" w14:textId="77777777" w:rsidR="000D2B0F" w:rsidRDefault="00000000">
                            <w:pPr>
                              <w:jc w:val="cente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F46282" id="Rectangle 2" o:spid="_x0000_s1026" style="position:absolute;left:0;text-align:left;margin-left:210.6pt;margin-top:-15.6pt;width:18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" fillcolor="white [3212]" strokecolor="black [3213]" strokeweight="1pt">
                <v:textbox>
                  <w:txbxContent>
                    <w:p w14:paraId="517A4389" w14:textId="77777777" w:rsidR="000D2B0F" w:rsidRDefault="00000000">
                      <w:pPr>
                        <w:jc w:val="center"/>
                        <w:rPr>
                          <w:color w:val="000000" w:themeColor="text1"/>
                        </w:rPr>
                      </w:pPr>
                      <w:r>
                        <w:rPr>
                          <w:color w:val="000000" w:themeColor="text1"/>
                        </w:rPr>
                        <w:t>a</w:t>
                      </w:r>
                    </w:p>
                  </w:txbxContent>
                </v:textbox>
              </v:rect>
            </w:pict>
          </mc:Fallback>
        </mc:AlternateContent>
      </w:r>
    </w:p>
    <w:p w14:paraId="27454626" w14:textId="77777777" w:rsidR="000D2B0F" w:rsidRDefault="00000000">
      <w:pPr>
        <w:spacing w:after="0" w:line="240" w:lineRule="auto"/>
        <w:jc w:val="center"/>
        <w:rPr>
          <w:rFonts w:ascii="Arial" w:hAnsi="Arial" w:cs="Arial"/>
          <w:b/>
          <w:sz w:val="20"/>
          <w:szCs w:val="20"/>
          <w:lang w:bidi="bn-IN"/>
        </w:rPr>
      </w:pPr>
      <w:r>
        <w:rPr>
          <w:rFonts w:ascii="Arial" w:hAnsi="Arial" w:cs="Arial"/>
          <w:b/>
          <w:noProof/>
          <w:sz w:val="20"/>
          <w:szCs w:val="20"/>
        </w:rPr>
        <w:drawing>
          <wp:inline distT="0" distB="0" distL="0" distR="0" wp14:anchorId="4AC00AC6" wp14:editId="446A2898">
            <wp:extent cx="4419600" cy="34531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6026" cy="3513061"/>
                    </a:xfrm>
                    <a:prstGeom prst="rect">
                      <a:avLst/>
                    </a:prstGeom>
                  </pic:spPr>
                </pic:pic>
              </a:graphicData>
            </a:graphic>
          </wp:inline>
        </w:drawing>
      </w:r>
    </w:p>
    <w:p w14:paraId="27A0F6A6" w14:textId="77777777" w:rsidR="000D2B0F" w:rsidRDefault="00000000">
      <w:pPr>
        <w:spacing w:after="0" w:line="240" w:lineRule="auto"/>
        <w:jc w:val="center"/>
        <w:rPr>
          <w:rFonts w:ascii="Arial" w:hAnsi="Arial" w:cs="Arial"/>
          <w:b/>
          <w:sz w:val="20"/>
          <w:szCs w:val="20"/>
          <w:lang w:bidi="bn-IN"/>
        </w:rPr>
      </w:pPr>
      <w:r>
        <w:rPr>
          <w:rFonts w:ascii="Arial" w:hAnsi="Arial" w:cs="Arial"/>
          <w:b/>
          <w:noProof/>
          <w:sz w:val="20"/>
          <w:szCs w:val="20"/>
        </w:rPr>
        <mc:AlternateContent>
          <mc:Choice Requires="wps">
            <w:drawing>
              <wp:anchor distT="0" distB="0" distL="114300" distR="114300" simplePos="0" relativeHeight="251660288" behindDoc="0" locked="0" layoutInCell="1" allowOverlap="1" wp14:anchorId="37A420D1" wp14:editId="2E8BC459">
                <wp:simplePos x="0" y="0"/>
                <wp:positionH relativeFrom="column">
                  <wp:posOffset>2706370</wp:posOffset>
                </wp:positionH>
                <wp:positionV relativeFrom="paragraph">
                  <wp:posOffset>90170</wp:posOffset>
                </wp:positionV>
                <wp:extent cx="228600" cy="2381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28600" cy="238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27F3D19" w14:textId="77777777" w:rsidR="000D2B0F" w:rsidRDefault="00000000">
                            <w:pPr>
                              <w:jc w:val="cente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A420D1" id="Rectangle 3" o:spid="_x0000_s1027" style="position:absolute;left:0;text-align:left;margin-left:213.1pt;margin-top:7.1pt;width:18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" fillcolor="window" strokecolor="windowText" strokeweight="1pt">
                <v:textbox>
                  <w:txbxContent>
                    <w:p w14:paraId="227F3D19" w14:textId="77777777" w:rsidR="000D2B0F" w:rsidRDefault="00000000">
                      <w:pPr>
                        <w:jc w:val="center"/>
                        <w:rPr>
                          <w:color w:val="000000" w:themeColor="text1"/>
                        </w:rPr>
                      </w:pPr>
                      <w:r>
                        <w:rPr>
                          <w:color w:val="000000" w:themeColor="text1"/>
                        </w:rPr>
                        <w:t>b</w:t>
                      </w:r>
                    </w:p>
                  </w:txbxContent>
                </v:textbox>
              </v:rect>
            </w:pict>
          </mc:Fallback>
        </mc:AlternateContent>
      </w:r>
    </w:p>
    <w:p w14:paraId="652305C9" w14:textId="77777777" w:rsidR="000D2B0F" w:rsidRDefault="000D2B0F">
      <w:pPr>
        <w:spacing w:after="0" w:line="240" w:lineRule="auto"/>
        <w:jc w:val="both"/>
        <w:rPr>
          <w:rFonts w:ascii="Arial" w:hAnsi="Arial" w:cs="Arial"/>
          <w:b/>
          <w:sz w:val="20"/>
          <w:szCs w:val="20"/>
          <w:lang w:bidi="bn-IN"/>
        </w:rPr>
      </w:pPr>
    </w:p>
    <w:p w14:paraId="0BA1D4CD" w14:textId="77777777" w:rsidR="000D2B0F" w:rsidRDefault="000D2B0F">
      <w:pPr>
        <w:spacing w:after="0" w:line="240" w:lineRule="auto"/>
        <w:jc w:val="both"/>
        <w:rPr>
          <w:rFonts w:ascii="Arial" w:hAnsi="Arial" w:cs="Arial"/>
          <w:b/>
          <w:sz w:val="20"/>
          <w:szCs w:val="20"/>
          <w:lang w:bidi="bn-IN"/>
        </w:rPr>
      </w:pPr>
    </w:p>
    <w:p w14:paraId="5A6D7BB6" w14:textId="77777777" w:rsidR="000D2B0F" w:rsidRDefault="00000000">
      <w:pPr>
        <w:spacing w:after="0" w:line="240" w:lineRule="auto"/>
        <w:jc w:val="center"/>
        <w:rPr>
          <w:rFonts w:ascii="Arial" w:hAnsi="Arial" w:cs="Arial"/>
          <w:b/>
          <w:sz w:val="20"/>
          <w:szCs w:val="20"/>
          <w:lang w:bidi="bn-IN"/>
        </w:rPr>
      </w:pPr>
      <w:r>
        <w:rPr>
          <w:rFonts w:ascii="Arial" w:hAnsi="Arial" w:cs="Arial"/>
          <w:noProof/>
          <w:sz w:val="20"/>
          <w:szCs w:val="20"/>
        </w:rPr>
        <w:drawing>
          <wp:inline distT="0" distB="0" distL="0" distR="0" wp14:anchorId="42F85CAE" wp14:editId="4D084A97">
            <wp:extent cx="4730750" cy="36493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73810" cy="3682654"/>
                    </a:xfrm>
                    <a:prstGeom prst="rect">
                      <a:avLst/>
                    </a:prstGeom>
                  </pic:spPr>
                </pic:pic>
              </a:graphicData>
            </a:graphic>
          </wp:inline>
        </w:drawing>
      </w:r>
    </w:p>
    <w:p w14:paraId="352FDAA5" w14:textId="77777777" w:rsidR="000D2B0F" w:rsidRDefault="00000000">
      <w:pPr>
        <w:spacing w:after="0" w:line="240" w:lineRule="auto"/>
        <w:jc w:val="center"/>
        <w:rPr>
          <w:rFonts w:ascii="Arial" w:hAnsi="Arial" w:cs="Arial"/>
          <w:b/>
          <w:sz w:val="20"/>
          <w:szCs w:val="20"/>
          <w:lang w:bidi="bn-IN"/>
        </w:rPr>
      </w:pPr>
      <w:r>
        <w:rPr>
          <w:rFonts w:ascii="Arial" w:hAnsi="Arial" w:cs="Arial"/>
          <w:b/>
          <w:sz w:val="20"/>
          <w:szCs w:val="20"/>
          <w:lang w:bidi="bn-IN"/>
        </w:rPr>
        <w:t>Fig. 2. Spatial distribution of (a) Arsenic (As) and (b) Nickel (Ni) concentration</w:t>
      </w:r>
    </w:p>
    <w:p w14:paraId="07E3CA81" w14:textId="77777777" w:rsidR="000D2B0F" w:rsidRDefault="000D2B0F">
      <w:pPr>
        <w:spacing w:after="0" w:line="240" w:lineRule="auto"/>
        <w:rPr>
          <w:rFonts w:ascii="Arial" w:hAnsi="Arial" w:cs="Arial"/>
          <w:b/>
          <w:sz w:val="20"/>
          <w:szCs w:val="20"/>
          <w:lang w:bidi="bn-IN"/>
        </w:rPr>
      </w:pPr>
    </w:p>
    <w:p w14:paraId="48DC732E" w14:textId="77777777" w:rsidR="000D2B0F" w:rsidRDefault="00000000">
      <w:pPr>
        <w:spacing w:line="240" w:lineRule="auto"/>
        <w:jc w:val="both"/>
        <w:rPr>
          <w:rFonts w:ascii="Arial" w:hAnsi="Arial" w:cs="Arial"/>
          <w:sz w:val="20"/>
          <w:szCs w:val="20"/>
          <w:lang w:bidi="bn-IN"/>
        </w:rPr>
      </w:pPr>
      <w:r>
        <w:rPr>
          <w:rFonts w:ascii="Arial" w:hAnsi="Arial" w:cs="Arial"/>
          <w:sz w:val="20"/>
          <w:szCs w:val="20"/>
        </w:rPr>
        <w:t>Figure 3 (a) shows a spatial distribution map of Iron (Fe). The highest Iron (Fe) value (43.2</w:t>
      </w:r>
      <w:r>
        <w:rPr>
          <w:rFonts w:ascii="Arial" w:hAnsi="Arial" w:cs="Arial"/>
          <w:bCs/>
          <w:sz w:val="20"/>
          <w:szCs w:val="20"/>
        </w:rPr>
        <w:t xml:space="preserve"> mg L</w:t>
      </w:r>
      <w:r>
        <w:rPr>
          <w:rFonts w:ascii="Arial" w:hAnsi="Arial" w:cs="Arial"/>
          <w:bCs/>
          <w:sz w:val="20"/>
          <w:szCs w:val="20"/>
          <w:vertAlign w:val="superscript"/>
        </w:rPr>
        <w:t>-1</w:t>
      </w:r>
      <w:r>
        <w:rPr>
          <w:rFonts w:ascii="Arial" w:hAnsi="Arial" w:cs="Arial"/>
          <w:sz w:val="20"/>
          <w:szCs w:val="20"/>
        </w:rPr>
        <w:t xml:space="preserve">) was found at </w:t>
      </w:r>
      <w:proofErr w:type="spellStart"/>
      <w:r>
        <w:rPr>
          <w:rFonts w:ascii="Arial" w:hAnsi="Arial" w:cs="Arial"/>
          <w:sz w:val="20"/>
          <w:szCs w:val="20"/>
        </w:rPr>
        <w:t>Monoshapara</w:t>
      </w:r>
      <w:proofErr w:type="spellEnd"/>
      <w:r>
        <w:rPr>
          <w:rFonts w:ascii="Arial" w:hAnsi="Arial" w:cs="Arial"/>
          <w:sz w:val="20"/>
          <w:szCs w:val="20"/>
        </w:rPr>
        <w:t xml:space="preserve"> which was G5 sampling point of </w:t>
      </w:r>
      <w:proofErr w:type="spellStart"/>
      <w:r>
        <w:rPr>
          <w:rFonts w:ascii="Arial" w:hAnsi="Arial" w:cs="Arial"/>
          <w:sz w:val="20"/>
          <w:szCs w:val="20"/>
        </w:rPr>
        <w:t>Bijoypur</w:t>
      </w:r>
      <w:proofErr w:type="spellEnd"/>
      <w:r>
        <w:rPr>
          <w:rFonts w:ascii="Arial" w:hAnsi="Arial" w:cs="Arial"/>
          <w:sz w:val="20"/>
          <w:szCs w:val="20"/>
        </w:rPr>
        <w:t xml:space="preserve"> area and the lowest value (0.0266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of Fe was found at </w:t>
      </w:r>
      <w:proofErr w:type="spellStart"/>
      <w:r>
        <w:rPr>
          <w:rFonts w:ascii="Arial" w:hAnsi="Arial" w:cs="Arial"/>
          <w:sz w:val="20"/>
          <w:szCs w:val="20"/>
        </w:rPr>
        <w:t>Bipinganj</w:t>
      </w:r>
      <w:proofErr w:type="spellEnd"/>
      <w:r>
        <w:rPr>
          <w:rFonts w:ascii="Arial" w:hAnsi="Arial" w:cs="Arial"/>
          <w:sz w:val="20"/>
          <w:szCs w:val="20"/>
        </w:rPr>
        <w:t xml:space="preserve"> which was G3 sampling point. Except for samples G3, the remaining sample (G1, G2, G4, G5 and G6) exceeded the WHO guideline value </w:t>
      </w:r>
      <w:r>
        <w:rPr>
          <w:rFonts w:ascii="Arial" w:hAnsi="Arial" w:cs="Arial"/>
          <w:sz w:val="20"/>
          <w:szCs w:val="20"/>
          <w:lang w:bidi="bn-IN"/>
        </w:rPr>
        <w:t>(WHO, 2011).</w:t>
      </w:r>
      <w:r>
        <w:rPr>
          <w:rFonts w:ascii="Arial" w:hAnsi="Arial" w:cs="Arial"/>
          <w:sz w:val="20"/>
          <w:szCs w:val="20"/>
        </w:rPr>
        <w:t xml:space="preserve"> Figure 3 (b) provides a spatial distribution map of Manganese (Mn). The highest Manganese (Mn) value (0.757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was found at </w:t>
      </w:r>
      <w:proofErr w:type="spellStart"/>
      <w:r>
        <w:rPr>
          <w:rFonts w:ascii="Arial" w:hAnsi="Arial" w:cs="Arial"/>
          <w:sz w:val="20"/>
          <w:szCs w:val="20"/>
        </w:rPr>
        <w:t>Bipinganj</w:t>
      </w:r>
      <w:proofErr w:type="spellEnd"/>
      <w:r>
        <w:rPr>
          <w:rFonts w:ascii="Arial" w:hAnsi="Arial" w:cs="Arial"/>
          <w:sz w:val="20"/>
          <w:szCs w:val="20"/>
        </w:rPr>
        <w:t xml:space="preserve"> which was G3 sampling point of </w:t>
      </w:r>
      <w:proofErr w:type="spellStart"/>
      <w:r>
        <w:rPr>
          <w:rFonts w:ascii="Arial" w:hAnsi="Arial" w:cs="Arial"/>
          <w:sz w:val="20"/>
          <w:szCs w:val="20"/>
        </w:rPr>
        <w:t>Bijoypur</w:t>
      </w:r>
      <w:proofErr w:type="spellEnd"/>
      <w:r>
        <w:rPr>
          <w:rFonts w:ascii="Arial" w:hAnsi="Arial" w:cs="Arial"/>
          <w:sz w:val="20"/>
          <w:szCs w:val="20"/>
        </w:rPr>
        <w:t xml:space="preserve"> area and the lowest value (0.0247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of Manganese (Mn) was found at </w:t>
      </w:r>
      <w:proofErr w:type="spellStart"/>
      <w:r>
        <w:rPr>
          <w:rFonts w:ascii="Arial" w:hAnsi="Arial" w:cs="Arial"/>
          <w:sz w:val="20"/>
          <w:szCs w:val="20"/>
        </w:rPr>
        <w:t>Gesuapara</w:t>
      </w:r>
      <w:proofErr w:type="spellEnd"/>
      <w:r>
        <w:rPr>
          <w:rFonts w:ascii="Arial" w:hAnsi="Arial" w:cs="Arial"/>
          <w:sz w:val="20"/>
          <w:szCs w:val="20"/>
        </w:rPr>
        <w:t xml:space="preserve"> which was G6 sampling point. Except for samples G6, the remaining sample (G1, G2, G3, G4, and G5) exceeded the WHO guideline value </w:t>
      </w:r>
      <w:r>
        <w:rPr>
          <w:rFonts w:ascii="Arial" w:hAnsi="Arial" w:cs="Arial"/>
          <w:sz w:val="20"/>
          <w:szCs w:val="20"/>
          <w:lang w:bidi="bn-IN"/>
        </w:rPr>
        <w:t>(WHO, 2011).</w:t>
      </w:r>
    </w:p>
    <w:p w14:paraId="4C3B8E04" w14:textId="77777777" w:rsidR="000D2B0F" w:rsidRDefault="00000000">
      <w:pPr>
        <w:spacing w:line="240" w:lineRule="auto"/>
        <w:jc w:val="both"/>
        <w:rPr>
          <w:rFonts w:ascii="Arial" w:hAnsi="Arial" w:cs="Arial"/>
          <w:bCs/>
          <w:sz w:val="20"/>
          <w:szCs w:val="20"/>
        </w:rPr>
      </w:pPr>
      <w:r>
        <w:rPr>
          <w:rFonts w:ascii="Arial" w:hAnsi="Arial" w:cs="Arial"/>
          <w:bCs/>
          <w:sz w:val="20"/>
          <w:szCs w:val="20"/>
        </w:rPr>
        <w:t>The Iron (Fe) concentration in groundwater samples ranged from 0.0266–43.2 mg L</w:t>
      </w:r>
      <w:r>
        <w:rPr>
          <w:rFonts w:ascii="Arial" w:hAnsi="Arial" w:cs="Arial"/>
          <w:bCs/>
          <w:sz w:val="20"/>
          <w:szCs w:val="20"/>
          <w:vertAlign w:val="superscript"/>
        </w:rPr>
        <w:t>-1</w:t>
      </w:r>
      <w:r>
        <w:rPr>
          <w:rFonts w:ascii="Arial" w:hAnsi="Arial" w:cs="Arial"/>
          <w:bCs/>
          <w:sz w:val="20"/>
          <w:szCs w:val="20"/>
        </w:rPr>
        <w:t xml:space="preserve"> (Figure 3 (a)) with an average value of 15.093 mg L</w:t>
      </w:r>
      <w:r>
        <w:rPr>
          <w:rFonts w:ascii="Arial" w:hAnsi="Arial" w:cs="Arial"/>
          <w:bCs/>
          <w:sz w:val="20"/>
          <w:szCs w:val="20"/>
          <w:vertAlign w:val="superscript"/>
        </w:rPr>
        <w:t>-1</w:t>
      </w:r>
      <w:r>
        <w:rPr>
          <w:rFonts w:ascii="Arial" w:hAnsi="Arial" w:cs="Arial"/>
          <w:bCs/>
          <w:sz w:val="20"/>
          <w:szCs w:val="20"/>
        </w:rPr>
        <w:t>; 5 samples were beyond the permitted limit recommended by WHO (2011). Iron is the second most abundant metallic element in the Earth’s crust, while it has a low concentration in water. The most prevalent sources of iron in groundwater are naturally occurring, such as weathering of iron containing minerals in rocks (Ullah et al., 2022). According to Hossain et al.,</w:t>
      </w:r>
      <w:r>
        <w:rPr>
          <w:rFonts w:ascii="Arial" w:hAnsi="Arial" w:cs="Arial"/>
          <w:bCs/>
          <w:i/>
          <w:sz w:val="20"/>
          <w:szCs w:val="20"/>
        </w:rPr>
        <w:t xml:space="preserve"> </w:t>
      </w:r>
      <w:r>
        <w:rPr>
          <w:rFonts w:ascii="Arial" w:hAnsi="Arial" w:cs="Arial"/>
          <w:bCs/>
          <w:sz w:val="20"/>
          <w:szCs w:val="20"/>
        </w:rPr>
        <w:t>2020, Fe concentrations in water samples ranged from 0.05 to 1.1 mg/L in terms of chemical characteristics in Dhaka, Mymensingh, Gazipur, Rangpur regions whereas Pb was totally absent in all analyzed water samples.</w:t>
      </w:r>
    </w:p>
    <w:p w14:paraId="23C41548" w14:textId="77777777" w:rsidR="000D2B0F" w:rsidRDefault="00000000">
      <w:pPr>
        <w:spacing w:line="240" w:lineRule="auto"/>
        <w:jc w:val="both"/>
        <w:rPr>
          <w:rFonts w:ascii="Arial" w:hAnsi="Arial" w:cs="Arial"/>
          <w:bCs/>
          <w:sz w:val="20"/>
          <w:szCs w:val="20"/>
        </w:rPr>
      </w:pPr>
      <w:r>
        <w:rPr>
          <w:rFonts w:ascii="Arial" w:hAnsi="Arial" w:cs="Arial"/>
          <w:bCs/>
          <w:sz w:val="20"/>
          <w:szCs w:val="20"/>
        </w:rPr>
        <w:t>Iron (Fe) is an essential element in human nutrition as the taste of water is not usually noticeable at Fe concentrations less than 0.3 mg L</w:t>
      </w:r>
      <w:r>
        <w:rPr>
          <w:rFonts w:ascii="Arial" w:hAnsi="Arial" w:cs="Arial"/>
          <w:bCs/>
          <w:sz w:val="20"/>
          <w:szCs w:val="20"/>
          <w:vertAlign w:val="superscript"/>
        </w:rPr>
        <w:t>-1</w:t>
      </w:r>
      <w:r>
        <w:rPr>
          <w:rFonts w:ascii="Arial" w:hAnsi="Arial" w:cs="Arial"/>
          <w:bCs/>
          <w:sz w:val="20"/>
          <w:szCs w:val="20"/>
        </w:rPr>
        <w:t xml:space="preserve"> (Vasudevan et al., 2009). Present study found the average Iron concentration 15.093 mg L</w:t>
      </w:r>
      <w:r>
        <w:rPr>
          <w:rFonts w:ascii="Arial" w:hAnsi="Arial" w:cs="Arial"/>
          <w:bCs/>
          <w:sz w:val="20"/>
          <w:szCs w:val="20"/>
          <w:vertAlign w:val="superscript"/>
        </w:rPr>
        <w:t>-1</w:t>
      </w:r>
      <w:r>
        <w:rPr>
          <w:rFonts w:ascii="Arial" w:hAnsi="Arial" w:cs="Arial"/>
          <w:bCs/>
          <w:sz w:val="20"/>
          <w:szCs w:val="20"/>
        </w:rPr>
        <w:t>. The concentration of Fe content has been noted to be generally relatively higher throughout the study area. The spatial pattern of Fe content across the study area is depicted in Figure 3 (a), demonstrating that a relatively higher concentration was evident in the west part, whereas a decreasing trend was found in the central part. The occurrence of a higher concentration of Fe content in groundwater might be due to the natural weathering of Fe content in grey non-indurated alluvial sediments, which is geologically present in the aquifer systems of the investigated zone. The relatively higher concentration of Fe content in the groundwater may accelerate the growth of pathogenic organisms (Andrews et al., 2003). According to a study by Triassi et al., (2023), the average concentration of Iron (Fe) in groundwater in southern Italy was determined to be 0.0297 mg L</w:t>
      </w:r>
      <w:r>
        <w:rPr>
          <w:rFonts w:ascii="Arial" w:hAnsi="Arial" w:cs="Arial"/>
          <w:bCs/>
          <w:sz w:val="20"/>
          <w:szCs w:val="20"/>
          <w:vertAlign w:val="superscript"/>
        </w:rPr>
        <w:t>-1</w:t>
      </w:r>
      <w:r>
        <w:rPr>
          <w:rFonts w:ascii="Arial" w:hAnsi="Arial" w:cs="Arial"/>
          <w:bCs/>
          <w:sz w:val="20"/>
          <w:szCs w:val="20"/>
        </w:rPr>
        <w:t xml:space="preserve">, which is also lower than the current investigation. The average Iron (Fe) level in the southwest portion of the </w:t>
      </w:r>
      <w:proofErr w:type="spellStart"/>
      <w:r>
        <w:rPr>
          <w:rFonts w:ascii="Arial" w:hAnsi="Arial" w:cs="Arial"/>
          <w:bCs/>
          <w:sz w:val="20"/>
          <w:szCs w:val="20"/>
        </w:rPr>
        <w:t>Cuddapah</w:t>
      </w:r>
      <w:proofErr w:type="spellEnd"/>
      <w:r>
        <w:rPr>
          <w:rFonts w:ascii="Arial" w:hAnsi="Arial" w:cs="Arial"/>
          <w:bCs/>
          <w:sz w:val="20"/>
          <w:szCs w:val="20"/>
        </w:rPr>
        <w:t xml:space="preserve"> Basin in South India was determined to be 0.0065 mg L</w:t>
      </w:r>
      <w:r>
        <w:rPr>
          <w:rFonts w:ascii="Arial" w:hAnsi="Arial" w:cs="Arial"/>
          <w:bCs/>
          <w:sz w:val="20"/>
          <w:szCs w:val="20"/>
          <w:vertAlign w:val="superscript"/>
        </w:rPr>
        <w:t>-1</w:t>
      </w:r>
      <w:r>
        <w:rPr>
          <w:rFonts w:ascii="Arial" w:hAnsi="Arial" w:cs="Arial"/>
          <w:bCs/>
          <w:sz w:val="20"/>
          <w:szCs w:val="20"/>
        </w:rPr>
        <w:t xml:space="preserve"> in a study by Reddy and Sunitha (2023), which is likewise less than the amount obtained in this study.</w:t>
      </w:r>
    </w:p>
    <w:p w14:paraId="34713F3A" w14:textId="77777777" w:rsidR="000D2B0F" w:rsidRDefault="00000000">
      <w:pPr>
        <w:spacing w:line="240" w:lineRule="auto"/>
        <w:jc w:val="both"/>
        <w:rPr>
          <w:rFonts w:ascii="Arial" w:hAnsi="Arial" w:cs="Arial"/>
          <w:bCs/>
          <w:sz w:val="20"/>
          <w:szCs w:val="20"/>
        </w:rPr>
      </w:pPr>
      <w:r>
        <w:rPr>
          <w:rFonts w:ascii="Arial" w:hAnsi="Arial" w:cs="Arial"/>
          <w:sz w:val="20"/>
          <w:szCs w:val="20"/>
        </w:rPr>
        <w:t xml:space="preserve">The concentration of Mn in groundwater samples ranged from 0.0247-0.757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with an average value of 0.38295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most of the samples were beyond the permitted limit recommended by WHO (2011) and ECR (1997) (Figure 3 (b)). Mn is a naturally occurring mineral and is one of the most numerous metals on the planet’s surface, in air, water, and soil. It can be found in natural sources of groundwater and surface water and human activity such as mining (Vinnarasi et al., 2022).</w:t>
      </w:r>
      <w:r>
        <w:rPr>
          <w:rFonts w:ascii="Arial" w:hAnsi="Arial" w:cs="Arial"/>
          <w:bCs/>
          <w:sz w:val="20"/>
          <w:szCs w:val="20"/>
        </w:rPr>
        <w:t xml:space="preserve"> A study by Reddy and Sunitha (2023) discovered that the </w:t>
      </w:r>
      <w:proofErr w:type="spellStart"/>
      <w:r>
        <w:rPr>
          <w:rFonts w:ascii="Arial" w:hAnsi="Arial" w:cs="Arial"/>
          <w:bCs/>
          <w:sz w:val="20"/>
          <w:szCs w:val="20"/>
        </w:rPr>
        <w:t>Cuddapah</w:t>
      </w:r>
      <w:proofErr w:type="spellEnd"/>
      <w:r>
        <w:rPr>
          <w:rFonts w:ascii="Arial" w:hAnsi="Arial" w:cs="Arial"/>
          <w:bCs/>
          <w:sz w:val="20"/>
          <w:szCs w:val="20"/>
        </w:rPr>
        <w:t xml:space="preserve"> Basin in India's southwest section had an average Manganese concentration of 0.0038 mg L</w:t>
      </w:r>
      <w:r>
        <w:rPr>
          <w:rFonts w:ascii="Arial" w:hAnsi="Arial" w:cs="Arial"/>
          <w:bCs/>
          <w:sz w:val="20"/>
          <w:szCs w:val="20"/>
          <w:vertAlign w:val="superscript"/>
        </w:rPr>
        <w:t>-1</w:t>
      </w:r>
      <w:r>
        <w:rPr>
          <w:rFonts w:ascii="Arial" w:hAnsi="Arial" w:cs="Arial"/>
          <w:bCs/>
          <w:sz w:val="20"/>
          <w:szCs w:val="20"/>
        </w:rPr>
        <w:t xml:space="preserve"> which is lower than my study. According to a study by Triassi et al., (2023), the average concentration of Manganese in groundwater in southern Italy was determined to be 0.0139 mg L</w:t>
      </w:r>
      <w:r>
        <w:rPr>
          <w:rFonts w:ascii="Arial" w:hAnsi="Arial" w:cs="Arial"/>
          <w:bCs/>
          <w:sz w:val="20"/>
          <w:szCs w:val="20"/>
          <w:vertAlign w:val="superscript"/>
        </w:rPr>
        <w:t>-1</w:t>
      </w:r>
      <w:r>
        <w:rPr>
          <w:rFonts w:ascii="Arial" w:hAnsi="Arial" w:cs="Arial"/>
          <w:bCs/>
          <w:sz w:val="20"/>
          <w:szCs w:val="20"/>
        </w:rPr>
        <w:t>, which is also lower than current investigation. The average Mn content at Karu LGA in Nasarawa state, Nigeria, was reported to be 0.055 mg L</w:t>
      </w:r>
      <w:r>
        <w:rPr>
          <w:rFonts w:ascii="Arial" w:hAnsi="Arial" w:cs="Arial"/>
          <w:bCs/>
          <w:sz w:val="20"/>
          <w:szCs w:val="20"/>
          <w:vertAlign w:val="superscript"/>
        </w:rPr>
        <w:t>-1</w:t>
      </w:r>
      <w:r>
        <w:rPr>
          <w:rFonts w:ascii="Arial" w:hAnsi="Arial" w:cs="Arial"/>
          <w:bCs/>
          <w:sz w:val="20"/>
          <w:szCs w:val="20"/>
        </w:rPr>
        <w:t xml:space="preserve"> in a study by Daniel (2023), which is also lower than the value found in this study.</w:t>
      </w:r>
    </w:p>
    <w:p w14:paraId="77936643" w14:textId="77777777" w:rsidR="000D2B0F" w:rsidRDefault="000D2B0F">
      <w:pPr>
        <w:spacing w:line="240" w:lineRule="auto"/>
        <w:jc w:val="both"/>
        <w:rPr>
          <w:rFonts w:ascii="Arial" w:hAnsi="Arial" w:cs="Arial"/>
          <w:bCs/>
          <w:sz w:val="20"/>
          <w:szCs w:val="20"/>
        </w:rPr>
      </w:pPr>
    </w:p>
    <w:p w14:paraId="6CC72281" w14:textId="77777777" w:rsidR="000D2B0F" w:rsidRDefault="000D2B0F">
      <w:pPr>
        <w:spacing w:line="240" w:lineRule="auto"/>
        <w:jc w:val="both"/>
        <w:rPr>
          <w:rFonts w:ascii="Arial" w:hAnsi="Arial" w:cs="Arial"/>
          <w:bCs/>
          <w:sz w:val="20"/>
          <w:szCs w:val="20"/>
        </w:rPr>
      </w:pPr>
    </w:p>
    <w:p w14:paraId="2E83ACF8" w14:textId="77777777" w:rsidR="000D2B0F" w:rsidRDefault="000D2B0F">
      <w:pPr>
        <w:spacing w:line="240" w:lineRule="auto"/>
        <w:jc w:val="both"/>
        <w:rPr>
          <w:rFonts w:ascii="Arial" w:hAnsi="Arial" w:cs="Arial"/>
          <w:bCs/>
          <w:sz w:val="20"/>
          <w:szCs w:val="20"/>
        </w:rPr>
      </w:pPr>
    </w:p>
    <w:p w14:paraId="0C8F748C" w14:textId="77777777" w:rsidR="000D2B0F" w:rsidRDefault="000D2B0F">
      <w:pPr>
        <w:spacing w:line="240" w:lineRule="auto"/>
        <w:jc w:val="both"/>
        <w:rPr>
          <w:rFonts w:ascii="Arial" w:hAnsi="Arial" w:cs="Arial"/>
          <w:bCs/>
          <w:sz w:val="20"/>
          <w:szCs w:val="20"/>
        </w:rPr>
      </w:pPr>
    </w:p>
    <w:p w14:paraId="7676D927" w14:textId="77777777" w:rsidR="000D2B0F" w:rsidRDefault="000D2B0F">
      <w:pPr>
        <w:spacing w:line="240" w:lineRule="auto"/>
        <w:jc w:val="both"/>
        <w:rPr>
          <w:rFonts w:ascii="Arial" w:hAnsi="Arial" w:cs="Arial"/>
          <w:bCs/>
          <w:sz w:val="20"/>
          <w:szCs w:val="20"/>
        </w:rPr>
      </w:pPr>
    </w:p>
    <w:p w14:paraId="48759325" w14:textId="77777777" w:rsidR="000D2B0F" w:rsidRDefault="000D2B0F">
      <w:pPr>
        <w:spacing w:line="240" w:lineRule="auto"/>
        <w:jc w:val="both"/>
        <w:rPr>
          <w:rFonts w:ascii="Arial" w:hAnsi="Arial" w:cs="Arial"/>
          <w:bCs/>
          <w:sz w:val="20"/>
          <w:szCs w:val="20"/>
        </w:rPr>
      </w:pPr>
    </w:p>
    <w:p w14:paraId="619AD485" w14:textId="77777777" w:rsidR="000D2B0F" w:rsidRDefault="000D2B0F">
      <w:pPr>
        <w:spacing w:line="240" w:lineRule="auto"/>
        <w:jc w:val="both"/>
        <w:rPr>
          <w:rFonts w:ascii="Arial" w:hAnsi="Arial" w:cs="Arial"/>
          <w:bCs/>
          <w:sz w:val="20"/>
          <w:szCs w:val="20"/>
        </w:rPr>
      </w:pPr>
    </w:p>
    <w:p w14:paraId="0BD7E99B" w14:textId="77777777" w:rsidR="000D2B0F" w:rsidRDefault="000D2B0F">
      <w:pPr>
        <w:spacing w:line="240" w:lineRule="auto"/>
        <w:jc w:val="both"/>
        <w:rPr>
          <w:rFonts w:ascii="Arial" w:hAnsi="Arial" w:cs="Arial"/>
          <w:bCs/>
          <w:sz w:val="20"/>
          <w:szCs w:val="20"/>
        </w:rPr>
      </w:pPr>
    </w:p>
    <w:p w14:paraId="75299960" w14:textId="77777777" w:rsidR="000D2B0F" w:rsidRDefault="000D2B0F">
      <w:pPr>
        <w:spacing w:line="240" w:lineRule="auto"/>
        <w:jc w:val="both"/>
        <w:rPr>
          <w:rFonts w:ascii="Arial" w:hAnsi="Arial" w:cs="Arial"/>
          <w:bCs/>
          <w:sz w:val="20"/>
          <w:szCs w:val="20"/>
        </w:rPr>
      </w:pPr>
    </w:p>
    <w:p w14:paraId="57EDEF4F" w14:textId="77777777" w:rsidR="000D2B0F" w:rsidRDefault="00000000">
      <w:pPr>
        <w:spacing w:line="240" w:lineRule="auto"/>
        <w:jc w:val="both"/>
        <w:rPr>
          <w:rFonts w:ascii="Arial" w:hAnsi="Arial" w:cs="Arial"/>
          <w:bCs/>
          <w:sz w:val="20"/>
          <w:szCs w:val="20"/>
        </w:rPr>
      </w:pPr>
      <w:r>
        <w:rPr>
          <w:rFonts w:ascii="Arial" w:hAnsi="Arial" w:cs="Arial"/>
          <w:b/>
          <w:noProof/>
          <w:sz w:val="20"/>
          <w:szCs w:val="20"/>
        </w:rPr>
        <w:lastRenderedPageBreak/>
        <mc:AlternateContent>
          <mc:Choice Requires="wps">
            <w:drawing>
              <wp:anchor distT="0" distB="0" distL="114300" distR="114300" simplePos="0" relativeHeight="251661312" behindDoc="0" locked="0" layoutInCell="1" allowOverlap="1" wp14:anchorId="5222525B" wp14:editId="09BE3C30">
                <wp:simplePos x="0" y="0"/>
                <wp:positionH relativeFrom="column">
                  <wp:posOffset>2640330</wp:posOffset>
                </wp:positionH>
                <wp:positionV relativeFrom="paragraph">
                  <wp:posOffset>6985</wp:posOffset>
                </wp:positionV>
                <wp:extent cx="228600" cy="2381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28600" cy="238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D36493E" w14:textId="77777777" w:rsidR="000D2B0F" w:rsidRDefault="00000000">
                            <w:pPr>
                              <w:jc w:val="cente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22525B" id="Rectangle 4" o:spid="_x0000_s1028" style="position:absolute;left:0;text-align:left;margin-left:207.9pt;margin-top:.55pt;width:18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" fillcolor="window" strokecolor="windowText" strokeweight="1pt">
                <v:textbox>
                  <w:txbxContent>
                    <w:p w14:paraId="6D36493E" w14:textId="77777777" w:rsidR="000D2B0F" w:rsidRDefault="00000000">
                      <w:pPr>
                        <w:jc w:val="center"/>
                        <w:rPr>
                          <w:color w:val="000000" w:themeColor="text1"/>
                        </w:rPr>
                      </w:pPr>
                      <w:r>
                        <w:rPr>
                          <w:color w:val="000000" w:themeColor="text1"/>
                        </w:rPr>
                        <w:t>a</w:t>
                      </w:r>
                    </w:p>
                  </w:txbxContent>
                </v:textbox>
              </v:rect>
            </w:pict>
          </mc:Fallback>
        </mc:AlternateContent>
      </w:r>
    </w:p>
    <w:p w14:paraId="5E029838" w14:textId="77777777" w:rsidR="000D2B0F" w:rsidRDefault="00000000">
      <w:pPr>
        <w:spacing w:line="240" w:lineRule="auto"/>
        <w:jc w:val="center"/>
        <w:rPr>
          <w:rFonts w:ascii="Arial" w:hAnsi="Arial" w:cs="Arial"/>
          <w:sz w:val="20"/>
          <w:szCs w:val="20"/>
        </w:rPr>
      </w:pPr>
      <w:r>
        <w:rPr>
          <w:rFonts w:ascii="Arial" w:hAnsi="Arial" w:cs="Arial"/>
          <w:noProof/>
          <w:sz w:val="20"/>
          <w:szCs w:val="20"/>
        </w:rPr>
        <w:drawing>
          <wp:inline distT="0" distB="0" distL="0" distR="0" wp14:anchorId="6217A9B8" wp14:editId="40D6DF18">
            <wp:extent cx="5295265" cy="3651250"/>
            <wp:effectExtent l="0" t="0" r="63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88913" cy="3715823"/>
                    </a:xfrm>
                    <a:prstGeom prst="rect">
                      <a:avLst/>
                    </a:prstGeom>
                  </pic:spPr>
                </pic:pic>
              </a:graphicData>
            </a:graphic>
          </wp:inline>
        </w:drawing>
      </w:r>
    </w:p>
    <w:p w14:paraId="2496731D" w14:textId="77777777" w:rsidR="000D2B0F" w:rsidRDefault="00000000">
      <w:pPr>
        <w:spacing w:line="240" w:lineRule="auto"/>
        <w:jc w:val="cente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62336" behindDoc="0" locked="0" layoutInCell="1" allowOverlap="1" wp14:anchorId="0E39811A" wp14:editId="4F1A6CB4">
                <wp:simplePos x="0" y="0"/>
                <wp:positionH relativeFrom="column">
                  <wp:posOffset>2823845</wp:posOffset>
                </wp:positionH>
                <wp:positionV relativeFrom="paragraph">
                  <wp:posOffset>8890</wp:posOffset>
                </wp:positionV>
                <wp:extent cx="228600" cy="238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28600" cy="238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B6E8825" w14:textId="77777777" w:rsidR="000D2B0F" w:rsidRDefault="00000000">
                            <w:pPr>
                              <w:jc w:val="cente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39811A" id="Rectangle 5" o:spid="_x0000_s1029" style="position:absolute;left:0;text-align:left;margin-left:222.35pt;margin-top:.7pt;width:18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" fillcolor="window" strokecolor="windowText" strokeweight="1pt">
                <v:textbox>
                  <w:txbxContent>
                    <w:p w14:paraId="0B6E8825" w14:textId="77777777" w:rsidR="000D2B0F" w:rsidRDefault="00000000">
                      <w:pPr>
                        <w:jc w:val="center"/>
                        <w:rPr>
                          <w:color w:val="000000" w:themeColor="text1"/>
                        </w:rPr>
                      </w:pPr>
                      <w:r>
                        <w:rPr>
                          <w:color w:val="000000" w:themeColor="text1"/>
                        </w:rPr>
                        <w:t>b</w:t>
                      </w:r>
                    </w:p>
                  </w:txbxContent>
                </v:textbox>
              </v:rect>
            </w:pict>
          </mc:Fallback>
        </mc:AlternateContent>
      </w:r>
    </w:p>
    <w:p w14:paraId="3ACAE00D" w14:textId="77777777" w:rsidR="000D2B0F" w:rsidRDefault="00000000">
      <w:pPr>
        <w:spacing w:line="240" w:lineRule="auto"/>
        <w:jc w:val="center"/>
        <w:rPr>
          <w:rFonts w:ascii="Arial" w:hAnsi="Arial" w:cs="Arial"/>
          <w:sz w:val="20"/>
          <w:szCs w:val="20"/>
        </w:rPr>
      </w:pPr>
      <w:r>
        <w:rPr>
          <w:rFonts w:ascii="Arial" w:hAnsi="Arial" w:cs="Arial"/>
          <w:noProof/>
          <w:sz w:val="20"/>
          <w:szCs w:val="20"/>
        </w:rPr>
        <w:drawing>
          <wp:inline distT="0" distB="0" distL="0" distR="0" wp14:anchorId="43C92050" wp14:editId="15E97E9F">
            <wp:extent cx="5206365" cy="365125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6165" cy="3693188"/>
                    </a:xfrm>
                    <a:prstGeom prst="rect">
                      <a:avLst/>
                    </a:prstGeom>
                  </pic:spPr>
                </pic:pic>
              </a:graphicData>
            </a:graphic>
          </wp:inline>
        </w:drawing>
      </w:r>
    </w:p>
    <w:p w14:paraId="14021543" w14:textId="77777777" w:rsidR="000D2B0F" w:rsidRDefault="00000000">
      <w:pPr>
        <w:spacing w:after="0" w:line="240" w:lineRule="auto"/>
        <w:jc w:val="center"/>
        <w:rPr>
          <w:rFonts w:ascii="Arial" w:hAnsi="Arial" w:cs="Arial"/>
          <w:b/>
          <w:sz w:val="20"/>
          <w:szCs w:val="20"/>
          <w:lang w:bidi="bn-IN"/>
        </w:rPr>
      </w:pPr>
      <w:r>
        <w:rPr>
          <w:rFonts w:ascii="Arial" w:hAnsi="Arial" w:cs="Arial"/>
          <w:b/>
          <w:sz w:val="20"/>
          <w:szCs w:val="20"/>
          <w:lang w:bidi="bn-IN"/>
        </w:rPr>
        <w:t>Fig. 3. Spatial distribution of (a) Iron (Fe) and (b) Manganese (Mn) concentration</w:t>
      </w:r>
    </w:p>
    <w:p w14:paraId="2EF66A35" w14:textId="77777777" w:rsidR="000D2B0F" w:rsidRDefault="00000000">
      <w:pPr>
        <w:spacing w:line="240" w:lineRule="auto"/>
        <w:jc w:val="both"/>
        <w:rPr>
          <w:rFonts w:ascii="Arial" w:hAnsi="Arial" w:cs="Arial"/>
          <w:sz w:val="20"/>
          <w:szCs w:val="20"/>
        </w:rPr>
      </w:pPr>
      <w:r>
        <w:rPr>
          <w:rFonts w:ascii="Arial" w:hAnsi="Arial" w:cs="Arial"/>
          <w:sz w:val="20"/>
          <w:szCs w:val="20"/>
        </w:rPr>
        <w:t>Table 3 illustrates the remaining heavy metal concentration (Cd, Co, Cr, Cu and Zn). Here, highest concentration of Cadmium (Cd) was measured 0.00042</w:t>
      </w:r>
      <w:r>
        <w:rPr>
          <w:rFonts w:ascii="Arial" w:hAnsi="Arial" w:cs="Arial"/>
          <w:bCs/>
          <w:sz w:val="20"/>
          <w:szCs w:val="20"/>
        </w:rPr>
        <w:t xml:space="preserve"> mg L</w:t>
      </w:r>
      <w:r>
        <w:rPr>
          <w:rFonts w:ascii="Arial" w:hAnsi="Arial" w:cs="Arial"/>
          <w:bCs/>
          <w:sz w:val="20"/>
          <w:szCs w:val="20"/>
          <w:vertAlign w:val="superscript"/>
        </w:rPr>
        <w:t>-1</w:t>
      </w:r>
      <w:r>
        <w:rPr>
          <w:rFonts w:ascii="Arial" w:hAnsi="Arial" w:cs="Arial"/>
          <w:sz w:val="20"/>
          <w:szCs w:val="20"/>
        </w:rPr>
        <w:t xml:space="preserve"> at the </w:t>
      </w:r>
      <w:proofErr w:type="spellStart"/>
      <w:r>
        <w:rPr>
          <w:rFonts w:ascii="Arial" w:hAnsi="Arial" w:cs="Arial"/>
          <w:sz w:val="20"/>
          <w:szCs w:val="20"/>
        </w:rPr>
        <w:t>Bipinganj</w:t>
      </w:r>
      <w:proofErr w:type="spellEnd"/>
      <w:r>
        <w:rPr>
          <w:rFonts w:ascii="Arial" w:hAnsi="Arial" w:cs="Arial"/>
          <w:sz w:val="20"/>
          <w:szCs w:val="20"/>
        </w:rPr>
        <w:t xml:space="preserve"> sampling point and the lowest concentration of Cadmium (Cd) was measured 0.000379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at the </w:t>
      </w:r>
      <w:proofErr w:type="spellStart"/>
      <w:r>
        <w:rPr>
          <w:rFonts w:ascii="Arial" w:hAnsi="Arial" w:cs="Arial"/>
          <w:sz w:val="20"/>
          <w:szCs w:val="20"/>
        </w:rPr>
        <w:t>Bijoypur</w:t>
      </w:r>
      <w:proofErr w:type="spellEnd"/>
      <w:r>
        <w:rPr>
          <w:rFonts w:ascii="Arial" w:hAnsi="Arial" w:cs="Arial"/>
          <w:sz w:val="20"/>
          <w:szCs w:val="20"/>
        </w:rPr>
        <w:t xml:space="preserve"> 2 sampling point.  Cobalt (Co) concentration (0.00129</w:t>
      </w:r>
      <w:r>
        <w:rPr>
          <w:rFonts w:ascii="Arial" w:hAnsi="Arial" w:cs="Arial"/>
          <w:bCs/>
          <w:sz w:val="20"/>
          <w:szCs w:val="20"/>
        </w:rPr>
        <w:t xml:space="preserve"> mg L</w:t>
      </w:r>
      <w:r>
        <w:rPr>
          <w:rFonts w:ascii="Arial" w:hAnsi="Arial" w:cs="Arial"/>
          <w:bCs/>
          <w:sz w:val="20"/>
          <w:szCs w:val="20"/>
          <w:vertAlign w:val="superscript"/>
        </w:rPr>
        <w:t>-1</w:t>
      </w:r>
      <w:r>
        <w:rPr>
          <w:rFonts w:ascii="Arial" w:hAnsi="Arial" w:cs="Arial"/>
          <w:sz w:val="20"/>
          <w:szCs w:val="20"/>
        </w:rPr>
        <w:t xml:space="preserve">) was also high at </w:t>
      </w:r>
      <w:proofErr w:type="spellStart"/>
      <w:r>
        <w:rPr>
          <w:rFonts w:ascii="Arial" w:hAnsi="Arial" w:cs="Arial"/>
          <w:sz w:val="20"/>
          <w:szCs w:val="20"/>
        </w:rPr>
        <w:t>Bipinganj</w:t>
      </w:r>
      <w:proofErr w:type="spellEnd"/>
      <w:r>
        <w:rPr>
          <w:rFonts w:ascii="Arial" w:hAnsi="Arial" w:cs="Arial"/>
          <w:sz w:val="20"/>
          <w:szCs w:val="20"/>
        </w:rPr>
        <w:t xml:space="preserve"> sampling point and lowest (-0.000208</w:t>
      </w:r>
      <w:r>
        <w:rPr>
          <w:rFonts w:ascii="Arial" w:hAnsi="Arial" w:cs="Arial"/>
          <w:bCs/>
          <w:sz w:val="20"/>
          <w:szCs w:val="20"/>
        </w:rPr>
        <w:t xml:space="preserve"> mg L</w:t>
      </w:r>
      <w:r>
        <w:rPr>
          <w:rFonts w:ascii="Arial" w:hAnsi="Arial" w:cs="Arial"/>
          <w:bCs/>
          <w:sz w:val="20"/>
          <w:szCs w:val="20"/>
          <w:vertAlign w:val="superscript"/>
        </w:rPr>
        <w:t>-1</w:t>
      </w:r>
      <w:r>
        <w:rPr>
          <w:rFonts w:ascii="Arial" w:hAnsi="Arial" w:cs="Arial"/>
          <w:sz w:val="20"/>
          <w:szCs w:val="20"/>
        </w:rPr>
        <w:t xml:space="preserve">) at </w:t>
      </w:r>
      <w:proofErr w:type="spellStart"/>
      <w:r>
        <w:rPr>
          <w:rFonts w:ascii="Arial" w:hAnsi="Arial" w:cs="Arial"/>
          <w:sz w:val="20"/>
          <w:szCs w:val="20"/>
        </w:rPr>
        <w:t>Bijoypur</w:t>
      </w:r>
      <w:proofErr w:type="spellEnd"/>
      <w:r>
        <w:rPr>
          <w:rFonts w:ascii="Arial" w:hAnsi="Arial" w:cs="Arial"/>
          <w:sz w:val="20"/>
          <w:szCs w:val="20"/>
        </w:rPr>
        <w:t xml:space="preserve"> 1 sampling point. The peak measurement of Chromium (Cr) concentration </w:t>
      </w:r>
      <w:r>
        <w:rPr>
          <w:rFonts w:ascii="Arial" w:hAnsi="Arial" w:cs="Arial"/>
          <w:sz w:val="20"/>
          <w:szCs w:val="20"/>
        </w:rPr>
        <w:lastRenderedPageBreak/>
        <w:t>was (0.00161</w:t>
      </w:r>
      <w:r>
        <w:rPr>
          <w:rFonts w:ascii="Arial" w:hAnsi="Arial" w:cs="Arial"/>
          <w:bCs/>
          <w:sz w:val="20"/>
          <w:szCs w:val="20"/>
        </w:rPr>
        <w:t xml:space="preserve"> mg L</w:t>
      </w:r>
      <w:r>
        <w:rPr>
          <w:rFonts w:ascii="Arial" w:hAnsi="Arial" w:cs="Arial"/>
          <w:bCs/>
          <w:sz w:val="20"/>
          <w:szCs w:val="20"/>
          <w:vertAlign w:val="superscript"/>
        </w:rPr>
        <w:t>-1</w:t>
      </w:r>
      <w:r>
        <w:rPr>
          <w:rFonts w:ascii="Arial" w:hAnsi="Arial" w:cs="Arial"/>
          <w:sz w:val="20"/>
          <w:szCs w:val="20"/>
        </w:rPr>
        <w:t xml:space="preserve">) at the </w:t>
      </w:r>
      <w:proofErr w:type="spellStart"/>
      <w:r>
        <w:rPr>
          <w:rFonts w:ascii="Arial" w:hAnsi="Arial" w:cs="Arial"/>
          <w:sz w:val="20"/>
          <w:szCs w:val="20"/>
        </w:rPr>
        <w:t>Monoshapa</w:t>
      </w:r>
      <w:proofErr w:type="spellEnd"/>
      <w:r>
        <w:rPr>
          <w:rFonts w:ascii="Arial" w:hAnsi="Arial" w:cs="Arial"/>
          <w:sz w:val="20"/>
          <w:szCs w:val="20"/>
        </w:rPr>
        <w:t xml:space="preserve"> sampling point and lowest was (0.000498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at </w:t>
      </w:r>
      <w:proofErr w:type="spellStart"/>
      <w:r>
        <w:rPr>
          <w:rFonts w:ascii="Arial" w:hAnsi="Arial" w:cs="Arial"/>
          <w:sz w:val="20"/>
          <w:szCs w:val="20"/>
        </w:rPr>
        <w:t>Bijoypur</w:t>
      </w:r>
      <w:proofErr w:type="spellEnd"/>
      <w:r>
        <w:rPr>
          <w:rFonts w:ascii="Arial" w:hAnsi="Arial" w:cs="Arial"/>
          <w:sz w:val="20"/>
          <w:szCs w:val="20"/>
        </w:rPr>
        <w:t xml:space="preserve"> 1 sampling point. Highest Copper (Cu) concentration (0.00425</w:t>
      </w:r>
      <w:r>
        <w:rPr>
          <w:rFonts w:ascii="Arial" w:hAnsi="Arial" w:cs="Arial"/>
          <w:bCs/>
          <w:sz w:val="20"/>
          <w:szCs w:val="20"/>
        </w:rPr>
        <w:t xml:space="preserve"> mg L</w:t>
      </w:r>
      <w:r>
        <w:rPr>
          <w:rFonts w:ascii="Arial" w:hAnsi="Arial" w:cs="Arial"/>
          <w:bCs/>
          <w:sz w:val="20"/>
          <w:szCs w:val="20"/>
          <w:vertAlign w:val="superscript"/>
        </w:rPr>
        <w:t>-1</w:t>
      </w:r>
      <w:r>
        <w:rPr>
          <w:rFonts w:ascii="Arial" w:hAnsi="Arial" w:cs="Arial"/>
          <w:sz w:val="20"/>
          <w:szCs w:val="20"/>
        </w:rPr>
        <w:t xml:space="preserve">) was found at </w:t>
      </w:r>
      <w:proofErr w:type="spellStart"/>
      <w:r>
        <w:rPr>
          <w:rFonts w:ascii="Arial" w:hAnsi="Arial" w:cs="Arial"/>
          <w:sz w:val="20"/>
          <w:szCs w:val="20"/>
        </w:rPr>
        <w:t>Bijoypur</w:t>
      </w:r>
      <w:proofErr w:type="spellEnd"/>
      <w:r>
        <w:rPr>
          <w:rFonts w:ascii="Arial" w:hAnsi="Arial" w:cs="Arial"/>
          <w:sz w:val="20"/>
          <w:szCs w:val="20"/>
        </w:rPr>
        <w:t xml:space="preserve"> 2 sampling point and highest Zinc (Zn) concentration (0.0206 </w:t>
      </w:r>
      <w:r>
        <w:rPr>
          <w:rFonts w:ascii="Arial" w:hAnsi="Arial" w:cs="Arial"/>
          <w:bCs/>
          <w:sz w:val="20"/>
          <w:szCs w:val="20"/>
        </w:rPr>
        <w:t>mg L</w:t>
      </w:r>
      <w:r>
        <w:rPr>
          <w:rFonts w:ascii="Arial" w:hAnsi="Arial" w:cs="Arial"/>
          <w:bCs/>
          <w:sz w:val="20"/>
          <w:szCs w:val="20"/>
          <w:vertAlign w:val="superscript"/>
        </w:rPr>
        <w:t>-1</w:t>
      </w:r>
      <w:r>
        <w:rPr>
          <w:rFonts w:ascii="Arial" w:hAnsi="Arial" w:cs="Arial"/>
          <w:sz w:val="20"/>
          <w:szCs w:val="20"/>
        </w:rPr>
        <w:t xml:space="preserve">) was found at </w:t>
      </w:r>
      <w:proofErr w:type="spellStart"/>
      <w:r>
        <w:rPr>
          <w:rFonts w:ascii="Arial" w:hAnsi="Arial" w:cs="Arial"/>
          <w:sz w:val="20"/>
          <w:szCs w:val="20"/>
        </w:rPr>
        <w:t>Gesuapara</w:t>
      </w:r>
      <w:proofErr w:type="spellEnd"/>
      <w:r>
        <w:rPr>
          <w:rFonts w:ascii="Arial" w:hAnsi="Arial" w:cs="Arial"/>
          <w:sz w:val="20"/>
          <w:szCs w:val="20"/>
        </w:rPr>
        <w:t>.</w:t>
      </w:r>
    </w:p>
    <w:p w14:paraId="3E5535F1" w14:textId="77777777" w:rsidR="000D2B0F" w:rsidRDefault="00000000">
      <w:pPr>
        <w:spacing w:line="240" w:lineRule="auto"/>
        <w:jc w:val="both"/>
        <w:rPr>
          <w:rFonts w:ascii="Arial" w:hAnsi="Arial" w:cs="Arial"/>
          <w:b/>
          <w:sz w:val="20"/>
          <w:szCs w:val="20"/>
        </w:rPr>
      </w:pPr>
      <w:r>
        <w:rPr>
          <w:rFonts w:ascii="Arial" w:hAnsi="Arial" w:cs="Arial"/>
          <w:b/>
          <w:sz w:val="20"/>
          <w:szCs w:val="20"/>
        </w:rPr>
        <w:t>Table 3. Heavy metals concentration (Cd, Co, Cr, Cu and Zn) in groundwater</w:t>
      </w:r>
    </w:p>
    <w:tbl>
      <w:tblPr>
        <w:tblStyle w:val="TableGrid"/>
        <w:tblW w:w="9067" w:type="dxa"/>
        <w:tblLook w:val="04A0" w:firstRow="1" w:lastRow="0" w:firstColumn="1" w:lastColumn="0" w:noHBand="0" w:noVBand="1"/>
      </w:tblPr>
      <w:tblGrid>
        <w:gridCol w:w="1413"/>
        <w:gridCol w:w="1417"/>
        <w:gridCol w:w="1869"/>
        <w:gridCol w:w="1533"/>
        <w:gridCol w:w="1560"/>
        <w:gridCol w:w="1275"/>
      </w:tblGrid>
      <w:tr w:rsidR="000D2B0F" w14:paraId="13CE2F24" w14:textId="77777777">
        <w:trPr>
          <w:trHeight w:val="286"/>
        </w:trPr>
        <w:tc>
          <w:tcPr>
            <w:tcW w:w="1413" w:type="dxa"/>
            <w:noWrap/>
          </w:tcPr>
          <w:p w14:paraId="66032B5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Sample Name</w:t>
            </w:r>
          </w:p>
        </w:tc>
        <w:tc>
          <w:tcPr>
            <w:tcW w:w="1417" w:type="dxa"/>
            <w:noWrap/>
          </w:tcPr>
          <w:p w14:paraId="22A2FC8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Cd</w:t>
            </w:r>
          </w:p>
        </w:tc>
        <w:tc>
          <w:tcPr>
            <w:tcW w:w="1869" w:type="dxa"/>
            <w:noWrap/>
          </w:tcPr>
          <w:p w14:paraId="61BDAE6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Co</w:t>
            </w:r>
          </w:p>
        </w:tc>
        <w:tc>
          <w:tcPr>
            <w:tcW w:w="1533" w:type="dxa"/>
            <w:noWrap/>
          </w:tcPr>
          <w:p w14:paraId="44D8F246"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Cr</w:t>
            </w:r>
          </w:p>
        </w:tc>
        <w:tc>
          <w:tcPr>
            <w:tcW w:w="1560" w:type="dxa"/>
            <w:noWrap/>
          </w:tcPr>
          <w:p w14:paraId="51D33222"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Cu</w:t>
            </w:r>
          </w:p>
        </w:tc>
        <w:tc>
          <w:tcPr>
            <w:tcW w:w="1275" w:type="dxa"/>
            <w:noWrap/>
          </w:tcPr>
          <w:p w14:paraId="2E371FDD"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Zn</w:t>
            </w:r>
          </w:p>
        </w:tc>
      </w:tr>
      <w:tr w:rsidR="000D2B0F" w14:paraId="67C04BA1" w14:textId="77777777">
        <w:trPr>
          <w:trHeight w:val="286"/>
        </w:trPr>
        <w:tc>
          <w:tcPr>
            <w:tcW w:w="1413" w:type="dxa"/>
            <w:noWrap/>
          </w:tcPr>
          <w:p w14:paraId="67F320FD"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G1</w:t>
            </w:r>
          </w:p>
        </w:tc>
        <w:tc>
          <w:tcPr>
            <w:tcW w:w="1417" w:type="dxa"/>
            <w:noWrap/>
          </w:tcPr>
          <w:p w14:paraId="75456A7D"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w:t>
            </w:r>
          </w:p>
        </w:tc>
        <w:tc>
          <w:tcPr>
            <w:tcW w:w="1869" w:type="dxa"/>
            <w:noWrap/>
          </w:tcPr>
          <w:p w14:paraId="031342C9"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-0.00021</w:t>
            </w:r>
          </w:p>
        </w:tc>
        <w:tc>
          <w:tcPr>
            <w:tcW w:w="1533" w:type="dxa"/>
            <w:noWrap/>
          </w:tcPr>
          <w:p w14:paraId="14F5D8C9"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0.000498</w:t>
            </w:r>
          </w:p>
        </w:tc>
        <w:tc>
          <w:tcPr>
            <w:tcW w:w="1560" w:type="dxa"/>
            <w:noWrap/>
          </w:tcPr>
          <w:p w14:paraId="368A609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0.000098</w:t>
            </w:r>
          </w:p>
        </w:tc>
        <w:tc>
          <w:tcPr>
            <w:tcW w:w="1275" w:type="dxa"/>
            <w:noWrap/>
          </w:tcPr>
          <w:p w14:paraId="75A8CCA8"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0.00702</w:t>
            </w:r>
          </w:p>
        </w:tc>
      </w:tr>
      <w:tr w:rsidR="000D2B0F" w14:paraId="4A5CF0E4" w14:textId="77777777">
        <w:trPr>
          <w:trHeight w:val="286"/>
        </w:trPr>
        <w:tc>
          <w:tcPr>
            <w:tcW w:w="1413" w:type="dxa"/>
            <w:noWrap/>
          </w:tcPr>
          <w:p w14:paraId="57225067"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G2</w:t>
            </w:r>
          </w:p>
        </w:tc>
        <w:tc>
          <w:tcPr>
            <w:tcW w:w="1417" w:type="dxa"/>
            <w:noWrap/>
          </w:tcPr>
          <w:p w14:paraId="5A73755B"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0.00038</w:t>
            </w:r>
          </w:p>
        </w:tc>
        <w:tc>
          <w:tcPr>
            <w:tcW w:w="1869" w:type="dxa"/>
            <w:noWrap/>
          </w:tcPr>
          <w:p w14:paraId="1A69FA27"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-0.00015</w:t>
            </w:r>
          </w:p>
        </w:tc>
        <w:tc>
          <w:tcPr>
            <w:tcW w:w="1533" w:type="dxa"/>
            <w:noWrap/>
          </w:tcPr>
          <w:p w14:paraId="6EAE78B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0.000585</w:t>
            </w:r>
          </w:p>
        </w:tc>
        <w:tc>
          <w:tcPr>
            <w:tcW w:w="1560" w:type="dxa"/>
            <w:noWrap/>
          </w:tcPr>
          <w:p w14:paraId="365905ED"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0.0042</w:t>
            </w:r>
          </w:p>
        </w:tc>
        <w:tc>
          <w:tcPr>
            <w:tcW w:w="1275" w:type="dxa"/>
            <w:noWrap/>
          </w:tcPr>
          <w:p w14:paraId="10453708"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0.0152</w:t>
            </w:r>
          </w:p>
        </w:tc>
      </w:tr>
      <w:tr w:rsidR="000D2B0F" w14:paraId="31C8BB87" w14:textId="77777777">
        <w:trPr>
          <w:trHeight w:val="286"/>
        </w:trPr>
        <w:tc>
          <w:tcPr>
            <w:tcW w:w="1413" w:type="dxa"/>
            <w:noWrap/>
          </w:tcPr>
          <w:p w14:paraId="6A92438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G3</w:t>
            </w:r>
          </w:p>
        </w:tc>
        <w:tc>
          <w:tcPr>
            <w:tcW w:w="1417" w:type="dxa"/>
            <w:noWrap/>
          </w:tcPr>
          <w:p w14:paraId="08347C3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w:t>
            </w:r>
          </w:p>
        </w:tc>
        <w:tc>
          <w:tcPr>
            <w:tcW w:w="1869" w:type="dxa"/>
            <w:noWrap/>
          </w:tcPr>
          <w:p w14:paraId="608D0C7C"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0.00129</w:t>
            </w:r>
          </w:p>
        </w:tc>
        <w:tc>
          <w:tcPr>
            <w:tcW w:w="1533" w:type="dxa"/>
            <w:noWrap/>
          </w:tcPr>
          <w:p w14:paraId="1E24E317"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0.000516</w:t>
            </w:r>
          </w:p>
        </w:tc>
        <w:tc>
          <w:tcPr>
            <w:tcW w:w="1560" w:type="dxa"/>
            <w:noWrap/>
          </w:tcPr>
          <w:p w14:paraId="0828AE5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0.0035</w:t>
            </w:r>
          </w:p>
        </w:tc>
        <w:tc>
          <w:tcPr>
            <w:tcW w:w="1275" w:type="dxa"/>
            <w:noWrap/>
          </w:tcPr>
          <w:p w14:paraId="1BB60ACB"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0.0174</w:t>
            </w:r>
          </w:p>
        </w:tc>
      </w:tr>
      <w:tr w:rsidR="000D2B0F" w14:paraId="5E821F4B" w14:textId="77777777">
        <w:trPr>
          <w:trHeight w:val="286"/>
        </w:trPr>
        <w:tc>
          <w:tcPr>
            <w:tcW w:w="1413" w:type="dxa"/>
            <w:noWrap/>
          </w:tcPr>
          <w:p w14:paraId="7CCF0334"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G4</w:t>
            </w:r>
          </w:p>
        </w:tc>
        <w:tc>
          <w:tcPr>
            <w:tcW w:w="1417" w:type="dxa"/>
            <w:noWrap/>
          </w:tcPr>
          <w:p w14:paraId="2CBAE7F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0.00039</w:t>
            </w:r>
          </w:p>
        </w:tc>
        <w:tc>
          <w:tcPr>
            <w:tcW w:w="1869" w:type="dxa"/>
            <w:noWrap/>
          </w:tcPr>
          <w:p w14:paraId="1960BA6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0.00104</w:t>
            </w:r>
          </w:p>
        </w:tc>
        <w:tc>
          <w:tcPr>
            <w:tcW w:w="1533" w:type="dxa"/>
            <w:noWrap/>
          </w:tcPr>
          <w:p w14:paraId="2EDAED1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0.000841</w:t>
            </w:r>
          </w:p>
        </w:tc>
        <w:tc>
          <w:tcPr>
            <w:tcW w:w="1560" w:type="dxa"/>
            <w:noWrap/>
          </w:tcPr>
          <w:p w14:paraId="1FC53FC7"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0.00137</w:t>
            </w:r>
          </w:p>
        </w:tc>
        <w:tc>
          <w:tcPr>
            <w:tcW w:w="1275" w:type="dxa"/>
            <w:noWrap/>
          </w:tcPr>
          <w:p w14:paraId="6D2C7B46"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0.00874</w:t>
            </w:r>
          </w:p>
        </w:tc>
      </w:tr>
      <w:tr w:rsidR="000D2B0F" w14:paraId="56DEA8BD" w14:textId="77777777">
        <w:trPr>
          <w:trHeight w:val="286"/>
        </w:trPr>
        <w:tc>
          <w:tcPr>
            <w:tcW w:w="1413" w:type="dxa"/>
            <w:noWrap/>
          </w:tcPr>
          <w:p w14:paraId="40F76B9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G5</w:t>
            </w:r>
          </w:p>
        </w:tc>
        <w:tc>
          <w:tcPr>
            <w:tcW w:w="1417" w:type="dxa"/>
            <w:noWrap/>
          </w:tcPr>
          <w:p w14:paraId="6EE87166"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w:t>
            </w:r>
          </w:p>
        </w:tc>
        <w:tc>
          <w:tcPr>
            <w:tcW w:w="1869" w:type="dxa"/>
            <w:noWrap/>
          </w:tcPr>
          <w:p w14:paraId="6653508F"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0.000249</w:t>
            </w:r>
          </w:p>
        </w:tc>
        <w:tc>
          <w:tcPr>
            <w:tcW w:w="1533" w:type="dxa"/>
            <w:noWrap/>
          </w:tcPr>
          <w:p w14:paraId="25467D8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0.00161</w:t>
            </w:r>
          </w:p>
        </w:tc>
        <w:tc>
          <w:tcPr>
            <w:tcW w:w="1560" w:type="dxa"/>
            <w:noWrap/>
          </w:tcPr>
          <w:p w14:paraId="1C4B70E0"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0.00252</w:t>
            </w:r>
          </w:p>
        </w:tc>
        <w:tc>
          <w:tcPr>
            <w:tcW w:w="1275" w:type="dxa"/>
            <w:noWrap/>
          </w:tcPr>
          <w:p w14:paraId="1536155F"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0.0178</w:t>
            </w:r>
          </w:p>
        </w:tc>
      </w:tr>
      <w:tr w:rsidR="000D2B0F" w14:paraId="1ED945C9" w14:textId="77777777">
        <w:trPr>
          <w:trHeight w:val="286"/>
        </w:trPr>
        <w:tc>
          <w:tcPr>
            <w:tcW w:w="1413" w:type="dxa"/>
            <w:noWrap/>
          </w:tcPr>
          <w:p w14:paraId="36FC4296"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G6</w:t>
            </w:r>
          </w:p>
        </w:tc>
        <w:tc>
          <w:tcPr>
            <w:tcW w:w="1417" w:type="dxa"/>
            <w:noWrap/>
          </w:tcPr>
          <w:p w14:paraId="06934BDD"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0.00038</w:t>
            </w:r>
          </w:p>
        </w:tc>
        <w:tc>
          <w:tcPr>
            <w:tcW w:w="1869" w:type="dxa"/>
            <w:noWrap/>
          </w:tcPr>
          <w:p w14:paraId="5BD208D1"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-0.00016</w:t>
            </w:r>
          </w:p>
        </w:tc>
        <w:tc>
          <w:tcPr>
            <w:tcW w:w="1533" w:type="dxa"/>
            <w:noWrap/>
          </w:tcPr>
          <w:p w14:paraId="23A92839"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0.000874</w:t>
            </w:r>
          </w:p>
        </w:tc>
        <w:tc>
          <w:tcPr>
            <w:tcW w:w="1560" w:type="dxa"/>
            <w:noWrap/>
          </w:tcPr>
          <w:p w14:paraId="2B78D492"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0.00042</w:t>
            </w:r>
          </w:p>
        </w:tc>
        <w:tc>
          <w:tcPr>
            <w:tcW w:w="1275" w:type="dxa"/>
            <w:noWrap/>
          </w:tcPr>
          <w:p w14:paraId="557FB1E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0.0206</w:t>
            </w:r>
          </w:p>
        </w:tc>
      </w:tr>
      <w:tr w:rsidR="000D2B0F" w14:paraId="2779FD50" w14:textId="77777777">
        <w:trPr>
          <w:trHeight w:val="286"/>
        </w:trPr>
        <w:tc>
          <w:tcPr>
            <w:tcW w:w="1413" w:type="dxa"/>
            <w:noWrap/>
          </w:tcPr>
          <w:p w14:paraId="1056F974"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Mean</w:t>
            </w:r>
          </w:p>
        </w:tc>
        <w:tc>
          <w:tcPr>
            <w:tcW w:w="1417" w:type="dxa"/>
            <w:noWrap/>
          </w:tcPr>
          <w:p w14:paraId="73AC8AEA"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0.00039</w:t>
            </w:r>
          </w:p>
        </w:tc>
        <w:tc>
          <w:tcPr>
            <w:tcW w:w="1869" w:type="dxa"/>
            <w:noWrap/>
          </w:tcPr>
          <w:p w14:paraId="3D5A208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0.000344</w:t>
            </w:r>
          </w:p>
        </w:tc>
        <w:tc>
          <w:tcPr>
            <w:tcW w:w="1533" w:type="dxa"/>
            <w:noWrap/>
          </w:tcPr>
          <w:p w14:paraId="459FB0A4"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0.000821</w:t>
            </w:r>
          </w:p>
        </w:tc>
        <w:tc>
          <w:tcPr>
            <w:tcW w:w="1560" w:type="dxa"/>
            <w:noWrap/>
          </w:tcPr>
          <w:p w14:paraId="1A48613E"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0.00203</w:t>
            </w:r>
          </w:p>
        </w:tc>
        <w:tc>
          <w:tcPr>
            <w:tcW w:w="1275" w:type="dxa"/>
            <w:noWrap/>
          </w:tcPr>
          <w:p w14:paraId="65C73CF2" w14:textId="77777777" w:rsidR="000D2B0F" w:rsidRDefault="0000000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0.01446</w:t>
            </w:r>
          </w:p>
        </w:tc>
      </w:tr>
    </w:tbl>
    <w:p w14:paraId="0DF7A109" w14:textId="77777777" w:rsidR="000D2B0F" w:rsidRDefault="000D2B0F">
      <w:pPr>
        <w:spacing w:line="240" w:lineRule="auto"/>
        <w:rPr>
          <w:rFonts w:ascii="Arial" w:hAnsi="Arial" w:cs="Arial"/>
          <w:sz w:val="20"/>
          <w:szCs w:val="20"/>
        </w:rPr>
      </w:pPr>
    </w:p>
    <w:p w14:paraId="6FE987DF" w14:textId="77777777" w:rsidR="000D2B0F" w:rsidRDefault="00000000">
      <w:pPr>
        <w:spacing w:line="240" w:lineRule="auto"/>
        <w:jc w:val="both"/>
        <w:rPr>
          <w:rFonts w:ascii="Arial" w:hAnsi="Arial" w:cs="Arial"/>
          <w:bCs/>
          <w:sz w:val="20"/>
          <w:szCs w:val="20"/>
        </w:rPr>
      </w:pPr>
      <w:r>
        <w:rPr>
          <w:rFonts w:ascii="Arial" w:hAnsi="Arial" w:cs="Arial"/>
          <w:bCs/>
          <w:sz w:val="20"/>
          <w:szCs w:val="20"/>
        </w:rPr>
        <w:t>In the present study average Cadmium (Cd) was found 0.000394 mg L</w:t>
      </w:r>
      <w:r>
        <w:rPr>
          <w:rFonts w:ascii="Arial" w:hAnsi="Arial" w:cs="Arial"/>
          <w:bCs/>
          <w:sz w:val="20"/>
          <w:szCs w:val="20"/>
          <w:vertAlign w:val="superscript"/>
        </w:rPr>
        <w:t>-1</w:t>
      </w:r>
      <w:r>
        <w:rPr>
          <w:rFonts w:ascii="Arial" w:hAnsi="Arial" w:cs="Arial"/>
          <w:bCs/>
          <w:sz w:val="20"/>
          <w:szCs w:val="20"/>
        </w:rPr>
        <w:t>. A recent study by (Tamanna and Gupta, 2023) average Cadmium was found for groundwater in Bathinda district of Punjab, India was 0.037 mg L</w:t>
      </w:r>
      <w:r>
        <w:rPr>
          <w:rFonts w:ascii="Arial" w:hAnsi="Arial" w:cs="Arial"/>
          <w:bCs/>
          <w:sz w:val="20"/>
          <w:szCs w:val="20"/>
          <w:vertAlign w:val="superscript"/>
        </w:rPr>
        <w:t>-1</w:t>
      </w:r>
      <w:r>
        <w:rPr>
          <w:rFonts w:ascii="Arial" w:hAnsi="Arial" w:cs="Arial"/>
          <w:bCs/>
          <w:sz w:val="20"/>
          <w:szCs w:val="20"/>
        </w:rPr>
        <w:t xml:space="preserve"> which much higher than current investigations.</w:t>
      </w:r>
      <w:r>
        <w:rPr>
          <w:rFonts w:ascii="Arial" w:hAnsi="Arial" w:cs="Arial"/>
          <w:sz w:val="20"/>
          <w:szCs w:val="20"/>
        </w:rPr>
        <w:t xml:space="preserve"> </w:t>
      </w:r>
      <w:r>
        <w:rPr>
          <w:rFonts w:ascii="Arial" w:hAnsi="Arial" w:cs="Arial"/>
          <w:bCs/>
          <w:sz w:val="20"/>
          <w:szCs w:val="20"/>
        </w:rPr>
        <w:t>The concentration of Cu varied from 0.0000983-0.00425 mg L</w:t>
      </w:r>
      <w:r>
        <w:rPr>
          <w:rFonts w:ascii="Arial" w:hAnsi="Arial" w:cs="Arial"/>
          <w:bCs/>
          <w:sz w:val="20"/>
          <w:szCs w:val="20"/>
          <w:vertAlign w:val="superscript"/>
        </w:rPr>
        <w:t>-1</w:t>
      </w:r>
      <w:r>
        <w:rPr>
          <w:rFonts w:ascii="Arial" w:hAnsi="Arial" w:cs="Arial"/>
          <w:bCs/>
          <w:sz w:val="20"/>
          <w:szCs w:val="20"/>
        </w:rPr>
        <w:t xml:space="preserve"> with an average value of 0.0021 mg L</w:t>
      </w:r>
      <w:r>
        <w:rPr>
          <w:rFonts w:ascii="Arial" w:hAnsi="Arial" w:cs="Arial"/>
          <w:bCs/>
          <w:sz w:val="20"/>
          <w:szCs w:val="20"/>
          <w:vertAlign w:val="superscript"/>
        </w:rPr>
        <w:t>-1</w:t>
      </w:r>
      <w:r>
        <w:rPr>
          <w:rFonts w:ascii="Arial" w:hAnsi="Arial" w:cs="Arial"/>
          <w:bCs/>
          <w:sz w:val="20"/>
          <w:szCs w:val="20"/>
        </w:rPr>
        <w:t xml:space="preserve"> and all of the sample were in acceptable guidelines of WHO (2011).</w:t>
      </w:r>
      <w:r>
        <w:rPr>
          <w:rFonts w:ascii="Arial" w:hAnsi="Arial" w:cs="Arial"/>
          <w:sz w:val="20"/>
          <w:szCs w:val="20"/>
        </w:rPr>
        <w:t xml:space="preserve"> </w:t>
      </w:r>
      <w:r>
        <w:rPr>
          <w:rFonts w:ascii="Arial" w:hAnsi="Arial" w:cs="Arial"/>
          <w:bCs/>
          <w:sz w:val="20"/>
          <w:szCs w:val="20"/>
        </w:rPr>
        <w:t>Groundwater was found to have an average Copper content of 0.41 mg L</w:t>
      </w:r>
      <w:r>
        <w:rPr>
          <w:rFonts w:ascii="Arial" w:hAnsi="Arial" w:cs="Arial"/>
          <w:bCs/>
          <w:sz w:val="20"/>
          <w:szCs w:val="20"/>
          <w:vertAlign w:val="superscript"/>
        </w:rPr>
        <w:t>-1</w:t>
      </w:r>
      <w:r>
        <w:rPr>
          <w:rFonts w:ascii="Arial" w:hAnsi="Arial" w:cs="Arial"/>
          <w:bCs/>
          <w:sz w:val="20"/>
          <w:szCs w:val="20"/>
        </w:rPr>
        <w:t xml:space="preserve"> in a recent study (Ullah et al., 2022) which is much higher than what is reported in present investigations. The average content of </w:t>
      </w:r>
      <w:proofErr w:type="gramStart"/>
      <w:r>
        <w:rPr>
          <w:rFonts w:ascii="Arial" w:hAnsi="Arial" w:cs="Arial"/>
          <w:bCs/>
          <w:sz w:val="20"/>
          <w:szCs w:val="20"/>
        </w:rPr>
        <w:t>Copper</w:t>
      </w:r>
      <w:proofErr w:type="gramEnd"/>
      <w:r>
        <w:rPr>
          <w:rFonts w:ascii="Arial" w:hAnsi="Arial" w:cs="Arial"/>
          <w:bCs/>
          <w:sz w:val="20"/>
          <w:szCs w:val="20"/>
        </w:rPr>
        <w:t xml:space="preserve"> in southern Italian groundwater was found to be 0.00387 mg L</w:t>
      </w:r>
      <w:r>
        <w:rPr>
          <w:rFonts w:ascii="Arial" w:hAnsi="Arial" w:cs="Arial"/>
          <w:bCs/>
          <w:sz w:val="20"/>
          <w:szCs w:val="20"/>
          <w:vertAlign w:val="superscript"/>
        </w:rPr>
        <w:t>-1</w:t>
      </w:r>
      <w:r>
        <w:rPr>
          <w:rFonts w:ascii="Arial" w:hAnsi="Arial" w:cs="Arial"/>
          <w:bCs/>
          <w:sz w:val="20"/>
          <w:szCs w:val="20"/>
        </w:rPr>
        <w:t xml:space="preserve"> in a study by Triassi et al., (2023), which is much higher than the current research.</w:t>
      </w:r>
      <w:r>
        <w:rPr>
          <w:rFonts w:ascii="Arial" w:hAnsi="Arial" w:cs="Arial"/>
          <w:sz w:val="20"/>
          <w:szCs w:val="20"/>
        </w:rPr>
        <w:t xml:space="preserve"> </w:t>
      </w:r>
      <w:r>
        <w:rPr>
          <w:rFonts w:ascii="Arial" w:hAnsi="Arial" w:cs="Arial"/>
          <w:bCs/>
          <w:sz w:val="20"/>
          <w:szCs w:val="20"/>
        </w:rPr>
        <w:t>A recent study (Ullah et al., 2022) indicated that the average Zinc (Zn) content of groundwater was 1.07 mg L</w:t>
      </w:r>
      <w:r>
        <w:rPr>
          <w:rFonts w:ascii="Arial" w:hAnsi="Arial" w:cs="Arial"/>
          <w:bCs/>
          <w:sz w:val="20"/>
          <w:szCs w:val="20"/>
          <w:vertAlign w:val="superscript"/>
        </w:rPr>
        <w:t>-1</w:t>
      </w:r>
      <w:r>
        <w:rPr>
          <w:rFonts w:ascii="Arial" w:hAnsi="Arial" w:cs="Arial"/>
          <w:bCs/>
          <w:sz w:val="20"/>
          <w:szCs w:val="20"/>
        </w:rPr>
        <w:t xml:space="preserve">, which is significantly greater than what is reported in current investigations. The average Chromium and Cobalt level in the southwest portion of the </w:t>
      </w:r>
      <w:proofErr w:type="spellStart"/>
      <w:r>
        <w:rPr>
          <w:rFonts w:ascii="Arial" w:hAnsi="Arial" w:cs="Arial"/>
          <w:bCs/>
          <w:sz w:val="20"/>
          <w:szCs w:val="20"/>
        </w:rPr>
        <w:t>Cuddapah</w:t>
      </w:r>
      <w:proofErr w:type="spellEnd"/>
      <w:r>
        <w:rPr>
          <w:rFonts w:ascii="Arial" w:hAnsi="Arial" w:cs="Arial"/>
          <w:bCs/>
          <w:sz w:val="20"/>
          <w:szCs w:val="20"/>
        </w:rPr>
        <w:t xml:space="preserve"> Basin in South India was determined to be 0.0016 mg L</w:t>
      </w:r>
      <w:r>
        <w:rPr>
          <w:rFonts w:ascii="Arial" w:hAnsi="Arial" w:cs="Arial"/>
          <w:bCs/>
          <w:sz w:val="20"/>
          <w:szCs w:val="20"/>
          <w:vertAlign w:val="superscript"/>
        </w:rPr>
        <w:t>-1</w:t>
      </w:r>
      <w:r>
        <w:rPr>
          <w:rFonts w:ascii="Arial" w:hAnsi="Arial" w:cs="Arial"/>
          <w:bCs/>
          <w:sz w:val="20"/>
          <w:szCs w:val="20"/>
        </w:rPr>
        <w:t xml:space="preserve"> and 0.011 mg L</w:t>
      </w:r>
      <w:r>
        <w:rPr>
          <w:rFonts w:ascii="Arial" w:hAnsi="Arial" w:cs="Arial"/>
          <w:bCs/>
          <w:sz w:val="20"/>
          <w:szCs w:val="20"/>
          <w:vertAlign w:val="superscript"/>
        </w:rPr>
        <w:t>-1</w:t>
      </w:r>
      <w:r>
        <w:rPr>
          <w:rFonts w:ascii="Arial" w:hAnsi="Arial" w:cs="Arial"/>
          <w:bCs/>
          <w:sz w:val="20"/>
          <w:szCs w:val="20"/>
        </w:rPr>
        <w:t xml:space="preserve"> in a study by Reddy and Sunitha (2023), which is likewise higher than the amount obtained in this study.</w:t>
      </w:r>
    </w:p>
    <w:p w14:paraId="6D0E594A" w14:textId="77777777" w:rsidR="000D2B0F" w:rsidRDefault="00000000">
      <w:pPr>
        <w:spacing w:line="240" w:lineRule="auto"/>
        <w:rPr>
          <w:rFonts w:ascii="Arial" w:hAnsi="Arial" w:cs="Arial"/>
          <w:b/>
        </w:rPr>
      </w:pPr>
      <w:r>
        <w:rPr>
          <w:rFonts w:ascii="Arial" w:hAnsi="Arial" w:cs="Arial"/>
          <w:b/>
        </w:rPr>
        <w:t>3.4 Pearson’s correlation matrix of different Heavy metals</w:t>
      </w:r>
    </w:p>
    <w:p w14:paraId="5A845FA5" w14:textId="77777777" w:rsidR="000D2B0F" w:rsidRDefault="00000000">
      <w:pPr>
        <w:spacing w:line="240" w:lineRule="auto"/>
        <w:jc w:val="both"/>
        <w:rPr>
          <w:rFonts w:ascii="Arial" w:hAnsi="Arial" w:cs="Arial"/>
          <w:sz w:val="20"/>
          <w:szCs w:val="20"/>
        </w:rPr>
      </w:pPr>
      <w:r>
        <w:rPr>
          <w:rFonts w:ascii="Arial" w:hAnsi="Arial" w:cs="Arial"/>
          <w:sz w:val="20"/>
          <w:szCs w:val="20"/>
        </w:rPr>
        <w:t>To determine the coherence pattern and interrelationships between the selected variables, as shown in Table 4, the correlation coefficient matrix (r) was computed taking the significance level into account. A very strong correlation ranged indicate 0.74 to 0.93 (Table 4).</w:t>
      </w:r>
    </w:p>
    <w:p w14:paraId="23562F36" w14:textId="77777777" w:rsidR="000D2B0F" w:rsidRDefault="00000000">
      <w:pPr>
        <w:spacing w:after="100" w:afterAutospacing="1" w:line="240" w:lineRule="auto"/>
        <w:jc w:val="both"/>
        <w:rPr>
          <w:rFonts w:ascii="Arial" w:hAnsi="Arial" w:cs="Arial"/>
          <w:b/>
          <w:sz w:val="20"/>
          <w:szCs w:val="20"/>
        </w:rPr>
      </w:pPr>
      <w:r>
        <w:rPr>
          <w:rFonts w:ascii="Arial" w:hAnsi="Arial" w:cs="Arial"/>
          <w:b/>
          <w:sz w:val="20"/>
          <w:szCs w:val="20"/>
        </w:rPr>
        <w:t>Table 4. Pearson’s correlation matrix of different heavy metals in groundwater</w:t>
      </w:r>
    </w:p>
    <w:tbl>
      <w:tblPr>
        <w:tblW w:w="5000" w:type="pct"/>
        <w:tblLook w:val="04A0" w:firstRow="1" w:lastRow="0" w:firstColumn="1" w:lastColumn="0" w:noHBand="0" w:noVBand="1"/>
      </w:tblPr>
      <w:tblGrid>
        <w:gridCol w:w="1250"/>
        <w:gridCol w:w="863"/>
        <w:gridCol w:w="863"/>
        <w:gridCol w:w="760"/>
        <w:gridCol w:w="863"/>
        <w:gridCol w:w="760"/>
        <w:gridCol w:w="863"/>
        <w:gridCol w:w="696"/>
        <w:gridCol w:w="761"/>
        <w:gridCol w:w="696"/>
        <w:gridCol w:w="696"/>
      </w:tblGrid>
      <w:tr w:rsidR="000D2B0F" w14:paraId="5EA55E05" w14:textId="77777777" w:rsidTr="003F0792">
        <w:trPr>
          <w:trHeight w:val="235"/>
        </w:trPr>
        <w:tc>
          <w:tcPr>
            <w:tcW w:w="620" w:type="pct"/>
            <w:tcBorders>
              <w:top w:val="single" w:sz="4" w:space="0" w:color="auto"/>
              <w:left w:val="nil"/>
              <w:bottom w:val="single" w:sz="4" w:space="0" w:color="auto"/>
              <w:right w:val="nil"/>
            </w:tcBorders>
            <w:shd w:val="clear" w:color="auto" w:fill="auto"/>
            <w:noWrap/>
            <w:vAlign w:val="bottom"/>
          </w:tcPr>
          <w:p w14:paraId="3C5DDE2B"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Parameters</w:t>
            </w:r>
          </w:p>
        </w:tc>
        <w:tc>
          <w:tcPr>
            <w:tcW w:w="483" w:type="pct"/>
            <w:tcBorders>
              <w:top w:val="single" w:sz="4" w:space="0" w:color="auto"/>
              <w:left w:val="nil"/>
              <w:bottom w:val="single" w:sz="4" w:space="0" w:color="auto"/>
              <w:right w:val="nil"/>
            </w:tcBorders>
            <w:shd w:val="clear" w:color="auto" w:fill="auto"/>
            <w:noWrap/>
            <w:vAlign w:val="bottom"/>
          </w:tcPr>
          <w:p w14:paraId="7820F042"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As </w:t>
            </w:r>
          </w:p>
        </w:tc>
        <w:tc>
          <w:tcPr>
            <w:tcW w:w="483" w:type="pct"/>
            <w:tcBorders>
              <w:top w:val="single" w:sz="4" w:space="0" w:color="auto"/>
              <w:left w:val="nil"/>
              <w:bottom w:val="single" w:sz="4" w:space="0" w:color="auto"/>
              <w:right w:val="nil"/>
            </w:tcBorders>
            <w:shd w:val="clear" w:color="auto" w:fill="auto"/>
            <w:noWrap/>
            <w:vAlign w:val="bottom"/>
          </w:tcPr>
          <w:p w14:paraId="22AE0F9C"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Cd </w:t>
            </w:r>
          </w:p>
        </w:tc>
        <w:tc>
          <w:tcPr>
            <w:tcW w:w="426" w:type="pct"/>
            <w:tcBorders>
              <w:top w:val="single" w:sz="4" w:space="0" w:color="auto"/>
              <w:left w:val="nil"/>
              <w:bottom w:val="single" w:sz="4" w:space="0" w:color="auto"/>
              <w:right w:val="nil"/>
            </w:tcBorders>
            <w:shd w:val="clear" w:color="auto" w:fill="auto"/>
            <w:noWrap/>
            <w:vAlign w:val="bottom"/>
          </w:tcPr>
          <w:p w14:paraId="0A99A26D"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Co </w:t>
            </w:r>
          </w:p>
        </w:tc>
        <w:tc>
          <w:tcPr>
            <w:tcW w:w="483" w:type="pct"/>
            <w:tcBorders>
              <w:top w:val="single" w:sz="4" w:space="0" w:color="auto"/>
              <w:left w:val="nil"/>
              <w:bottom w:val="single" w:sz="4" w:space="0" w:color="auto"/>
              <w:right w:val="nil"/>
            </w:tcBorders>
            <w:shd w:val="clear" w:color="auto" w:fill="auto"/>
            <w:noWrap/>
            <w:vAlign w:val="bottom"/>
          </w:tcPr>
          <w:p w14:paraId="42F8DF67"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Cr </w:t>
            </w:r>
          </w:p>
        </w:tc>
        <w:tc>
          <w:tcPr>
            <w:tcW w:w="426" w:type="pct"/>
            <w:tcBorders>
              <w:top w:val="single" w:sz="4" w:space="0" w:color="auto"/>
              <w:left w:val="nil"/>
              <w:bottom w:val="single" w:sz="4" w:space="0" w:color="auto"/>
              <w:right w:val="nil"/>
            </w:tcBorders>
            <w:shd w:val="clear" w:color="auto" w:fill="auto"/>
            <w:noWrap/>
            <w:vAlign w:val="bottom"/>
          </w:tcPr>
          <w:p w14:paraId="609F47E9"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Cu </w:t>
            </w:r>
          </w:p>
        </w:tc>
        <w:tc>
          <w:tcPr>
            <w:tcW w:w="483" w:type="pct"/>
            <w:tcBorders>
              <w:top w:val="single" w:sz="4" w:space="0" w:color="auto"/>
              <w:left w:val="nil"/>
              <w:bottom w:val="single" w:sz="4" w:space="0" w:color="auto"/>
              <w:right w:val="nil"/>
            </w:tcBorders>
            <w:shd w:val="clear" w:color="auto" w:fill="auto"/>
            <w:noWrap/>
            <w:vAlign w:val="bottom"/>
          </w:tcPr>
          <w:p w14:paraId="59969926"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Fe </w:t>
            </w:r>
          </w:p>
        </w:tc>
        <w:tc>
          <w:tcPr>
            <w:tcW w:w="390" w:type="pct"/>
            <w:tcBorders>
              <w:top w:val="single" w:sz="4" w:space="0" w:color="auto"/>
              <w:left w:val="nil"/>
              <w:bottom w:val="single" w:sz="4" w:space="0" w:color="auto"/>
              <w:right w:val="nil"/>
            </w:tcBorders>
            <w:shd w:val="clear" w:color="auto" w:fill="auto"/>
            <w:noWrap/>
            <w:vAlign w:val="bottom"/>
          </w:tcPr>
          <w:p w14:paraId="017E290A"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Mn </w:t>
            </w:r>
          </w:p>
        </w:tc>
        <w:tc>
          <w:tcPr>
            <w:tcW w:w="426" w:type="pct"/>
            <w:tcBorders>
              <w:top w:val="single" w:sz="4" w:space="0" w:color="auto"/>
              <w:left w:val="nil"/>
              <w:bottom w:val="single" w:sz="4" w:space="0" w:color="auto"/>
              <w:right w:val="nil"/>
            </w:tcBorders>
            <w:shd w:val="clear" w:color="auto" w:fill="auto"/>
            <w:noWrap/>
            <w:vAlign w:val="bottom"/>
          </w:tcPr>
          <w:p w14:paraId="5FF91D21"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Ni </w:t>
            </w:r>
          </w:p>
        </w:tc>
        <w:tc>
          <w:tcPr>
            <w:tcW w:w="390" w:type="pct"/>
            <w:tcBorders>
              <w:top w:val="single" w:sz="4" w:space="0" w:color="auto"/>
              <w:left w:val="nil"/>
              <w:bottom w:val="single" w:sz="4" w:space="0" w:color="auto"/>
              <w:right w:val="nil"/>
            </w:tcBorders>
            <w:shd w:val="clear" w:color="auto" w:fill="auto"/>
            <w:noWrap/>
            <w:vAlign w:val="bottom"/>
          </w:tcPr>
          <w:p w14:paraId="72DF532D"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 xml:space="preserve">Pb </w:t>
            </w:r>
          </w:p>
        </w:tc>
        <w:tc>
          <w:tcPr>
            <w:tcW w:w="390" w:type="pct"/>
            <w:tcBorders>
              <w:top w:val="single" w:sz="4" w:space="0" w:color="auto"/>
              <w:left w:val="nil"/>
              <w:bottom w:val="single" w:sz="4" w:space="0" w:color="auto"/>
              <w:right w:val="nil"/>
            </w:tcBorders>
            <w:shd w:val="clear" w:color="auto" w:fill="auto"/>
            <w:noWrap/>
            <w:vAlign w:val="bottom"/>
          </w:tcPr>
          <w:p w14:paraId="7C86E8FE" w14:textId="77777777" w:rsidR="000D2B0F" w:rsidRDefault="00000000">
            <w:pPr>
              <w:spacing w:after="0" w:line="240" w:lineRule="auto"/>
              <w:jc w:val="center"/>
              <w:rPr>
                <w:rFonts w:ascii="Arial" w:eastAsia="Times New Roman" w:hAnsi="Arial" w:cs="Arial"/>
                <w:iCs/>
                <w:sz w:val="20"/>
                <w:szCs w:val="20"/>
              </w:rPr>
            </w:pPr>
            <w:r>
              <w:rPr>
                <w:rFonts w:ascii="Arial" w:eastAsia="Times New Roman" w:hAnsi="Arial" w:cs="Arial"/>
                <w:iCs/>
                <w:sz w:val="20"/>
                <w:szCs w:val="20"/>
              </w:rPr>
              <w:t>Zn</w:t>
            </w:r>
          </w:p>
        </w:tc>
      </w:tr>
      <w:tr w:rsidR="000D2B0F" w14:paraId="6F6DA2C5" w14:textId="77777777" w:rsidTr="003F0792">
        <w:trPr>
          <w:trHeight w:val="235"/>
        </w:trPr>
        <w:tc>
          <w:tcPr>
            <w:tcW w:w="620" w:type="pct"/>
            <w:tcBorders>
              <w:top w:val="nil"/>
              <w:left w:val="nil"/>
              <w:bottom w:val="nil"/>
              <w:right w:val="nil"/>
            </w:tcBorders>
            <w:shd w:val="clear" w:color="auto" w:fill="auto"/>
            <w:noWrap/>
            <w:vAlign w:val="bottom"/>
          </w:tcPr>
          <w:p w14:paraId="0914C880"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As </w:t>
            </w:r>
          </w:p>
        </w:tc>
        <w:tc>
          <w:tcPr>
            <w:tcW w:w="483" w:type="pct"/>
            <w:tcBorders>
              <w:top w:val="nil"/>
              <w:left w:val="nil"/>
              <w:bottom w:val="nil"/>
              <w:right w:val="nil"/>
            </w:tcBorders>
            <w:shd w:val="clear" w:color="auto" w:fill="auto"/>
            <w:noWrap/>
            <w:vAlign w:val="bottom"/>
          </w:tcPr>
          <w:p w14:paraId="7D5C9270"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483" w:type="pct"/>
            <w:tcBorders>
              <w:top w:val="nil"/>
              <w:left w:val="nil"/>
              <w:bottom w:val="nil"/>
              <w:right w:val="nil"/>
            </w:tcBorders>
            <w:shd w:val="clear" w:color="auto" w:fill="auto"/>
            <w:noWrap/>
            <w:vAlign w:val="bottom"/>
          </w:tcPr>
          <w:p w14:paraId="636ADEE0" w14:textId="77777777" w:rsidR="000D2B0F" w:rsidRDefault="000D2B0F">
            <w:pPr>
              <w:spacing w:after="0" w:line="240" w:lineRule="auto"/>
              <w:jc w:val="right"/>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15F531E3" w14:textId="77777777" w:rsidR="000D2B0F" w:rsidRDefault="000D2B0F">
            <w:pPr>
              <w:spacing w:after="0" w:line="240" w:lineRule="auto"/>
              <w:rPr>
                <w:rFonts w:ascii="Arial" w:eastAsia="Times New Roman" w:hAnsi="Arial" w:cs="Arial"/>
                <w:sz w:val="20"/>
                <w:szCs w:val="20"/>
              </w:rPr>
            </w:pPr>
          </w:p>
        </w:tc>
        <w:tc>
          <w:tcPr>
            <w:tcW w:w="483" w:type="pct"/>
            <w:tcBorders>
              <w:top w:val="nil"/>
              <w:left w:val="nil"/>
              <w:bottom w:val="nil"/>
              <w:right w:val="nil"/>
            </w:tcBorders>
            <w:shd w:val="clear" w:color="auto" w:fill="auto"/>
            <w:noWrap/>
            <w:vAlign w:val="bottom"/>
          </w:tcPr>
          <w:p w14:paraId="7A878443" w14:textId="77777777" w:rsidR="000D2B0F" w:rsidRDefault="000D2B0F">
            <w:pPr>
              <w:spacing w:after="0" w:line="240" w:lineRule="auto"/>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3BEA0463" w14:textId="77777777" w:rsidR="000D2B0F" w:rsidRDefault="000D2B0F">
            <w:pPr>
              <w:spacing w:after="0" w:line="240" w:lineRule="auto"/>
              <w:rPr>
                <w:rFonts w:ascii="Arial" w:eastAsia="Times New Roman" w:hAnsi="Arial" w:cs="Arial"/>
                <w:sz w:val="20"/>
                <w:szCs w:val="20"/>
              </w:rPr>
            </w:pPr>
          </w:p>
        </w:tc>
        <w:tc>
          <w:tcPr>
            <w:tcW w:w="483" w:type="pct"/>
            <w:tcBorders>
              <w:top w:val="nil"/>
              <w:left w:val="nil"/>
              <w:bottom w:val="nil"/>
              <w:right w:val="nil"/>
            </w:tcBorders>
            <w:shd w:val="clear" w:color="auto" w:fill="auto"/>
            <w:noWrap/>
            <w:vAlign w:val="bottom"/>
          </w:tcPr>
          <w:p w14:paraId="1BB72228"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5BA62A5A" w14:textId="77777777" w:rsidR="000D2B0F" w:rsidRDefault="000D2B0F">
            <w:pPr>
              <w:spacing w:after="0" w:line="240" w:lineRule="auto"/>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10B3A606"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56F4FA29"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0F2DE9C3" w14:textId="77777777" w:rsidR="000D2B0F" w:rsidRDefault="000D2B0F">
            <w:pPr>
              <w:spacing w:after="0" w:line="240" w:lineRule="auto"/>
              <w:rPr>
                <w:rFonts w:ascii="Arial" w:eastAsia="Times New Roman" w:hAnsi="Arial" w:cs="Arial"/>
                <w:sz w:val="20"/>
                <w:szCs w:val="20"/>
              </w:rPr>
            </w:pPr>
          </w:p>
        </w:tc>
      </w:tr>
      <w:tr w:rsidR="000D2B0F" w14:paraId="78BF1C98" w14:textId="77777777" w:rsidTr="003F0792">
        <w:trPr>
          <w:trHeight w:val="235"/>
        </w:trPr>
        <w:tc>
          <w:tcPr>
            <w:tcW w:w="620" w:type="pct"/>
            <w:tcBorders>
              <w:top w:val="nil"/>
              <w:left w:val="nil"/>
              <w:bottom w:val="nil"/>
              <w:right w:val="nil"/>
            </w:tcBorders>
            <w:shd w:val="clear" w:color="auto" w:fill="auto"/>
            <w:noWrap/>
            <w:vAlign w:val="bottom"/>
          </w:tcPr>
          <w:p w14:paraId="5C0A63F7"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Cd </w:t>
            </w:r>
          </w:p>
        </w:tc>
        <w:tc>
          <w:tcPr>
            <w:tcW w:w="483" w:type="pct"/>
            <w:tcBorders>
              <w:top w:val="nil"/>
              <w:left w:val="nil"/>
              <w:bottom w:val="nil"/>
              <w:right w:val="nil"/>
            </w:tcBorders>
            <w:shd w:val="clear" w:color="auto" w:fill="auto"/>
            <w:noWrap/>
            <w:vAlign w:val="bottom"/>
          </w:tcPr>
          <w:p w14:paraId="15A9D313"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-0.25</w:t>
            </w:r>
          </w:p>
        </w:tc>
        <w:tc>
          <w:tcPr>
            <w:tcW w:w="483" w:type="pct"/>
            <w:tcBorders>
              <w:top w:val="nil"/>
              <w:left w:val="nil"/>
              <w:bottom w:val="nil"/>
              <w:right w:val="nil"/>
            </w:tcBorders>
            <w:shd w:val="clear" w:color="auto" w:fill="auto"/>
            <w:noWrap/>
            <w:vAlign w:val="bottom"/>
          </w:tcPr>
          <w:p w14:paraId="2F13394C"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426" w:type="pct"/>
            <w:tcBorders>
              <w:top w:val="nil"/>
              <w:left w:val="nil"/>
              <w:bottom w:val="nil"/>
              <w:right w:val="nil"/>
            </w:tcBorders>
            <w:shd w:val="clear" w:color="auto" w:fill="auto"/>
            <w:noWrap/>
            <w:vAlign w:val="bottom"/>
          </w:tcPr>
          <w:p w14:paraId="0F89F7B2" w14:textId="77777777" w:rsidR="000D2B0F" w:rsidRDefault="000D2B0F">
            <w:pPr>
              <w:spacing w:after="0" w:line="240" w:lineRule="auto"/>
              <w:jc w:val="right"/>
              <w:rPr>
                <w:rFonts w:ascii="Arial" w:eastAsia="Times New Roman" w:hAnsi="Arial" w:cs="Arial"/>
                <w:sz w:val="20"/>
                <w:szCs w:val="20"/>
              </w:rPr>
            </w:pPr>
          </w:p>
        </w:tc>
        <w:tc>
          <w:tcPr>
            <w:tcW w:w="483" w:type="pct"/>
            <w:tcBorders>
              <w:top w:val="nil"/>
              <w:left w:val="nil"/>
              <w:bottom w:val="nil"/>
              <w:right w:val="nil"/>
            </w:tcBorders>
            <w:shd w:val="clear" w:color="auto" w:fill="auto"/>
            <w:noWrap/>
            <w:vAlign w:val="bottom"/>
          </w:tcPr>
          <w:p w14:paraId="3AF02E66" w14:textId="77777777" w:rsidR="000D2B0F" w:rsidRDefault="000D2B0F">
            <w:pPr>
              <w:spacing w:after="0" w:line="240" w:lineRule="auto"/>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2B30C484" w14:textId="77777777" w:rsidR="000D2B0F" w:rsidRDefault="000D2B0F">
            <w:pPr>
              <w:spacing w:after="0" w:line="240" w:lineRule="auto"/>
              <w:rPr>
                <w:rFonts w:ascii="Arial" w:eastAsia="Times New Roman" w:hAnsi="Arial" w:cs="Arial"/>
                <w:sz w:val="20"/>
                <w:szCs w:val="20"/>
              </w:rPr>
            </w:pPr>
          </w:p>
        </w:tc>
        <w:tc>
          <w:tcPr>
            <w:tcW w:w="483" w:type="pct"/>
            <w:tcBorders>
              <w:top w:val="nil"/>
              <w:left w:val="nil"/>
              <w:bottom w:val="nil"/>
              <w:right w:val="nil"/>
            </w:tcBorders>
            <w:shd w:val="clear" w:color="auto" w:fill="auto"/>
            <w:noWrap/>
            <w:vAlign w:val="bottom"/>
          </w:tcPr>
          <w:p w14:paraId="08EFBE0B"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705A6769" w14:textId="77777777" w:rsidR="000D2B0F" w:rsidRDefault="000D2B0F">
            <w:pPr>
              <w:spacing w:after="0" w:line="240" w:lineRule="auto"/>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573E28EB"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06B4B04B"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5CDBD675" w14:textId="77777777" w:rsidR="000D2B0F" w:rsidRDefault="000D2B0F">
            <w:pPr>
              <w:spacing w:after="0" w:line="240" w:lineRule="auto"/>
              <w:rPr>
                <w:rFonts w:ascii="Arial" w:eastAsia="Times New Roman" w:hAnsi="Arial" w:cs="Arial"/>
                <w:sz w:val="20"/>
                <w:szCs w:val="20"/>
              </w:rPr>
            </w:pPr>
          </w:p>
        </w:tc>
      </w:tr>
      <w:tr w:rsidR="000D2B0F" w14:paraId="35778F0E" w14:textId="77777777" w:rsidTr="003F0792">
        <w:trPr>
          <w:trHeight w:val="235"/>
        </w:trPr>
        <w:tc>
          <w:tcPr>
            <w:tcW w:w="620" w:type="pct"/>
            <w:tcBorders>
              <w:top w:val="nil"/>
              <w:left w:val="nil"/>
              <w:bottom w:val="nil"/>
              <w:right w:val="nil"/>
            </w:tcBorders>
            <w:shd w:val="clear" w:color="auto" w:fill="auto"/>
            <w:noWrap/>
            <w:vAlign w:val="bottom"/>
          </w:tcPr>
          <w:p w14:paraId="56B8E81B"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Co </w:t>
            </w:r>
          </w:p>
        </w:tc>
        <w:tc>
          <w:tcPr>
            <w:tcW w:w="483" w:type="pct"/>
            <w:tcBorders>
              <w:top w:val="nil"/>
              <w:left w:val="nil"/>
              <w:bottom w:val="nil"/>
              <w:right w:val="nil"/>
            </w:tcBorders>
            <w:shd w:val="clear" w:color="auto" w:fill="auto"/>
            <w:noWrap/>
            <w:vAlign w:val="bottom"/>
          </w:tcPr>
          <w:p w14:paraId="0EAD3B70"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-0.32</w:t>
            </w:r>
          </w:p>
        </w:tc>
        <w:tc>
          <w:tcPr>
            <w:tcW w:w="483" w:type="pct"/>
            <w:tcBorders>
              <w:top w:val="nil"/>
              <w:left w:val="nil"/>
              <w:bottom w:val="nil"/>
              <w:right w:val="nil"/>
            </w:tcBorders>
            <w:shd w:val="clear" w:color="auto" w:fill="auto"/>
            <w:noWrap/>
            <w:vAlign w:val="bottom"/>
          </w:tcPr>
          <w:p w14:paraId="26CDF32F"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0.76**</w:t>
            </w:r>
          </w:p>
        </w:tc>
        <w:tc>
          <w:tcPr>
            <w:tcW w:w="426" w:type="pct"/>
            <w:tcBorders>
              <w:top w:val="nil"/>
              <w:left w:val="nil"/>
              <w:bottom w:val="nil"/>
              <w:right w:val="nil"/>
            </w:tcBorders>
            <w:shd w:val="clear" w:color="auto" w:fill="auto"/>
            <w:noWrap/>
            <w:vAlign w:val="bottom"/>
          </w:tcPr>
          <w:p w14:paraId="45F70E17"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483" w:type="pct"/>
            <w:tcBorders>
              <w:top w:val="nil"/>
              <w:left w:val="nil"/>
              <w:bottom w:val="nil"/>
              <w:right w:val="nil"/>
            </w:tcBorders>
            <w:shd w:val="clear" w:color="auto" w:fill="auto"/>
            <w:noWrap/>
            <w:vAlign w:val="bottom"/>
          </w:tcPr>
          <w:p w14:paraId="31E47527" w14:textId="77777777" w:rsidR="000D2B0F" w:rsidRDefault="000D2B0F">
            <w:pPr>
              <w:spacing w:after="0" w:line="240" w:lineRule="auto"/>
              <w:jc w:val="right"/>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246F291E" w14:textId="77777777" w:rsidR="000D2B0F" w:rsidRDefault="000D2B0F">
            <w:pPr>
              <w:spacing w:after="0" w:line="240" w:lineRule="auto"/>
              <w:rPr>
                <w:rFonts w:ascii="Arial" w:eastAsia="Times New Roman" w:hAnsi="Arial" w:cs="Arial"/>
                <w:sz w:val="20"/>
                <w:szCs w:val="20"/>
              </w:rPr>
            </w:pPr>
          </w:p>
        </w:tc>
        <w:tc>
          <w:tcPr>
            <w:tcW w:w="483" w:type="pct"/>
            <w:tcBorders>
              <w:top w:val="nil"/>
              <w:left w:val="nil"/>
              <w:bottom w:val="nil"/>
              <w:right w:val="nil"/>
            </w:tcBorders>
            <w:shd w:val="clear" w:color="auto" w:fill="auto"/>
            <w:noWrap/>
            <w:vAlign w:val="bottom"/>
          </w:tcPr>
          <w:p w14:paraId="57893678"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45FB79E0" w14:textId="77777777" w:rsidR="000D2B0F" w:rsidRDefault="000D2B0F">
            <w:pPr>
              <w:spacing w:after="0" w:line="240" w:lineRule="auto"/>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5B7F6FDF"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42F3B4A0"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1A652635" w14:textId="77777777" w:rsidR="000D2B0F" w:rsidRDefault="000D2B0F">
            <w:pPr>
              <w:spacing w:after="0" w:line="240" w:lineRule="auto"/>
              <w:rPr>
                <w:rFonts w:ascii="Arial" w:eastAsia="Times New Roman" w:hAnsi="Arial" w:cs="Arial"/>
                <w:sz w:val="20"/>
                <w:szCs w:val="20"/>
              </w:rPr>
            </w:pPr>
          </w:p>
        </w:tc>
      </w:tr>
      <w:tr w:rsidR="000D2B0F" w14:paraId="4C0173B9" w14:textId="77777777" w:rsidTr="003F0792">
        <w:trPr>
          <w:trHeight w:val="235"/>
        </w:trPr>
        <w:tc>
          <w:tcPr>
            <w:tcW w:w="620" w:type="pct"/>
            <w:tcBorders>
              <w:top w:val="nil"/>
              <w:left w:val="nil"/>
              <w:bottom w:val="nil"/>
              <w:right w:val="nil"/>
            </w:tcBorders>
            <w:shd w:val="clear" w:color="auto" w:fill="auto"/>
            <w:noWrap/>
            <w:vAlign w:val="bottom"/>
          </w:tcPr>
          <w:p w14:paraId="46B7D0B8"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Cr </w:t>
            </w:r>
          </w:p>
        </w:tc>
        <w:tc>
          <w:tcPr>
            <w:tcW w:w="483" w:type="pct"/>
            <w:tcBorders>
              <w:top w:val="nil"/>
              <w:left w:val="nil"/>
              <w:bottom w:val="nil"/>
              <w:right w:val="nil"/>
            </w:tcBorders>
            <w:shd w:val="clear" w:color="auto" w:fill="auto"/>
            <w:noWrap/>
            <w:vAlign w:val="bottom"/>
          </w:tcPr>
          <w:p w14:paraId="14CF0B5F"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0.89**</w:t>
            </w:r>
          </w:p>
        </w:tc>
        <w:tc>
          <w:tcPr>
            <w:tcW w:w="483" w:type="pct"/>
            <w:tcBorders>
              <w:top w:val="nil"/>
              <w:left w:val="nil"/>
              <w:bottom w:val="nil"/>
              <w:right w:val="nil"/>
            </w:tcBorders>
            <w:shd w:val="clear" w:color="auto" w:fill="auto"/>
            <w:noWrap/>
            <w:vAlign w:val="bottom"/>
          </w:tcPr>
          <w:p w14:paraId="65F3FDE5"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-0.24</w:t>
            </w:r>
          </w:p>
        </w:tc>
        <w:tc>
          <w:tcPr>
            <w:tcW w:w="426" w:type="pct"/>
            <w:tcBorders>
              <w:top w:val="nil"/>
              <w:left w:val="nil"/>
              <w:bottom w:val="nil"/>
              <w:right w:val="nil"/>
            </w:tcBorders>
            <w:shd w:val="clear" w:color="auto" w:fill="auto"/>
            <w:noWrap/>
            <w:vAlign w:val="bottom"/>
          </w:tcPr>
          <w:p w14:paraId="5C6037D8"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-0.05</w:t>
            </w:r>
          </w:p>
        </w:tc>
        <w:tc>
          <w:tcPr>
            <w:tcW w:w="483" w:type="pct"/>
            <w:tcBorders>
              <w:top w:val="nil"/>
              <w:left w:val="nil"/>
              <w:bottom w:val="nil"/>
              <w:right w:val="nil"/>
            </w:tcBorders>
            <w:shd w:val="clear" w:color="auto" w:fill="auto"/>
            <w:noWrap/>
            <w:vAlign w:val="bottom"/>
          </w:tcPr>
          <w:p w14:paraId="724B4AC2"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426" w:type="pct"/>
            <w:tcBorders>
              <w:top w:val="nil"/>
              <w:left w:val="nil"/>
              <w:bottom w:val="nil"/>
              <w:right w:val="nil"/>
            </w:tcBorders>
            <w:shd w:val="clear" w:color="auto" w:fill="auto"/>
            <w:noWrap/>
            <w:vAlign w:val="bottom"/>
          </w:tcPr>
          <w:p w14:paraId="4D7FE6E4" w14:textId="77777777" w:rsidR="000D2B0F" w:rsidRDefault="000D2B0F">
            <w:pPr>
              <w:spacing w:after="0" w:line="240" w:lineRule="auto"/>
              <w:jc w:val="right"/>
              <w:rPr>
                <w:rFonts w:ascii="Arial" w:eastAsia="Times New Roman" w:hAnsi="Arial" w:cs="Arial"/>
                <w:sz w:val="20"/>
                <w:szCs w:val="20"/>
              </w:rPr>
            </w:pPr>
          </w:p>
        </w:tc>
        <w:tc>
          <w:tcPr>
            <w:tcW w:w="483" w:type="pct"/>
            <w:tcBorders>
              <w:top w:val="nil"/>
              <w:left w:val="nil"/>
              <w:bottom w:val="nil"/>
              <w:right w:val="nil"/>
            </w:tcBorders>
            <w:shd w:val="clear" w:color="auto" w:fill="auto"/>
            <w:noWrap/>
            <w:vAlign w:val="bottom"/>
          </w:tcPr>
          <w:p w14:paraId="3EC9A0C1"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5828E37B" w14:textId="77777777" w:rsidR="000D2B0F" w:rsidRDefault="000D2B0F">
            <w:pPr>
              <w:spacing w:after="0" w:line="240" w:lineRule="auto"/>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33ABB795"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5DAE970F"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0DE602AE" w14:textId="77777777" w:rsidR="000D2B0F" w:rsidRDefault="000D2B0F">
            <w:pPr>
              <w:spacing w:after="0" w:line="240" w:lineRule="auto"/>
              <w:rPr>
                <w:rFonts w:ascii="Arial" w:eastAsia="Times New Roman" w:hAnsi="Arial" w:cs="Arial"/>
                <w:sz w:val="20"/>
                <w:szCs w:val="20"/>
              </w:rPr>
            </w:pPr>
          </w:p>
        </w:tc>
      </w:tr>
      <w:tr w:rsidR="000D2B0F" w14:paraId="22CE9019" w14:textId="77777777" w:rsidTr="003F0792">
        <w:trPr>
          <w:trHeight w:val="235"/>
        </w:trPr>
        <w:tc>
          <w:tcPr>
            <w:tcW w:w="620" w:type="pct"/>
            <w:tcBorders>
              <w:top w:val="nil"/>
              <w:left w:val="nil"/>
              <w:bottom w:val="nil"/>
              <w:right w:val="nil"/>
            </w:tcBorders>
            <w:shd w:val="clear" w:color="auto" w:fill="auto"/>
            <w:noWrap/>
            <w:vAlign w:val="bottom"/>
          </w:tcPr>
          <w:p w14:paraId="6EC167FB"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Cu </w:t>
            </w:r>
          </w:p>
        </w:tc>
        <w:tc>
          <w:tcPr>
            <w:tcW w:w="483" w:type="pct"/>
            <w:tcBorders>
              <w:top w:val="nil"/>
              <w:left w:val="nil"/>
              <w:bottom w:val="nil"/>
              <w:right w:val="nil"/>
            </w:tcBorders>
            <w:shd w:val="clear" w:color="auto" w:fill="auto"/>
            <w:noWrap/>
            <w:vAlign w:val="bottom"/>
          </w:tcPr>
          <w:p w14:paraId="0CBEF7FB"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-0.02</w:t>
            </w:r>
          </w:p>
        </w:tc>
        <w:tc>
          <w:tcPr>
            <w:tcW w:w="483" w:type="pct"/>
            <w:tcBorders>
              <w:top w:val="nil"/>
              <w:left w:val="nil"/>
              <w:bottom w:val="nil"/>
              <w:right w:val="nil"/>
            </w:tcBorders>
            <w:shd w:val="clear" w:color="auto" w:fill="auto"/>
            <w:noWrap/>
            <w:vAlign w:val="bottom"/>
          </w:tcPr>
          <w:p w14:paraId="153C0BF6"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0.12</w:t>
            </w:r>
          </w:p>
        </w:tc>
        <w:tc>
          <w:tcPr>
            <w:tcW w:w="426" w:type="pct"/>
            <w:tcBorders>
              <w:top w:val="nil"/>
              <w:left w:val="nil"/>
              <w:bottom w:val="nil"/>
              <w:right w:val="nil"/>
            </w:tcBorders>
            <w:shd w:val="clear" w:color="auto" w:fill="auto"/>
            <w:noWrap/>
            <w:vAlign w:val="bottom"/>
          </w:tcPr>
          <w:p w14:paraId="3BA3A38D"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0.31</w:t>
            </w:r>
          </w:p>
        </w:tc>
        <w:tc>
          <w:tcPr>
            <w:tcW w:w="483" w:type="pct"/>
            <w:tcBorders>
              <w:top w:val="nil"/>
              <w:left w:val="nil"/>
              <w:bottom w:val="nil"/>
              <w:right w:val="nil"/>
            </w:tcBorders>
            <w:shd w:val="clear" w:color="auto" w:fill="auto"/>
            <w:noWrap/>
            <w:vAlign w:val="bottom"/>
          </w:tcPr>
          <w:p w14:paraId="0FC62122"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-0.02</w:t>
            </w:r>
          </w:p>
        </w:tc>
        <w:tc>
          <w:tcPr>
            <w:tcW w:w="426" w:type="pct"/>
            <w:tcBorders>
              <w:top w:val="nil"/>
              <w:left w:val="nil"/>
              <w:bottom w:val="nil"/>
              <w:right w:val="nil"/>
            </w:tcBorders>
            <w:shd w:val="clear" w:color="auto" w:fill="auto"/>
            <w:noWrap/>
            <w:vAlign w:val="bottom"/>
          </w:tcPr>
          <w:p w14:paraId="3EF1BEB6"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483" w:type="pct"/>
            <w:tcBorders>
              <w:top w:val="nil"/>
              <w:left w:val="nil"/>
              <w:bottom w:val="nil"/>
              <w:right w:val="nil"/>
            </w:tcBorders>
            <w:shd w:val="clear" w:color="auto" w:fill="auto"/>
            <w:noWrap/>
            <w:vAlign w:val="bottom"/>
          </w:tcPr>
          <w:p w14:paraId="5B2E3025" w14:textId="77777777" w:rsidR="000D2B0F" w:rsidRDefault="000D2B0F">
            <w:pPr>
              <w:spacing w:after="0" w:line="240" w:lineRule="auto"/>
              <w:jc w:val="right"/>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15F9E817" w14:textId="77777777" w:rsidR="000D2B0F" w:rsidRDefault="000D2B0F">
            <w:pPr>
              <w:spacing w:after="0" w:line="240" w:lineRule="auto"/>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2F497C5E"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3134FCF6"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58D948E6" w14:textId="77777777" w:rsidR="000D2B0F" w:rsidRDefault="000D2B0F">
            <w:pPr>
              <w:spacing w:after="0" w:line="240" w:lineRule="auto"/>
              <w:rPr>
                <w:rFonts w:ascii="Arial" w:eastAsia="Times New Roman" w:hAnsi="Arial" w:cs="Arial"/>
                <w:sz w:val="20"/>
                <w:szCs w:val="20"/>
              </w:rPr>
            </w:pPr>
          </w:p>
        </w:tc>
      </w:tr>
      <w:tr w:rsidR="000D2B0F" w14:paraId="052C2AE9" w14:textId="77777777" w:rsidTr="003F0792">
        <w:trPr>
          <w:trHeight w:val="235"/>
        </w:trPr>
        <w:tc>
          <w:tcPr>
            <w:tcW w:w="620" w:type="pct"/>
            <w:tcBorders>
              <w:top w:val="nil"/>
              <w:left w:val="nil"/>
              <w:bottom w:val="nil"/>
              <w:right w:val="nil"/>
            </w:tcBorders>
            <w:shd w:val="clear" w:color="auto" w:fill="auto"/>
            <w:noWrap/>
            <w:vAlign w:val="bottom"/>
          </w:tcPr>
          <w:p w14:paraId="697AE22D"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Fe </w:t>
            </w:r>
          </w:p>
        </w:tc>
        <w:tc>
          <w:tcPr>
            <w:tcW w:w="483" w:type="pct"/>
            <w:tcBorders>
              <w:top w:val="nil"/>
              <w:left w:val="nil"/>
              <w:bottom w:val="nil"/>
              <w:right w:val="nil"/>
            </w:tcBorders>
            <w:shd w:val="clear" w:color="auto" w:fill="auto"/>
            <w:noWrap/>
            <w:vAlign w:val="bottom"/>
          </w:tcPr>
          <w:p w14:paraId="2A43C30C"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0.89**</w:t>
            </w:r>
          </w:p>
        </w:tc>
        <w:tc>
          <w:tcPr>
            <w:tcW w:w="483" w:type="pct"/>
            <w:tcBorders>
              <w:top w:val="nil"/>
              <w:left w:val="nil"/>
              <w:bottom w:val="nil"/>
              <w:right w:val="nil"/>
            </w:tcBorders>
            <w:shd w:val="clear" w:color="auto" w:fill="auto"/>
            <w:noWrap/>
            <w:vAlign w:val="bottom"/>
          </w:tcPr>
          <w:p w14:paraId="049E7004"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-0.41</w:t>
            </w:r>
          </w:p>
        </w:tc>
        <w:tc>
          <w:tcPr>
            <w:tcW w:w="426" w:type="pct"/>
            <w:tcBorders>
              <w:top w:val="nil"/>
              <w:left w:val="nil"/>
              <w:bottom w:val="nil"/>
              <w:right w:val="nil"/>
            </w:tcBorders>
            <w:shd w:val="clear" w:color="auto" w:fill="auto"/>
            <w:noWrap/>
            <w:vAlign w:val="bottom"/>
          </w:tcPr>
          <w:p w14:paraId="4D3BF5F6"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-0.46</w:t>
            </w:r>
          </w:p>
        </w:tc>
        <w:tc>
          <w:tcPr>
            <w:tcW w:w="483" w:type="pct"/>
            <w:tcBorders>
              <w:top w:val="nil"/>
              <w:left w:val="nil"/>
              <w:bottom w:val="nil"/>
              <w:right w:val="nil"/>
            </w:tcBorders>
            <w:shd w:val="clear" w:color="auto" w:fill="auto"/>
            <w:noWrap/>
            <w:vAlign w:val="bottom"/>
          </w:tcPr>
          <w:p w14:paraId="1057B42A"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0.68*</w:t>
            </w:r>
          </w:p>
        </w:tc>
        <w:tc>
          <w:tcPr>
            <w:tcW w:w="426" w:type="pct"/>
            <w:tcBorders>
              <w:top w:val="nil"/>
              <w:left w:val="nil"/>
              <w:bottom w:val="nil"/>
              <w:right w:val="nil"/>
            </w:tcBorders>
            <w:shd w:val="clear" w:color="auto" w:fill="auto"/>
            <w:noWrap/>
            <w:vAlign w:val="bottom"/>
          </w:tcPr>
          <w:p w14:paraId="0FA761EA"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0.10</w:t>
            </w:r>
          </w:p>
        </w:tc>
        <w:tc>
          <w:tcPr>
            <w:tcW w:w="483" w:type="pct"/>
            <w:tcBorders>
              <w:top w:val="nil"/>
              <w:left w:val="nil"/>
              <w:bottom w:val="nil"/>
              <w:right w:val="nil"/>
            </w:tcBorders>
            <w:shd w:val="clear" w:color="auto" w:fill="auto"/>
            <w:noWrap/>
            <w:vAlign w:val="bottom"/>
          </w:tcPr>
          <w:p w14:paraId="2363F965"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390" w:type="pct"/>
            <w:tcBorders>
              <w:top w:val="nil"/>
              <w:left w:val="nil"/>
              <w:bottom w:val="nil"/>
              <w:right w:val="nil"/>
            </w:tcBorders>
            <w:shd w:val="clear" w:color="auto" w:fill="auto"/>
            <w:noWrap/>
            <w:vAlign w:val="bottom"/>
          </w:tcPr>
          <w:p w14:paraId="4D6351AF" w14:textId="77777777" w:rsidR="000D2B0F" w:rsidRDefault="000D2B0F">
            <w:pPr>
              <w:spacing w:after="0" w:line="240" w:lineRule="auto"/>
              <w:jc w:val="right"/>
              <w:rPr>
                <w:rFonts w:ascii="Arial" w:eastAsia="Times New Roman" w:hAnsi="Arial" w:cs="Arial"/>
                <w:sz w:val="20"/>
                <w:szCs w:val="20"/>
              </w:rPr>
            </w:pPr>
          </w:p>
        </w:tc>
        <w:tc>
          <w:tcPr>
            <w:tcW w:w="426" w:type="pct"/>
            <w:tcBorders>
              <w:top w:val="nil"/>
              <w:left w:val="nil"/>
              <w:bottom w:val="nil"/>
              <w:right w:val="nil"/>
            </w:tcBorders>
            <w:shd w:val="clear" w:color="auto" w:fill="auto"/>
            <w:noWrap/>
            <w:vAlign w:val="bottom"/>
          </w:tcPr>
          <w:p w14:paraId="7641970A"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4D4C4D1F"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03378D16" w14:textId="77777777" w:rsidR="000D2B0F" w:rsidRDefault="000D2B0F">
            <w:pPr>
              <w:spacing w:after="0" w:line="240" w:lineRule="auto"/>
              <w:rPr>
                <w:rFonts w:ascii="Arial" w:eastAsia="Times New Roman" w:hAnsi="Arial" w:cs="Arial"/>
                <w:sz w:val="20"/>
                <w:szCs w:val="20"/>
              </w:rPr>
            </w:pPr>
          </w:p>
        </w:tc>
      </w:tr>
      <w:tr w:rsidR="000D2B0F" w14:paraId="695B6EF6" w14:textId="77777777" w:rsidTr="003F0792">
        <w:trPr>
          <w:trHeight w:val="235"/>
        </w:trPr>
        <w:tc>
          <w:tcPr>
            <w:tcW w:w="620" w:type="pct"/>
            <w:tcBorders>
              <w:top w:val="nil"/>
              <w:left w:val="nil"/>
              <w:bottom w:val="nil"/>
              <w:right w:val="nil"/>
            </w:tcBorders>
            <w:shd w:val="clear" w:color="auto" w:fill="auto"/>
            <w:noWrap/>
            <w:vAlign w:val="bottom"/>
          </w:tcPr>
          <w:p w14:paraId="0A76DCAE"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Mn </w:t>
            </w:r>
          </w:p>
        </w:tc>
        <w:tc>
          <w:tcPr>
            <w:tcW w:w="483" w:type="pct"/>
            <w:tcBorders>
              <w:top w:val="nil"/>
              <w:left w:val="nil"/>
              <w:bottom w:val="nil"/>
              <w:right w:val="nil"/>
            </w:tcBorders>
            <w:shd w:val="clear" w:color="auto" w:fill="auto"/>
            <w:noWrap/>
            <w:vAlign w:val="bottom"/>
          </w:tcPr>
          <w:p w14:paraId="0CFCB3E1"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-0.31</w:t>
            </w:r>
          </w:p>
        </w:tc>
        <w:tc>
          <w:tcPr>
            <w:tcW w:w="483" w:type="pct"/>
            <w:tcBorders>
              <w:top w:val="nil"/>
              <w:left w:val="nil"/>
              <w:bottom w:val="nil"/>
              <w:right w:val="nil"/>
            </w:tcBorders>
            <w:shd w:val="clear" w:color="auto" w:fill="auto"/>
            <w:noWrap/>
            <w:vAlign w:val="bottom"/>
          </w:tcPr>
          <w:p w14:paraId="558D7D8E"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0.54*</w:t>
            </w:r>
          </w:p>
        </w:tc>
        <w:tc>
          <w:tcPr>
            <w:tcW w:w="426" w:type="pct"/>
            <w:tcBorders>
              <w:top w:val="nil"/>
              <w:left w:val="nil"/>
              <w:bottom w:val="nil"/>
              <w:right w:val="nil"/>
            </w:tcBorders>
            <w:shd w:val="clear" w:color="auto" w:fill="auto"/>
            <w:noWrap/>
            <w:vAlign w:val="bottom"/>
          </w:tcPr>
          <w:p w14:paraId="30169A14"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0.25</w:t>
            </w:r>
          </w:p>
        </w:tc>
        <w:tc>
          <w:tcPr>
            <w:tcW w:w="483" w:type="pct"/>
            <w:tcBorders>
              <w:top w:val="nil"/>
              <w:left w:val="nil"/>
              <w:bottom w:val="nil"/>
              <w:right w:val="nil"/>
            </w:tcBorders>
            <w:shd w:val="clear" w:color="auto" w:fill="auto"/>
            <w:noWrap/>
            <w:vAlign w:val="bottom"/>
          </w:tcPr>
          <w:p w14:paraId="6E21B23A"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-0.57</w:t>
            </w:r>
          </w:p>
        </w:tc>
        <w:tc>
          <w:tcPr>
            <w:tcW w:w="426" w:type="pct"/>
            <w:tcBorders>
              <w:top w:val="nil"/>
              <w:left w:val="nil"/>
              <w:bottom w:val="nil"/>
              <w:right w:val="nil"/>
            </w:tcBorders>
            <w:shd w:val="clear" w:color="auto" w:fill="auto"/>
            <w:noWrap/>
            <w:vAlign w:val="bottom"/>
          </w:tcPr>
          <w:p w14:paraId="1DBF476B"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0.50*</w:t>
            </w:r>
          </w:p>
        </w:tc>
        <w:tc>
          <w:tcPr>
            <w:tcW w:w="483" w:type="pct"/>
            <w:tcBorders>
              <w:top w:val="nil"/>
              <w:left w:val="nil"/>
              <w:bottom w:val="nil"/>
              <w:right w:val="nil"/>
            </w:tcBorders>
            <w:shd w:val="clear" w:color="auto" w:fill="auto"/>
            <w:noWrap/>
            <w:vAlign w:val="bottom"/>
          </w:tcPr>
          <w:p w14:paraId="4E23A086"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-0.06</w:t>
            </w:r>
          </w:p>
        </w:tc>
        <w:tc>
          <w:tcPr>
            <w:tcW w:w="390" w:type="pct"/>
            <w:tcBorders>
              <w:top w:val="nil"/>
              <w:left w:val="nil"/>
              <w:bottom w:val="nil"/>
              <w:right w:val="nil"/>
            </w:tcBorders>
            <w:shd w:val="clear" w:color="auto" w:fill="auto"/>
            <w:noWrap/>
            <w:vAlign w:val="bottom"/>
          </w:tcPr>
          <w:p w14:paraId="47D2078D"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426" w:type="pct"/>
            <w:tcBorders>
              <w:top w:val="nil"/>
              <w:left w:val="nil"/>
              <w:bottom w:val="nil"/>
              <w:right w:val="nil"/>
            </w:tcBorders>
            <w:shd w:val="clear" w:color="auto" w:fill="auto"/>
            <w:noWrap/>
            <w:vAlign w:val="bottom"/>
          </w:tcPr>
          <w:p w14:paraId="5F788204" w14:textId="77777777" w:rsidR="000D2B0F" w:rsidRDefault="000D2B0F">
            <w:pPr>
              <w:spacing w:after="0" w:line="240" w:lineRule="auto"/>
              <w:jc w:val="right"/>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2D20AC78" w14:textId="77777777" w:rsidR="000D2B0F" w:rsidRDefault="000D2B0F">
            <w:pPr>
              <w:spacing w:after="0" w:line="240" w:lineRule="auto"/>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59854957" w14:textId="77777777" w:rsidR="000D2B0F" w:rsidRDefault="000D2B0F">
            <w:pPr>
              <w:spacing w:after="0" w:line="240" w:lineRule="auto"/>
              <w:rPr>
                <w:rFonts w:ascii="Arial" w:eastAsia="Times New Roman" w:hAnsi="Arial" w:cs="Arial"/>
                <w:sz w:val="20"/>
                <w:szCs w:val="20"/>
              </w:rPr>
            </w:pPr>
          </w:p>
        </w:tc>
      </w:tr>
      <w:tr w:rsidR="000D2B0F" w14:paraId="0A02E8D4" w14:textId="77777777" w:rsidTr="003F0792">
        <w:trPr>
          <w:trHeight w:val="235"/>
        </w:trPr>
        <w:tc>
          <w:tcPr>
            <w:tcW w:w="620" w:type="pct"/>
            <w:tcBorders>
              <w:top w:val="nil"/>
              <w:left w:val="nil"/>
              <w:bottom w:val="nil"/>
              <w:right w:val="nil"/>
            </w:tcBorders>
            <w:shd w:val="clear" w:color="auto" w:fill="auto"/>
            <w:noWrap/>
            <w:vAlign w:val="bottom"/>
          </w:tcPr>
          <w:p w14:paraId="73BCC3D5"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Ni </w:t>
            </w:r>
          </w:p>
        </w:tc>
        <w:tc>
          <w:tcPr>
            <w:tcW w:w="483" w:type="pct"/>
            <w:tcBorders>
              <w:top w:val="nil"/>
              <w:left w:val="nil"/>
              <w:bottom w:val="nil"/>
              <w:right w:val="nil"/>
            </w:tcBorders>
            <w:shd w:val="clear" w:color="auto" w:fill="auto"/>
            <w:noWrap/>
            <w:vAlign w:val="bottom"/>
          </w:tcPr>
          <w:p w14:paraId="2BB1B4DF"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0.91**</w:t>
            </w:r>
          </w:p>
        </w:tc>
        <w:tc>
          <w:tcPr>
            <w:tcW w:w="483" w:type="pct"/>
            <w:tcBorders>
              <w:top w:val="nil"/>
              <w:left w:val="nil"/>
              <w:bottom w:val="nil"/>
              <w:right w:val="nil"/>
            </w:tcBorders>
            <w:shd w:val="clear" w:color="auto" w:fill="auto"/>
            <w:noWrap/>
            <w:vAlign w:val="bottom"/>
          </w:tcPr>
          <w:p w14:paraId="5B749777"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-0.54</w:t>
            </w:r>
          </w:p>
        </w:tc>
        <w:tc>
          <w:tcPr>
            <w:tcW w:w="426" w:type="pct"/>
            <w:tcBorders>
              <w:top w:val="nil"/>
              <w:left w:val="nil"/>
              <w:bottom w:val="nil"/>
              <w:right w:val="nil"/>
            </w:tcBorders>
            <w:shd w:val="clear" w:color="auto" w:fill="auto"/>
            <w:noWrap/>
            <w:vAlign w:val="bottom"/>
          </w:tcPr>
          <w:p w14:paraId="22E3A2DF"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-0.67*</w:t>
            </w:r>
          </w:p>
        </w:tc>
        <w:tc>
          <w:tcPr>
            <w:tcW w:w="483" w:type="pct"/>
            <w:tcBorders>
              <w:top w:val="nil"/>
              <w:left w:val="nil"/>
              <w:bottom w:val="nil"/>
              <w:right w:val="nil"/>
            </w:tcBorders>
            <w:shd w:val="clear" w:color="auto" w:fill="auto"/>
            <w:noWrap/>
            <w:vAlign w:val="bottom"/>
          </w:tcPr>
          <w:p w14:paraId="11EC1B68"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0.74**</w:t>
            </w:r>
          </w:p>
        </w:tc>
        <w:tc>
          <w:tcPr>
            <w:tcW w:w="426" w:type="pct"/>
            <w:tcBorders>
              <w:top w:val="nil"/>
              <w:left w:val="nil"/>
              <w:bottom w:val="nil"/>
              <w:right w:val="nil"/>
            </w:tcBorders>
            <w:shd w:val="clear" w:color="auto" w:fill="auto"/>
            <w:noWrap/>
            <w:vAlign w:val="bottom"/>
          </w:tcPr>
          <w:p w14:paraId="29E428D1"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-0.17</w:t>
            </w:r>
          </w:p>
        </w:tc>
        <w:tc>
          <w:tcPr>
            <w:tcW w:w="483" w:type="pct"/>
            <w:tcBorders>
              <w:top w:val="nil"/>
              <w:left w:val="nil"/>
              <w:bottom w:val="nil"/>
              <w:right w:val="nil"/>
            </w:tcBorders>
            <w:shd w:val="clear" w:color="auto" w:fill="auto"/>
            <w:noWrap/>
            <w:vAlign w:val="bottom"/>
          </w:tcPr>
          <w:p w14:paraId="30FEB112"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0.87**</w:t>
            </w:r>
          </w:p>
        </w:tc>
        <w:tc>
          <w:tcPr>
            <w:tcW w:w="390" w:type="pct"/>
            <w:tcBorders>
              <w:top w:val="nil"/>
              <w:left w:val="nil"/>
              <w:bottom w:val="nil"/>
              <w:right w:val="nil"/>
            </w:tcBorders>
            <w:shd w:val="clear" w:color="auto" w:fill="auto"/>
            <w:noWrap/>
            <w:vAlign w:val="bottom"/>
          </w:tcPr>
          <w:p w14:paraId="35DBBC88"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-0.41</w:t>
            </w:r>
          </w:p>
        </w:tc>
        <w:tc>
          <w:tcPr>
            <w:tcW w:w="426" w:type="pct"/>
            <w:tcBorders>
              <w:top w:val="nil"/>
              <w:left w:val="nil"/>
              <w:bottom w:val="nil"/>
              <w:right w:val="nil"/>
            </w:tcBorders>
            <w:shd w:val="clear" w:color="auto" w:fill="auto"/>
            <w:noWrap/>
            <w:vAlign w:val="bottom"/>
          </w:tcPr>
          <w:p w14:paraId="49DC81B3"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390" w:type="pct"/>
            <w:tcBorders>
              <w:top w:val="nil"/>
              <w:left w:val="nil"/>
              <w:bottom w:val="nil"/>
              <w:right w:val="nil"/>
            </w:tcBorders>
            <w:shd w:val="clear" w:color="auto" w:fill="auto"/>
            <w:noWrap/>
            <w:vAlign w:val="bottom"/>
          </w:tcPr>
          <w:p w14:paraId="2B689721" w14:textId="77777777" w:rsidR="000D2B0F" w:rsidRDefault="000D2B0F">
            <w:pPr>
              <w:spacing w:after="0" w:line="240" w:lineRule="auto"/>
              <w:jc w:val="right"/>
              <w:rPr>
                <w:rFonts w:ascii="Arial" w:eastAsia="Times New Roman" w:hAnsi="Arial" w:cs="Arial"/>
                <w:sz w:val="20"/>
                <w:szCs w:val="20"/>
              </w:rPr>
            </w:pPr>
          </w:p>
        </w:tc>
        <w:tc>
          <w:tcPr>
            <w:tcW w:w="390" w:type="pct"/>
            <w:tcBorders>
              <w:top w:val="nil"/>
              <w:left w:val="nil"/>
              <w:bottom w:val="nil"/>
              <w:right w:val="nil"/>
            </w:tcBorders>
            <w:shd w:val="clear" w:color="auto" w:fill="auto"/>
            <w:noWrap/>
            <w:vAlign w:val="bottom"/>
          </w:tcPr>
          <w:p w14:paraId="667AA46D" w14:textId="77777777" w:rsidR="000D2B0F" w:rsidRDefault="000D2B0F">
            <w:pPr>
              <w:spacing w:after="0" w:line="240" w:lineRule="auto"/>
              <w:rPr>
                <w:rFonts w:ascii="Arial" w:eastAsia="Times New Roman" w:hAnsi="Arial" w:cs="Arial"/>
                <w:sz w:val="20"/>
                <w:szCs w:val="20"/>
              </w:rPr>
            </w:pPr>
          </w:p>
        </w:tc>
      </w:tr>
      <w:tr w:rsidR="000D2B0F" w14:paraId="295A7107" w14:textId="77777777" w:rsidTr="003F0792">
        <w:trPr>
          <w:trHeight w:val="235"/>
        </w:trPr>
        <w:tc>
          <w:tcPr>
            <w:tcW w:w="620" w:type="pct"/>
            <w:tcBorders>
              <w:top w:val="nil"/>
              <w:left w:val="nil"/>
              <w:bottom w:val="nil"/>
              <w:right w:val="nil"/>
            </w:tcBorders>
            <w:shd w:val="clear" w:color="auto" w:fill="auto"/>
            <w:noWrap/>
            <w:vAlign w:val="bottom"/>
          </w:tcPr>
          <w:p w14:paraId="2CAAD0D4"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 xml:space="preserve">Pb </w:t>
            </w:r>
          </w:p>
        </w:tc>
        <w:tc>
          <w:tcPr>
            <w:tcW w:w="483" w:type="pct"/>
            <w:tcBorders>
              <w:top w:val="nil"/>
              <w:left w:val="nil"/>
              <w:bottom w:val="nil"/>
              <w:right w:val="nil"/>
            </w:tcBorders>
            <w:shd w:val="clear" w:color="auto" w:fill="auto"/>
            <w:noWrap/>
            <w:vAlign w:val="bottom"/>
          </w:tcPr>
          <w:p w14:paraId="301A1741"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0.86**</w:t>
            </w:r>
          </w:p>
        </w:tc>
        <w:tc>
          <w:tcPr>
            <w:tcW w:w="483" w:type="pct"/>
            <w:tcBorders>
              <w:top w:val="nil"/>
              <w:left w:val="nil"/>
              <w:bottom w:val="nil"/>
              <w:right w:val="nil"/>
            </w:tcBorders>
            <w:shd w:val="clear" w:color="auto" w:fill="auto"/>
            <w:noWrap/>
            <w:vAlign w:val="bottom"/>
          </w:tcPr>
          <w:p w14:paraId="73FAE1F7"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-0.08</w:t>
            </w:r>
          </w:p>
        </w:tc>
        <w:tc>
          <w:tcPr>
            <w:tcW w:w="426" w:type="pct"/>
            <w:tcBorders>
              <w:top w:val="nil"/>
              <w:left w:val="nil"/>
              <w:bottom w:val="nil"/>
              <w:right w:val="nil"/>
            </w:tcBorders>
            <w:shd w:val="clear" w:color="auto" w:fill="auto"/>
            <w:noWrap/>
            <w:vAlign w:val="bottom"/>
          </w:tcPr>
          <w:p w14:paraId="7ABBBA43"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0.11</w:t>
            </w:r>
          </w:p>
        </w:tc>
        <w:tc>
          <w:tcPr>
            <w:tcW w:w="483" w:type="pct"/>
            <w:tcBorders>
              <w:top w:val="nil"/>
              <w:left w:val="nil"/>
              <w:bottom w:val="nil"/>
              <w:right w:val="nil"/>
            </w:tcBorders>
            <w:shd w:val="clear" w:color="auto" w:fill="auto"/>
            <w:noWrap/>
            <w:vAlign w:val="bottom"/>
          </w:tcPr>
          <w:p w14:paraId="0EE58E29"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0.93**</w:t>
            </w:r>
          </w:p>
        </w:tc>
        <w:tc>
          <w:tcPr>
            <w:tcW w:w="426" w:type="pct"/>
            <w:tcBorders>
              <w:top w:val="nil"/>
              <w:left w:val="nil"/>
              <w:bottom w:val="nil"/>
              <w:right w:val="nil"/>
            </w:tcBorders>
            <w:shd w:val="clear" w:color="auto" w:fill="auto"/>
            <w:noWrap/>
            <w:vAlign w:val="bottom"/>
          </w:tcPr>
          <w:p w14:paraId="178B6B14"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0.05</w:t>
            </w:r>
          </w:p>
        </w:tc>
        <w:tc>
          <w:tcPr>
            <w:tcW w:w="483" w:type="pct"/>
            <w:tcBorders>
              <w:top w:val="nil"/>
              <w:left w:val="nil"/>
              <w:bottom w:val="nil"/>
              <w:right w:val="nil"/>
            </w:tcBorders>
            <w:shd w:val="clear" w:color="auto" w:fill="auto"/>
            <w:noWrap/>
            <w:vAlign w:val="bottom"/>
          </w:tcPr>
          <w:p w14:paraId="5A9789DF"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0.74**</w:t>
            </w:r>
          </w:p>
        </w:tc>
        <w:tc>
          <w:tcPr>
            <w:tcW w:w="390" w:type="pct"/>
            <w:tcBorders>
              <w:top w:val="nil"/>
              <w:left w:val="nil"/>
              <w:bottom w:val="nil"/>
              <w:right w:val="nil"/>
            </w:tcBorders>
            <w:shd w:val="clear" w:color="auto" w:fill="auto"/>
            <w:noWrap/>
            <w:vAlign w:val="bottom"/>
          </w:tcPr>
          <w:p w14:paraId="02912547"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-0.32</w:t>
            </w:r>
          </w:p>
        </w:tc>
        <w:tc>
          <w:tcPr>
            <w:tcW w:w="426" w:type="pct"/>
            <w:tcBorders>
              <w:top w:val="nil"/>
              <w:left w:val="nil"/>
              <w:bottom w:val="nil"/>
              <w:right w:val="nil"/>
            </w:tcBorders>
            <w:shd w:val="clear" w:color="auto" w:fill="auto"/>
            <w:noWrap/>
            <w:vAlign w:val="bottom"/>
          </w:tcPr>
          <w:p w14:paraId="154FD289"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0.64*</w:t>
            </w:r>
          </w:p>
        </w:tc>
        <w:tc>
          <w:tcPr>
            <w:tcW w:w="390" w:type="pct"/>
            <w:tcBorders>
              <w:top w:val="nil"/>
              <w:left w:val="nil"/>
              <w:bottom w:val="nil"/>
              <w:right w:val="nil"/>
            </w:tcBorders>
            <w:shd w:val="clear" w:color="auto" w:fill="auto"/>
            <w:noWrap/>
            <w:vAlign w:val="bottom"/>
          </w:tcPr>
          <w:p w14:paraId="324C9F06"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390" w:type="pct"/>
            <w:tcBorders>
              <w:top w:val="nil"/>
              <w:left w:val="nil"/>
              <w:bottom w:val="nil"/>
              <w:right w:val="nil"/>
            </w:tcBorders>
            <w:shd w:val="clear" w:color="auto" w:fill="auto"/>
            <w:noWrap/>
            <w:vAlign w:val="bottom"/>
          </w:tcPr>
          <w:p w14:paraId="407D7E13" w14:textId="77777777" w:rsidR="000D2B0F" w:rsidRDefault="000D2B0F">
            <w:pPr>
              <w:spacing w:after="0" w:line="240" w:lineRule="auto"/>
              <w:jc w:val="right"/>
              <w:rPr>
                <w:rFonts w:ascii="Arial" w:eastAsia="Times New Roman" w:hAnsi="Arial" w:cs="Arial"/>
                <w:sz w:val="20"/>
                <w:szCs w:val="20"/>
              </w:rPr>
            </w:pPr>
          </w:p>
        </w:tc>
      </w:tr>
      <w:tr w:rsidR="000D2B0F" w14:paraId="0284A2CF" w14:textId="77777777" w:rsidTr="003F0792">
        <w:trPr>
          <w:trHeight w:val="39"/>
        </w:trPr>
        <w:tc>
          <w:tcPr>
            <w:tcW w:w="620" w:type="pct"/>
            <w:tcBorders>
              <w:top w:val="nil"/>
              <w:left w:val="nil"/>
              <w:bottom w:val="single" w:sz="4" w:space="0" w:color="auto"/>
              <w:right w:val="nil"/>
            </w:tcBorders>
            <w:shd w:val="clear" w:color="auto" w:fill="auto"/>
            <w:noWrap/>
            <w:vAlign w:val="bottom"/>
          </w:tcPr>
          <w:p w14:paraId="0DAED005" w14:textId="77777777" w:rsidR="000D2B0F" w:rsidRDefault="00000000">
            <w:pPr>
              <w:spacing w:after="0" w:line="240" w:lineRule="auto"/>
              <w:rPr>
                <w:rFonts w:ascii="Arial" w:eastAsia="Times New Roman" w:hAnsi="Arial" w:cs="Arial"/>
                <w:sz w:val="20"/>
                <w:szCs w:val="20"/>
              </w:rPr>
            </w:pPr>
            <w:r>
              <w:rPr>
                <w:rFonts w:ascii="Arial" w:eastAsia="Times New Roman" w:hAnsi="Arial" w:cs="Arial"/>
                <w:sz w:val="20"/>
                <w:szCs w:val="20"/>
              </w:rPr>
              <w:t>Zn</w:t>
            </w:r>
          </w:p>
        </w:tc>
        <w:tc>
          <w:tcPr>
            <w:tcW w:w="483" w:type="pct"/>
            <w:tcBorders>
              <w:top w:val="nil"/>
              <w:left w:val="nil"/>
              <w:bottom w:val="single" w:sz="4" w:space="0" w:color="auto"/>
              <w:right w:val="nil"/>
            </w:tcBorders>
            <w:shd w:val="clear" w:color="auto" w:fill="auto"/>
            <w:noWrap/>
            <w:vAlign w:val="bottom"/>
          </w:tcPr>
          <w:p w14:paraId="066F0552"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0.32</w:t>
            </w:r>
          </w:p>
        </w:tc>
        <w:tc>
          <w:tcPr>
            <w:tcW w:w="483" w:type="pct"/>
            <w:tcBorders>
              <w:top w:val="nil"/>
              <w:left w:val="nil"/>
              <w:bottom w:val="single" w:sz="4" w:space="0" w:color="auto"/>
              <w:right w:val="nil"/>
            </w:tcBorders>
            <w:shd w:val="clear" w:color="auto" w:fill="auto"/>
            <w:noWrap/>
            <w:vAlign w:val="bottom"/>
          </w:tcPr>
          <w:p w14:paraId="6C2BC26C"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0.06</w:t>
            </w:r>
          </w:p>
        </w:tc>
        <w:tc>
          <w:tcPr>
            <w:tcW w:w="426" w:type="pct"/>
            <w:tcBorders>
              <w:top w:val="nil"/>
              <w:left w:val="nil"/>
              <w:bottom w:val="single" w:sz="4" w:space="0" w:color="auto"/>
              <w:right w:val="nil"/>
            </w:tcBorders>
            <w:shd w:val="clear" w:color="auto" w:fill="auto"/>
            <w:noWrap/>
            <w:vAlign w:val="bottom"/>
          </w:tcPr>
          <w:p w14:paraId="65CEACCE"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-0.05</w:t>
            </w:r>
          </w:p>
        </w:tc>
        <w:tc>
          <w:tcPr>
            <w:tcW w:w="483" w:type="pct"/>
            <w:tcBorders>
              <w:top w:val="nil"/>
              <w:left w:val="nil"/>
              <w:bottom w:val="single" w:sz="4" w:space="0" w:color="auto"/>
              <w:right w:val="nil"/>
            </w:tcBorders>
            <w:shd w:val="clear" w:color="auto" w:fill="auto"/>
            <w:noWrap/>
            <w:vAlign w:val="bottom"/>
          </w:tcPr>
          <w:p w14:paraId="44C8598A"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0.36</w:t>
            </w:r>
          </w:p>
        </w:tc>
        <w:tc>
          <w:tcPr>
            <w:tcW w:w="426" w:type="pct"/>
            <w:tcBorders>
              <w:top w:val="nil"/>
              <w:left w:val="nil"/>
              <w:bottom w:val="single" w:sz="4" w:space="0" w:color="auto"/>
              <w:right w:val="nil"/>
            </w:tcBorders>
            <w:shd w:val="clear" w:color="auto" w:fill="auto"/>
            <w:noWrap/>
            <w:vAlign w:val="bottom"/>
          </w:tcPr>
          <w:p w14:paraId="551FE2E4"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0.35</w:t>
            </w:r>
          </w:p>
        </w:tc>
        <w:tc>
          <w:tcPr>
            <w:tcW w:w="483" w:type="pct"/>
            <w:tcBorders>
              <w:top w:val="nil"/>
              <w:left w:val="nil"/>
              <w:bottom w:val="single" w:sz="4" w:space="0" w:color="auto"/>
              <w:right w:val="nil"/>
            </w:tcBorders>
            <w:shd w:val="clear" w:color="auto" w:fill="auto"/>
            <w:noWrap/>
            <w:vAlign w:val="bottom"/>
          </w:tcPr>
          <w:p w14:paraId="435023EA"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0.03</w:t>
            </w:r>
          </w:p>
        </w:tc>
        <w:tc>
          <w:tcPr>
            <w:tcW w:w="390" w:type="pct"/>
            <w:tcBorders>
              <w:top w:val="nil"/>
              <w:left w:val="nil"/>
              <w:bottom w:val="single" w:sz="4" w:space="0" w:color="auto"/>
              <w:right w:val="nil"/>
            </w:tcBorders>
            <w:shd w:val="clear" w:color="auto" w:fill="auto"/>
            <w:noWrap/>
            <w:vAlign w:val="bottom"/>
          </w:tcPr>
          <w:p w14:paraId="747E8EBD"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-0.21</w:t>
            </w:r>
          </w:p>
        </w:tc>
        <w:tc>
          <w:tcPr>
            <w:tcW w:w="426" w:type="pct"/>
            <w:tcBorders>
              <w:top w:val="nil"/>
              <w:left w:val="nil"/>
              <w:bottom w:val="single" w:sz="4" w:space="0" w:color="auto"/>
              <w:right w:val="nil"/>
            </w:tcBorders>
            <w:shd w:val="clear" w:color="auto" w:fill="auto"/>
            <w:noWrap/>
            <w:vAlign w:val="bottom"/>
          </w:tcPr>
          <w:p w14:paraId="3636D47C"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0.28</w:t>
            </w:r>
          </w:p>
        </w:tc>
        <w:tc>
          <w:tcPr>
            <w:tcW w:w="390" w:type="pct"/>
            <w:tcBorders>
              <w:top w:val="nil"/>
              <w:left w:val="nil"/>
              <w:bottom w:val="single" w:sz="4" w:space="0" w:color="auto"/>
              <w:right w:val="nil"/>
            </w:tcBorders>
            <w:shd w:val="clear" w:color="auto" w:fill="auto"/>
            <w:noWrap/>
            <w:vAlign w:val="bottom"/>
          </w:tcPr>
          <w:p w14:paraId="70825B35"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0.12</w:t>
            </w:r>
          </w:p>
        </w:tc>
        <w:tc>
          <w:tcPr>
            <w:tcW w:w="390" w:type="pct"/>
            <w:tcBorders>
              <w:top w:val="nil"/>
              <w:left w:val="nil"/>
              <w:bottom w:val="single" w:sz="4" w:space="0" w:color="auto"/>
              <w:right w:val="nil"/>
            </w:tcBorders>
            <w:shd w:val="clear" w:color="auto" w:fill="auto"/>
            <w:noWrap/>
            <w:vAlign w:val="bottom"/>
          </w:tcPr>
          <w:p w14:paraId="53F1E901" w14:textId="77777777" w:rsidR="000D2B0F" w:rsidRDefault="00000000">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r>
    </w:tbl>
    <w:p w14:paraId="356691B4" w14:textId="77777777" w:rsidR="000D2B0F" w:rsidRDefault="00000000">
      <w:pPr>
        <w:spacing w:after="100" w:afterAutospacing="1" w:line="240" w:lineRule="auto"/>
        <w:jc w:val="both"/>
        <w:rPr>
          <w:rFonts w:ascii="Arial" w:hAnsi="Arial" w:cs="Arial"/>
          <w:bCs/>
          <w:sz w:val="20"/>
          <w:szCs w:val="20"/>
        </w:rPr>
      </w:pPr>
      <w:r>
        <w:rPr>
          <w:rFonts w:ascii="Arial" w:hAnsi="Arial" w:cs="Arial"/>
          <w:bCs/>
          <w:sz w:val="20"/>
          <w:szCs w:val="20"/>
        </w:rPr>
        <w:t>** Correlation is significant at the 0.01 level (2-tailed); *</w:t>
      </w:r>
      <w:r>
        <w:rPr>
          <w:rFonts w:ascii="Arial" w:hAnsi="Arial" w:cs="Arial"/>
          <w:sz w:val="20"/>
          <w:szCs w:val="20"/>
        </w:rPr>
        <w:t xml:space="preserve"> </w:t>
      </w:r>
      <w:r>
        <w:rPr>
          <w:rFonts w:ascii="Arial" w:hAnsi="Arial" w:cs="Arial"/>
          <w:bCs/>
          <w:sz w:val="20"/>
          <w:szCs w:val="20"/>
        </w:rPr>
        <w:t>Correlation is significant at the 0.05 level (2-tailed).</w:t>
      </w:r>
    </w:p>
    <w:p w14:paraId="3AF06A34" w14:textId="77777777" w:rsidR="000D2B0F" w:rsidRDefault="00000000">
      <w:pPr>
        <w:spacing w:after="0" w:line="240" w:lineRule="auto"/>
        <w:jc w:val="both"/>
        <w:rPr>
          <w:rFonts w:ascii="Arial" w:hAnsi="Arial" w:cs="Arial"/>
          <w:sz w:val="20"/>
          <w:szCs w:val="20"/>
        </w:rPr>
      </w:pPr>
      <w:r>
        <w:rPr>
          <w:rFonts w:ascii="Arial" w:hAnsi="Arial" w:cs="Arial"/>
          <w:sz w:val="20"/>
          <w:szCs w:val="20"/>
        </w:rPr>
        <w:t>A very strong and significant relationship at the 0.01 level (2-tailed test) was seen in several studies, including As-Cr (r=0.89), As-Fe (r=0.89), Cr-Pb (r=0.93), As-Ni (r=0.91). With a correlation coefficient value of more than 0.7, the pairs of As-Pb, Cd-Co, Cr-Ni, Fe-Ni and Fe-Pb were also significantly correlated at the 0.01 level (2-tailed test), indicating that most metals in groundwater are derived from a similar source.</w:t>
      </w:r>
    </w:p>
    <w:p w14:paraId="34272622" w14:textId="77777777" w:rsidR="000D2B0F" w:rsidRDefault="00000000">
      <w:pPr>
        <w:spacing w:line="240" w:lineRule="auto"/>
        <w:jc w:val="both"/>
        <w:rPr>
          <w:rFonts w:ascii="Arial" w:hAnsi="Arial" w:cs="Arial"/>
          <w:sz w:val="20"/>
          <w:szCs w:val="20"/>
        </w:rPr>
      </w:pPr>
      <w:r>
        <w:rPr>
          <w:rFonts w:ascii="Arial" w:hAnsi="Arial" w:cs="Arial"/>
          <w:sz w:val="20"/>
          <w:szCs w:val="20"/>
        </w:rPr>
        <w:lastRenderedPageBreak/>
        <w:t>Even though the pairs of Cd-Mn, Cr-Fe, Cu-Mn and Ni-Pb were significantly correlated at the 0.05 level (2-tailed test) overall in the study area with a moderate correlation coefficient ranged from 0.5 to 0.7.</w:t>
      </w:r>
      <w:r>
        <w:rPr>
          <w:rFonts w:ascii="Arial" w:hAnsi="Arial" w:cs="Arial"/>
          <w:bCs/>
          <w:sz w:val="20"/>
          <w:szCs w:val="20"/>
        </w:rPr>
        <w:t xml:space="preserve"> Whereas the As-Zn, Cd-Zn, Co-Mn, Co-Pb, Cr-Zn, Cu-Fe, Cu-Pb, Cu-Zn, Fe-Zn, Ni-Zn and Pb-Zn pairs were insignificantly correlated with a weak correlation coefficient value of less than 0.5.</w:t>
      </w:r>
      <w:r>
        <w:rPr>
          <w:rFonts w:ascii="Arial" w:hAnsi="Arial" w:cs="Arial"/>
          <w:sz w:val="20"/>
          <w:szCs w:val="20"/>
        </w:rPr>
        <w:t xml:space="preserve"> There was a negative correlation between several pairs of values.</w:t>
      </w:r>
    </w:p>
    <w:p w14:paraId="5CEEA6A3" w14:textId="77777777" w:rsidR="000D2B0F" w:rsidRDefault="00000000">
      <w:pPr>
        <w:spacing w:line="240" w:lineRule="auto"/>
        <w:rPr>
          <w:rFonts w:ascii="Arial" w:hAnsi="Arial" w:cs="Arial"/>
          <w:b/>
          <w:bCs/>
        </w:rPr>
      </w:pPr>
      <w:r>
        <w:rPr>
          <w:rFonts w:ascii="Arial" w:hAnsi="Arial" w:cs="Arial"/>
          <w:b/>
          <w:bCs/>
        </w:rPr>
        <w:t>3.5 Heavy Metal Pollution Index (HPI)</w:t>
      </w:r>
    </w:p>
    <w:p w14:paraId="4A7BB593"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Heavy metal pollution index (HPI) values ranged from 26.90 to 284.14 with a mean of 102.01 in the groundwater (Table 5). The highest HPI value was found at </w:t>
      </w:r>
      <w:proofErr w:type="spellStart"/>
      <w:r>
        <w:rPr>
          <w:rFonts w:ascii="Arial" w:hAnsi="Arial" w:cs="Arial"/>
          <w:sz w:val="20"/>
          <w:szCs w:val="20"/>
        </w:rPr>
        <w:t>Monoshapara</w:t>
      </w:r>
      <w:proofErr w:type="spellEnd"/>
      <w:r>
        <w:rPr>
          <w:rFonts w:ascii="Arial" w:hAnsi="Arial" w:cs="Arial"/>
          <w:sz w:val="20"/>
          <w:szCs w:val="20"/>
        </w:rPr>
        <w:t xml:space="preserve"> sampling point and lowest was found at </w:t>
      </w:r>
      <w:proofErr w:type="spellStart"/>
      <w:r>
        <w:rPr>
          <w:rFonts w:ascii="Arial" w:hAnsi="Arial" w:cs="Arial"/>
          <w:sz w:val="20"/>
          <w:szCs w:val="20"/>
        </w:rPr>
        <w:t>Bhedikura</w:t>
      </w:r>
      <w:proofErr w:type="spellEnd"/>
      <w:r>
        <w:rPr>
          <w:rFonts w:ascii="Arial" w:hAnsi="Arial" w:cs="Arial"/>
          <w:sz w:val="20"/>
          <w:szCs w:val="20"/>
        </w:rPr>
        <w:t xml:space="preserve"> sampling point.</w:t>
      </w:r>
    </w:p>
    <w:p w14:paraId="06F193A2" w14:textId="77777777" w:rsidR="000D2B0F" w:rsidRDefault="00000000">
      <w:pPr>
        <w:spacing w:line="240" w:lineRule="auto"/>
        <w:jc w:val="both"/>
        <w:rPr>
          <w:rFonts w:ascii="Arial" w:hAnsi="Arial" w:cs="Arial"/>
          <w:sz w:val="20"/>
          <w:szCs w:val="20"/>
        </w:rPr>
      </w:pPr>
      <w:r>
        <w:rPr>
          <w:rFonts w:ascii="Arial" w:hAnsi="Arial" w:cs="Arial"/>
          <w:sz w:val="20"/>
          <w:szCs w:val="20"/>
        </w:rPr>
        <w:t>HPI values ranged from 26.90 to 284.14 with a mean of 102.1 in the groundwater sample (Table 5). 17 % of samples fall under the high pollution index, while 33% of the samples belong to the medium pollution index and 50% of samples belong to the low pollution index in the present study region (Table 5).</w:t>
      </w:r>
    </w:p>
    <w:p w14:paraId="7CB96F69" w14:textId="77777777" w:rsidR="000D2B0F" w:rsidRDefault="00000000">
      <w:pPr>
        <w:tabs>
          <w:tab w:val="left" w:pos="6840"/>
        </w:tabs>
        <w:spacing w:line="240" w:lineRule="auto"/>
        <w:rPr>
          <w:rFonts w:ascii="Arial" w:hAnsi="Arial" w:cs="Arial"/>
          <w:b/>
          <w:sz w:val="20"/>
          <w:szCs w:val="20"/>
        </w:rPr>
      </w:pPr>
      <w:r>
        <w:rPr>
          <w:rFonts w:ascii="Arial" w:hAnsi="Arial" w:cs="Arial"/>
          <w:b/>
          <w:sz w:val="20"/>
          <w:szCs w:val="20"/>
        </w:rPr>
        <w:t>Table 5. HPI classification of groundwater quality of the study area</w:t>
      </w:r>
      <w:r>
        <w:rPr>
          <w:rFonts w:ascii="Arial" w:hAnsi="Arial" w:cs="Arial"/>
          <w:b/>
          <w:sz w:val="20"/>
          <w:szCs w:val="20"/>
        </w:rPr>
        <w:tab/>
      </w:r>
    </w:p>
    <w:tbl>
      <w:tblPr>
        <w:tblStyle w:val="TableGrid"/>
        <w:tblW w:w="5716" w:type="dxa"/>
        <w:jc w:val="center"/>
        <w:tblLook w:val="04A0" w:firstRow="1" w:lastRow="0" w:firstColumn="1" w:lastColumn="0" w:noHBand="0" w:noVBand="1"/>
      </w:tblPr>
      <w:tblGrid>
        <w:gridCol w:w="1905"/>
        <w:gridCol w:w="1905"/>
        <w:gridCol w:w="1906"/>
      </w:tblGrid>
      <w:tr w:rsidR="000D2B0F" w14:paraId="79036D4C" w14:textId="77777777">
        <w:trPr>
          <w:trHeight w:val="247"/>
          <w:jc w:val="center"/>
        </w:trPr>
        <w:tc>
          <w:tcPr>
            <w:tcW w:w="1905" w:type="dxa"/>
          </w:tcPr>
          <w:p w14:paraId="70F40CDF" w14:textId="77777777" w:rsidR="000D2B0F" w:rsidRDefault="00000000">
            <w:pPr>
              <w:spacing w:after="0" w:line="240" w:lineRule="auto"/>
              <w:jc w:val="center"/>
              <w:rPr>
                <w:rFonts w:ascii="Arial" w:hAnsi="Arial" w:cs="Arial"/>
                <w:sz w:val="20"/>
                <w:szCs w:val="20"/>
              </w:rPr>
            </w:pPr>
            <w:r>
              <w:rPr>
                <w:rFonts w:ascii="Arial" w:hAnsi="Arial" w:cs="Arial"/>
                <w:sz w:val="20"/>
                <w:szCs w:val="20"/>
              </w:rPr>
              <w:t>Sample ID</w:t>
            </w:r>
          </w:p>
        </w:tc>
        <w:tc>
          <w:tcPr>
            <w:tcW w:w="1905" w:type="dxa"/>
          </w:tcPr>
          <w:p w14:paraId="5D9EBF6C" w14:textId="77777777" w:rsidR="000D2B0F" w:rsidRDefault="00000000">
            <w:pPr>
              <w:spacing w:after="0" w:line="240" w:lineRule="auto"/>
              <w:jc w:val="center"/>
              <w:rPr>
                <w:rFonts w:ascii="Arial" w:hAnsi="Arial" w:cs="Arial"/>
                <w:sz w:val="20"/>
                <w:szCs w:val="20"/>
              </w:rPr>
            </w:pPr>
            <w:r>
              <w:rPr>
                <w:rFonts w:ascii="Arial" w:hAnsi="Arial" w:cs="Arial"/>
                <w:sz w:val="20"/>
                <w:szCs w:val="20"/>
              </w:rPr>
              <w:t>HPI</w:t>
            </w:r>
          </w:p>
        </w:tc>
        <w:tc>
          <w:tcPr>
            <w:tcW w:w="1906" w:type="dxa"/>
          </w:tcPr>
          <w:p w14:paraId="2E22682E" w14:textId="77777777" w:rsidR="000D2B0F" w:rsidRDefault="00000000">
            <w:pPr>
              <w:spacing w:after="0" w:line="240" w:lineRule="auto"/>
              <w:jc w:val="center"/>
              <w:rPr>
                <w:rFonts w:ascii="Arial" w:hAnsi="Arial" w:cs="Arial"/>
                <w:sz w:val="20"/>
                <w:szCs w:val="20"/>
              </w:rPr>
            </w:pPr>
            <w:r>
              <w:rPr>
                <w:rFonts w:ascii="Arial" w:hAnsi="Arial" w:cs="Arial"/>
                <w:sz w:val="20"/>
                <w:szCs w:val="20"/>
              </w:rPr>
              <w:t>Degree of pollution</w:t>
            </w:r>
          </w:p>
        </w:tc>
      </w:tr>
      <w:tr w:rsidR="000D2B0F" w14:paraId="5C02C959" w14:textId="77777777">
        <w:trPr>
          <w:trHeight w:val="247"/>
          <w:jc w:val="center"/>
        </w:trPr>
        <w:tc>
          <w:tcPr>
            <w:tcW w:w="1905" w:type="dxa"/>
          </w:tcPr>
          <w:p w14:paraId="1384EC7B" w14:textId="77777777" w:rsidR="000D2B0F" w:rsidRDefault="00000000">
            <w:pPr>
              <w:spacing w:after="0" w:line="240" w:lineRule="auto"/>
              <w:jc w:val="center"/>
              <w:rPr>
                <w:rFonts w:ascii="Arial" w:hAnsi="Arial" w:cs="Arial"/>
                <w:sz w:val="20"/>
                <w:szCs w:val="20"/>
              </w:rPr>
            </w:pPr>
            <w:r>
              <w:rPr>
                <w:rFonts w:ascii="Arial" w:hAnsi="Arial" w:cs="Arial"/>
                <w:sz w:val="20"/>
                <w:szCs w:val="20"/>
              </w:rPr>
              <w:t>G1</w:t>
            </w:r>
          </w:p>
        </w:tc>
        <w:tc>
          <w:tcPr>
            <w:tcW w:w="1905" w:type="dxa"/>
          </w:tcPr>
          <w:p w14:paraId="6D70E580" w14:textId="77777777" w:rsidR="000D2B0F" w:rsidRDefault="00000000">
            <w:pPr>
              <w:spacing w:after="0" w:line="240" w:lineRule="auto"/>
              <w:jc w:val="center"/>
              <w:rPr>
                <w:rFonts w:ascii="Arial" w:hAnsi="Arial" w:cs="Arial"/>
                <w:sz w:val="20"/>
                <w:szCs w:val="20"/>
              </w:rPr>
            </w:pPr>
            <w:r>
              <w:rPr>
                <w:rFonts w:ascii="Arial" w:hAnsi="Arial" w:cs="Arial"/>
                <w:sz w:val="20"/>
                <w:szCs w:val="20"/>
              </w:rPr>
              <w:t>97.90</w:t>
            </w:r>
          </w:p>
        </w:tc>
        <w:tc>
          <w:tcPr>
            <w:tcW w:w="1906" w:type="dxa"/>
          </w:tcPr>
          <w:p w14:paraId="1F214FE5" w14:textId="77777777" w:rsidR="000D2B0F" w:rsidRDefault="00000000">
            <w:pPr>
              <w:spacing w:after="0" w:line="240" w:lineRule="auto"/>
              <w:jc w:val="center"/>
              <w:rPr>
                <w:rFonts w:ascii="Arial" w:hAnsi="Arial" w:cs="Arial"/>
                <w:sz w:val="20"/>
                <w:szCs w:val="20"/>
              </w:rPr>
            </w:pPr>
            <w:r>
              <w:rPr>
                <w:rFonts w:ascii="Arial" w:hAnsi="Arial" w:cs="Arial"/>
                <w:sz w:val="20"/>
                <w:szCs w:val="20"/>
              </w:rPr>
              <w:t>Medium</w:t>
            </w:r>
          </w:p>
        </w:tc>
      </w:tr>
      <w:tr w:rsidR="000D2B0F" w14:paraId="459B7942" w14:textId="77777777">
        <w:trPr>
          <w:trHeight w:val="247"/>
          <w:jc w:val="center"/>
        </w:trPr>
        <w:tc>
          <w:tcPr>
            <w:tcW w:w="1905" w:type="dxa"/>
          </w:tcPr>
          <w:p w14:paraId="71F34E45" w14:textId="77777777" w:rsidR="000D2B0F" w:rsidRDefault="00000000">
            <w:pPr>
              <w:spacing w:after="0" w:line="240" w:lineRule="auto"/>
              <w:jc w:val="center"/>
              <w:rPr>
                <w:rFonts w:ascii="Arial" w:hAnsi="Arial" w:cs="Arial"/>
                <w:sz w:val="20"/>
                <w:szCs w:val="20"/>
              </w:rPr>
            </w:pPr>
            <w:r>
              <w:rPr>
                <w:rFonts w:ascii="Arial" w:hAnsi="Arial" w:cs="Arial"/>
                <w:sz w:val="20"/>
                <w:szCs w:val="20"/>
              </w:rPr>
              <w:t>G2</w:t>
            </w:r>
          </w:p>
        </w:tc>
        <w:tc>
          <w:tcPr>
            <w:tcW w:w="1905" w:type="dxa"/>
          </w:tcPr>
          <w:p w14:paraId="1E0E9F56" w14:textId="77777777" w:rsidR="000D2B0F" w:rsidRDefault="00000000">
            <w:pPr>
              <w:spacing w:after="0" w:line="240" w:lineRule="auto"/>
              <w:jc w:val="center"/>
              <w:rPr>
                <w:rFonts w:ascii="Arial" w:hAnsi="Arial" w:cs="Arial"/>
                <w:sz w:val="20"/>
                <w:szCs w:val="20"/>
              </w:rPr>
            </w:pPr>
            <w:r>
              <w:rPr>
                <w:rFonts w:ascii="Arial" w:hAnsi="Arial" w:cs="Arial"/>
                <w:sz w:val="20"/>
                <w:szCs w:val="20"/>
              </w:rPr>
              <w:t>91.58</w:t>
            </w:r>
          </w:p>
        </w:tc>
        <w:tc>
          <w:tcPr>
            <w:tcW w:w="1906" w:type="dxa"/>
          </w:tcPr>
          <w:p w14:paraId="320359DE" w14:textId="77777777" w:rsidR="000D2B0F" w:rsidRDefault="00000000">
            <w:pPr>
              <w:spacing w:after="0" w:line="240" w:lineRule="auto"/>
              <w:jc w:val="center"/>
              <w:rPr>
                <w:rFonts w:ascii="Arial" w:hAnsi="Arial" w:cs="Arial"/>
                <w:sz w:val="20"/>
                <w:szCs w:val="20"/>
              </w:rPr>
            </w:pPr>
            <w:r>
              <w:rPr>
                <w:rFonts w:ascii="Arial" w:hAnsi="Arial" w:cs="Arial"/>
                <w:sz w:val="20"/>
                <w:szCs w:val="20"/>
              </w:rPr>
              <w:t>Medium</w:t>
            </w:r>
          </w:p>
        </w:tc>
      </w:tr>
      <w:tr w:rsidR="000D2B0F" w14:paraId="643B69E7" w14:textId="77777777">
        <w:trPr>
          <w:trHeight w:val="247"/>
          <w:jc w:val="center"/>
        </w:trPr>
        <w:tc>
          <w:tcPr>
            <w:tcW w:w="1905" w:type="dxa"/>
          </w:tcPr>
          <w:p w14:paraId="7887AA1F" w14:textId="77777777" w:rsidR="000D2B0F" w:rsidRDefault="00000000">
            <w:pPr>
              <w:spacing w:after="0" w:line="240" w:lineRule="auto"/>
              <w:jc w:val="center"/>
              <w:rPr>
                <w:rFonts w:ascii="Arial" w:hAnsi="Arial" w:cs="Arial"/>
                <w:sz w:val="20"/>
                <w:szCs w:val="20"/>
              </w:rPr>
            </w:pPr>
            <w:r>
              <w:rPr>
                <w:rFonts w:ascii="Arial" w:hAnsi="Arial" w:cs="Arial"/>
                <w:sz w:val="20"/>
                <w:szCs w:val="20"/>
              </w:rPr>
              <w:t>G3</w:t>
            </w:r>
          </w:p>
        </w:tc>
        <w:tc>
          <w:tcPr>
            <w:tcW w:w="1905" w:type="dxa"/>
          </w:tcPr>
          <w:p w14:paraId="07965C9A" w14:textId="77777777" w:rsidR="000D2B0F" w:rsidRDefault="00000000">
            <w:pPr>
              <w:spacing w:after="0" w:line="240" w:lineRule="auto"/>
              <w:jc w:val="center"/>
              <w:rPr>
                <w:rFonts w:ascii="Arial" w:hAnsi="Arial" w:cs="Arial"/>
                <w:sz w:val="20"/>
                <w:szCs w:val="20"/>
              </w:rPr>
            </w:pPr>
            <w:r>
              <w:rPr>
                <w:rFonts w:ascii="Arial" w:hAnsi="Arial" w:cs="Arial"/>
                <w:sz w:val="20"/>
                <w:szCs w:val="20"/>
              </w:rPr>
              <w:t>38.53</w:t>
            </w:r>
          </w:p>
        </w:tc>
        <w:tc>
          <w:tcPr>
            <w:tcW w:w="1906" w:type="dxa"/>
          </w:tcPr>
          <w:p w14:paraId="2E6B44CE" w14:textId="77777777" w:rsidR="000D2B0F" w:rsidRDefault="00000000">
            <w:pPr>
              <w:spacing w:after="0" w:line="240" w:lineRule="auto"/>
              <w:jc w:val="center"/>
              <w:rPr>
                <w:rFonts w:ascii="Arial" w:hAnsi="Arial" w:cs="Arial"/>
                <w:sz w:val="20"/>
                <w:szCs w:val="20"/>
              </w:rPr>
            </w:pPr>
            <w:r>
              <w:rPr>
                <w:rFonts w:ascii="Arial" w:hAnsi="Arial" w:cs="Arial"/>
                <w:sz w:val="20"/>
                <w:szCs w:val="20"/>
              </w:rPr>
              <w:t>Low</w:t>
            </w:r>
          </w:p>
        </w:tc>
      </w:tr>
      <w:tr w:rsidR="000D2B0F" w14:paraId="0C72825D" w14:textId="77777777">
        <w:trPr>
          <w:trHeight w:val="247"/>
          <w:jc w:val="center"/>
        </w:trPr>
        <w:tc>
          <w:tcPr>
            <w:tcW w:w="1905" w:type="dxa"/>
          </w:tcPr>
          <w:p w14:paraId="565A9F4E" w14:textId="77777777" w:rsidR="000D2B0F" w:rsidRDefault="00000000">
            <w:pPr>
              <w:spacing w:after="0" w:line="240" w:lineRule="auto"/>
              <w:jc w:val="center"/>
              <w:rPr>
                <w:rFonts w:ascii="Arial" w:hAnsi="Arial" w:cs="Arial"/>
                <w:sz w:val="20"/>
                <w:szCs w:val="20"/>
              </w:rPr>
            </w:pPr>
            <w:r>
              <w:rPr>
                <w:rFonts w:ascii="Arial" w:hAnsi="Arial" w:cs="Arial"/>
                <w:sz w:val="20"/>
                <w:szCs w:val="20"/>
              </w:rPr>
              <w:t>G4</w:t>
            </w:r>
          </w:p>
        </w:tc>
        <w:tc>
          <w:tcPr>
            <w:tcW w:w="1905" w:type="dxa"/>
          </w:tcPr>
          <w:p w14:paraId="6D9E4BC0" w14:textId="77777777" w:rsidR="000D2B0F" w:rsidRDefault="00000000">
            <w:pPr>
              <w:spacing w:after="0" w:line="240" w:lineRule="auto"/>
              <w:jc w:val="center"/>
              <w:rPr>
                <w:rFonts w:ascii="Arial" w:hAnsi="Arial" w:cs="Arial"/>
                <w:sz w:val="20"/>
                <w:szCs w:val="20"/>
              </w:rPr>
            </w:pPr>
            <w:r>
              <w:rPr>
                <w:rFonts w:ascii="Arial" w:hAnsi="Arial" w:cs="Arial"/>
                <w:sz w:val="20"/>
                <w:szCs w:val="20"/>
              </w:rPr>
              <w:t>26.90</w:t>
            </w:r>
          </w:p>
        </w:tc>
        <w:tc>
          <w:tcPr>
            <w:tcW w:w="1906" w:type="dxa"/>
          </w:tcPr>
          <w:p w14:paraId="6CCCEB79" w14:textId="77777777" w:rsidR="000D2B0F" w:rsidRDefault="00000000">
            <w:pPr>
              <w:spacing w:after="0" w:line="240" w:lineRule="auto"/>
              <w:jc w:val="center"/>
              <w:rPr>
                <w:rFonts w:ascii="Arial" w:hAnsi="Arial" w:cs="Arial"/>
                <w:sz w:val="20"/>
                <w:szCs w:val="20"/>
              </w:rPr>
            </w:pPr>
            <w:r>
              <w:rPr>
                <w:rFonts w:ascii="Arial" w:hAnsi="Arial" w:cs="Arial"/>
                <w:sz w:val="20"/>
                <w:szCs w:val="20"/>
              </w:rPr>
              <w:t>Low</w:t>
            </w:r>
          </w:p>
        </w:tc>
      </w:tr>
      <w:tr w:rsidR="000D2B0F" w14:paraId="5AC10647" w14:textId="77777777">
        <w:trPr>
          <w:trHeight w:val="247"/>
          <w:jc w:val="center"/>
        </w:trPr>
        <w:tc>
          <w:tcPr>
            <w:tcW w:w="1905" w:type="dxa"/>
          </w:tcPr>
          <w:p w14:paraId="1FFFD193" w14:textId="77777777" w:rsidR="000D2B0F" w:rsidRDefault="00000000">
            <w:pPr>
              <w:spacing w:after="0" w:line="240" w:lineRule="auto"/>
              <w:jc w:val="center"/>
              <w:rPr>
                <w:rFonts w:ascii="Arial" w:hAnsi="Arial" w:cs="Arial"/>
                <w:sz w:val="20"/>
                <w:szCs w:val="20"/>
              </w:rPr>
            </w:pPr>
            <w:r>
              <w:rPr>
                <w:rFonts w:ascii="Arial" w:hAnsi="Arial" w:cs="Arial"/>
                <w:sz w:val="20"/>
                <w:szCs w:val="20"/>
              </w:rPr>
              <w:t>G5</w:t>
            </w:r>
          </w:p>
        </w:tc>
        <w:tc>
          <w:tcPr>
            <w:tcW w:w="1905" w:type="dxa"/>
          </w:tcPr>
          <w:p w14:paraId="3417B930" w14:textId="77777777" w:rsidR="000D2B0F" w:rsidRDefault="00000000">
            <w:pPr>
              <w:spacing w:after="0" w:line="240" w:lineRule="auto"/>
              <w:jc w:val="center"/>
              <w:rPr>
                <w:rFonts w:ascii="Arial" w:hAnsi="Arial" w:cs="Arial"/>
                <w:sz w:val="20"/>
                <w:szCs w:val="20"/>
              </w:rPr>
            </w:pPr>
            <w:r>
              <w:rPr>
                <w:rFonts w:ascii="Arial" w:hAnsi="Arial" w:cs="Arial"/>
                <w:sz w:val="20"/>
                <w:szCs w:val="20"/>
              </w:rPr>
              <w:t>284.14</w:t>
            </w:r>
          </w:p>
        </w:tc>
        <w:tc>
          <w:tcPr>
            <w:tcW w:w="1906" w:type="dxa"/>
          </w:tcPr>
          <w:p w14:paraId="0D28368A" w14:textId="77777777" w:rsidR="000D2B0F" w:rsidRDefault="00000000">
            <w:pPr>
              <w:spacing w:after="0" w:line="240" w:lineRule="auto"/>
              <w:jc w:val="center"/>
              <w:rPr>
                <w:rFonts w:ascii="Arial" w:hAnsi="Arial" w:cs="Arial"/>
                <w:sz w:val="20"/>
                <w:szCs w:val="20"/>
              </w:rPr>
            </w:pPr>
            <w:r>
              <w:rPr>
                <w:rFonts w:ascii="Arial" w:hAnsi="Arial" w:cs="Arial"/>
                <w:sz w:val="20"/>
                <w:szCs w:val="20"/>
              </w:rPr>
              <w:t>High</w:t>
            </w:r>
          </w:p>
        </w:tc>
      </w:tr>
      <w:tr w:rsidR="000D2B0F" w14:paraId="0E27A0E7" w14:textId="77777777">
        <w:trPr>
          <w:trHeight w:val="247"/>
          <w:jc w:val="center"/>
        </w:trPr>
        <w:tc>
          <w:tcPr>
            <w:tcW w:w="1905" w:type="dxa"/>
          </w:tcPr>
          <w:p w14:paraId="3A1AA9D6" w14:textId="77777777" w:rsidR="000D2B0F" w:rsidRDefault="00000000">
            <w:pPr>
              <w:spacing w:after="0" w:line="240" w:lineRule="auto"/>
              <w:jc w:val="center"/>
              <w:rPr>
                <w:rFonts w:ascii="Arial" w:hAnsi="Arial" w:cs="Arial"/>
                <w:sz w:val="20"/>
                <w:szCs w:val="20"/>
              </w:rPr>
            </w:pPr>
            <w:r>
              <w:rPr>
                <w:rFonts w:ascii="Arial" w:hAnsi="Arial" w:cs="Arial"/>
                <w:sz w:val="20"/>
                <w:szCs w:val="20"/>
              </w:rPr>
              <w:t>G6</w:t>
            </w:r>
          </w:p>
        </w:tc>
        <w:tc>
          <w:tcPr>
            <w:tcW w:w="1905" w:type="dxa"/>
          </w:tcPr>
          <w:p w14:paraId="2BF23AA1" w14:textId="77777777" w:rsidR="000D2B0F" w:rsidRDefault="00000000">
            <w:pPr>
              <w:spacing w:after="0" w:line="240" w:lineRule="auto"/>
              <w:jc w:val="center"/>
              <w:rPr>
                <w:rFonts w:ascii="Arial" w:hAnsi="Arial" w:cs="Arial"/>
                <w:sz w:val="20"/>
                <w:szCs w:val="20"/>
              </w:rPr>
            </w:pPr>
            <w:r>
              <w:rPr>
                <w:rFonts w:ascii="Arial" w:hAnsi="Arial" w:cs="Arial"/>
                <w:sz w:val="20"/>
                <w:szCs w:val="20"/>
              </w:rPr>
              <w:t>72.97</w:t>
            </w:r>
          </w:p>
        </w:tc>
        <w:tc>
          <w:tcPr>
            <w:tcW w:w="1906" w:type="dxa"/>
          </w:tcPr>
          <w:p w14:paraId="06BFFBB2" w14:textId="77777777" w:rsidR="000D2B0F" w:rsidRDefault="00000000">
            <w:pPr>
              <w:spacing w:after="0" w:line="240" w:lineRule="auto"/>
              <w:jc w:val="center"/>
              <w:rPr>
                <w:rFonts w:ascii="Arial" w:hAnsi="Arial" w:cs="Arial"/>
                <w:sz w:val="20"/>
                <w:szCs w:val="20"/>
              </w:rPr>
            </w:pPr>
            <w:r>
              <w:rPr>
                <w:rFonts w:ascii="Arial" w:hAnsi="Arial" w:cs="Arial"/>
                <w:sz w:val="20"/>
                <w:szCs w:val="20"/>
              </w:rPr>
              <w:t>Low</w:t>
            </w:r>
          </w:p>
        </w:tc>
      </w:tr>
    </w:tbl>
    <w:p w14:paraId="21546B1A" w14:textId="77777777" w:rsidR="000D2B0F" w:rsidRDefault="000D2B0F">
      <w:pPr>
        <w:pStyle w:val="ListParagraph"/>
        <w:spacing w:line="240" w:lineRule="auto"/>
        <w:ind w:left="810"/>
        <w:rPr>
          <w:rFonts w:ascii="Arial" w:hAnsi="Arial" w:cs="Arial"/>
          <w:b/>
          <w:sz w:val="20"/>
          <w:szCs w:val="20"/>
        </w:rPr>
      </w:pPr>
    </w:p>
    <w:p w14:paraId="3E9D8C3A" w14:textId="77777777" w:rsidR="000D2B0F" w:rsidRDefault="00000000">
      <w:pPr>
        <w:spacing w:line="240" w:lineRule="auto"/>
        <w:rPr>
          <w:rFonts w:ascii="Arial" w:hAnsi="Arial" w:cs="Arial"/>
          <w:b/>
          <w:bCs/>
        </w:rPr>
      </w:pPr>
      <w:r>
        <w:rPr>
          <w:rFonts w:ascii="Arial" w:hAnsi="Arial" w:cs="Arial"/>
          <w:b/>
          <w:bCs/>
        </w:rPr>
        <w:t>3.6 Metal Index (MI)</w:t>
      </w:r>
    </w:p>
    <w:p w14:paraId="3D19675C"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Metal index (MI) values for </w:t>
      </w:r>
      <w:proofErr w:type="spellStart"/>
      <w:r>
        <w:rPr>
          <w:rFonts w:ascii="Arial" w:hAnsi="Arial" w:cs="Arial"/>
          <w:sz w:val="20"/>
          <w:szCs w:val="20"/>
        </w:rPr>
        <w:t>Bijoypur</w:t>
      </w:r>
      <w:proofErr w:type="spellEnd"/>
      <w:r>
        <w:rPr>
          <w:rFonts w:ascii="Arial" w:hAnsi="Arial" w:cs="Arial"/>
          <w:sz w:val="20"/>
          <w:szCs w:val="20"/>
        </w:rPr>
        <w:t xml:space="preserve"> groundwater ranged from 1.343 to 7.565 with a mean 4.87 in the groundwater (Table 6). The highest MI value was found for G1 sampling point which is mostly near to white clay hill. </w:t>
      </w:r>
    </w:p>
    <w:p w14:paraId="129F098B"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MI values for </w:t>
      </w:r>
      <w:proofErr w:type="spellStart"/>
      <w:r>
        <w:rPr>
          <w:rFonts w:ascii="Arial" w:hAnsi="Arial" w:cs="Arial"/>
          <w:sz w:val="20"/>
          <w:szCs w:val="20"/>
        </w:rPr>
        <w:t>Bijoypur</w:t>
      </w:r>
      <w:proofErr w:type="spellEnd"/>
      <w:r>
        <w:rPr>
          <w:rFonts w:ascii="Arial" w:hAnsi="Arial" w:cs="Arial"/>
          <w:sz w:val="20"/>
          <w:szCs w:val="20"/>
        </w:rPr>
        <w:t xml:space="preserve"> groundwater ranged from 1.343 to 7.565 with a mean 4.87 in the groundwater (Table 6). The highest MI value was found for G3 sampling point which is mostly near to white clay hill. The value appears that some groundwater samples (G1, G2, G3, G5) are more significantly contaminated with metals than others (G4, G6), based on the Metal Index values reported. The division of water quality into "seriously affected" and "strongly affected" categories, which denote higher degrees of contamination.</w:t>
      </w:r>
    </w:p>
    <w:p w14:paraId="7A3DDA28" w14:textId="77777777" w:rsidR="000D2B0F" w:rsidRDefault="00000000">
      <w:pPr>
        <w:spacing w:line="240" w:lineRule="auto"/>
        <w:jc w:val="both"/>
        <w:rPr>
          <w:rFonts w:ascii="Arial" w:hAnsi="Arial" w:cs="Arial"/>
          <w:b/>
          <w:sz w:val="20"/>
          <w:szCs w:val="20"/>
        </w:rPr>
      </w:pPr>
      <w:r>
        <w:rPr>
          <w:rFonts w:ascii="Arial" w:hAnsi="Arial" w:cs="Arial"/>
          <w:b/>
          <w:sz w:val="20"/>
          <w:szCs w:val="20"/>
        </w:rPr>
        <w:t>Table 6. MI classification of groundwater quality of the study area</w:t>
      </w:r>
    </w:p>
    <w:tbl>
      <w:tblPr>
        <w:tblStyle w:val="TableGrid"/>
        <w:tblW w:w="6143" w:type="dxa"/>
        <w:jc w:val="center"/>
        <w:tblLook w:val="04A0" w:firstRow="1" w:lastRow="0" w:firstColumn="1" w:lastColumn="0" w:noHBand="0" w:noVBand="1"/>
      </w:tblPr>
      <w:tblGrid>
        <w:gridCol w:w="2045"/>
        <w:gridCol w:w="1525"/>
        <w:gridCol w:w="2573"/>
      </w:tblGrid>
      <w:tr w:rsidR="000D2B0F" w14:paraId="2901B9B6" w14:textId="77777777">
        <w:trPr>
          <w:trHeight w:val="312"/>
          <w:jc w:val="center"/>
        </w:trPr>
        <w:tc>
          <w:tcPr>
            <w:tcW w:w="2045" w:type="dxa"/>
          </w:tcPr>
          <w:p w14:paraId="31E7275E" w14:textId="77777777" w:rsidR="000D2B0F" w:rsidRDefault="00000000">
            <w:pPr>
              <w:spacing w:after="0" w:line="240" w:lineRule="auto"/>
              <w:jc w:val="center"/>
              <w:rPr>
                <w:rFonts w:ascii="Arial" w:hAnsi="Arial" w:cs="Arial"/>
                <w:sz w:val="20"/>
                <w:szCs w:val="20"/>
              </w:rPr>
            </w:pPr>
            <w:r>
              <w:rPr>
                <w:rFonts w:ascii="Arial" w:hAnsi="Arial" w:cs="Arial"/>
                <w:sz w:val="20"/>
                <w:szCs w:val="20"/>
              </w:rPr>
              <w:t>Sample ID</w:t>
            </w:r>
          </w:p>
        </w:tc>
        <w:tc>
          <w:tcPr>
            <w:tcW w:w="1525" w:type="dxa"/>
          </w:tcPr>
          <w:p w14:paraId="0BDE1E4A" w14:textId="77777777" w:rsidR="000D2B0F" w:rsidRDefault="00000000">
            <w:pPr>
              <w:spacing w:after="0" w:line="240" w:lineRule="auto"/>
              <w:jc w:val="center"/>
              <w:rPr>
                <w:rFonts w:ascii="Arial" w:hAnsi="Arial" w:cs="Arial"/>
                <w:sz w:val="20"/>
                <w:szCs w:val="20"/>
              </w:rPr>
            </w:pPr>
            <w:r>
              <w:rPr>
                <w:rFonts w:ascii="Arial" w:hAnsi="Arial" w:cs="Arial"/>
                <w:sz w:val="20"/>
                <w:szCs w:val="20"/>
              </w:rPr>
              <w:t>MI</w:t>
            </w:r>
          </w:p>
        </w:tc>
        <w:tc>
          <w:tcPr>
            <w:tcW w:w="2573" w:type="dxa"/>
          </w:tcPr>
          <w:p w14:paraId="633CA7E4" w14:textId="77777777" w:rsidR="000D2B0F" w:rsidRDefault="00000000">
            <w:pPr>
              <w:spacing w:after="0" w:line="240" w:lineRule="auto"/>
              <w:jc w:val="center"/>
              <w:rPr>
                <w:rFonts w:ascii="Arial" w:hAnsi="Arial" w:cs="Arial"/>
                <w:sz w:val="20"/>
                <w:szCs w:val="20"/>
              </w:rPr>
            </w:pPr>
            <w:r>
              <w:rPr>
                <w:rFonts w:ascii="Arial" w:hAnsi="Arial" w:cs="Arial"/>
                <w:sz w:val="20"/>
                <w:szCs w:val="20"/>
              </w:rPr>
              <w:t>Water Quality</w:t>
            </w:r>
          </w:p>
        </w:tc>
      </w:tr>
      <w:tr w:rsidR="000D2B0F" w14:paraId="137341C0" w14:textId="77777777">
        <w:trPr>
          <w:trHeight w:val="312"/>
          <w:jc w:val="center"/>
        </w:trPr>
        <w:tc>
          <w:tcPr>
            <w:tcW w:w="2045" w:type="dxa"/>
          </w:tcPr>
          <w:p w14:paraId="423E3377" w14:textId="77777777" w:rsidR="000D2B0F" w:rsidRDefault="00000000">
            <w:pPr>
              <w:spacing w:after="0" w:line="240" w:lineRule="auto"/>
              <w:jc w:val="center"/>
              <w:rPr>
                <w:rFonts w:ascii="Arial" w:hAnsi="Arial" w:cs="Arial"/>
                <w:sz w:val="20"/>
                <w:szCs w:val="20"/>
              </w:rPr>
            </w:pPr>
            <w:r>
              <w:rPr>
                <w:rFonts w:ascii="Arial" w:hAnsi="Arial" w:cs="Arial"/>
                <w:sz w:val="20"/>
                <w:szCs w:val="20"/>
              </w:rPr>
              <w:t>G1</w:t>
            </w:r>
          </w:p>
        </w:tc>
        <w:tc>
          <w:tcPr>
            <w:tcW w:w="1525" w:type="dxa"/>
          </w:tcPr>
          <w:p w14:paraId="6749267B" w14:textId="77777777" w:rsidR="000D2B0F" w:rsidRDefault="00000000">
            <w:pPr>
              <w:spacing w:after="0" w:line="240" w:lineRule="auto"/>
              <w:jc w:val="center"/>
              <w:rPr>
                <w:rFonts w:ascii="Arial" w:hAnsi="Arial" w:cs="Arial"/>
                <w:sz w:val="20"/>
                <w:szCs w:val="20"/>
              </w:rPr>
            </w:pPr>
            <w:r>
              <w:rPr>
                <w:rFonts w:ascii="Arial" w:hAnsi="Arial" w:cs="Arial"/>
                <w:sz w:val="20"/>
                <w:szCs w:val="20"/>
              </w:rPr>
              <w:t>6.634</w:t>
            </w:r>
          </w:p>
        </w:tc>
        <w:tc>
          <w:tcPr>
            <w:tcW w:w="2573" w:type="dxa"/>
            <w:shd w:val="clear" w:color="auto" w:fill="auto"/>
          </w:tcPr>
          <w:p w14:paraId="7C563D1B" w14:textId="77777777" w:rsidR="000D2B0F" w:rsidRDefault="00000000">
            <w:pPr>
              <w:spacing w:after="0" w:line="240" w:lineRule="auto"/>
              <w:jc w:val="center"/>
              <w:rPr>
                <w:rFonts w:ascii="Arial" w:hAnsi="Arial" w:cs="Arial"/>
                <w:sz w:val="20"/>
                <w:szCs w:val="20"/>
              </w:rPr>
            </w:pPr>
            <w:r>
              <w:rPr>
                <w:rFonts w:ascii="Arial" w:hAnsi="Arial" w:cs="Arial"/>
                <w:sz w:val="20"/>
                <w:szCs w:val="20"/>
              </w:rPr>
              <w:t>Seriously affected</w:t>
            </w:r>
          </w:p>
        </w:tc>
      </w:tr>
      <w:tr w:rsidR="000D2B0F" w14:paraId="2FB22015" w14:textId="77777777">
        <w:trPr>
          <w:trHeight w:val="312"/>
          <w:jc w:val="center"/>
        </w:trPr>
        <w:tc>
          <w:tcPr>
            <w:tcW w:w="2045" w:type="dxa"/>
          </w:tcPr>
          <w:p w14:paraId="47AE2FDA" w14:textId="77777777" w:rsidR="000D2B0F" w:rsidRDefault="00000000">
            <w:pPr>
              <w:spacing w:after="0" w:line="240" w:lineRule="auto"/>
              <w:jc w:val="center"/>
              <w:rPr>
                <w:rFonts w:ascii="Arial" w:hAnsi="Arial" w:cs="Arial"/>
                <w:sz w:val="20"/>
                <w:szCs w:val="20"/>
              </w:rPr>
            </w:pPr>
            <w:r>
              <w:rPr>
                <w:rFonts w:ascii="Arial" w:hAnsi="Arial" w:cs="Arial"/>
                <w:sz w:val="20"/>
                <w:szCs w:val="20"/>
              </w:rPr>
              <w:t>G2</w:t>
            </w:r>
          </w:p>
        </w:tc>
        <w:tc>
          <w:tcPr>
            <w:tcW w:w="1525" w:type="dxa"/>
          </w:tcPr>
          <w:p w14:paraId="006E9484" w14:textId="77777777" w:rsidR="000D2B0F" w:rsidRDefault="00000000">
            <w:pPr>
              <w:spacing w:after="0" w:line="240" w:lineRule="auto"/>
              <w:jc w:val="center"/>
              <w:rPr>
                <w:rFonts w:ascii="Arial" w:hAnsi="Arial" w:cs="Arial"/>
                <w:sz w:val="20"/>
                <w:szCs w:val="20"/>
              </w:rPr>
            </w:pPr>
            <w:r>
              <w:rPr>
                <w:rFonts w:ascii="Arial" w:hAnsi="Arial" w:cs="Arial"/>
                <w:sz w:val="20"/>
                <w:szCs w:val="20"/>
              </w:rPr>
              <w:t>5.920</w:t>
            </w:r>
          </w:p>
        </w:tc>
        <w:tc>
          <w:tcPr>
            <w:tcW w:w="2573" w:type="dxa"/>
            <w:shd w:val="clear" w:color="auto" w:fill="auto"/>
          </w:tcPr>
          <w:p w14:paraId="2D444905" w14:textId="77777777" w:rsidR="000D2B0F" w:rsidRDefault="00000000">
            <w:pPr>
              <w:spacing w:after="0" w:line="240" w:lineRule="auto"/>
              <w:jc w:val="center"/>
              <w:rPr>
                <w:rFonts w:ascii="Arial" w:hAnsi="Arial" w:cs="Arial"/>
                <w:sz w:val="20"/>
                <w:szCs w:val="20"/>
              </w:rPr>
            </w:pPr>
            <w:r>
              <w:rPr>
                <w:rFonts w:ascii="Arial" w:hAnsi="Arial" w:cs="Arial"/>
                <w:sz w:val="20"/>
                <w:szCs w:val="20"/>
              </w:rPr>
              <w:t>Strongly affected</w:t>
            </w:r>
          </w:p>
        </w:tc>
      </w:tr>
      <w:tr w:rsidR="000D2B0F" w14:paraId="5C45910E" w14:textId="77777777">
        <w:trPr>
          <w:trHeight w:val="312"/>
          <w:jc w:val="center"/>
        </w:trPr>
        <w:tc>
          <w:tcPr>
            <w:tcW w:w="2045" w:type="dxa"/>
          </w:tcPr>
          <w:p w14:paraId="5F858DBF" w14:textId="77777777" w:rsidR="000D2B0F" w:rsidRDefault="00000000">
            <w:pPr>
              <w:spacing w:after="0" w:line="240" w:lineRule="auto"/>
              <w:jc w:val="center"/>
              <w:rPr>
                <w:rFonts w:ascii="Arial" w:hAnsi="Arial" w:cs="Arial"/>
                <w:sz w:val="20"/>
                <w:szCs w:val="20"/>
              </w:rPr>
            </w:pPr>
            <w:r>
              <w:rPr>
                <w:rFonts w:ascii="Arial" w:hAnsi="Arial" w:cs="Arial"/>
                <w:sz w:val="20"/>
                <w:szCs w:val="20"/>
              </w:rPr>
              <w:t>G3</w:t>
            </w:r>
          </w:p>
        </w:tc>
        <w:tc>
          <w:tcPr>
            <w:tcW w:w="1525" w:type="dxa"/>
          </w:tcPr>
          <w:p w14:paraId="219BBEDA" w14:textId="77777777" w:rsidR="000D2B0F" w:rsidRDefault="00000000">
            <w:pPr>
              <w:spacing w:after="0" w:line="240" w:lineRule="auto"/>
              <w:jc w:val="center"/>
              <w:rPr>
                <w:rFonts w:ascii="Arial" w:hAnsi="Arial" w:cs="Arial"/>
                <w:sz w:val="20"/>
                <w:szCs w:val="20"/>
              </w:rPr>
            </w:pPr>
            <w:r>
              <w:rPr>
                <w:rFonts w:ascii="Arial" w:hAnsi="Arial" w:cs="Arial"/>
                <w:sz w:val="20"/>
                <w:szCs w:val="20"/>
              </w:rPr>
              <w:t>7.565</w:t>
            </w:r>
          </w:p>
        </w:tc>
        <w:tc>
          <w:tcPr>
            <w:tcW w:w="2573" w:type="dxa"/>
            <w:shd w:val="clear" w:color="auto" w:fill="auto"/>
          </w:tcPr>
          <w:p w14:paraId="6EF586E9" w14:textId="77777777" w:rsidR="000D2B0F" w:rsidRDefault="00000000">
            <w:pPr>
              <w:spacing w:after="0" w:line="240" w:lineRule="auto"/>
              <w:jc w:val="center"/>
              <w:rPr>
                <w:rFonts w:ascii="Arial" w:hAnsi="Arial" w:cs="Arial"/>
                <w:sz w:val="20"/>
                <w:szCs w:val="20"/>
              </w:rPr>
            </w:pPr>
            <w:r>
              <w:rPr>
                <w:rFonts w:ascii="Arial" w:hAnsi="Arial" w:cs="Arial"/>
                <w:sz w:val="20"/>
                <w:szCs w:val="20"/>
              </w:rPr>
              <w:t>Seriously affected</w:t>
            </w:r>
          </w:p>
        </w:tc>
      </w:tr>
      <w:tr w:rsidR="000D2B0F" w14:paraId="273FF86E" w14:textId="77777777">
        <w:trPr>
          <w:trHeight w:val="312"/>
          <w:jc w:val="center"/>
        </w:trPr>
        <w:tc>
          <w:tcPr>
            <w:tcW w:w="2045" w:type="dxa"/>
          </w:tcPr>
          <w:p w14:paraId="73DA9C07" w14:textId="77777777" w:rsidR="000D2B0F" w:rsidRDefault="00000000">
            <w:pPr>
              <w:spacing w:after="0" w:line="240" w:lineRule="auto"/>
              <w:jc w:val="center"/>
              <w:rPr>
                <w:rFonts w:ascii="Arial" w:hAnsi="Arial" w:cs="Arial"/>
                <w:sz w:val="20"/>
                <w:szCs w:val="20"/>
              </w:rPr>
            </w:pPr>
            <w:r>
              <w:rPr>
                <w:rFonts w:ascii="Arial" w:hAnsi="Arial" w:cs="Arial"/>
                <w:sz w:val="20"/>
                <w:szCs w:val="20"/>
              </w:rPr>
              <w:t>G4</w:t>
            </w:r>
          </w:p>
        </w:tc>
        <w:tc>
          <w:tcPr>
            <w:tcW w:w="1525" w:type="dxa"/>
          </w:tcPr>
          <w:p w14:paraId="24A09F7F" w14:textId="77777777" w:rsidR="000D2B0F" w:rsidRDefault="00000000">
            <w:pPr>
              <w:spacing w:after="0" w:line="240" w:lineRule="auto"/>
              <w:jc w:val="center"/>
              <w:rPr>
                <w:rFonts w:ascii="Arial" w:hAnsi="Arial" w:cs="Arial"/>
                <w:sz w:val="20"/>
                <w:szCs w:val="20"/>
              </w:rPr>
            </w:pPr>
            <w:r>
              <w:rPr>
                <w:rFonts w:ascii="Arial" w:hAnsi="Arial" w:cs="Arial"/>
                <w:sz w:val="20"/>
                <w:szCs w:val="20"/>
              </w:rPr>
              <w:t>1.915</w:t>
            </w:r>
          </w:p>
        </w:tc>
        <w:tc>
          <w:tcPr>
            <w:tcW w:w="2573" w:type="dxa"/>
            <w:shd w:val="clear" w:color="auto" w:fill="auto"/>
          </w:tcPr>
          <w:p w14:paraId="411394CB" w14:textId="77777777" w:rsidR="000D2B0F" w:rsidRDefault="00000000">
            <w:pPr>
              <w:spacing w:after="0" w:line="240" w:lineRule="auto"/>
              <w:jc w:val="center"/>
              <w:rPr>
                <w:rFonts w:ascii="Arial" w:hAnsi="Arial" w:cs="Arial"/>
                <w:sz w:val="20"/>
                <w:szCs w:val="20"/>
              </w:rPr>
            </w:pPr>
            <w:r>
              <w:rPr>
                <w:rFonts w:ascii="Arial" w:hAnsi="Arial" w:cs="Arial"/>
                <w:sz w:val="20"/>
                <w:szCs w:val="20"/>
              </w:rPr>
              <w:t>Slightly affected</w:t>
            </w:r>
          </w:p>
        </w:tc>
      </w:tr>
      <w:tr w:rsidR="000D2B0F" w14:paraId="0F56D4A9" w14:textId="77777777">
        <w:trPr>
          <w:trHeight w:val="312"/>
          <w:jc w:val="center"/>
        </w:trPr>
        <w:tc>
          <w:tcPr>
            <w:tcW w:w="2045" w:type="dxa"/>
          </w:tcPr>
          <w:p w14:paraId="5C2A4EC7" w14:textId="77777777" w:rsidR="000D2B0F" w:rsidRDefault="00000000">
            <w:pPr>
              <w:spacing w:after="0" w:line="240" w:lineRule="auto"/>
              <w:jc w:val="center"/>
              <w:rPr>
                <w:rFonts w:ascii="Arial" w:hAnsi="Arial" w:cs="Arial"/>
                <w:sz w:val="20"/>
                <w:szCs w:val="20"/>
              </w:rPr>
            </w:pPr>
            <w:r>
              <w:rPr>
                <w:rFonts w:ascii="Arial" w:hAnsi="Arial" w:cs="Arial"/>
                <w:sz w:val="20"/>
                <w:szCs w:val="20"/>
              </w:rPr>
              <w:t>G5</w:t>
            </w:r>
          </w:p>
        </w:tc>
        <w:tc>
          <w:tcPr>
            <w:tcW w:w="1525" w:type="dxa"/>
          </w:tcPr>
          <w:p w14:paraId="5E1D18AF" w14:textId="77777777" w:rsidR="000D2B0F" w:rsidRDefault="00000000">
            <w:pPr>
              <w:spacing w:after="0" w:line="240" w:lineRule="auto"/>
              <w:jc w:val="center"/>
              <w:rPr>
                <w:rFonts w:ascii="Arial" w:hAnsi="Arial" w:cs="Arial"/>
                <w:sz w:val="20"/>
                <w:szCs w:val="20"/>
              </w:rPr>
            </w:pPr>
            <w:r>
              <w:rPr>
                <w:rFonts w:ascii="Arial" w:hAnsi="Arial" w:cs="Arial"/>
                <w:sz w:val="20"/>
                <w:szCs w:val="20"/>
              </w:rPr>
              <w:t>5.784</w:t>
            </w:r>
          </w:p>
        </w:tc>
        <w:tc>
          <w:tcPr>
            <w:tcW w:w="2573" w:type="dxa"/>
            <w:shd w:val="clear" w:color="auto" w:fill="auto"/>
          </w:tcPr>
          <w:p w14:paraId="1D48DD19" w14:textId="77777777" w:rsidR="000D2B0F" w:rsidRDefault="00000000">
            <w:pPr>
              <w:spacing w:after="0" w:line="240" w:lineRule="auto"/>
              <w:jc w:val="center"/>
              <w:rPr>
                <w:rFonts w:ascii="Arial" w:hAnsi="Arial" w:cs="Arial"/>
                <w:sz w:val="20"/>
                <w:szCs w:val="20"/>
              </w:rPr>
            </w:pPr>
            <w:r>
              <w:rPr>
                <w:rFonts w:ascii="Arial" w:hAnsi="Arial" w:cs="Arial"/>
                <w:sz w:val="20"/>
                <w:szCs w:val="20"/>
              </w:rPr>
              <w:t>Strongly affected</w:t>
            </w:r>
          </w:p>
        </w:tc>
      </w:tr>
      <w:tr w:rsidR="000D2B0F" w14:paraId="5973CC22" w14:textId="77777777">
        <w:trPr>
          <w:trHeight w:val="312"/>
          <w:jc w:val="center"/>
        </w:trPr>
        <w:tc>
          <w:tcPr>
            <w:tcW w:w="2045" w:type="dxa"/>
          </w:tcPr>
          <w:p w14:paraId="1129234D" w14:textId="77777777" w:rsidR="000D2B0F" w:rsidRDefault="00000000">
            <w:pPr>
              <w:spacing w:after="0" w:line="240" w:lineRule="auto"/>
              <w:jc w:val="center"/>
              <w:rPr>
                <w:rFonts w:ascii="Arial" w:hAnsi="Arial" w:cs="Arial"/>
                <w:sz w:val="20"/>
                <w:szCs w:val="20"/>
              </w:rPr>
            </w:pPr>
            <w:r>
              <w:rPr>
                <w:rFonts w:ascii="Arial" w:hAnsi="Arial" w:cs="Arial"/>
                <w:sz w:val="20"/>
                <w:szCs w:val="20"/>
              </w:rPr>
              <w:t>G6</w:t>
            </w:r>
          </w:p>
        </w:tc>
        <w:tc>
          <w:tcPr>
            <w:tcW w:w="1525" w:type="dxa"/>
          </w:tcPr>
          <w:p w14:paraId="723BF485" w14:textId="77777777" w:rsidR="000D2B0F" w:rsidRDefault="00000000">
            <w:pPr>
              <w:spacing w:after="0" w:line="240" w:lineRule="auto"/>
              <w:jc w:val="center"/>
              <w:rPr>
                <w:rFonts w:ascii="Arial" w:hAnsi="Arial" w:cs="Arial"/>
                <w:sz w:val="20"/>
                <w:szCs w:val="20"/>
              </w:rPr>
            </w:pPr>
            <w:r>
              <w:rPr>
                <w:rFonts w:ascii="Arial" w:hAnsi="Arial" w:cs="Arial"/>
                <w:sz w:val="20"/>
                <w:szCs w:val="20"/>
              </w:rPr>
              <w:t>1.343</w:t>
            </w:r>
          </w:p>
        </w:tc>
        <w:tc>
          <w:tcPr>
            <w:tcW w:w="2573" w:type="dxa"/>
            <w:shd w:val="clear" w:color="auto" w:fill="auto"/>
          </w:tcPr>
          <w:p w14:paraId="01209153" w14:textId="77777777" w:rsidR="000D2B0F" w:rsidRDefault="00000000">
            <w:pPr>
              <w:spacing w:after="0" w:line="240" w:lineRule="auto"/>
              <w:jc w:val="center"/>
              <w:rPr>
                <w:rFonts w:ascii="Arial" w:hAnsi="Arial" w:cs="Arial"/>
                <w:sz w:val="20"/>
                <w:szCs w:val="20"/>
              </w:rPr>
            </w:pPr>
            <w:r>
              <w:rPr>
                <w:rFonts w:ascii="Arial" w:hAnsi="Arial" w:cs="Arial"/>
                <w:sz w:val="20"/>
                <w:szCs w:val="20"/>
              </w:rPr>
              <w:t>Slightly affected</w:t>
            </w:r>
          </w:p>
        </w:tc>
      </w:tr>
    </w:tbl>
    <w:p w14:paraId="4A6B09EC" w14:textId="77777777" w:rsidR="000D2B0F" w:rsidRDefault="000D2B0F">
      <w:pPr>
        <w:pStyle w:val="ListParagraph"/>
        <w:spacing w:after="0" w:line="240" w:lineRule="auto"/>
        <w:ind w:left="360"/>
        <w:jc w:val="both"/>
        <w:rPr>
          <w:rFonts w:ascii="Arial" w:hAnsi="Arial" w:cs="Arial"/>
          <w:b/>
          <w:sz w:val="20"/>
          <w:szCs w:val="20"/>
        </w:rPr>
      </w:pPr>
    </w:p>
    <w:p w14:paraId="07687250" w14:textId="77777777" w:rsidR="000D2B0F" w:rsidRDefault="00000000">
      <w:pPr>
        <w:pStyle w:val="ListParagraph"/>
        <w:numPr>
          <w:ilvl w:val="1"/>
          <w:numId w:val="2"/>
        </w:numPr>
        <w:spacing w:after="0" w:line="240" w:lineRule="auto"/>
        <w:rPr>
          <w:rFonts w:ascii="Arial" w:hAnsi="Arial" w:cs="Arial"/>
          <w:b/>
          <w:bCs/>
        </w:rPr>
      </w:pPr>
      <w:r>
        <w:rPr>
          <w:rFonts w:ascii="Arial" w:hAnsi="Arial" w:cs="Arial"/>
          <w:b/>
          <w:bCs/>
        </w:rPr>
        <w:t>Parent rock - groundwater relationship</w:t>
      </w:r>
    </w:p>
    <w:p w14:paraId="4CF616CB" w14:textId="77777777" w:rsidR="000D2B0F" w:rsidRDefault="00000000">
      <w:pPr>
        <w:spacing w:after="0" w:line="240" w:lineRule="auto"/>
        <w:jc w:val="both"/>
        <w:rPr>
          <w:rFonts w:ascii="Arial" w:hAnsi="Arial" w:cs="Arial"/>
          <w:sz w:val="20"/>
          <w:szCs w:val="20"/>
        </w:rPr>
      </w:pPr>
      <w:r>
        <w:rPr>
          <w:rFonts w:ascii="Arial" w:hAnsi="Arial" w:cs="Arial"/>
          <w:sz w:val="20"/>
          <w:szCs w:val="20"/>
        </w:rPr>
        <w:t xml:space="preserve">The white clay layer parent rocks have elevated heavy metals (HMs) concentrations and act as a source of heavy metals. It is widely accepted that extreme acidity </w:t>
      </w:r>
      <w:proofErr w:type="gramStart"/>
      <w:r>
        <w:rPr>
          <w:rFonts w:ascii="Arial" w:hAnsi="Arial" w:cs="Arial"/>
          <w:sz w:val="20"/>
          <w:szCs w:val="20"/>
        </w:rPr>
        <w:t>were</w:t>
      </w:r>
      <w:proofErr w:type="gramEnd"/>
      <w:r>
        <w:rPr>
          <w:rFonts w:ascii="Arial" w:hAnsi="Arial" w:cs="Arial"/>
          <w:sz w:val="20"/>
          <w:szCs w:val="20"/>
        </w:rPr>
        <w:t xml:space="preserve"> usually related to high solubility of HMs, and therefore increased concentration in the soil (</w:t>
      </w:r>
      <w:proofErr w:type="spellStart"/>
      <w:r>
        <w:rPr>
          <w:rFonts w:ascii="Arial" w:hAnsi="Arial" w:cs="Arial"/>
          <w:sz w:val="20"/>
          <w:szCs w:val="20"/>
        </w:rPr>
        <w:t>Sabovljevc</w:t>
      </w:r>
      <w:proofErr w:type="spellEnd"/>
      <w:r>
        <w:rPr>
          <w:rFonts w:ascii="Arial" w:hAnsi="Arial" w:cs="Arial"/>
          <w:sz w:val="20"/>
          <w:szCs w:val="20"/>
        </w:rPr>
        <w:t xml:space="preserve"> et al., 2020). The clay minerals transport as well as deposit by the gradual disintegrating of older continental and marine rocks and soils, which are significant processes of the sedimentary rock formation cycle (Thiry, 2000). Here, we noticed that the soil inherited and enriched metal elements obviously which released from white clay. It was believed that heavy metal elements released from white clay (such as silicates and carbonates) may migrate as </w:t>
      </w:r>
      <w:r>
        <w:rPr>
          <w:rFonts w:ascii="Arial" w:hAnsi="Arial" w:cs="Arial"/>
          <w:sz w:val="20"/>
          <w:szCs w:val="20"/>
        </w:rPr>
        <w:lastRenderedPageBreak/>
        <w:t>ions under acidic conditions (Woode and Hackman, 2014). Therefore, the released HMs from the weathering of white clay materials contribute considerably to their accumulation and contamination of groundwater.</w:t>
      </w:r>
    </w:p>
    <w:p w14:paraId="17D53846" w14:textId="77777777" w:rsidR="000D2B0F" w:rsidRDefault="000D2B0F">
      <w:pPr>
        <w:spacing w:after="0" w:line="240" w:lineRule="auto"/>
        <w:jc w:val="both"/>
        <w:rPr>
          <w:rFonts w:ascii="Arial" w:hAnsi="Arial" w:cs="Arial"/>
          <w:sz w:val="20"/>
          <w:szCs w:val="20"/>
        </w:rPr>
      </w:pPr>
    </w:p>
    <w:p w14:paraId="69DC96B1" w14:textId="77777777" w:rsidR="000D2B0F" w:rsidRDefault="00000000">
      <w:pPr>
        <w:spacing w:line="240" w:lineRule="auto"/>
        <w:rPr>
          <w:rFonts w:ascii="Arial" w:hAnsi="Arial" w:cs="Arial"/>
          <w:b/>
          <w:bCs/>
        </w:rPr>
      </w:pPr>
      <w:r>
        <w:rPr>
          <w:rFonts w:ascii="Arial" w:hAnsi="Arial" w:cs="Arial"/>
          <w:b/>
          <w:bCs/>
        </w:rPr>
        <w:t>4. CONCLUSIONS</w:t>
      </w:r>
    </w:p>
    <w:p w14:paraId="4E8DE628" w14:textId="77777777" w:rsidR="000D2B0F" w:rsidRDefault="00000000">
      <w:pPr>
        <w:spacing w:line="240" w:lineRule="auto"/>
        <w:jc w:val="both"/>
        <w:rPr>
          <w:rFonts w:ascii="Arial" w:hAnsi="Arial" w:cs="Arial"/>
          <w:sz w:val="20"/>
          <w:szCs w:val="20"/>
        </w:rPr>
      </w:pPr>
      <w:r>
        <w:rPr>
          <w:rFonts w:ascii="Arial" w:hAnsi="Arial" w:cs="Arial"/>
          <w:sz w:val="20"/>
          <w:szCs w:val="20"/>
        </w:rPr>
        <w:t xml:space="preserve">This investigation of heavy metals in white clay and groundwater represents that the emerging pollutant is widely present in </w:t>
      </w:r>
      <w:proofErr w:type="spellStart"/>
      <w:r>
        <w:rPr>
          <w:rFonts w:ascii="Arial" w:hAnsi="Arial" w:cs="Arial"/>
          <w:sz w:val="20"/>
          <w:szCs w:val="20"/>
        </w:rPr>
        <w:t>Bijoypur</w:t>
      </w:r>
      <w:proofErr w:type="spellEnd"/>
      <w:r>
        <w:rPr>
          <w:rFonts w:ascii="Arial" w:hAnsi="Arial" w:cs="Arial"/>
          <w:sz w:val="20"/>
          <w:szCs w:val="20"/>
        </w:rPr>
        <w:t xml:space="preserve"> and its surrounding area. The present study revealed that </w:t>
      </w:r>
      <w:proofErr w:type="spellStart"/>
      <w:r>
        <w:rPr>
          <w:rFonts w:ascii="Arial" w:hAnsi="Arial" w:cs="Arial"/>
          <w:sz w:val="20"/>
          <w:szCs w:val="20"/>
        </w:rPr>
        <w:t>Bijoypur</w:t>
      </w:r>
      <w:proofErr w:type="spellEnd"/>
      <w:r>
        <w:rPr>
          <w:rFonts w:ascii="Arial" w:hAnsi="Arial" w:cs="Arial"/>
          <w:sz w:val="20"/>
          <w:szCs w:val="20"/>
        </w:rPr>
        <w:t xml:space="preserve"> white clay deposit are contains of some heavy metals such as </w:t>
      </w:r>
      <w:proofErr w:type="spellStart"/>
      <w:proofErr w:type="gramStart"/>
      <w:r>
        <w:rPr>
          <w:rFonts w:ascii="Arial" w:hAnsi="Arial" w:cs="Arial"/>
          <w:sz w:val="20"/>
          <w:szCs w:val="20"/>
        </w:rPr>
        <w:t>As</w:t>
      </w:r>
      <w:proofErr w:type="spellEnd"/>
      <w:proofErr w:type="gramEnd"/>
      <w:r>
        <w:rPr>
          <w:rFonts w:ascii="Arial" w:hAnsi="Arial" w:cs="Arial"/>
          <w:sz w:val="20"/>
          <w:szCs w:val="20"/>
        </w:rPr>
        <w:t xml:space="preserve"> (0.0104 mg kg</w:t>
      </w:r>
      <w:r>
        <w:rPr>
          <w:rFonts w:ascii="Arial" w:hAnsi="Arial" w:cs="Arial"/>
          <w:sz w:val="20"/>
          <w:szCs w:val="20"/>
          <w:vertAlign w:val="superscript"/>
        </w:rPr>
        <w:t>-1</w:t>
      </w:r>
      <w:r>
        <w:rPr>
          <w:rFonts w:ascii="Arial" w:hAnsi="Arial" w:cs="Arial"/>
          <w:sz w:val="20"/>
          <w:szCs w:val="20"/>
        </w:rPr>
        <w:t>), Cr (0.223 mg kg</w:t>
      </w:r>
      <w:r>
        <w:rPr>
          <w:rFonts w:ascii="Arial" w:hAnsi="Arial" w:cs="Arial"/>
          <w:sz w:val="20"/>
          <w:szCs w:val="20"/>
          <w:vertAlign w:val="superscript"/>
        </w:rPr>
        <w:t>-1</w:t>
      </w:r>
      <w:r>
        <w:rPr>
          <w:rFonts w:ascii="Arial" w:hAnsi="Arial" w:cs="Arial"/>
          <w:sz w:val="20"/>
          <w:szCs w:val="20"/>
        </w:rPr>
        <w:t>), Cu (0.029 mg kg</w:t>
      </w:r>
      <w:r>
        <w:rPr>
          <w:rFonts w:ascii="Arial" w:hAnsi="Arial" w:cs="Arial"/>
          <w:sz w:val="20"/>
          <w:szCs w:val="20"/>
          <w:vertAlign w:val="superscript"/>
        </w:rPr>
        <w:t>-1</w:t>
      </w:r>
      <w:r>
        <w:rPr>
          <w:rFonts w:ascii="Arial" w:hAnsi="Arial" w:cs="Arial"/>
          <w:sz w:val="20"/>
          <w:szCs w:val="20"/>
        </w:rPr>
        <w:t>), Fe (36.08 mg kg</w:t>
      </w:r>
      <w:r>
        <w:rPr>
          <w:rFonts w:ascii="Arial" w:hAnsi="Arial" w:cs="Arial"/>
          <w:sz w:val="20"/>
          <w:szCs w:val="20"/>
          <w:vertAlign w:val="superscript"/>
        </w:rPr>
        <w:t>-1</w:t>
      </w:r>
      <w:r>
        <w:rPr>
          <w:rFonts w:ascii="Arial" w:hAnsi="Arial" w:cs="Arial"/>
          <w:sz w:val="20"/>
          <w:szCs w:val="20"/>
        </w:rPr>
        <w:t>), Mn (0.044 mg kg</w:t>
      </w:r>
      <w:r>
        <w:rPr>
          <w:rFonts w:ascii="Arial" w:hAnsi="Arial" w:cs="Arial"/>
          <w:sz w:val="20"/>
          <w:szCs w:val="20"/>
          <w:vertAlign w:val="superscript"/>
        </w:rPr>
        <w:t>-1</w:t>
      </w:r>
      <w:r>
        <w:rPr>
          <w:rFonts w:ascii="Arial" w:hAnsi="Arial" w:cs="Arial"/>
          <w:sz w:val="20"/>
          <w:szCs w:val="20"/>
        </w:rPr>
        <w:t>), Ni (0.15 mg kg</w:t>
      </w:r>
      <w:r>
        <w:rPr>
          <w:rFonts w:ascii="Arial" w:hAnsi="Arial" w:cs="Arial"/>
          <w:sz w:val="20"/>
          <w:szCs w:val="20"/>
          <w:vertAlign w:val="superscript"/>
        </w:rPr>
        <w:t>-1</w:t>
      </w:r>
      <w:r>
        <w:rPr>
          <w:rFonts w:ascii="Arial" w:hAnsi="Arial" w:cs="Arial"/>
          <w:sz w:val="20"/>
          <w:szCs w:val="20"/>
        </w:rPr>
        <w:t>), Pb (0.059 mg kg</w:t>
      </w:r>
      <w:r>
        <w:rPr>
          <w:rFonts w:ascii="Arial" w:hAnsi="Arial" w:cs="Arial"/>
          <w:sz w:val="20"/>
          <w:szCs w:val="20"/>
          <w:vertAlign w:val="superscript"/>
        </w:rPr>
        <w:t>-1</w:t>
      </w:r>
      <w:r>
        <w:rPr>
          <w:rFonts w:ascii="Arial" w:hAnsi="Arial" w:cs="Arial"/>
          <w:sz w:val="20"/>
          <w:szCs w:val="20"/>
        </w:rPr>
        <w:t>) and Zn (0.045 mg kg</w:t>
      </w:r>
      <w:r>
        <w:rPr>
          <w:rFonts w:ascii="Arial" w:hAnsi="Arial" w:cs="Arial"/>
          <w:sz w:val="20"/>
          <w:szCs w:val="20"/>
          <w:vertAlign w:val="superscript"/>
        </w:rPr>
        <w:t>-1</w:t>
      </w:r>
      <w:r>
        <w:rPr>
          <w:rFonts w:ascii="Arial" w:hAnsi="Arial" w:cs="Arial"/>
          <w:sz w:val="20"/>
          <w:szCs w:val="20"/>
        </w:rPr>
        <w:t xml:space="preserve">).  The presence of these heavy metals in the clay could be due to natural occurrences. Additionally, the lake water samples from the nearby lake in </w:t>
      </w:r>
      <w:proofErr w:type="spellStart"/>
      <w:r>
        <w:rPr>
          <w:rFonts w:ascii="Arial" w:hAnsi="Arial" w:cs="Arial"/>
          <w:sz w:val="20"/>
          <w:szCs w:val="20"/>
        </w:rPr>
        <w:t>Bijoypur</w:t>
      </w:r>
      <w:proofErr w:type="spellEnd"/>
      <w:r>
        <w:rPr>
          <w:rFonts w:ascii="Arial" w:hAnsi="Arial" w:cs="Arial"/>
          <w:sz w:val="20"/>
          <w:szCs w:val="20"/>
        </w:rPr>
        <w:t xml:space="preserve"> have HMs order of Fe&gt;Mn&gt;Zn&gt;Cu&gt;As&gt;Cd&gt;Cr&gt;Co&gt;Ni. The released HMs from the weathering of white clay materials contribute considerably to their accumulation and contamination in groundwater. The findings of the analysis showed that the heavy metal concentrations detected in all groundwater sample were as follows: Fe&gt;Mn&gt;Ni&gt;As&gt;Zn&gt;Cu&gt;Cr&gt;Cd&gt;Co. It has also been observed that, the mean value of Heavy Metals in the water samples analyzed shows abnormal concentration except, Copper (Cu), Cobalt (Co), Chromium (Cr), Cadmium (Cd) whose, concentration is within the acceptable limit set by WHO, 2011. According to the HPI results, 17% of the sample are in the high pollution category and 33% of the samples are in medium pollution category. However, evaluated MI for the samples revealed that groundwater sources in </w:t>
      </w:r>
      <w:proofErr w:type="spellStart"/>
      <w:r>
        <w:rPr>
          <w:rFonts w:ascii="Arial" w:hAnsi="Arial" w:cs="Arial"/>
          <w:sz w:val="20"/>
          <w:szCs w:val="20"/>
        </w:rPr>
        <w:t>Bijoypur</w:t>
      </w:r>
      <w:proofErr w:type="spellEnd"/>
      <w:r>
        <w:rPr>
          <w:rFonts w:ascii="Arial" w:hAnsi="Arial" w:cs="Arial"/>
          <w:sz w:val="20"/>
          <w:szCs w:val="20"/>
        </w:rPr>
        <w:t xml:space="preserve"> are not pure and affected by heavy metals. The result of the HPI and the MI presented in this research work confirms the contamination of ground water resources in the study area, hence; the water is considered to be unsuitable for consumption without any prior treatments. It is strongly recommended that government agencies or individual owners of bore holes and mining companies should be engaged to remediate the impact of heavy metal contamination of groundwater sources. Furthermore, it is high time to closely monitor the potential impact of HMs on human health that may arise from the consumption of groundwater directly.</w:t>
      </w:r>
    </w:p>
    <w:p w14:paraId="6A8CF4AE" w14:textId="77777777" w:rsidR="00F5737A" w:rsidRDefault="00F5737A">
      <w:pPr>
        <w:spacing w:line="240" w:lineRule="auto"/>
        <w:rPr>
          <w:rFonts w:ascii="Arial" w:hAnsi="Arial" w:cs="Arial"/>
          <w:b/>
          <w:bCs/>
        </w:rPr>
      </w:pPr>
    </w:p>
    <w:p w14:paraId="290B0353" w14:textId="66050B3C" w:rsidR="000D2B0F" w:rsidRDefault="00000000">
      <w:pPr>
        <w:spacing w:line="240" w:lineRule="auto"/>
        <w:rPr>
          <w:rFonts w:ascii="Arial" w:hAnsi="Arial" w:cs="Arial"/>
          <w:b/>
          <w:bCs/>
        </w:rPr>
      </w:pPr>
      <w:r>
        <w:rPr>
          <w:rFonts w:ascii="Arial" w:hAnsi="Arial" w:cs="Arial"/>
          <w:b/>
          <w:bCs/>
        </w:rPr>
        <w:t>REFERENCES</w:t>
      </w:r>
    </w:p>
    <w:p w14:paraId="268B4A4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Abbas, Z., Imran, M., Natasha, N., Murtaza, B., Amjad, M., &amp; Shah, N.S. (2021). Distribution and health risk assessment of trace elements in ground/surface water of </w:t>
      </w:r>
      <w:proofErr w:type="spellStart"/>
      <w:r>
        <w:rPr>
          <w:rFonts w:ascii="Arial" w:hAnsi="Arial" w:cs="Arial"/>
          <w:sz w:val="20"/>
          <w:szCs w:val="20"/>
        </w:rPr>
        <w:t>kot</w:t>
      </w:r>
      <w:proofErr w:type="spellEnd"/>
      <w:r>
        <w:rPr>
          <w:rFonts w:ascii="Arial" w:hAnsi="Arial" w:cs="Arial"/>
          <w:sz w:val="20"/>
          <w:szCs w:val="20"/>
        </w:rPr>
        <w:t xml:space="preserve"> </w:t>
      </w:r>
      <w:proofErr w:type="spellStart"/>
      <w:r>
        <w:rPr>
          <w:rFonts w:ascii="Arial" w:hAnsi="Arial" w:cs="Arial"/>
          <w:sz w:val="20"/>
          <w:szCs w:val="20"/>
        </w:rPr>
        <w:t>addu</w:t>
      </w:r>
      <w:proofErr w:type="spellEnd"/>
      <w:r>
        <w:rPr>
          <w:rFonts w:ascii="Arial" w:hAnsi="Arial" w:cs="Arial"/>
          <w:sz w:val="20"/>
          <w:szCs w:val="20"/>
        </w:rPr>
        <w:t xml:space="preserve">, Punjab, Pakistan: A multivariate analysis. </w:t>
      </w:r>
      <w:r>
        <w:rPr>
          <w:rFonts w:ascii="Arial" w:hAnsi="Arial" w:cs="Arial"/>
          <w:i/>
          <w:iCs/>
          <w:sz w:val="20"/>
          <w:szCs w:val="20"/>
        </w:rPr>
        <w:t>Environmental Monitoring Assessment</w:t>
      </w:r>
      <w:r>
        <w:rPr>
          <w:rFonts w:ascii="Arial" w:hAnsi="Arial" w:cs="Arial"/>
          <w:sz w:val="20"/>
          <w:szCs w:val="20"/>
        </w:rPr>
        <w:t xml:space="preserve"> 193 351–362. doi:10.1007/s10661-021-09150-7.</w:t>
      </w:r>
    </w:p>
    <w:p w14:paraId="48ADC921"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Adepoju, A.A., Alabi, O.M. (2005). Heavy metals: A review. </w:t>
      </w:r>
      <w:r>
        <w:rPr>
          <w:rFonts w:ascii="Arial" w:hAnsi="Arial" w:cs="Arial"/>
          <w:i/>
          <w:sz w:val="20"/>
          <w:szCs w:val="20"/>
        </w:rPr>
        <w:t xml:space="preserve">Nigerian Journal of Pharmaceutical Research </w:t>
      </w:r>
      <w:r>
        <w:rPr>
          <w:rFonts w:ascii="Arial" w:hAnsi="Arial" w:cs="Arial"/>
          <w:b/>
          <w:sz w:val="20"/>
          <w:szCs w:val="20"/>
        </w:rPr>
        <w:t>37</w:t>
      </w:r>
      <w:r>
        <w:rPr>
          <w:rFonts w:ascii="Arial" w:hAnsi="Arial" w:cs="Arial"/>
          <w:sz w:val="20"/>
          <w:szCs w:val="20"/>
        </w:rPr>
        <w:t xml:space="preserve"> 41-45.</w:t>
      </w:r>
    </w:p>
    <w:p w14:paraId="4E09E56F"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Alhadithi</w:t>
      </w:r>
      <w:proofErr w:type="spellEnd"/>
      <w:r>
        <w:rPr>
          <w:rFonts w:ascii="Arial" w:hAnsi="Arial" w:cs="Arial"/>
          <w:sz w:val="20"/>
          <w:szCs w:val="20"/>
        </w:rPr>
        <w:t xml:space="preserve">, M. (2012). Application of water quality index to assess suitability of groundwater quality for drinking purposes in </w:t>
      </w:r>
      <w:proofErr w:type="spellStart"/>
      <w:r>
        <w:rPr>
          <w:rFonts w:ascii="Arial" w:hAnsi="Arial" w:cs="Arial"/>
          <w:sz w:val="20"/>
          <w:szCs w:val="20"/>
        </w:rPr>
        <w:t>Ratmao</w:t>
      </w:r>
      <w:proofErr w:type="spellEnd"/>
      <w:r>
        <w:rPr>
          <w:rFonts w:ascii="Arial" w:hAnsi="Arial" w:cs="Arial"/>
          <w:sz w:val="20"/>
          <w:szCs w:val="20"/>
        </w:rPr>
        <w:t xml:space="preserve"> –</w:t>
      </w:r>
      <w:proofErr w:type="spellStart"/>
      <w:r>
        <w:rPr>
          <w:rFonts w:ascii="Arial" w:hAnsi="Arial" w:cs="Arial"/>
          <w:sz w:val="20"/>
          <w:szCs w:val="20"/>
        </w:rPr>
        <w:t>Pathri</w:t>
      </w:r>
      <w:proofErr w:type="spellEnd"/>
      <w:r>
        <w:rPr>
          <w:rFonts w:ascii="Arial" w:hAnsi="Arial" w:cs="Arial"/>
          <w:sz w:val="20"/>
          <w:szCs w:val="20"/>
        </w:rPr>
        <w:t xml:space="preserve"> Rao watershed, Haridwar District, India. </w:t>
      </w:r>
      <w:r>
        <w:rPr>
          <w:rFonts w:ascii="Arial" w:hAnsi="Arial" w:cs="Arial"/>
          <w:i/>
          <w:iCs/>
          <w:sz w:val="20"/>
          <w:szCs w:val="20"/>
        </w:rPr>
        <w:t>American Journal of Scientific and Industrial Research</w:t>
      </w:r>
      <w:r>
        <w:rPr>
          <w:rFonts w:ascii="Arial" w:hAnsi="Arial" w:cs="Arial"/>
          <w:sz w:val="20"/>
          <w:szCs w:val="20"/>
        </w:rPr>
        <w:t xml:space="preserve"> 3 396– 402. </w:t>
      </w:r>
      <w:proofErr w:type="spellStart"/>
      <w:r>
        <w:rPr>
          <w:rFonts w:ascii="Arial" w:hAnsi="Arial" w:cs="Arial"/>
          <w:sz w:val="20"/>
          <w:szCs w:val="20"/>
        </w:rPr>
        <w:t>doi</w:t>
      </w:r>
      <w:proofErr w:type="spellEnd"/>
      <w:r>
        <w:rPr>
          <w:rFonts w:ascii="Arial" w:hAnsi="Arial" w:cs="Arial"/>
          <w:sz w:val="20"/>
          <w:szCs w:val="20"/>
        </w:rPr>
        <w:t>: 10.5251/ajsir.2012.3.6.395.402.</w:t>
      </w:r>
    </w:p>
    <w:p w14:paraId="6CB3A31F"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Ali, M.M., Ali, L.M., Islam, S.M., Rahman, Z.M. (2018). Assessment of toxic metals in water and sediment of </w:t>
      </w:r>
      <w:proofErr w:type="spellStart"/>
      <w:r>
        <w:rPr>
          <w:rFonts w:ascii="Arial" w:hAnsi="Arial" w:cs="Arial"/>
          <w:sz w:val="20"/>
          <w:szCs w:val="20"/>
        </w:rPr>
        <w:t>Pasur</w:t>
      </w:r>
      <w:proofErr w:type="spellEnd"/>
      <w:r>
        <w:rPr>
          <w:rFonts w:ascii="Arial" w:hAnsi="Arial" w:cs="Arial"/>
          <w:sz w:val="20"/>
          <w:szCs w:val="20"/>
        </w:rPr>
        <w:t xml:space="preserve"> River in Bangladesh. </w:t>
      </w:r>
      <w:r>
        <w:rPr>
          <w:rFonts w:ascii="Arial" w:hAnsi="Arial" w:cs="Arial"/>
          <w:i/>
          <w:iCs/>
          <w:sz w:val="20"/>
          <w:szCs w:val="20"/>
        </w:rPr>
        <w:t>Water Science and Technology</w:t>
      </w:r>
      <w:r>
        <w:rPr>
          <w:rFonts w:ascii="Arial" w:hAnsi="Arial" w:cs="Arial"/>
          <w:sz w:val="20"/>
          <w:szCs w:val="20"/>
        </w:rPr>
        <w:t xml:space="preserve"> 77(5) 1418-1430. doi.org/10.2166/wst.2018.016.</w:t>
      </w:r>
    </w:p>
    <w:p w14:paraId="4285C742"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Andrews, S.C., Robinson, A.K., Rodriguez, Q.F. (2003). Bacterial iron homeostasis. </w:t>
      </w:r>
      <w:r>
        <w:rPr>
          <w:rFonts w:ascii="Arial" w:hAnsi="Arial" w:cs="Arial"/>
          <w:i/>
          <w:iCs/>
          <w:sz w:val="20"/>
          <w:szCs w:val="20"/>
        </w:rPr>
        <w:t>FEMS Microbiology Reviews</w:t>
      </w:r>
      <w:r>
        <w:rPr>
          <w:rFonts w:ascii="Arial" w:hAnsi="Arial" w:cs="Arial"/>
          <w:sz w:val="20"/>
          <w:szCs w:val="20"/>
        </w:rPr>
        <w:t xml:space="preserve"> 27 215–237. </w:t>
      </w:r>
      <w:proofErr w:type="spellStart"/>
      <w:r>
        <w:rPr>
          <w:rFonts w:ascii="Arial" w:hAnsi="Arial" w:cs="Arial"/>
          <w:sz w:val="20"/>
          <w:szCs w:val="20"/>
        </w:rPr>
        <w:t>doi</w:t>
      </w:r>
      <w:proofErr w:type="spellEnd"/>
      <w:r>
        <w:rPr>
          <w:rFonts w:ascii="Arial" w:hAnsi="Arial" w:cs="Arial"/>
          <w:sz w:val="20"/>
          <w:szCs w:val="20"/>
        </w:rPr>
        <w:t>: 10.1016/s0168- 6445(03)00055-x.</w:t>
      </w:r>
    </w:p>
    <w:p w14:paraId="213A1781"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APHA, (2005). Standard methods for the examination of water and wastewater. </w:t>
      </w:r>
      <w:r>
        <w:rPr>
          <w:rFonts w:ascii="Arial" w:hAnsi="Arial" w:cs="Arial"/>
          <w:i/>
          <w:iCs/>
          <w:sz w:val="20"/>
          <w:szCs w:val="20"/>
        </w:rPr>
        <w:t>American Public Health Association</w:t>
      </w:r>
      <w:r>
        <w:rPr>
          <w:rFonts w:ascii="Arial" w:hAnsi="Arial" w:cs="Arial"/>
          <w:sz w:val="20"/>
          <w:szCs w:val="20"/>
        </w:rPr>
        <w:t>, Washington, USA.</w:t>
      </w:r>
    </w:p>
    <w:p w14:paraId="4CA47240"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Baba, A., Gunde, O. (2017). Effect of Geogenic Factors on Water Quality and Its Relation to Human Health around Mount Ida, Turkey. Water 9 66. doi:10.3390/w9010066.</w:t>
      </w:r>
    </w:p>
    <w:p w14:paraId="5BBFD88A" w14:textId="77777777" w:rsidR="000D2B0F" w:rsidRDefault="000D2B0F">
      <w:pPr>
        <w:spacing w:line="240" w:lineRule="auto"/>
        <w:ind w:left="720" w:hanging="720"/>
        <w:jc w:val="both"/>
        <w:rPr>
          <w:rFonts w:ascii="Arial" w:hAnsi="Arial" w:cs="Arial"/>
          <w:sz w:val="20"/>
          <w:szCs w:val="20"/>
        </w:rPr>
      </w:pPr>
    </w:p>
    <w:p w14:paraId="69E3176C"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Bhatti, Z., Ishtiaq, M., Khan, S., Baig, S., Muhammad, I., Din, Z. (2022). Contamination level, source identification and health risk assessment of potentially toxic elements in drinking water sources of mining non-Mining Areas of Khyber Pakhtunkhwa, Pakistan. </w:t>
      </w:r>
      <w:r>
        <w:rPr>
          <w:rFonts w:ascii="Arial" w:hAnsi="Arial" w:cs="Arial"/>
          <w:i/>
          <w:iCs/>
          <w:sz w:val="20"/>
          <w:szCs w:val="20"/>
        </w:rPr>
        <w:t>Journal of water and health</w:t>
      </w:r>
      <w:r>
        <w:rPr>
          <w:rFonts w:ascii="Arial" w:hAnsi="Arial" w:cs="Arial"/>
          <w:sz w:val="20"/>
          <w:szCs w:val="20"/>
        </w:rPr>
        <w:t xml:space="preserve"> 20(9) 1343-1363.</w:t>
      </w:r>
    </w:p>
    <w:p w14:paraId="48067CA6"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lastRenderedPageBreak/>
        <w:t>Bonglaisin</w:t>
      </w:r>
      <w:proofErr w:type="spellEnd"/>
      <w:r>
        <w:rPr>
          <w:rFonts w:ascii="Arial" w:hAnsi="Arial" w:cs="Arial"/>
          <w:sz w:val="20"/>
          <w:szCs w:val="20"/>
        </w:rPr>
        <w:t xml:space="preserve">, J.N., </w:t>
      </w:r>
      <w:proofErr w:type="spellStart"/>
      <w:r>
        <w:rPr>
          <w:rFonts w:ascii="Arial" w:hAnsi="Arial" w:cs="Arial"/>
          <w:sz w:val="20"/>
          <w:szCs w:val="20"/>
        </w:rPr>
        <w:t>Mbofung</w:t>
      </w:r>
      <w:proofErr w:type="spellEnd"/>
      <w:r>
        <w:rPr>
          <w:rFonts w:ascii="Arial" w:hAnsi="Arial" w:cs="Arial"/>
          <w:sz w:val="20"/>
          <w:szCs w:val="20"/>
        </w:rPr>
        <w:t xml:space="preserve">, C.M.F., </w:t>
      </w:r>
      <w:proofErr w:type="spellStart"/>
      <w:r>
        <w:rPr>
          <w:rFonts w:ascii="Arial" w:hAnsi="Arial" w:cs="Arial"/>
          <w:sz w:val="20"/>
          <w:szCs w:val="20"/>
        </w:rPr>
        <w:t>Lantum</w:t>
      </w:r>
      <w:proofErr w:type="spellEnd"/>
      <w:r>
        <w:rPr>
          <w:rFonts w:ascii="Arial" w:hAnsi="Arial" w:cs="Arial"/>
          <w:sz w:val="20"/>
          <w:szCs w:val="20"/>
        </w:rPr>
        <w:t xml:space="preserve">, D.N. (2011) Intake of Lead, Cadmium and Mercury in Kailon eating: A Quality Assessment. </w:t>
      </w:r>
      <w:r>
        <w:rPr>
          <w:rFonts w:ascii="Arial" w:hAnsi="Arial" w:cs="Arial"/>
          <w:i/>
          <w:iCs/>
          <w:sz w:val="20"/>
          <w:szCs w:val="20"/>
        </w:rPr>
        <w:t>Journal of Medical Sciences</w:t>
      </w:r>
      <w:r>
        <w:rPr>
          <w:rFonts w:ascii="Arial" w:hAnsi="Arial" w:cs="Arial"/>
          <w:sz w:val="20"/>
          <w:szCs w:val="20"/>
        </w:rPr>
        <w:t xml:space="preserve"> 11(7) 267-273.</w:t>
      </w:r>
    </w:p>
    <w:p w14:paraId="3BE8D428"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Chowdhury, F.Z. (1993). Effect of Heat Treatment on the Electrical Properties of </w:t>
      </w:r>
      <w:proofErr w:type="spellStart"/>
      <w:r>
        <w:rPr>
          <w:rFonts w:ascii="Arial" w:hAnsi="Arial" w:cs="Arial"/>
          <w:sz w:val="20"/>
          <w:szCs w:val="20"/>
        </w:rPr>
        <w:t>Bijoypur</w:t>
      </w:r>
      <w:proofErr w:type="spellEnd"/>
      <w:r>
        <w:rPr>
          <w:rFonts w:ascii="Arial" w:hAnsi="Arial" w:cs="Arial"/>
          <w:sz w:val="20"/>
          <w:szCs w:val="20"/>
        </w:rPr>
        <w:t xml:space="preserve"> White Clay, M. Phill Thesis, Department of Physics, </w:t>
      </w:r>
      <w:r>
        <w:rPr>
          <w:rFonts w:ascii="Arial" w:hAnsi="Arial" w:cs="Arial"/>
          <w:i/>
          <w:iCs/>
          <w:sz w:val="20"/>
          <w:szCs w:val="20"/>
        </w:rPr>
        <w:t>Bangladesh University of Engineering and Technology</w:t>
      </w:r>
      <w:r>
        <w:rPr>
          <w:rFonts w:ascii="Arial" w:hAnsi="Arial" w:cs="Arial"/>
          <w:sz w:val="20"/>
          <w:szCs w:val="20"/>
        </w:rPr>
        <w:t>, Dhaka.</w:t>
      </w:r>
    </w:p>
    <w:p w14:paraId="6E1FD2E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Daniel, O.O. (2023). Occurrence and Impact of Heavy Metals on Groundwater Sources: A Case Study of Two Communities in Nasarawa State, Nigeria. </w:t>
      </w:r>
      <w:r>
        <w:rPr>
          <w:rFonts w:ascii="Arial" w:hAnsi="Arial" w:cs="Arial"/>
          <w:i/>
          <w:iCs/>
          <w:sz w:val="20"/>
          <w:szCs w:val="20"/>
        </w:rPr>
        <w:t>Heavy metals-Recent advances</w:t>
      </w:r>
      <w:r>
        <w:rPr>
          <w:rFonts w:ascii="Arial" w:hAnsi="Arial" w:cs="Arial"/>
          <w:sz w:val="20"/>
          <w:szCs w:val="20"/>
        </w:rPr>
        <w:t>. Intech Open. DOI: 10.5772/intechopen.110444</w:t>
      </w:r>
    </w:p>
    <w:p w14:paraId="55EBCA7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Deda, A., </w:t>
      </w:r>
      <w:proofErr w:type="spellStart"/>
      <w:r>
        <w:rPr>
          <w:rFonts w:ascii="Arial" w:hAnsi="Arial" w:cs="Arial"/>
          <w:sz w:val="20"/>
          <w:szCs w:val="20"/>
        </w:rPr>
        <w:t>Alushllari</w:t>
      </w:r>
      <w:proofErr w:type="spellEnd"/>
      <w:r>
        <w:rPr>
          <w:rFonts w:ascii="Arial" w:hAnsi="Arial" w:cs="Arial"/>
          <w:sz w:val="20"/>
          <w:szCs w:val="20"/>
        </w:rPr>
        <w:t xml:space="preserve">, M., Mico, S. (2019). Measurement of Heavy Metal Concentrations in Groundwater. AIP Conference Proceedings. </w:t>
      </w:r>
      <w:hyperlink r:id="rId14" w:history="1">
        <w:r w:rsidR="000D2B0F">
          <w:rPr>
            <w:rStyle w:val="Hyperlink"/>
            <w:rFonts w:ascii="Arial" w:hAnsi="Arial" w:cs="Arial"/>
            <w:sz w:val="20"/>
            <w:szCs w:val="20"/>
          </w:rPr>
          <w:t>https://doi.org/10.1063/1.51101</w:t>
        </w:r>
      </w:hyperlink>
      <w:r>
        <w:rPr>
          <w:rFonts w:ascii="Arial" w:hAnsi="Arial" w:cs="Arial"/>
          <w:sz w:val="20"/>
          <w:szCs w:val="20"/>
        </w:rPr>
        <w:t>.</w:t>
      </w:r>
    </w:p>
    <w:p w14:paraId="51C3983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Dhakal, M., Adhikari, N.M., </w:t>
      </w:r>
      <w:proofErr w:type="spellStart"/>
      <w:r>
        <w:rPr>
          <w:rFonts w:ascii="Arial" w:hAnsi="Arial" w:cs="Arial"/>
          <w:sz w:val="20"/>
          <w:szCs w:val="20"/>
        </w:rPr>
        <w:t>Duwal</w:t>
      </w:r>
      <w:proofErr w:type="spellEnd"/>
      <w:r>
        <w:rPr>
          <w:rFonts w:ascii="Arial" w:hAnsi="Arial" w:cs="Arial"/>
          <w:sz w:val="20"/>
          <w:szCs w:val="20"/>
        </w:rPr>
        <w:t xml:space="preserve">, N., Joshi, S., </w:t>
      </w:r>
      <w:proofErr w:type="spellStart"/>
      <w:r>
        <w:rPr>
          <w:rFonts w:ascii="Arial" w:hAnsi="Arial" w:cs="Arial"/>
          <w:sz w:val="20"/>
          <w:szCs w:val="20"/>
        </w:rPr>
        <w:t>Bhattari</w:t>
      </w:r>
      <w:proofErr w:type="spellEnd"/>
      <w:r>
        <w:rPr>
          <w:rFonts w:ascii="Arial" w:hAnsi="Arial" w:cs="Arial"/>
          <w:sz w:val="20"/>
          <w:szCs w:val="20"/>
        </w:rPr>
        <w:t xml:space="preserve">, J. (2021). Genesis Exploration of White Clays Deposited in Thimi Area of Kathmandu Valley. </w:t>
      </w:r>
      <w:r>
        <w:rPr>
          <w:rFonts w:ascii="Arial" w:hAnsi="Arial" w:cs="Arial"/>
          <w:i/>
          <w:iCs/>
          <w:sz w:val="20"/>
          <w:szCs w:val="20"/>
        </w:rPr>
        <w:t>Journal of Nepal Chemical Society</w:t>
      </w:r>
      <w:r>
        <w:rPr>
          <w:rFonts w:ascii="Arial" w:hAnsi="Arial" w:cs="Arial"/>
          <w:sz w:val="20"/>
          <w:szCs w:val="20"/>
        </w:rPr>
        <w:t xml:space="preserve"> 42 80-88.</w:t>
      </w:r>
    </w:p>
    <w:p w14:paraId="57B447E8"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ECR, (1997). Ministry of Environment and Forest, Government of the People’s Republic of Bangladesh. </w:t>
      </w:r>
      <w:r>
        <w:rPr>
          <w:rFonts w:ascii="Arial" w:hAnsi="Arial" w:cs="Arial"/>
          <w:i/>
          <w:iCs/>
          <w:sz w:val="20"/>
          <w:szCs w:val="20"/>
        </w:rPr>
        <w:t>The Environment Conservation Rules</w:t>
      </w:r>
      <w:r>
        <w:rPr>
          <w:rFonts w:ascii="Arial" w:hAnsi="Arial" w:cs="Arial"/>
          <w:sz w:val="20"/>
          <w:szCs w:val="20"/>
        </w:rPr>
        <w:t xml:space="preserve"> 205-207.</w:t>
      </w:r>
    </w:p>
    <w:p w14:paraId="3A3770C3"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Flood, R.P., Barr, I.D., </w:t>
      </w:r>
      <w:proofErr w:type="spellStart"/>
      <w:r>
        <w:rPr>
          <w:rFonts w:ascii="Arial" w:hAnsi="Arial" w:cs="Arial"/>
          <w:sz w:val="20"/>
          <w:szCs w:val="20"/>
        </w:rPr>
        <w:t>Weltje</w:t>
      </w:r>
      <w:proofErr w:type="spellEnd"/>
      <w:r>
        <w:rPr>
          <w:rFonts w:ascii="Arial" w:hAnsi="Arial" w:cs="Arial"/>
          <w:sz w:val="20"/>
          <w:szCs w:val="20"/>
        </w:rPr>
        <w:t xml:space="preserve">, G.J., Roberson, S., Russell, M.I., Meneely, J., Orford, J.D. (2018). Provenance and depositional variability of the Thin Mud Facies in the lower Ganges-Brahmaputra delta, West Bengal Sundarbans, India. </w:t>
      </w:r>
      <w:r>
        <w:rPr>
          <w:rFonts w:ascii="Arial" w:hAnsi="Arial" w:cs="Arial"/>
          <w:i/>
          <w:iCs/>
          <w:sz w:val="20"/>
          <w:szCs w:val="20"/>
        </w:rPr>
        <w:t>Marine Geology</w:t>
      </w:r>
      <w:r>
        <w:rPr>
          <w:rFonts w:ascii="Arial" w:hAnsi="Arial" w:cs="Arial"/>
          <w:sz w:val="20"/>
          <w:szCs w:val="20"/>
        </w:rPr>
        <w:t xml:space="preserve"> 395 198-218.</w:t>
      </w:r>
    </w:p>
    <w:p w14:paraId="7BEDCEB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Gazi, M.Y., Apu, S.I., Sharmili, N. (2021). Origin and characterization of clay deposits in the </w:t>
      </w:r>
      <w:proofErr w:type="spellStart"/>
      <w:r>
        <w:rPr>
          <w:rFonts w:ascii="Arial" w:hAnsi="Arial" w:cs="Arial"/>
          <w:sz w:val="20"/>
          <w:szCs w:val="20"/>
        </w:rPr>
        <w:t>Dupi</w:t>
      </w:r>
      <w:proofErr w:type="spellEnd"/>
      <w:r>
        <w:rPr>
          <w:rFonts w:ascii="Arial" w:hAnsi="Arial" w:cs="Arial"/>
          <w:sz w:val="20"/>
          <w:szCs w:val="20"/>
        </w:rPr>
        <w:t xml:space="preserve"> Tila Formation of the Bengal Basin, Bangladesh. </w:t>
      </w:r>
      <w:r>
        <w:rPr>
          <w:rFonts w:ascii="Arial" w:hAnsi="Arial" w:cs="Arial"/>
          <w:i/>
          <w:iCs/>
          <w:sz w:val="20"/>
          <w:szCs w:val="20"/>
        </w:rPr>
        <w:t>Journal of Solid Earth Sciences</w:t>
      </w:r>
      <w:r>
        <w:rPr>
          <w:rFonts w:ascii="Arial" w:hAnsi="Arial" w:cs="Arial"/>
          <w:sz w:val="20"/>
          <w:szCs w:val="20"/>
        </w:rPr>
        <w:t xml:space="preserve">, 6 313-327. </w:t>
      </w:r>
      <w:hyperlink r:id="rId15" w:history="1">
        <w:r w:rsidR="000D2B0F">
          <w:rPr>
            <w:rStyle w:val="Hyperlink"/>
            <w:rFonts w:ascii="Arial" w:hAnsi="Arial" w:cs="Arial"/>
            <w:sz w:val="20"/>
            <w:szCs w:val="20"/>
          </w:rPr>
          <w:t>https://doi.org/10.1016/j.sesci.2021.07.001</w:t>
        </w:r>
      </w:hyperlink>
      <w:r>
        <w:rPr>
          <w:rFonts w:ascii="Arial" w:hAnsi="Arial" w:cs="Arial"/>
          <w:sz w:val="20"/>
          <w:szCs w:val="20"/>
        </w:rPr>
        <w:t>.</w:t>
      </w:r>
    </w:p>
    <w:p w14:paraId="6D212A0F"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Gazi, M.Y., Kabir, S.M., Imam, M.B., Rahman, A., Islam, M.A. (2017). Geochemistry of Neogene </w:t>
      </w:r>
      <w:proofErr w:type="spellStart"/>
      <w:r>
        <w:rPr>
          <w:rFonts w:ascii="Arial" w:hAnsi="Arial" w:cs="Arial"/>
          <w:sz w:val="20"/>
          <w:szCs w:val="20"/>
        </w:rPr>
        <w:t>Mudrocks</w:t>
      </w:r>
      <w:proofErr w:type="spellEnd"/>
      <w:r>
        <w:rPr>
          <w:rFonts w:ascii="Arial" w:hAnsi="Arial" w:cs="Arial"/>
          <w:sz w:val="20"/>
          <w:szCs w:val="20"/>
        </w:rPr>
        <w:t xml:space="preserve"> from </w:t>
      </w:r>
      <w:proofErr w:type="spellStart"/>
      <w:r>
        <w:rPr>
          <w:rFonts w:ascii="Arial" w:hAnsi="Arial" w:cs="Arial"/>
          <w:sz w:val="20"/>
          <w:szCs w:val="20"/>
        </w:rPr>
        <w:t>Sitakund</w:t>
      </w:r>
      <w:proofErr w:type="spellEnd"/>
      <w:r>
        <w:rPr>
          <w:rFonts w:ascii="Arial" w:hAnsi="Arial" w:cs="Arial"/>
          <w:sz w:val="20"/>
          <w:szCs w:val="20"/>
        </w:rPr>
        <w:t xml:space="preserve"> anticline, Bengal Basin: Implications for provenance, weathering, tectonic setting and depositional environment. </w:t>
      </w:r>
      <w:r>
        <w:rPr>
          <w:rFonts w:ascii="Arial" w:hAnsi="Arial" w:cs="Arial"/>
          <w:i/>
          <w:iCs/>
          <w:sz w:val="20"/>
          <w:szCs w:val="20"/>
        </w:rPr>
        <w:t>Journal of Geoscience and Environmental Protection</w:t>
      </w:r>
      <w:r>
        <w:rPr>
          <w:rFonts w:ascii="Arial" w:hAnsi="Arial" w:cs="Arial"/>
          <w:sz w:val="20"/>
          <w:szCs w:val="20"/>
        </w:rPr>
        <w:t xml:space="preserve"> 5 147-171.</w:t>
      </w:r>
    </w:p>
    <w:p w14:paraId="2C5775F7"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Gichumbi</w:t>
      </w:r>
      <w:proofErr w:type="spellEnd"/>
      <w:r>
        <w:rPr>
          <w:rFonts w:ascii="Arial" w:hAnsi="Arial" w:cs="Arial"/>
          <w:sz w:val="20"/>
          <w:szCs w:val="20"/>
        </w:rPr>
        <w:t xml:space="preserve">, J.M., </w:t>
      </w:r>
      <w:proofErr w:type="spellStart"/>
      <w:r>
        <w:rPr>
          <w:rFonts w:ascii="Arial" w:hAnsi="Arial" w:cs="Arial"/>
          <w:sz w:val="20"/>
          <w:szCs w:val="20"/>
        </w:rPr>
        <w:t>Ombaka</w:t>
      </w:r>
      <w:proofErr w:type="spellEnd"/>
      <w:r>
        <w:rPr>
          <w:rFonts w:ascii="Arial" w:hAnsi="Arial" w:cs="Arial"/>
          <w:sz w:val="20"/>
          <w:szCs w:val="20"/>
        </w:rPr>
        <w:t xml:space="preserve">, O., Githaiga, J.G. (2011). Chemical And Mineralogical Analysis of </w:t>
      </w:r>
      <w:proofErr w:type="spellStart"/>
      <w:r>
        <w:rPr>
          <w:rFonts w:ascii="Arial" w:hAnsi="Arial" w:cs="Arial"/>
          <w:sz w:val="20"/>
          <w:szCs w:val="20"/>
        </w:rPr>
        <w:t>Geophagic</w:t>
      </w:r>
      <w:proofErr w:type="spellEnd"/>
      <w:r>
        <w:rPr>
          <w:rFonts w:ascii="Arial" w:hAnsi="Arial" w:cs="Arial"/>
          <w:sz w:val="20"/>
          <w:szCs w:val="20"/>
        </w:rPr>
        <w:t xml:space="preserve"> Materials Consumed </w:t>
      </w:r>
      <w:proofErr w:type="gramStart"/>
      <w:r>
        <w:rPr>
          <w:rFonts w:ascii="Arial" w:hAnsi="Arial" w:cs="Arial"/>
          <w:sz w:val="20"/>
          <w:szCs w:val="20"/>
        </w:rPr>
        <w:t>By</w:t>
      </w:r>
      <w:proofErr w:type="gramEnd"/>
      <w:r>
        <w:rPr>
          <w:rFonts w:ascii="Arial" w:hAnsi="Arial" w:cs="Arial"/>
          <w:sz w:val="20"/>
          <w:szCs w:val="20"/>
        </w:rPr>
        <w:t xml:space="preserve"> Pregnant Women In Eastern Nairobi And Nyanza Provinces In Kenya. </w:t>
      </w:r>
      <w:r>
        <w:rPr>
          <w:rFonts w:ascii="Arial" w:hAnsi="Arial" w:cs="Arial"/>
          <w:i/>
          <w:iCs/>
          <w:sz w:val="20"/>
          <w:szCs w:val="20"/>
        </w:rPr>
        <w:t>Journal of Environmental Studies</w:t>
      </w:r>
      <w:r>
        <w:rPr>
          <w:rFonts w:ascii="Arial" w:hAnsi="Arial" w:cs="Arial"/>
          <w:sz w:val="20"/>
          <w:szCs w:val="20"/>
        </w:rPr>
        <w:t xml:space="preserve"> 1(1) 116-122.</w:t>
      </w:r>
    </w:p>
    <w:p w14:paraId="32554997"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Giridharan, L., Venugopal, T., Jayaprakash, M. (2007). Evaluation of the seasonal variation on the geochemical parameters and quality assessment of the groundwater in the proximity of River </w:t>
      </w:r>
      <w:proofErr w:type="spellStart"/>
      <w:r>
        <w:rPr>
          <w:rFonts w:ascii="Arial" w:hAnsi="Arial" w:cs="Arial"/>
          <w:sz w:val="20"/>
          <w:szCs w:val="20"/>
        </w:rPr>
        <w:t>Cooum</w:t>
      </w:r>
      <w:proofErr w:type="spellEnd"/>
      <w:r>
        <w:rPr>
          <w:rFonts w:ascii="Arial" w:hAnsi="Arial" w:cs="Arial"/>
          <w:sz w:val="20"/>
          <w:szCs w:val="20"/>
        </w:rPr>
        <w:t xml:space="preserve">, Chennai, India. </w:t>
      </w:r>
      <w:r>
        <w:rPr>
          <w:rFonts w:ascii="Arial" w:hAnsi="Arial" w:cs="Arial"/>
          <w:i/>
          <w:iCs/>
          <w:sz w:val="20"/>
          <w:szCs w:val="20"/>
        </w:rPr>
        <w:t>Environmental Monitoring and Assessment</w:t>
      </w:r>
      <w:r>
        <w:rPr>
          <w:rFonts w:ascii="Arial" w:hAnsi="Arial" w:cs="Arial"/>
          <w:sz w:val="20"/>
          <w:szCs w:val="20"/>
        </w:rPr>
        <w:t xml:space="preserve"> 143 161–178. </w:t>
      </w:r>
      <w:proofErr w:type="spellStart"/>
      <w:r>
        <w:rPr>
          <w:rFonts w:ascii="Arial" w:hAnsi="Arial" w:cs="Arial"/>
          <w:sz w:val="20"/>
          <w:szCs w:val="20"/>
        </w:rPr>
        <w:t>doi</w:t>
      </w:r>
      <w:proofErr w:type="spellEnd"/>
      <w:r>
        <w:rPr>
          <w:rFonts w:ascii="Arial" w:hAnsi="Arial" w:cs="Arial"/>
          <w:sz w:val="20"/>
          <w:szCs w:val="20"/>
        </w:rPr>
        <w:t>: 10.1007/s10661-007-9965-y.</w:t>
      </w:r>
    </w:p>
    <w:p w14:paraId="0CF4FCE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Guggenheim, S., Martin, R.T. (1995). Definition of clay and clay mineral: joint report of the AIPEA nomenclature and CMS nomenclature committees. </w:t>
      </w:r>
      <w:r>
        <w:rPr>
          <w:rFonts w:ascii="Arial" w:hAnsi="Arial" w:cs="Arial"/>
          <w:i/>
          <w:iCs/>
          <w:sz w:val="20"/>
          <w:szCs w:val="20"/>
        </w:rPr>
        <w:t>Clays and Clay Minerals</w:t>
      </w:r>
      <w:r>
        <w:rPr>
          <w:rFonts w:ascii="Arial" w:hAnsi="Arial" w:cs="Arial"/>
          <w:sz w:val="20"/>
          <w:szCs w:val="20"/>
        </w:rPr>
        <w:t xml:space="preserve"> 43 255-256.</w:t>
      </w:r>
    </w:p>
    <w:p w14:paraId="2D97C61F"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Hanif, M.A., Miah, R., Islam, M.A., Marzia, S. (2020). Impact of </w:t>
      </w:r>
      <w:proofErr w:type="spellStart"/>
      <w:r>
        <w:rPr>
          <w:rFonts w:ascii="Arial" w:hAnsi="Arial" w:cs="Arial"/>
          <w:sz w:val="20"/>
          <w:szCs w:val="20"/>
        </w:rPr>
        <w:t>Kapotaksha</w:t>
      </w:r>
      <w:proofErr w:type="spellEnd"/>
      <w:r>
        <w:rPr>
          <w:rFonts w:ascii="Arial" w:hAnsi="Arial" w:cs="Arial"/>
          <w:sz w:val="20"/>
          <w:szCs w:val="20"/>
        </w:rPr>
        <w:t xml:space="preserve"> river water pollution on human health and environment. </w:t>
      </w:r>
      <w:r>
        <w:rPr>
          <w:rFonts w:ascii="Arial" w:hAnsi="Arial" w:cs="Arial"/>
          <w:i/>
          <w:iCs/>
          <w:sz w:val="20"/>
          <w:szCs w:val="20"/>
        </w:rPr>
        <w:t>Progressive Agriculture</w:t>
      </w:r>
      <w:r>
        <w:rPr>
          <w:rFonts w:ascii="Arial" w:hAnsi="Arial" w:cs="Arial"/>
          <w:sz w:val="20"/>
          <w:szCs w:val="20"/>
        </w:rPr>
        <w:t xml:space="preserve"> 31 (1), 1-9.</w:t>
      </w:r>
    </w:p>
    <w:p w14:paraId="32986BAE"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Heroy, D.C., Kuehl, S.A., Goodbred, S.L. (2003). Mineralogy of the Ganges and Brahmaputra Rivers: Implications for river switching and Late Quaternary climate change. </w:t>
      </w:r>
      <w:r>
        <w:rPr>
          <w:rFonts w:ascii="Arial" w:hAnsi="Arial" w:cs="Arial"/>
          <w:i/>
          <w:iCs/>
          <w:sz w:val="20"/>
          <w:szCs w:val="20"/>
        </w:rPr>
        <w:t>Sedimentary Geology</w:t>
      </w:r>
      <w:r>
        <w:rPr>
          <w:rFonts w:ascii="Arial" w:hAnsi="Arial" w:cs="Arial"/>
          <w:sz w:val="20"/>
          <w:szCs w:val="20"/>
        </w:rPr>
        <w:t xml:space="preserve"> 155 343-359.</w:t>
      </w:r>
    </w:p>
    <w:p w14:paraId="1C67B294"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Hossain, M.M., Biswas, P., Islam, M.A., Usha, K.F., Marzia, S. (2020). Physicochemical characterization of drinking water of selected regions in Bangladesh. </w:t>
      </w:r>
      <w:r>
        <w:rPr>
          <w:rFonts w:ascii="Arial" w:hAnsi="Arial" w:cs="Arial"/>
          <w:i/>
          <w:iCs/>
          <w:sz w:val="20"/>
          <w:szCs w:val="20"/>
        </w:rPr>
        <w:t>Progressive Agriculture</w:t>
      </w:r>
      <w:r>
        <w:rPr>
          <w:rFonts w:ascii="Arial" w:hAnsi="Arial" w:cs="Arial"/>
          <w:sz w:val="20"/>
          <w:szCs w:val="20"/>
        </w:rPr>
        <w:t xml:space="preserve"> 31(1) 36-44.</w:t>
      </w:r>
    </w:p>
    <w:p w14:paraId="513A8C5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Islam, M.A., Ema, I.J., Usha, K.F., Kabir, S.M.L. (2021). </w:t>
      </w:r>
      <w:proofErr w:type="spellStart"/>
      <w:r>
        <w:rPr>
          <w:rFonts w:ascii="Arial" w:hAnsi="Arial" w:cs="Arial"/>
          <w:sz w:val="20"/>
          <w:szCs w:val="20"/>
        </w:rPr>
        <w:t>Physico</w:t>
      </w:r>
      <w:proofErr w:type="spellEnd"/>
      <w:r>
        <w:rPr>
          <w:rFonts w:ascii="Arial" w:hAnsi="Arial" w:cs="Arial"/>
          <w:sz w:val="20"/>
          <w:szCs w:val="20"/>
        </w:rPr>
        <w:t xml:space="preserve">-chemical and microbiological assessment of drinking water of the selected restaurants in Mymensingh district of Bangladesh. </w:t>
      </w:r>
      <w:r>
        <w:rPr>
          <w:rFonts w:ascii="Arial" w:hAnsi="Arial" w:cs="Arial"/>
          <w:i/>
          <w:iCs/>
          <w:sz w:val="20"/>
          <w:szCs w:val="20"/>
        </w:rPr>
        <w:t>Progressive Agriculture</w:t>
      </w:r>
      <w:r>
        <w:rPr>
          <w:rFonts w:ascii="Arial" w:hAnsi="Arial" w:cs="Arial"/>
          <w:sz w:val="20"/>
          <w:szCs w:val="20"/>
        </w:rPr>
        <w:t xml:space="preserve"> </w:t>
      </w:r>
      <w:r>
        <w:rPr>
          <w:rFonts w:ascii="Arial" w:hAnsi="Arial" w:cs="Arial"/>
          <w:bCs/>
          <w:sz w:val="20"/>
          <w:szCs w:val="20"/>
        </w:rPr>
        <w:t>32</w:t>
      </w:r>
      <w:r>
        <w:rPr>
          <w:rFonts w:ascii="Arial" w:hAnsi="Arial" w:cs="Arial"/>
          <w:b/>
          <w:sz w:val="20"/>
          <w:szCs w:val="20"/>
        </w:rPr>
        <w:t xml:space="preserve"> </w:t>
      </w:r>
      <w:r>
        <w:rPr>
          <w:rFonts w:ascii="Arial" w:hAnsi="Arial" w:cs="Arial"/>
          <w:sz w:val="20"/>
          <w:szCs w:val="20"/>
        </w:rPr>
        <w:t xml:space="preserve">(2), 84–95. </w:t>
      </w:r>
    </w:p>
    <w:p w14:paraId="4E27B941"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Islam, M.A., Nuruzzaman, M., Das, R.R., Afrin, N., Habiba, U. (2020). Contamination of heavy metals in water, sediments and fish is a consequence of paddy cultivation: focusing river pollution in Bangladesh. </w:t>
      </w:r>
      <w:r>
        <w:rPr>
          <w:rFonts w:ascii="Arial" w:hAnsi="Arial" w:cs="Arial"/>
          <w:i/>
          <w:iCs/>
          <w:sz w:val="20"/>
          <w:szCs w:val="20"/>
        </w:rPr>
        <w:t>Ministry of Science and Technology</w:t>
      </w:r>
      <w:r>
        <w:rPr>
          <w:rFonts w:ascii="Arial" w:hAnsi="Arial" w:cs="Arial"/>
          <w:sz w:val="20"/>
          <w:szCs w:val="20"/>
        </w:rPr>
        <w:t xml:space="preserve"> 48-59.</w:t>
      </w:r>
    </w:p>
    <w:p w14:paraId="64FADAE9"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Islam, M.N. (1985). Whit clay (Kaolin) deposits of </w:t>
      </w:r>
      <w:proofErr w:type="spellStart"/>
      <w:r>
        <w:rPr>
          <w:rFonts w:ascii="Arial" w:hAnsi="Arial" w:cs="Arial"/>
          <w:sz w:val="20"/>
          <w:szCs w:val="20"/>
        </w:rPr>
        <w:t>Bijoypur</w:t>
      </w:r>
      <w:proofErr w:type="spellEnd"/>
      <w:r>
        <w:rPr>
          <w:rFonts w:ascii="Arial" w:hAnsi="Arial" w:cs="Arial"/>
          <w:sz w:val="20"/>
          <w:szCs w:val="20"/>
        </w:rPr>
        <w:t xml:space="preserve"> area, </w:t>
      </w:r>
      <w:proofErr w:type="spellStart"/>
      <w:r>
        <w:rPr>
          <w:rFonts w:ascii="Arial" w:hAnsi="Arial" w:cs="Arial"/>
          <w:sz w:val="20"/>
          <w:szCs w:val="20"/>
        </w:rPr>
        <w:t>Netrokona</w:t>
      </w:r>
      <w:proofErr w:type="spellEnd"/>
      <w:r>
        <w:rPr>
          <w:rFonts w:ascii="Arial" w:hAnsi="Arial" w:cs="Arial"/>
          <w:sz w:val="20"/>
          <w:szCs w:val="20"/>
        </w:rPr>
        <w:t xml:space="preserve"> district, Bangladesh. </w:t>
      </w:r>
      <w:r>
        <w:rPr>
          <w:rFonts w:ascii="Arial" w:hAnsi="Arial" w:cs="Arial"/>
          <w:i/>
          <w:iCs/>
          <w:sz w:val="20"/>
          <w:szCs w:val="20"/>
        </w:rPr>
        <w:t>Geological survey of Bangladesh</w:t>
      </w:r>
      <w:r>
        <w:rPr>
          <w:rFonts w:ascii="Arial" w:hAnsi="Arial" w:cs="Arial"/>
          <w:sz w:val="20"/>
          <w:szCs w:val="20"/>
        </w:rPr>
        <w:t xml:space="preserve"> 4(3).</w:t>
      </w:r>
    </w:p>
    <w:p w14:paraId="06AD16DB"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lastRenderedPageBreak/>
        <w:t xml:space="preserve">Jahan, N., Khan, M.B., Ali, M.A., Islam, M.T., </w:t>
      </w:r>
      <w:proofErr w:type="spellStart"/>
      <w:r>
        <w:rPr>
          <w:rFonts w:ascii="Arial" w:hAnsi="Arial" w:cs="Arial"/>
          <w:sz w:val="20"/>
          <w:szCs w:val="20"/>
        </w:rPr>
        <w:t>Siddik</w:t>
      </w:r>
      <w:proofErr w:type="spellEnd"/>
      <w:r>
        <w:rPr>
          <w:rFonts w:ascii="Arial" w:hAnsi="Arial" w:cs="Arial"/>
          <w:sz w:val="20"/>
          <w:szCs w:val="20"/>
        </w:rPr>
        <w:t xml:space="preserve">, S.M. (2020). Spatial appraisal of groundwater quality for drinking purposes: A case study of </w:t>
      </w:r>
      <w:proofErr w:type="spellStart"/>
      <w:r>
        <w:rPr>
          <w:rFonts w:ascii="Arial" w:hAnsi="Arial" w:cs="Arial"/>
          <w:sz w:val="20"/>
          <w:szCs w:val="20"/>
        </w:rPr>
        <w:t>Kalihati</w:t>
      </w:r>
      <w:proofErr w:type="spellEnd"/>
      <w:r>
        <w:rPr>
          <w:rFonts w:ascii="Arial" w:hAnsi="Arial" w:cs="Arial"/>
          <w:sz w:val="20"/>
          <w:szCs w:val="20"/>
        </w:rPr>
        <w:t xml:space="preserve"> Upazila, Bangladesh. </w:t>
      </w:r>
      <w:r>
        <w:rPr>
          <w:rFonts w:ascii="Arial" w:hAnsi="Arial" w:cs="Arial"/>
          <w:i/>
          <w:iCs/>
          <w:sz w:val="20"/>
          <w:szCs w:val="20"/>
        </w:rPr>
        <w:t>Fundamental and Applied Agriculture</w:t>
      </w:r>
      <w:r>
        <w:rPr>
          <w:rFonts w:ascii="Arial" w:hAnsi="Arial" w:cs="Arial"/>
          <w:sz w:val="20"/>
          <w:szCs w:val="20"/>
        </w:rPr>
        <w:t xml:space="preserve"> 5(4) 521-536.</w:t>
      </w:r>
    </w:p>
    <w:p w14:paraId="39528CD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Javed, T., Sarwar, T., Ullah, I., Ahmad, S., Rashid, S. (2019). Evaluation of groundwater quality in district Karak Khyber Pakhtunkhwa, Pakistan. </w:t>
      </w:r>
      <w:r>
        <w:rPr>
          <w:rFonts w:ascii="Arial" w:hAnsi="Arial" w:cs="Arial"/>
          <w:i/>
          <w:iCs/>
          <w:sz w:val="20"/>
          <w:szCs w:val="20"/>
        </w:rPr>
        <w:t>Water Science</w:t>
      </w:r>
      <w:r>
        <w:rPr>
          <w:rFonts w:ascii="Arial" w:hAnsi="Arial" w:cs="Arial"/>
          <w:sz w:val="20"/>
          <w:szCs w:val="20"/>
        </w:rPr>
        <w:t xml:space="preserve"> 33 1–9. </w:t>
      </w:r>
      <w:proofErr w:type="spellStart"/>
      <w:r>
        <w:rPr>
          <w:rFonts w:ascii="Arial" w:hAnsi="Arial" w:cs="Arial"/>
          <w:sz w:val="20"/>
          <w:szCs w:val="20"/>
        </w:rPr>
        <w:t>doi</w:t>
      </w:r>
      <w:proofErr w:type="spellEnd"/>
      <w:r>
        <w:rPr>
          <w:rFonts w:ascii="Arial" w:hAnsi="Arial" w:cs="Arial"/>
          <w:sz w:val="20"/>
          <w:szCs w:val="20"/>
        </w:rPr>
        <w:t>: 10.1080/11104929.2019.1626630.</w:t>
      </w:r>
    </w:p>
    <w:p w14:paraId="2EF25100"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Jehan, S., Khattak, S.A., Muhammad, S., Ali, L., Rashid, A., Hussain, M.L. (2020). Human health risks by potentially toxic metals in drinking water along the Hattar Industrial Estate, Pakistan. </w:t>
      </w:r>
      <w:r>
        <w:rPr>
          <w:rFonts w:ascii="Arial" w:hAnsi="Arial" w:cs="Arial"/>
          <w:i/>
          <w:iCs/>
          <w:sz w:val="20"/>
          <w:szCs w:val="20"/>
        </w:rPr>
        <w:t>Environmental science and pollution research</w:t>
      </w:r>
      <w:r>
        <w:rPr>
          <w:rFonts w:ascii="Arial" w:hAnsi="Arial" w:cs="Arial"/>
          <w:sz w:val="20"/>
          <w:szCs w:val="20"/>
        </w:rPr>
        <w:t xml:space="preserve"> 27 2677–2690. doi:10. 1007/s11356-019-07219-y.</w:t>
      </w:r>
    </w:p>
    <w:p w14:paraId="211A439F"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Li, J., Liu, S., Shi, X., Feng, X., Fang, X., Cao, P., Sun, X., </w:t>
      </w:r>
      <w:proofErr w:type="spellStart"/>
      <w:r>
        <w:rPr>
          <w:rFonts w:ascii="Arial" w:hAnsi="Arial" w:cs="Arial"/>
          <w:sz w:val="20"/>
          <w:szCs w:val="20"/>
        </w:rPr>
        <w:t>Wenxing</w:t>
      </w:r>
      <w:proofErr w:type="spellEnd"/>
      <w:r>
        <w:rPr>
          <w:rFonts w:ascii="Arial" w:hAnsi="Arial" w:cs="Arial"/>
          <w:sz w:val="20"/>
          <w:szCs w:val="20"/>
        </w:rPr>
        <w:t xml:space="preserve">, Y., </w:t>
      </w:r>
      <w:proofErr w:type="spellStart"/>
      <w:r>
        <w:rPr>
          <w:rFonts w:ascii="Arial" w:hAnsi="Arial" w:cs="Arial"/>
          <w:sz w:val="20"/>
          <w:szCs w:val="20"/>
        </w:rPr>
        <w:t>Khokiattiwong</w:t>
      </w:r>
      <w:proofErr w:type="spellEnd"/>
      <w:r>
        <w:rPr>
          <w:rFonts w:ascii="Arial" w:hAnsi="Arial" w:cs="Arial"/>
          <w:sz w:val="20"/>
          <w:szCs w:val="20"/>
        </w:rPr>
        <w:t xml:space="preserve">, S., </w:t>
      </w:r>
      <w:proofErr w:type="spellStart"/>
      <w:r>
        <w:rPr>
          <w:rFonts w:ascii="Arial" w:hAnsi="Arial" w:cs="Arial"/>
          <w:sz w:val="20"/>
          <w:szCs w:val="20"/>
        </w:rPr>
        <w:t>Kornkanitnan</w:t>
      </w:r>
      <w:proofErr w:type="spellEnd"/>
      <w:r>
        <w:rPr>
          <w:rFonts w:ascii="Arial" w:hAnsi="Arial" w:cs="Arial"/>
          <w:sz w:val="20"/>
          <w:szCs w:val="20"/>
        </w:rPr>
        <w:t xml:space="preserve">, N. (2017a). Distributions of clay minerals in surface sediments of the middle Bay of Bengal: Source and transport pattern. </w:t>
      </w:r>
      <w:r>
        <w:rPr>
          <w:rFonts w:ascii="Arial" w:hAnsi="Arial" w:cs="Arial"/>
          <w:i/>
          <w:iCs/>
          <w:sz w:val="20"/>
          <w:szCs w:val="20"/>
        </w:rPr>
        <w:t>Continental Shelf Research</w:t>
      </w:r>
      <w:r>
        <w:rPr>
          <w:rFonts w:ascii="Arial" w:hAnsi="Arial" w:cs="Arial"/>
          <w:sz w:val="20"/>
          <w:szCs w:val="20"/>
        </w:rPr>
        <w:t xml:space="preserve"> 145 59-67.</w:t>
      </w:r>
    </w:p>
    <w:p w14:paraId="07A0DD58"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Liu, X., Song, Q., Tang, Y., Li, W., Xu, J., Wu J Wang, F. (2013). Human Health Risk Assessment of Heavy Metals in Soil–Vegetable System: A multi-</w:t>
      </w:r>
      <w:proofErr w:type="spellStart"/>
      <w:r>
        <w:rPr>
          <w:rFonts w:ascii="Arial" w:hAnsi="Arial" w:cs="Arial"/>
          <w:sz w:val="20"/>
          <w:szCs w:val="20"/>
        </w:rPr>
        <w:t>medianalysis</w:t>
      </w:r>
      <w:proofErr w:type="spellEnd"/>
      <w:r>
        <w:rPr>
          <w:rFonts w:ascii="Arial" w:hAnsi="Arial" w:cs="Arial"/>
          <w:sz w:val="20"/>
          <w:szCs w:val="20"/>
        </w:rPr>
        <w:t xml:space="preserve">. </w:t>
      </w:r>
      <w:r>
        <w:rPr>
          <w:rFonts w:ascii="Arial" w:hAnsi="Arial" w:cs="Arial"/>
          <w:i/>
          <w:iCs/>
          <w:sz w:val="20"/>
          <w:szCs w:val="20"/>
        </w:rPr>
        <w:t>Science of the Total Environment</w:t>
      </w:r>
      <w:r>
        <w:rPr>
          <w:rFonts w:ascii="Arial" w:hAnsi="Arial" w:cs="Arial"/>
          <w:sz w:val="20"/>
          <w:szCs w:val="20"/>
        </w:rPr>
        <w:t xml:space="preserve"> 40 530-540.</w:t>
      </w:r>
    </w:p>
    <w:p w14:paraId="41581D62"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Mahurpawar, M. (2015). Effects of Heavy Metals on Human Health. </w:t>
      </w:r>
      <w:r>
        <w:rPr>
          <w:rFonts w:ascii="Arial" w:hAnsi="Arial" w:cs="Arial"/>
          <w:i/>
          <w:iCs/>
          <w:sz w:val="20"/>
          <w:szCs w:val="20"/>
        </w:rPr>
        <w:t>International Journal of Research-</w:t>
      </w:r>
      <w:proofErr w:type="spellStart"/>
      <w:r>
        <w:rPr>
          <w:rFonts w:ascii="Arial" w:hAnsi="Arial" w:cs="Arial"/>
          <w:i/>
          <w:iCs/>
          <w:sz w:val="20"/>
          <w:szCs w:val="20"/>
        </w:rPr>
        <w:t>Granthaalayah</w:t>
      </w:r>
      <w:proofErr w:type="spellEnd"/>
      <w:r>
        <w:rPr>
          <w:rFonts w:ascii="Arial" w:hAnsi="Arial" w:cs="Arial"/>
          <w:sz w:val="20"/>
          <w:szCs w:val="20"/>
        </w:rPr>
        <w:t xml:space="preserve"> 1-7.</w:t>
      </w:r>
    </w:p>
    <w:p w14:paraId="6C6C1D14"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Mallongi</w:t>
      </w:r>
      <w:proofErr w:type="spellEnd"/>
      <w:r>
        <w:rPr>
          <w:rFonts w:ascii="Arial" w:hAnsi="Arial" w:cs="Arial"/>
          <w:sz w:val="20"/>
          <w:szCs w:val="20"/>
        </w:rPr>
        <w:t xml:space="preserve">, A., Rauf, A.U., Daud, A., Hatta, M., Al-Madhoun, W., Amiruddin, R. (2022). Health risk assessment of potentially toxic elements in </w:t>
      </w:r>
      <w:proofErr w:type="spellStart"/>
      <w:r>
        <w:rPr>
          <w:rFonts w:ascii="Arial" w:hAnsi="Arial" w:cs="Arial"/>
          <w:sz w:val="20"/>
          <w:szCs w:val="20"/>
        </w:rPr>
        <w:t>maros</w:t>
      </w:r>
      <w:proofErr w:type="spellEnd"/>
      <w:r>
        <w:rPr>
          <w:rFonts w:ascii="Arial" w:hAnsi="Arial" w:cs="Arial"/>
          <w:sz w:val="20"/>
          <w:szCs w:val="20"/>
        </w:rPr>
        <w:t xml:space="preserve"> karst groundwater: A Monte Carlo simulation approach. </w:t>
      </w:r>
      <w:r>
        <w:rPr>
          <w:rFonts w:ascii="Arial" w:hAnsi="Arial" w:cs="Arial"/>
          <w:i/>
          <w:iCs/>
          <w:sz w:val="20"/>
          <w:szCs w:val="20"/>
        </w:rPr>
        <w:t>Geomatics, Natural Hazards and Risk</w:t>
      </w:r>
      <w:r>
        <w:rPr>
          <w:rFonts w:ascii="Arial" w:hAnsi="Arial" w:cs="Arial"/>
          <w:sz w:val="20"/>
          <w:szCs w:val="20"/>
        </w:rPr>
        <w:t xml:space="preserve"> 13 338–363. doi:10.1080/19475705.2022.2027528.</w:t>
      </w:r>
    </w:p>
    <w:p w14:paraId="0AA4785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Marcovecchio, J.E., Botte, S.E., Freije, R.H. (2007). Heavy Metals, Major Metals, Trace Elements. In: Nollet LM, </w:t>
      </w:r>
      <w:r>
        <w:rPr>
          <w:rFonts w:ascii="Arial" w:hAnsi="Arial" w:cs="Arial"/>
          <w:i/>
          <w:iCs/>
          <w:sz w:val="20"/>
          <w:szCs w:val="20"/>
        </w:rPr>
        <w:t>Handbook of Water Analysis</w:t>
      </w:r>
      <w:r>
        <w:rPr>
          <w:rFonts w:ascii="Arial" w:hAnsi="Arial" w:cs="Arial"/>
          <w:sz w:val="20"/>
          <w:szCs w:val="20"/>
        </w:rPr>
        <w:t xml:space="preserve">. (2nd </w:t>
      </w:r>
      <w:proofErr w:type="spellStart"/>
      <w:r>
        <w:rPr>
          <w:rFonts w:ascii="Arial" w:hAnsi="Arial" w:cs="Arial"/>
          <w:sz w:val="20"/>
          <w:szCs w:val="20"/>
        </w:rPr>
        <w:t>edn</w:t>
      </w:r>
      <w:proofErr w:type="spellEnd"/>
      <w:r>
        <w:rPr>
          <w:rFonts w:ascii="Arial" w:hAnsi="Arial" w:cs="Arial"/>
          <w:sz w:val="20"/>
          <w:szCs w:val="20"/>
        </w:rPr>
        <w:t>), CRC Press, London 275-311.</w:t>
      </w:r>
    </w:p>
    <w:p w14:paraId="62AA3112" w14:textId="77777777" w:rsidR="000D2B0F" w:rsidRDefault="00000000">
      <w:pPr>
        <w:spacing w:line="240" w:lineRule="auto"/>
        <w:ind w:left="720" w:hanging="720"/>
        <w:jc w:val="both"/>
        <w:rPr>
          <w:rFonts w:ascii="Arial" w:hAnsi="Arial" w:cs="Arial"/>
          <w:sz w:val="20"/>
          <w:szCs w:val="20"/>
        </w:rPr>
      </w:pPr>
      <w:r w:rsidRPr="00F5737A">
        <w:rPr>
          <w:rFonts w:ascii="Arial" w:hAnsi="Arial" w:cs="Arial"/>
          <w:sz w:val="20"/>
          <w:szCs w:val="20"/>
          <w:lang w:val="de-DE"/>
        </w:rPr>
        <w:t xml:space="preserve">Mathee, A., Naicker, N., Kootbodien, T., Mahuma, T., Nkomo, P., Naik, I., De Wet, T. (2014). </w:t>
      </w:r>
      <w:r>
        <w:rPr>
          <w:rFonts w:ascii="Arial" w:hAnsi="Arial" w:cs="Arial"/>
          <w:sz w:val="20"/>
          <w:szCs w:val="20"/>
        </w:rPr>
        <w:t xml:space="preserve">A Cross-sectional Analytical Study of Geophagia Practices and Blood Metal Concentrations in Pregnant Women in Johannesburg, South Africa. </w:t>
      </w:r>
      <w:r>
        <w:rPr>
          <w:rFonts w:ascii="Arial" w:hAnsi="Arial" w:cs="Arial"/>
          <w:i/>
          <w:iCs/>
          <w:sz w:val="20"/>
          <w:szCs w:val="20"/>
        </w:rPr>
        <w:t>South Africa Medical Journal</w:t>
      </w:r>
      <w:r>
        <w:rPr>
          <w:rFonts w:ascii="Arial" w:hAnsi="Arial" w:cs="Arial"/>
          <w:sz w:val="20"/>
          <w:szCs w:val="20"/>
        </w:rPr>
        <w:t xml:space="preserve"> 104 (8) 568-573.</w:t>
      </w:r>
    </w:p>
    <w:p w14:paraId="36295C9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Mendie, U. (2005). The Nature of Water. In: The Theory and Practice of Clean Water Production for Domestic and Industrial Use. </w:t>
      </w:r>
      <w:proofErr w:type="spellStart"/>
      <w:r>
        <w:rPr>
          <w:rFonts w:ascii="Arial" w:hAnsi="Arial" w:cs="Arial"/>
          <w:sz w:val="20"/>
          <w:szCs w:val="20"/>
        </w:rPr>
        <w:t>Lacto</w:t>
      </w:r>
      <w:proofErr w:type="spellEnd"/>
      <w:r>
        <w:rPr>
          <w:rFonts w:ascii="Arial" w:hAnsi="Arial" w:cs="Arial"/>
          <w:sz w:val="20"/>
          <w:szCs w:val="20"/>
        </w:rPr>
        <w:t>-Medals Publishers, Lagos 1-21.</w:t>
      </w:r>
    </w:p>
    <w:p w14:paraId="6BD24A59"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Mohsenipour</w:t>
      </w:r>
      <w:proofErr w:type="spellEnd"/>
      <w:r>
        <w:rPr>
          <w:rFonts w:ascii="Arial" w:hAnsi="Arial" w:cs="Arial"/>
          <w:sz w:val="20"/>
          <w:szCs w:val="20"/>
        </w:rPr>
        <w:t>, M., Shahid, S. (2013). The Impact of Chemical Compositions of Kaolin on the Adsorption of Heavy Metals. 4th IGCESH.</w:t>
      </w:r>
    </w:p>
    <w:p w14:paraId="7D7B2054"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Momade, F.W.Y., </w:t>
      </w:r>
      <w:proofErr w:type="spellStart"/>
      <w:r>
        <w:rPr>
          <w:rFonts w:ascii="Arial" w:hAnsi="Arial" w:cs="Arial"/>
          <w:sz w:val="20"/>
          <w:szCs w:val="20"/>
        </w:rPr>
        <w:t>Gawu</w:t>
      </w:r>
      <w:proofErr w:type="spellEnd"/>
      <w:r>
        <w:rPr>
          <w:rFonts w:ascii="Arial" w:hAnsi="Arial" w:cs="Arial"/>
          <w:sz w:val="20"/>
          <w:szCs w:val="20"/>
        </w:rPr>
        <w:t xml:space="preserve">, S.K.Y. (2009). Geochemical and mineralogical characteristics of </w:t>
      </w:r>
      <w:proofErr w:type="spellStart"/>
      <w:r>
        <w:rPr>
          <w:rFonts w:ascii="Arial" w:hAnsi="Arial" w:cs="Arial"/>
          <w:sz w:val="20"/>
          <w:szCs w:val="20"/>
        </w:rPr>
        <w:t>Lithomargic</w:t>
      </w:r>
      <w:proofErr w:type="spellEnd"/>
      <w:r>
        <w:rPr>
          <w:rFonts w:ascii="Arial" w:hAnsi="Arial" w:cs="Arial"/>
          <w:sz w:val="20"/>
          <w:szCs w:val="20"/>
        </w:rPr>
        <w:t xml:space="preserve"> clay. </w:t>
      </w:r>
      <w:r>
        <w:rPr>
          <w:rFonts w:ascii="Arial" w:hAnsi="Arial" w:cs="Arial"/>
          <w:i/>
          <w:iCs/>
          <w:sz w:val="20"/>
          <w:szCs w:val="20"/>
        </w:rPr>
        <w:t>Journal of Science and Technology</w:t>
      </w:r>
      <w:r>
        <w:rPr>
          <w:rFonts w:ascii="Arial" w:hAnsi="Arial" w:cs="Arial"/>
          <w:sz w:val="20"/>
          <w:szCs w:val="20"/>
        </w:rPr>
        <w:t xml:space="preserve"> 29 (2) 96-106.</w:t>
      </w:r>
    </w:p>
    <w:p w14:paraId="77943B36"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Ngole, V.M., </w:t>
      </w:r>
      <w:proofErr w:type="spellStart"/>
      <w:r>
        <w:rPr>
          <w:rFonts w:ascii="Arial" w:hAnsi="Arial" w:cs="Arial"/>
          <w:sz w:val="20"/>
          <w:szCs w:val="20"/>
        </w:rPr>
        <w:t>Ekosse</w:t>
      </w:r>
      <w:proofErr w:type="spellEnd"/>
      <w:r>
        <w:rPr>
          <w:rFonts w:ascii="Arial" w:hAnsi="Arial" w:cs="Arial"/>
          <w:sz w:val="20"/>
          <w:szCs w:val="20"/>
        </w:rPr>
        <w:t xml:space="preserve">, G.E., De Jager, L., </w:t>
      </w:r>
      <w:proofErr w:type="spellStart"/>
      <w:r>
        <w:rPr>
          <w:rFonts w:ascii="Arial" w:hAnsi="Arial" w:cs="Arial"/>
          <w:sz w:val="20"/>
          <w:szCs w:val="20"/>
        </w:rPr>
        <w:t>Songca</w:t>
      </w:r>
      <w:proofErr w:type="spellEnd"/>
      <w:r>
        <w:rPr>
          <w:rFonts w:ascii="Arial" w:hAnsi="Arial" w:cs="Arial"/>
          <w:sz w:val="20"/>
          <w:szCs w:val="20"/>
        </w:rPr>
        <w:t xml:space="preserve">, S.P. (2010). Physicochemical Characteristics of </w:t>
      </w:r>
      <w:proofErr w:type="spellStart"/>
      <w:r>
        <w:rPr>
          <w:rFonts w:ascii="Arial" w:hAnsi="Arial" w:cs="Arial"/>
          <w:sz w:val="20"/>
          <w:szCs w:val="20"/>
        </w:rPr>
        <w:t>Geophagic</w:t>
      </w:r>
      <w:proofErr w:type="spellEnd"/>
      <w:r>
        <w:rPr>
          <w:rFonts w:ascii="Arial" w:hAnsi="Arial" w:cs="Arial"/>
          <w:sz w:val="20"/>
          <w:szCs w:val="20"/>
        </w:rPr>
        <w:t xml:space="preserve"> Clayey Soils from South Africa and Swaziland. </w:t>
      </w:r>
      <w:r>
        <w:rPr>
          <w:rFonts w:ascii="Arial" w:hAnsi="Arial" w:cs="Arial"/>
          <w:i/>
          <w:iCs/>
          <w:sz w:val="20"/>
          <w:szCs w:val="20"/>
        </w:rPr>
        <w:t>African Journal of Biotechnology</w:t>
      </w:r>
      <w:r>
        <w:rPr>
          <w:rFonts w:ascii="Arial" w:hAnsi="Arial" w:cs="Arial"/>
          <w:sz w:val="20"/>
          <w:szCs w:val="20"/>
        </w:rPr>
        <w:t xml:space="preserve"> 9 (36) 5929-5937.</w:t>
      </w:r>
    </w:p>
    <w:p w14:paraId="0CB07AD6"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Nkansha</w:t>
      </w:r>
      <w:proofErr w:type="spellEnd"/>
      <w:r>
        <w:rPr>
          <w:rFonts w:ascii="Arial" w:hAnsi="Arial" w:cs="Arial"/>
          <w:sz w:val="20"/>
          <w:szCs w:val="20"/>
        </w:rPr>
        <w:t xml:space="preserve">, M.A., </w:t>
      </w:r>
      <w:proofErr w:type="spellStart"/>
      <w:r>
        <w:rPr>
          <w:rFonts w:ascii="Arial" w:hAnsi="Arial" w:cs="Arial"/>
          <w:sz w:val="20"/>
          <w:szCs w:val="20"/>
        </w:rPr>
        <w:t>Korankye</w:t>
      </w:r>
      <w:proofErr w:type="spellEnd"/>
      <w:r>
        <w:rPr>
          <w:rFonts w:ascii="Arial" w:hAnsi="Arial" w:cs="Arial"/>
          <w:sz w:val="20"/>
          <w:szCs w:val="20"/>
        </w:rPr>
        <w:t xml:space="preserve">, M., Darko, G., Dodd, M. (2016). Heavy Metal Content and Potential Health Risk of </w:t>
      </w:r>
      <w:proofErr w:type="spellStart"/>
      <w:r>
        <w:rPr>
          <w:rFonts w:ascii="Arial" w:hAnsi="Arial" w:cs="Arial"/>
          <w:sz w:val="20"/>
          <w:szCs w:val="20"/>
        </w:rPr>
        <w:t>Geophagic</w:t>
      </w:r>
      <w:proofErr w:type="spellEnd"/>
      <w:r>
        <w:rPr>
          <w:rFonts w:ascii="Arial" w:hAnsi="Arial" w:cs="Arial"/>
          <w:sz w:val="20"/>
          <w:szCs w:val="20"/>
        </w:rPr>
        <w:t xml:space="preserve"> White Clay from the Kumasi Metropolis in Ghana. </w:t>
      </w:r>
      <w:r>
        <w:rPr>
          <w:rFonts w:ascii="Arial" w:hAnsi="Arial" w:cs="Arial"/>
          <w:i/>
          <w:iCs/>
          <w:sz w:val="20"/>
          <w:szCs w:val="20"/>
        </w:rPr>
        <w:t>Toxicology reports</w:t>
      </w:r>
      <w:r>
        <w:rPr>
          <w:rFonts w:ascii="Arial" w:hAnsi="Arial" w:cs="Arial"/>
          <w:sz w:val="20"/>
          <w:szCs w:val="20"/>
        </w:rPr>
        <w:t xml:space="preserve"> 3 644-651.</w:t>
      </w:r>
    </w:p>
    <w:p w14:paraId="69650CB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Nouri, J., </w:t>
      </w:r>
      <w:proofErr w:type="spellStart"/>
      <w:r>
        <w:rPr>
          <w:rFonts w:ascii="Arial" w:hAnsi="Arial" w:cs="Arial"/>
          <w:sz w:val="20"/>
          <w:szCs w:val="20"/>
        </w:rPr>
        <w:t>Mahvi</w:t>
      </w:r>
      <w:proofErr w:type="spellEnd"/>
      <w:r>
        <w:rPr>
          <w:rFonts w:ascii="Arial" w:hAnsi="Arial" w:cs="Arial"/>
          <w:sz w:val="20"/>
          <w:szCs w:val="20"/>
        </w:rPr>
        <w:t xml:space="preserve">, A.H., Jahed, G.R., Babaei, A.A. (2008). Regional distribution pattern of groundwater heavy metals resulting from agricultural activities. </w:t>
      </w:r>
      <w:r>
        <w:rPr>
          <w:rFonts w:ascii="Arial" w:hAnsi="Arial" w:cs="Arial"/>
          <w:i/>
          <w:iCs/>
          <w:sz w:val="20"/>
          <w:szCs w:val="20"/>
        </w:rPr>
        <w:t>Environmental Geology</w:t>
      </w:r>
      <w:r>
        <w:rPr>
          <w:rFonts w:ascii="Arial" w:hAnsi="Arial" w:cs="Arial"/>
          <w:sz w:val="20"/>
          <w:szCs w:val="20"/>
        </w:rPr>
        <w:t xml:space="preserve"> 55 1337–1343.</w:t>
      </w:r>
    </w:p>
    <w:p w14:paraId="64A6231F"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Prasad, B., Sangita, K. (2008). Heavy metal pollution index of ground water of an abandoned open cast mine filled with fly ash: A case study. </w:t>
      </w:r>
      <w:r>
        <w:rPr>
          <w:rFonts w:ascii="Arial" w:hAnsi="Arial" w:cs="Arial"/>
          <w:i/>
          <w:iCs/>
          <w:sz w:val="20"/>
          <w:szCs w:val="20"/>
        </w:rPr>
        <w:t>Mine Water Environment</w:t>
      </w:r>
      <w:r>
        <w:rPr>
          <w:rFonts w:ascii="Arial" w:hAnsi="Arial" w:cs="Arial"/>
          <w:sz w:val="20"/>
          <w:szCs w:val="20"/>
        </w:rPr>
        <w:t xml:space="preserve"> 27 (4) 265–267.</w:t>
      </w:r>
    </w:p>
    <w:p w14:paraId="549E3726"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Rahman, M.M., Islam, M.A., Khan, M.B. (2016). Status of heavy metal pollution of water and fishes in Balu and Brahmaputra rivers. </w:t>
      </w:r>
      <w:r>
        <w:rPr>
          <w:rFonts w:ascii="Arial" w:hAnsi="Arial" w:cs="Arial"/>
          <w:i/>
          <w:iCs/>
          <w:sz w:val="20"/>
          <w:szCs w:val="20"/>
        </w:rPr>
        <w:t>Progressive Agriculture</w:t>
      </w:r>
      <w:r>
        <w:rPr>
          <w:rFonts w:ascii="Arial" w:hAnsi="Arial" w:cs="Arial"/>
          <w:sz w:val="20"/>
          <w:szCs w:val="20"/>
        </w:rPr>
        <w:t xml:space="preserve"> 27</w:t>
      </w:r>
      <w:r>
        <w:rPr>
          <w:rFonts w:ascii="Arial" w:hAnsi="Arial" w:cs="Arial"/>
          <w:b/>
          <w:sz w:val="20"/>
          <w:szCs w:val="20"/>
        </w:rPr>
        <w:t xml:space="preserve"> </w:t>
      </w:r>
      <w:r>
        <w:rPr>
          <w:rFonts w:ascii="Arial" w:hAnsi="Arial" w:cs="Arial"/>
          <w:sz w:val="20"/>
          <w:szCs w:val="20"/>
        </w:rPr>
        <w:t>(4), 444-452.</w:t>
      </w:r>
    </w:p>
    <w:p w14:paraId="54B6934E"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Rahman, S., Ali, M.A., Islam, M.A., </w:t>
      </w:r>
      <w:proofErr w:type="spellStart"/>
      <w:r>
        <w:rPr>
          <w:rFonts w:ascii="Arial" w:hAnsi="Arial" w:cs="Arial"/>
          <w:sz w:val="20"/>
          <w:szCs w:val="20"/>
        </w:rPr>
        <w:t>Sayema</w:t>
      </w:r>
      <w:proofErr w:type="spellEnd"/>
      <w:r>
        <w:rPr>
          <w:rFonts w:ascii="Arial" w:hAnsi="Arial" w:cs="Arial"/>
          <w:sz w:val="20"/>
          <w:szCs w:val="20"/>
        </w:rPr>
        <w:t xml:space="preserve">, T.F.K., Mohammod, L.K. (2017). Assessment of Drinking Water Quality and Hygienic Conditions of the People Living around the </w:t>
      </w:r>
      <w:proofErr w:type="spellStart"/>
      <w:r>
        <w:rPr>
          <w:rFonts w:ascii="Arial" w:hAnsi="Arial" w:cs="Arial"/>
          <w:sz w:val="20"/>
          <w:szCs w:val="20"/>
        </w:rPr>
        <w:t>Dingaputha</w:t>
      </w:r>
      <w:proofErr w:type="spellEnd"/>
      <w:r>
        <w:rPr>
          <w:rFonts w:ascii="Arial" w:hAnsi="Arial" w:cs="Arial"/>
          <w:sz w:val="20"/>
          <w:szCs w:val="20"/>
        </w:rPr>
        <w:t xml:space="preserve"> Haor Area of </w:t>
      </w:r>
      <w:proofErr w:type="spellStart"/>
      <w:r>
        <w:rPr>
          <w:rFonts w:ascii="Arial" w:hAnsi="Arial" w:cs="Arial"/>
          <w:sz w:val="20"/>
          <w:szCs w:val="20"/>
        </w:rPr>
        <w:t>Netrokona</w:t>
      </w:r>
      <w:proofErr w:type="spellEnd"/>
      <w:r>
        <w:rPr>
          <w:rFonts w:ascii="Arial" w:hAnsi="Arial" w:cs="Arial"/>
          <w:sz w:val="20"/>
          <w:szCs w:val="20"/>
        </w:rPr>
        <w:t xml:space="preserve"> District, Bangladesh. </w:t>
      </w:r>
      <w:r>
        <w:rPr>
          <w:rFonts w:ascii="Arial" w:hAnsi="Arial" w:cs="Arial"/>
          <w:i/>
          <w:iCs/>
          <w:sz w:val="20"/>
          <w:szCs w:val="20"/>
        </w:rPr>
        <w:t>Journal of Ecology and Environmental Sciences</w:t>
      </w:r>
      <w:r>
        <w:rPr>
          <w:rFonts w:ascii="Arial" w:hAnsi="Arial" w:cs="Arial"/>
          <w:sz w:val="20"/>
          <w:szCs w:val="20"/>
        </w:rPr>
        <w:t xml:space="preserve"> </w:t>
      </w:r>
      <w:r>
        <w:rPr>
          <w:rFonts w:ascii="Arial" w:hAnsi="Arial" w:cs="Arial"/>
          <w:bCs/>
          <w:sz w:val="20"/>
          <w:szCs w:val="20"/>
        </w:rPr>
        <w:t>5 (1),</w:t>
      </w:r>
      <w:r>
        <w:rPr>
          <w:rFonts w:ascii="Arial" w:hAnsi="Arial" w:cs="Arial"/>
          <w:sz w:val="20"/>
          <w:szCs w:val="20"/>
        </w:rPr>
        <w:t xml:space="preserve"> 12-23.</w:t>
      </w:r>
    </w:p>
    <w:p w14:paraId="7B3E03C1"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lastRenderedPageBreak/>
        <w:t xml:space="preserve">Rashid, A., Ayub, M., Ullah, Z., Ali, A., Khattak, S.A., Ali, L. (2022). Geochemical modeling source provenance, public health exposure, and evaluating potentially harmful elements in groundwater: Statistical and human health risk assessment (HHRA). </w:t>
      </w:r>
      <w:r>
        <w:rPr>
          <w:rFonts w:ascii="Arial" w:hAnsi="Arial" w:cs="Arial"/>
          <w:i/>
          <w:iCs/>
          <w:sz w:val="20"/>
          <w:szCs w:val="20"/>
        </w:rPr>
        <w:t>International Journal of Environmental Research and Public Health</w:t>
      </w:r>
      <w:r>
        <w:rPr>
          <w:rFonts w:ascii="Arial" w:hAnsi="Arial" w:cs="Arial"/>
          <w:sz w:val="20"/>
          <w:szCs w:val="20"/>
        </w:rPr>
        <w:t xml:space="preserve"> 19 6472. doi:10.3390/ ijerph19116472.</w:t>
      </w:r>
    </w:p>
    <w:p w14:paraId="1522FCF3"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Reddy, Y.S., Sunitha, V. (2023). Assessment of Heavy metal pollution and its health implications in groundwater for drinking purpose around inactive mines, SW region of </w:t>
      </w:r>
      <w:proofErr w:type="spellStart"/>
      <w:r>
        <w:rPr>
          <w:rFonts w:ascii="Arial" w:hAnsi="Arial" w:cs="Arial"/>
          <w:sz w:val="20"/>
          <w:szCs w:val="20"/>
        </w:rPr>
        <w:t>Cuddapah</w:t>
      </w:r>
      <w:proofErr w:type="spellEnd"/>
      <w:r>
        <w:rPr>
          <w:rFonts w:ascii="Arial" w:hAnsi="Arial" w:cs="Arial"/>
          <w:sz w:val="20"/>
          <w:szCs w:val="20"/>
        </w:rPr>
        <w:t xml:space="preserve"> Basin, South India. </w:t>
      </w:r>
      <w:r>
        <w:rPr>
          <w:rFonts w:ascii="Arial" w:hAnsi="Arial" w:cs="Arial"/>
          <w:i/>
          <w:iCs/>
          <w:sz w:val="20"/>
          <w:szCs w:val="20"/>
        </w:rPr>
        <w:t>Total Environment Research Themes</w:t>
      </w:r>
      <w:r>
        <w:rPr>
          <w:rFonts w:ascii="Arial" w:hAnsi="Arial" w:cs="Arial"/>
          <w:sz w:val="20"/>
          <w:szCs w:val="20"/>
        </w:rPr>
        <w:t xml:space="preserve"> 8 100069. </w:t>
      </w:r>
      <w:hyperlink r:id="rId16" w:history="1">
        <w:r w:rsidR="000D2B0F">
          <w:rPr>
            <w:rStyle w:val="Hyperlink"/>
            <w:rFonts w:ascii="Arial" w:hAnsi="Arial" w:cs="Arial"/>
            <w:sz w:val="20"/>
            <w:szCs w:val="20"/>
          </w:rPr>
          <w:t>https://doi.org/10.1016/j.totert.2023.100069</w:t>
        </w:r>
      </w:hyperlink>
      <w:r>
        <w:rPr>
          <w:rFonts w:ascii="Arial" w:hAnsi="Arial" w:cs="Arial"/>
          <w:sz w:val="20"/>
          <w:szCs w:val="20"/>
        </w:rPr>
        <w:t>.</w:t>
      </w:r>
    </w:p>
    <w:p w14:paraId="7A4EB73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Reza, R., Singh, G. (2010). Assessment of heavy metal contamination and its indexing approach for river water. </w:t>
      </w:r>
      <w:r>
        <w:rPr>
          <w:rFonts w:ascii="Arial" w:hAnsi="Arial" w:cs="Arial"/>
          <w:i/>
          <w:iCs/>
          <w:sz w:val="20"/>
          <w:szCs w:val="20"/>
        </w:rPr>
        <w:t>International Journal of Environmental Science and Technology</w:t>
      </w:r>
      <w:r>
        <w:rPr>
          <w:rFonts w:ascii="Arial" w:hAnsi="Arial" w:cs="Arial"/>
          <w:sz w:val="20"/>
          <w:szCs w:val="20"/>
        </w:rPr>
        <w:t xml:space="preserve"> 7(4) 785–792.</w:t>
      </w:r>
    </w:p>
    <w:p w14:paraId="38D88B82"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Reza, R., Singh, G., Jain, M.K. (2011). Application of heavy metal pollution index for ground water quality assessment in Angul district of Orissa, India. </w:t>
      </w:r>
      <w:r>
        <w:rPr>
          <w:rFonts w:ascii="Arial" w:hAnsi="Arial" w:cs="Arial"/>
          <w:i/>
          <w:iCs/>
          <w:sz w:val="20"/>
          <w:szCs w:val="20"/>
        </w:rPr>
        <w:t>International Journal of Research in Chemistry and Environment</w:t>
      </w:r>
      <w:r>
        <w:rPr>
          <w:rFonts w:ascii="Arial" w:hAnsi="Arial" w:cs="Arial"/>
          <w:sz w:val="20"/>
          <w:szCs w:val="20"/>
        </w:rPr>
        <w:t xml:space="preserve"> 1(2) 118–122</w:t>
      </w:r>
    </w:p>
    <w:p w14:paraId="666CC6E0"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Robinson, T.P., </w:t>
      </w:r>
      <w:proofErr w:type="spellStart"/>
      <w:r>
        <w:rPr>
          <w:rFonts w:ascii="Arial" w:hAnsi="Arial" w:cs="Arial"/>
          <w:sz w:val="20"/>
          <w:szCs w:val="20"/>
        </w:rPr>
        <w:t>Metternicht</w:t>
      </w:r>
      <w:proofErr w:type="spellEnd"/>
      <w:r>
        <w:rPr>
          <w:rFonts w:ascii="Arial" w:hAnsi="Arial" w:cs="Arial"/>
          <w:sz w:val="20"/>
          <w:szCs w:val="20"/>
        </w:rPr>
        <w:t xml:space="preserve">, G. (2006). Testing the performance of spatial interpolation techniques for mapping soil properties. Computers and Electronics in Agriculture 50 97–108. </w:t>
      </w:r>
      <w:proofErr w:type="spellStart"/>
      <w:r>
        <w:rPr>
          <w:rFonts w:ascii="Arial" w:hAnsi="Arial" w:cs="Arial"/>
          <w:sz w:val="20"/>
          <w:szCs w:val="20"/>
        </w:rPr>
        <w:t>doi</w:t>
      </w:r>
      <w:proofErr w:type="spellEnd"/>
      <w:r>
        <w:rPr>
          <w:rFonts w:ascii="Arial" w:hAnsi="Arial" w:cs="Arial"/>
          <w:sz w:val="20"/>
          <w:szCs w:val="20"/>
        </w:rPr>
        <w:t>: 10.1016/j.compag.2005.07.003.</w:t>
      </w:r>
    </w:p>
    <w:p w14:paraId="7616789B"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Sabovljevc</w:t>
      </w:r>
      <w:proofErr w:type="spellEnd"/>
      <w:r>
        <w:rPr>
          <w:rFonts w:ascii="Arial" w:hAnsi="Arial" w:cs="Arial"/>
          <w:sz w:val="20"/>
          <w:szCs w:val="20"/>
        </w:rPr>
        <w:t xml:space="preserve">, M.S., Weidinger, M., </w:t>
      </w:r>
      <w:proofErr w:type="spellStart"/>
      <w:r>
        <w:rPr>
          <w:rFonts w:ascii="Arial" w:hAnsi="Arial" w:cs="Arial"/>
          <w:sz w:val="20"/>
          <w:szCs w:val="20"/>
        </w:rPr>
        <w:t>Sabovljevc</w:t>
      </w:r>
      <w:proofErr w:type="spellEnd"/>
      <w:r>
        <w:rPr>
          <w:rFonts w:ascii="Arial" w:hAnsi="Arial" w:cs="Arial"/>
          <w:sz w:val="20"/>
          <w:szCs w:val="20"/>
        </w:rPr>
        <w:t xml:space="preserve">, A.D., Stankovic, J., </w:t>
      </w:r>
      <w:proofErr w:type="spellStart"/>
      <w:r>
        <w:rPr>
          <w:rFonts w:ascii="Arial" w:hAnsi="Arial" w:cs="Arial"/>
          <w:sz w:val="20"/>
          <w:szCs w:val="20"/>
        </w:rPr>
        <w:t>Adlassnig</w:t>
      </w:r>
      <w:proofErr w:type="spellEnd"/>
      <w:r>
        <w:rPr>
          <w:rFonts w:ascii="Arial" w:hAnsi="Arial" w:cs="Arial"/>
          <w:sz w:val="20"/>
          <w:szCs w:val="20"/>
        </w:rPr>
        <w:t xml:space="preserve">, W., Lang, I. (2020). Metal accumulation in the </w:t>
      </w:r>
      <w:proofErr w:type="spellStart"/>
      <w:r>
        <w:rPr>
          <w:rFonts w:ascii="Arial" w:hAnsi="Arial" w:cs="Arial"/>
          <w:sz w:val="20"/>
          <w:szCs w:val="20"/>
        </w:rPr>
        <w:t>acrocarp</w:t>
      </w:r>
      <w:proofErr w:type="spellEnd"/>
      <w:r>
        <w:rPr>
          <w:rFonts w:ascii="Arial" w:hAnsi="Arial" w:cs="Arial"/>
          <w:sz w:val="20"/>
          <w:szCs w:val="20"/>
        </w:rPr>
        <w:t xml:space="preserve"> moss </w:t>
      </w:r>
      <w:proofErr w:type="spellStart"/>
      <w:r>
        <w:rPr>
          <w:rFonts w:ascii="Arial" w:hAnsi="Arial" w:cs="Arial"/>
          <w:sz w:val="20"/>
          <w:szCs w:val="20"/>
        </w:rPr>
        <w:t>Atrichum</w:t>
      </w:r>
      <w:proofErr w:type="spellEnd"/>
      <w:r>
        <w:rPr>
          <w:rFonts w:ascii="Arial" w:hAnsi="Arial" w:cs="Arial"/>
          <w:sz w:val="20"/>
          <w:szCs w:val="20"/>
        </w:rPr>
        <w:t xml:space="preserve"> </w:t>
      </w:r>
      <w:proofErr w:type="spellStart"/>
      <w:r>
        <w:rPr>
          <w:rFonts w:ascii="Arial" w:hAnsi="Arial" w:cs="Arial"/>
          <w:sz w:val="20"/>
          <w:szCs w:val="20"/>
        </w:rPr>
        <w:t>undulatum</w:t>
      </w:r>
      <w:proofErr w:type="spellEnd"/>
      <w:r>
        <w:rPr>
          <w:rFonts w:ascii="Arial" w:hAnsi="Arial" w:cs="Arial"/>
          <w:sz w:val="20"/>
          <w:szCs w:val="20"/>
        </w:rPr>
        <w:t xml:space="preserve"> under controlled conditions. </w:t>
      </w:r>
      <w:r>
        <w:rPr>
          <w:rFonts w:ascii="Arial" w:hAnsi="Arial" w:cs="Arial"/>
          <w:i/>
          <w:iCs/>
          <w:sz w:val="20"/>
          <w:szCs w:val="20"/>
        </w:rPr>
        <w:t>Environmental Pollution</w:t>
      </w:r>
      <w:r>
        <w:rPr>
          <w:rFonts w:ascii="Arial" w:hAnsi="Arial" w:cs="Arial"/>
          <w:sz w:val="20"/>
          <w:szCs w:val="20"/>
        </w:rPr>
        <w:t xml:space="preserve"> 113397.</w:t>
      </w:r>
    </w:p>
    <w:p w14:paraId="571DCE77"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Sheykhi</w:t>
      </w:r>
      <w:proofErr w:type="spellEnd"/>
      <w:r>
        <w:rPr>
          <w:rFonts w:ascii="Arial" w:hAnsi="Arial" w:cs="Arial"/>
          <w:sz w:val="20"/>
          <w:szCs w:val="20"/>
        </w:rPr>
        <w:t xml:space="preserve">, V., Moore, F. (2012). Geochemical characterization of Kor River water quality, Fars Province, Southwest Iran. </w:t>
      </w:r>
      <w:r>
        <w:rPr>
          <w:rFonts w:ascii="Arial" w:hAnsi="Arial" w:cs="Arial"/>
          <w:i/>
          <w:iCs/>
          <w:sz w:val="20"/>
          <w:szCs w:val="20"/>
        </w:rPr>
        <w:t>Water Quality Exposure and Health</w:t>
      </w:r>
      <w:r>
        <w:rPr>
          <w:rFonts w:ascii="Arial" w:hAnsi="Arial" w:cs="Arial"/>
          <w:sz w:val="20"/>
          <w:szCs w:val="20"/>
        </w:rPr>
        <w:t xml:space="preserve"> 4 25–38.</w:t>
      </w:r>
    </w:p>
    <w:p w14:paraId="2D868452"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Srivastava, S.K., Ramanathan, A.L. (2007). Geochemical assessment of groundwater quality in vicinity of </w:t>
      </w:r>
      <w:proofErr w:type="spellStart"/>
      <w:r>
        <w:rPr>
          <w:rFonts w:ascii="Arial" w:hAnsi="Arial" w:cs="Arial"/>
          <w:sz w:val="20"/>
          <w:szCs w:val="20"/>
        </w:rPr>
        <w:t>Bhalswa</w:t>
      </w:r>
      <w:proofErr w:type="spellEnd"/>
      <w:r>
        <w:rPr>
          <w:rFonts w:ascii="Arial" w:hAnsi="Arial" w:cs="Arial"/>
          <w:sz w:val="20"/>
          <w:szCs w:val="20"/>
        </w:rPr>
        <w:t xml:space="preserve"> landfill, Delhi, India, using graphical and multivariate statistical methods. </w:t>
      </w:r>
      <w:r>
        <w:rPr>
          <w:rFonts w:ascii="Arial" w:hAnsi="Arial" w:cs="Arial"/>
          <w:i/>
          <w:iCs/>
          <w:sz w:val="20"/>
          <w:szCs w:val="20"/>
        </w:rPr>
        <w:t>Environmental Geology</w:t>
      </w:r>
      <w:r>
        <w:rPr>
          <w:rFonts w:ascii="Arial" w:hAnsi="Arial" w:cs="Arial"/>
          <w:sz w:val="20"/>
          <w:szCs w:val="20"/>
        </w:rPr>
        <w:t xml:space="preserve"> 53 1509–1528. </w:t>
      </w:r>
      <w:proofErr w:type="spellStart"/>
      <w:r>
        <w:rPr>
          <w:rFonts w:ascii="Arial" w:hAnsi="Arial" w:cs="Arial"/>
          <w:sz w:val="20"/>
          <w:szCs w:val="20"/>
        </w:rPr>
        <w:t>doi</w:t>
      </w:r>
      <w:proofErr w:type="spellEnd"/>
      <w:r>
        <w:rPr>
          <w:rFonts w:ascii="Arial" w:hAnsi="Arial" w:cs="Arial"/>
          <w:sz w:val="20"/>
          <w:szCs w:val="20"/>
        </w:rPr>
        <w:t>: 10.1007/s00254-007-0762-2.</w:t>
      </w:r>
    </w:p>
    <w:p w14:paraId="1C8F1682"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Tamanna., Gupta, N.C. (2023). A Study and Evaluation of Groundwater Quality and Heavy Metal Contamination in Bathinda district of Punjab, India. </w:t>
      </w:r>
      <w:r>
        <w:rPr>
          <w:rFonts w:ascii="Arial" w:hAnsi="Arial" w:cs="Arial"/>
          <w:i/>
          <w:iCs/>
          <w:sz w:val="20"/>
          <w:szCs w:val="20"/>
        </w:rPr>
        <w:t>Ecology, Environment and Conservation</w:t>
      </w:r>
      <w:r>
        <w:rPr>
          <w:rFonts w:ascii="Arial" w:hAnsi="Arial" w:cs="Arial"/>
          <w:sz w:val="20"/>
          <w:szCs w:val="20"/>
        </w:rPr>
        <w:t xml:space="preserve"> 29 (4) 1847-1856.</w:t>
      </w:r>
    </w:p>
    <w:p w14:paraId="385F2F1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Taylor, S.R., </w:t>
      </w:r>
      <w:proofErr w:type="spellStart"/>
      <w:r>
        <w:rPr>
          <w:rFonts w:ascii="Arial" w:hAnsi="Arial" w:cs="Arial"/>
          <w:sz w:val="20"/>
          <w:szCs w:val="20"/>
        </w:rPr>
        <w:t>Mclennan</w:t>
      </w:r>
      <w:proofErr w:type="spellEnd"/>
      <w:r>
        <w:rPr>
          <w:rFonts w:ascii="Arial" w:hAnsi="Arial" w:cs="Arial"/>
          <w:sz w:val="20"/>
          <w:szCs w:val="20"/>
        </w:rPr>
        <w:t xml:space="preserve">, S.M. (1995). The geochemical evolution of the continental crust. </w:t>
      </w:r>
      <w:r>
        <w:rPr>
          <w:rFonts w:ascii="Arial" w:hAnsi="Arial" w:cs="Arial"/>
          <w:i/>
          <w:iCs/>
          <w:sz w:val="20"/>
          <w:szCs w:val="20"/>
        </w:rPr>
        <w:t>Review of Geophysics</w:t>
      </w:r>
      <w:r>
        <w:rPr>
          <w:rFonts w:ascii="Arial" w:hAnsi="Arial" w:cs="Arial"/>
          <w:sz w:val="20"/>
          <w:szCs w:val="20"/>
        </w:rPr>
        <w:t xml:space="preserve"> 33. https:// </w:t>
      </w:r>
      <w:proofErr w:type="spellStart"/>
      <w:r>
        <w:rPr>
          <w:rFonts w:ascii="Arial" w:hAnsi="Arial" w:cs="Arial"/>
          <w:sz w:val="20"/>
          <w:szCs w:val="20"/>
        </w:rPr>
        <w:t>doi</w:t>
      </w:r>
      <w:proofErr w:type="spellEnd"/>
      <w:r>
        <w:rPr>
          <w:rFonts w:ascii="Arial" w:hAnsi="Arial" w:cs="Arial"/>
          <w:sz w:val="20"/>
          <w:szCs w:val="20"/>
        </w:rPr>
        <w:t>. org/ 10. 1029/ 95RG00262.</w:t>
      </w:r>
    </w:p>
    <w:p w14:paraId="369EC2E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Thiry, M. (2000). </w:t>
      </w:r>
      <w:proofErr w:type="spellStart"/>
      <w:r>
        <w:rPr>
          <w:rFonts w:ascii="Arial" w:hAnsi="Arial" w:cs="Arial"/>
          <w:sz w:val="20"/>
          <w:szCs w:val="20"/>
        </w:rPr>
        <w:t>Palaeoclimatic</w:t>
      </w:r>
      <w:proofErr w:type="spellEnd"/>
      <w:r>
        <w:rPr>
          <w:rFonts w:ascii="Arial" w:hAnsi="Arial" w:cs="Arial"/>
          <w:sz w:val="20"/>
          <w:szCs w:val="20"/>
        </w:rPr>
        <w:t xml:space="preserve"> interpretation of clay minerals in marine deposits: An outlook from the continental origin. </w:t>
      </w:r>
      <w:r>
        <w:rPr>
          <w:rFonts w:ascii="Arial" w:hAnsi="Arial" w:cs="Arial"/>
          <w:i/>
          <w:iCs/>
          <w:sz w:val="20"/>
          <w:szCs w:val="20"/>
        </w:rPr>
        <w:t>Earth Science Review</w:t>
      </w:r>
      <w:r>
        <w:rPr>
          <w:rFonts w:ascii="Arial" w:hAnsi="Arial" w:cs="Arial"/>
          <w:sz w:val="20"/>
          <w:szCs w:val="20"/>
        </w:rPr>
        <w:t xml:space="preserve"> 49 (1-4) 201-221.</w:t>
      </w:r>
    </w:p>
    <w:p w14:paraId="03A8C6B5"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Triassi, M., Cerino, P., </w:t>
      </w:r>
      <w:proofErr w:type="spellStart"/>
      <w:r>
        <w:rPr>
          <w:rFonts w:ascii="Arial" w:hAnsi="Arial" w:cs="Arial"/>
          <w:sz w:val="20"/>
          <w:szCs w:val="20"/>
        </w:rPr>
        <w:t>Montouri</w:t>
      </w:r>
      <w:proofErr w:type="spellEnd"/>
      <w:r>
        <w:rPr>
          <w:rFonts w:ascii="Arial" w:hAnsi="Arial" w:cs="Arial"/>
          <w:sz w:val="20"/>
          <w:szCs w:val="20"/>
        </w:rPr>
        <w:t xml:space="preserve">, P., </w:t>
      </w:r>
      <w:proofErr w:type="spellStart"/>
      <w:r>
        <w:rPr>
          <w:rFonts w:ascii="Arial" w:hAnsi="Arial" w:cs="Arial"/>
          <w:sz w:val="20"/>
          <w:szCs w:val="20"/>
        </w:rPr>
        <w:t>Pizzolante</w:t>
      </w:r>
      <w:proofErr w:type="spellEnd"/>
      <w:r>
        <w:rPr>
          <w:rFonts w:ascii="Arial" w:hAnsi="Arial" w:cs="Arial"/>
          <w:sz w:val="20"/>
          <w:szCs w:val="20"/>
        </w:rPr>
        <w:t xml:space="preserve">, A., Trama, U., Nicodemo, F., D Auria, J.L., Vita, S.D., Rosa, E.D., Limone, A. (2023). Heavy Metals in Groundwater of Southern Italy: Occurrence and Potential Adverse Effects on the Environment and Human Health. </w:t>
      </w:r>
      <w:r>
        <w:rPr>
          <w:rFonts w:ascii="Arial" w:hAnsi="Arial" w:cs="Arial"/>
          <w:i/>
          <w:iCs/>
          <w:sz w:val="20"/>
          <w:szCs w:val="20"/>
        </w:rPr>
        <w:t>Environmental Research and Public Health</w:t>
      </w:r>
      <w:r>
        <w:rPr>
          <w:rFonts w:ascii="Arial" w:hAnsi="Arial" w:cs="Arial"/>
          <w:sz w:val="20"/>
          <w:szCs w:val="20"/>
        </w:rPr>
        <w:t xml:space="preserve"> 20 1693.</w:t>
      </w:r>
    </w:p>
    <w:p w14:paraId="7CDBC19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Uddin, M.N., Rahaman, M.M., Mondal, M.S. (2013). Assessment of Ground Water Quality at Mawlana </w:t>
      </w:r>
      <w:proofErr w:type="spellStart"/>
      <w:r>
        <w:rPr>
          <w:rFonts w:ascii="Arial" w:hAnsi="Arial" w:cs="Arial"/>
          <w:sz w:val="20"/>
          <w:szCs w:val="20"/>
        </w:rPr>
        <w:t>Bhashani</w:t>
      </w:r>
      <w:proofErr w:type="spellEnd"/>
      <w:r>
        <w:rPr>
          <w:rFonts w:ascii="Arial" w:hAnsi="Arial" w:cs="Arial"/>
          <w:sz w:val="20"/>
          <w:szCs w:val="20"/>
        </w:rPr>
        <w:t xml:space="preserve"> Science and Technology University Campus, Tangail, Bangladesh. </w:t>
      </w:r>
      <w:r>
        <w:rPr>
          <w:rFonts w:ascii="Arial" w:hAnsi="Arial" w:cs="Arial"/>
          <w:i/>
          <w:iCs/>
          <w:sz w:val="20"/>
          <w:szCs w:val="20"/>
        </w:rPr>
        <w:t>Journal of Environmental Science and Natural Resources</w:t>
      </w:r>
      <w:r>
        <w:rPr>
          <w:rFonts w:ascii="Arial" w:hAnsi="Arial" w:cs="Arial"/>
          <w:sz w:val="20"/>
          <w:szCs w:val="20"/>
        </w:rPr>
        <w:t xml:space="preserve"> 6(2) 177-180.</w:t>
      </w:r>
    </w:p>
    <w:p w14:paraId="159F2576"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Ullah, Z., Rashid, A., Ghani, J., Nawab, J., Zeng, X.C., Shah, M., </w:t>
      </w:r>
      <w:proofErr w:type="spellStart"/>
      <w:r>
        <w:rPr>
          <w:rFonts w:ascii="Arial" w:hAnsi="Arial" w:cs="Arial"/>
          <w:sz w:val="20"/>
          <w:szCs w:val="20"/>
        </w:rPr>
        <w:t>Alrefaei</w:t>
      </w:r>
      <w:proofErr w:type="spellEnd"/>
      <w:r>
        <w:rPr>
          <w:rFonts w:ascii="Arial" w:hAnsi="Arial" w:cs="Arial"/>
          <w:sz w:val="20"/>
          <w:szCs w:val="20"/>
        </w:rPr>
        <w:t xml:space="preserve">, A.F., Kamel, M., Aleya, L., Daim, M.M.A., Iqbal, J. (2022). Groundwater contamination through potentially harmful metals and its implications in groundwater management. </w:t>
      </w:r>
      <w:r>
        <w:rPr>
          <w:rFonts w:ascii="Arial" w:hAnsi="Arial" w:cs="Arial"/>
          <w:i/>
          <w:iCs/>
          <w:sz w:val="20"/>
          <w:szCs w:val="20"/>
        </w:rPr>
        <w:t>Toxicology, Pollution and the Environment</w:t>
      </w:r>
      <w:r>
        <w:rPr>
          <w:rFonts w:ascii="Arial" w:hAnsi="Arial" w:cs="Arial"/>
          <w:sz w:val="20"/>
          <w:szCs w:val="20"/>
        </w:rPr>
        <w:t xml:space="preserve"> 10 1021596.</w:t>
      </w:r>
    </w:p>
    <w:p w14:paraId="156CE4BB"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Vanloon, G.W., Duffy, S.J. (2005). The Hydrosphere. In: Environmental Chemistry: A Global Perspective. Oxford University Press, New York, USA 2 197-211.</w:t>
      </w:r>
    </w:p>
    <w:p w14:paraId="0D8F8AA4"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Varol, M. (2011). Assessment of heavy metal contamination in sediments of the Tigris River (Turkey) using pollution indices and multivariate statistical techniques.  </w:t>
      </w:r>
      <w:r>
        <w:rPr>
          <w:rFonts w:ascii="Arial" w:hAnsi="Arial" w:cs="Arial"/>
          <w:i/>
          <w:iCs/>
          <w:sz w:val="20"/>
          <w:szCs w:val="20"/>
        </w:rPr>
        <w:t>Journal of Hazardous Materials</w:t>
      </w:r>
      <w:r>
        <w:rPr>
          <w:rFonts w:ascii="Arial" w:hAnsi="Arial" w:cs="Arial"/>
          <w:sz w:val="20"/>
          <w:szCs w:val="20"/>
        </w:rPr>
        <w:t xml:space="preserve"> 195 355-364.</w:t>
      </w:r>
    </w:p>
    <w:p w14:paraId="56C66B9A"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lastRenderedPageBreak/>
        <w:t xml:space="preserve">Vasudevan, S., Lakshmi, J., Sozhan, G. (2009). Studies on the removal of iron from drinking water by electrocoagulation - a clean process. </w:t>
      </w:r>
      <w:r>
        <w:rPr>
          <w:rFonts w:ascii="Arial" w:hAnsi="Arial" w:cs="Arial"/>
          <w:i/>
          <w:iCs/>
          <w:sz w:val="20"/>
          <w:szCs w:val="20"/>
        </w:rPr>
        <w:t>CLEAN - Soil, Air, Water</w:t>
      </w:r>
      <w:r>
        <w:rPr>
          <w:rFonts w:ascii="Arial" w:hAnsi="Arial" w:cs="Arial"/>
          <w:sz w:val="20"/>
          <w:szCs w:val="20"/>
        </w:rPr>
        <w:t xml:space="preserve"> 37 45–51. </w:t>
      </w:r>
      <w:proofErr w:type="spellStart"/>
      <w:r>
        <w:rPr>
          <w:rFonts w:ascii="Arial" w:hAnsi="Arial" w:cs="Arial"/>
          <w:sz w:val="20"/>
          <w:szCs w:val="20"/>
        </w:rPr>
        <w:t>doi</w:t>
      </w:r>
      <w:proofErr w:type="spellEnd"/>
      <w:r>
        <w:rPr>
          <w:rFonts w:ascii="Arial" w:hAnsi="Arial" w:cs="Arial"/>
          <w:sz w:val="20"/>
          <w:szCs w:val="20"/>
        </w:rPr>
        <w:t>: 10.1002/clen.200800175.</w:t>
      </w:r>
    </w:p>
    <w:p w14:paraId="151ACB5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Vinnarasi, F., </w:t>
      </w:r>
      <w:proofErr w:type="spellStart"/>
      <w:r>
        <w:rPr>
          <w:rFonts w:ascii="Arial" w:hAnsi="Arial" w:cs="Arial"/>
          <w:sz w:val="20"/>
          <w:szCs w:val="20"/>
        </w:rPr>
        <w:t>Srinivasamoorthy</w:t>
      </w:r>
      <w:proofErr w:type="spellEnd"/>
      <w:r>
        <w:rPr>
          <w:rFonts w:ascii="Arial" w:hAnsi="Arial" w:cs="Arial"/>
          <w:sz w:val="20"/>
          <w:szCs w:val="20"/>
        </w:rPr>
        <w:t xml:space="preserve">, K., Saravanan, K., Kanna, A.R., Gopinath, S., Prakash, R. (2022). Hydrogeochemical characteristics and risk evaluation of potential toxic elements in groundwater from </w:t>
      </w:r>
      <w:proofErr w:type="spellStart"/>
      <w:r>
        <w:rPr>
          <w:rFonts w:ascii="Arial" w:hAnsi="Arial" w:cs="Arial"/>
          <w:sz w:val="20"/>
          <w:szCs w:val="20"/>
        </w:rPr>
        <w:t>Shanmughanadhi</w:t>
      </w:r>
      <w:proofErr w:type="spellEnd"/>
      <w:r>
        <w:rPr>
          <w:rFonts w:ascii="Arial" w:hAnsi="Arial" w:cs="Arial"/>
          <w:sz w:val="20"/>
          <w:szCs w:val="20"/>
        </w:rPr>
        <w:t xml:space="preserve">, </w:t>
      </w:r>
      <w:proofErr w:type="spellStart"/>
      <w:r>
        <w:rPr>
          <w:rFonts w:ascii="Arial" w:hAnsi="Arial" w:cs="Arial"/>
          <w:sz w:val="20"/>
          <w:szCs w:val="20"/>
        </w:rPr>
        <w:t>Tamilnadu</w:t>
      </w:r>
      <w:proofErr w:type="spellEnd"/>
      <w:r>
        <w:rPr>
          <w:rFonts w:ascii="Arial" w:hAnsi="Arial" w:cs="Arial"/>
          <w:sz w:val="20"/>
          <w:szCs w:val="20"/>
        </w:rPr>
        <w:t xml:space="preserve">, India. </w:t>
      </w:r>
      <w:r>
        <w:rPr>
          <w:rFonts w:ascii="Arial" w:hAnsi="Arial" w:cs="Arial"/>
          <w:i/>
          <w:iCs/>
          <w:sz w:val="20"/>
          <w:szCs w:val="20"/>
        </w:rPr>
        <w:t>Environmental Research</w:t>
      </w:r>
      <w:r>
        <w:rPr>
          <w:rFonts w:ascii="Arial" w:hAnsi="Arial" w:cs="Arial"/>
          <w:sz w:val="20"/>
          <w:szCs w:val="20"/>
        </w:rPr>
        <w:t xml:space="preserve"> 204 112199. </w:t>
      </w:r>
      <w:proofErr w:type="gramStart"/>
      <w:r>
        <w:rPr>
          <w:rFonts w:ascii="Arial" w:hAnsi="Arial" w:cs="Arial"/>
          <w:sz w:val="20"/>
          <w:szCs w:val="20"/>
        </w:rPr>
        <w:t>doi:10.1016/j.envres</w:t>
      </w:r>
      <w:proofErr w:type="gramEnd"/>
      <w:r>
        <w:rPr>
          <w:rFonts w:ascii="Arial" w:hAnsi="Arial" w:cs="Arial"/>
          <w:sz w:val="20"/>
          <w:szCs w:val="20"/>
        </w:rPr>
        <w:t>.2021.112199.</w:t>
      </w:r>
    </w:p>
    <w:p w14:paraId="3FF86F26" w14:textId="77777777" w:rsidR="000D2B0F" w:rsidRDefault="00000000">
      <w:pPr>
        <w:spacing w:line="240" w:lineRule="auto"/>
        <w:ind w:left="720" w:hanging="720"/>
        <w:jc w:val="both"/>
        <w:rPr>
          <w:rFonts w:ascii="Arial" w:hAnsi="Arial" w:cs="Arial"/>
          <w:sz w:val="20"/>
          <w:szCs w:val="20"/>
        </w:rPr>
      </w:pPr>
      <w:proofErr w:type="spellStart"/>
      <w:r>
        <w:rPr>
          <w:rFonts w:ascii="Arial" w:hAnsi="Arial" w:cs="Arial"/>
          <w:sz w:val="20"/>
          <w:szCs w:val="20"/>
        </w:rPr>
        <w:t>Vodela</w:t>
      </w:r>
      <w:proofErr w:type="spellEnd"/>
      <w:r>
        <w:rPr>
          <w:rFonts w:ascii="Arial" w:hAnsi="Arial" w:cs="Arial"/>
          <w:sz w:val="20"/>
          <w:szCs w:val="20"/>
        </w:rPr>
        <w:t xml:space="preserve">, J.K., </w:t>
      </w:r>
      <w:proofErr w:type="spellStart"/>
      <w:r>
        <w:rPr>
          <w:rFonts w:ascii="Arial" w:hAnsi="Arial" w:cs="Arial"/>
          <w:sz w:val="20"/>
          <w:szCs w:val="20"/>
        </w:rPr>
        <w:t>Renden</w:t>
      </w:r>
      <w:proofErr w:type="spellEnd"/>
      <w:r>
        <w:rPr>
          <w:rFonts w:ascii="Arial" w:hAnsi="Arial" w:cs="Arial"/>
          <w:sz w:val="20"/>
          <w:szCs w:val="20"/>
        </w:rPr>
        <w:t xml:space="preserve">, J.A., Lenz, S.D., </w:t>
      </w:r>
      <w:proofErr w:type="spellStart"/>
      <w:r>
        <w:rPr>
          <w:rFonts w:ascii="Arial" w:hAnsi="Arial" w:cs="Arial"/>
          <w:sz w:val="20"/>
          <w:szCs w:val="20"/>
        </w:rPr>
        <w:t>Mcelhenney</w:t>
      </w:r>
      <w:proofErr w:type="spellEnd"/>
      <w:r>
        <w:rPr>
          <w:rFonts w:ascii="Arial" w:hAnsi="Arial" w:cs="Arial"/>
          <w:sz w:val="20"/>
          <w:szCs w:val="20"/>
        </w:rPr>
        <w:t xml:space="preserve">, W.H., Kemppainen, B.W. (2001). Drinking water contaminants. </w:t>
      </w:r>
      <w:r>
        <w:rPr>
          <w:rFonts w:ascii="Arial" w:hAnsi="Arial" w:cs="Arial"/>
          <w:i/>
          <w:iCs/>
          <w:sz w:val="20"/>
          <w:szCs w:val="20"/>
        </w:rPr>
        <w:t>Poultry Science</w:t>
      </w:r>
      <w:r>
        <w:rPr>
          <w:rFonts w:ascii="Arial" w:hAnsi="Arial" w:cs="Arial"/>
          <w:sz w:val="20"/>
          <w:szCs w:val="20"/>
        </w:rPr>
        <w:t xml:space="preserve"> 76 1474-1492.</w:t>
      </w:r>
    </w:p>
    <w:p w14:paraId="38CCDFC5"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WHO, (2011). Guidelines for drinking-water quality, fourth edition. Retrieved from http://whqlibdoc.who.int/publications/2011/9789241548151_eng.pdf.</w:t>
      </w:r>
    </w:p>
    <w:p w14:paraId="26B14FA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Woode, A., Hackman, D.S.F. (2014). Risks Associated with Geophagia in Ghana. </w:t>
      </w:r>
      <w:r>
        <w:rPr>
          <w:rFonts w:ascii="Arial" w:hAnsi="Arial" w:cs="Arial"/>
          <w:i/>
          <w:iCs/>
          <w:sz w:val="20"/>
          <w:szCs w:val="20"/>
        </w:rPr>
        <w:t>Canadian Journal of Pure and Applied Sciences</w:t>
      </w:r>
      <w:r>
        <w:rPr>
          <w:rFonts w:ascii="Arial" w:hAnsi="Arial" w:cs="Arial"/>
          <w:sz w:val="20"/>
          <w:szCs w:val="20"/>
        </w:rPr>
        <w:t xml:space="preserve"> 8(1) 2789-2794.</w:t>
      </w:r>
    </w:p>
    <w:p w14:paraId="7B4A61C8" w14:textId="77777777" w:rsidR="000D2B0F" w:rsidRDefault="00000000">
      <w:pPr>
        <w:spacing w:line="240" w:lineRule="auto"/>
        <w:ind w:left="720" w:hanging="720"/>
        <w:jc w:val="both"/>
        <w:rPr>
          <w:rFonts w:ascii="Arial" w:hAnsi="Arial" w:cs="Arial"/>
          <w:sz w:val="20"/>
          <w:szCs w:val="20"/>
        </w:rPr>
      </w:pPr>
      <w:r w:rsidRPr="00F5737A">
        <w:rPr>
          <w:rFonts w:ascii="Arial" w:hAnsi="Arial" w:cs="Arial"/>
          <w:sz w:val="20"/>
          <w:szCs w:val="20"/>
          <w:lang w:val="de-DE"/>
        </w:rPr>
        <w:t xml:space="preserve">Xu, Y., Yang, R., Zhang, J., Gao, L., Ni, X. (2021). </w:t>
      </w:r>
      <w:r>
        <w:rPr>
          <w:rFonts w:ascii="Arial" w:hAnsi="Arial" w:cs="Arial"/>
          <w:sz w:val="20"/>
          <w:szCs w:val="20"/>
        </w:rPr>
        <w:t xml:space="preserve">Distribution and Dispersion of Heavy Metals in the Rock–soil–moss System in Areas Covered by Black </w:t>
      </w:r>
      <w:proofErr w:type="gramStart"/>
      <w:r>
        <w:rPr>
          <w:rFonts w:ascii="Arial" w:hAnsi="Arial" w:cs="Arial"/>
          <w:sz w:val="20"/>
          <w:szCs w:val="20"/>
        </w:rPr>
        <w:t>Shale ;in</w:t>
      </w:r>
      <w:proofErr w:type="gramEnd"/>
      <w:r>
        <w:rPr>
          <w:rFonts w:ascii="Arial" w:hAnsi="Arial" w:cs="Arial"/>
          <w:sz w:val="20"/>
          <w:szCs w:val="20"/>
        </w:rPr>
        <w:t xml:space="preserve"> the Southeast of Guizhou Province, China, , </w:t>
      </w:r>
      <w:r>
        <w:rPr>
          <w:rFonts w:ascii="Arial" w:hAnsi="Arial" w:cs="Arial"/>
          <w:i/>
          <w:iCs/>
          <w:sz w:val="20"/>
          <w:szCs w:val="20"/>
        </w:rPr>
        <w:t>Research Square</w:t>
      </w:r>
      <w:r>
        <w:rPr>
          <w:rFonts w:ascii="Arial" w:hAnsi="Arial" w:cs="Arial"/>
          <w:sz w:val="20"/>
          <w:szCs w:val="20"/>
        </w:rPr>
        <w:t xml:space="preserve">, 1-28, </w:t>
      </w:r>
      <w:hyperlink r:id="rId17" w:history="1">
        <w:r w:rsidR="000D2B0F">
          <w:rPr>
            <w:rStyle w:val="Hyperlink"/>
            <w:rFonts w:ascii="Arial" w:hAnsi="Arial" w:cs="Arial"/>
            <w:sz w:val="20"/>
            <w:szCs w:val="20"/>
          </w:rPr>
          <w:t>https://doi.org/10.21203/rs.3.rs-206352/v1</w:t>
        </w:r>
      </w:hyperlink>
      <w:r>
        <w:rPr>
          <w:rFonts w:ascii="Arial" w:hAnsi="Arial" w:cs="Arial"/>
          <w:sz w:val="20"/>
          <w:szCs w:val="20"/>
        </w:rPr>
        <w:t>.</w:t>
      </w:r>
    </w:p>
    <w:p w14:paraId="6F962FDD" w14:textId="77777777" w:rsidR="000D2B0F" w:rsidRDefault="00000000">
      <w:pPr>
        <w:spacing w:line="240" w:lineRule="auto"/>
        <w:ind w:left="720" w:hanging="720"/>
        <w:jc w:val="both"/>
        <w:rPr>
          <w:rFonts w:ascii="Arial" w:hAnsi="Arial" w:cs="Arial"/>
          <w:sz w:val="20"/>
          <w:szCs w:val="20"/>
        </w:rPr>
      </w:pPr>
      <w:r>
        <w:rPr>
          <w:rFonts w:ascii="Arial" w:hAnsi="Arial" w:cs="Arial"/>
          <w:sz w:val="20"/>
          <w:szCs w:val="20"/>
        </w:rPr>
        <w:t xml:space="preserve">Yusuf, A., </w:t>
      </w:r>
      <w:proofErr w:type="spellStart"/>
      <w:r>
        <w:rPr>
          <w:rFonts w:ascii="Arial" w:hAnsi="Arial" w:cs="Arial"/>
          <w:sz w:val="20"/>
          <w:szCs w:val="20"/>
        </w:rPr>
        <w:t>Olasehinde</w:t>
      </w:r>
      <w:proofErr w:type="spellEnd"/>
      <w:r>
        <w:rPr>
          <w:rFonts w:ascii="Arial" w:hAnsi="Arial" w:cs="Arial"/>
          <w:sz w:val="20"/>
          <w:szCs w:val="20"/>
        </w:rPr>
        <w:t xml:space="preserve">, A., </w:t>
      </w:r>
      <w:proofErr w:type="spellStart"/>
      <w:r>
        <w:rPr>
          <w:rFonts w:ascii="Arial" w:hAnsi="Arial" w:cs="Arial"/>
          <w:sz w:val="20"/>
          <w:szCs w:val="20"/>
        </w:rPr>
        <w:t>Mboringong</w:t>
      </w:r>
      <w:proofErr w:type="spellEnd"/>
      <w:r>
        <w:rPr>
          <w:rFonts w:ascii="Arial" w:hAnsi="Arial" w:cs="Arial"/>
          <w:sz w:val="20"/>
          <w:szCs w:val="20"/>
        </w:rPr>
        <w:t xml:space="preserve">, M.N., </w:t>
      </w:r>
      <w:proofErr w:type="spellStart"/>
      <w:r>
        <w:rPr>
          <w:rFonts w:ascii="Arial" w:hAnsi="Arial" w:cs="Arial"/>
          <w:sz w:val="20"/>
          <w:szCs w:val="20"/>
        </w:rPr>
        <w:t>Tabale</w:t>
      </w:r>
      <w:proofErr w:type="spellEnd"/>
      <w:r>
        <w:rPr>
          <w:rFonts w:ascii="Arial" w:hAnsi="Arial" w:cs="Arial"/>
          <w:sz w:val="20"/>
          <w:szCs w:val="20"/>
        </w:rPr>
        <w:t xml:space="preserve">, R.P., Daniel, E.P. (2018). Evaluation of heavy metals concentration in groundwater around </w:t>
      </w:r>
      <w:proofErr w:type="spellStart"/>
      <w:r>
        <w:rPr>
          <w:rFonts w:ascii="Arial" w:hAnsi="Arial" w:cs="Arial"/>
          <w:sz w:val="20"/>
          <w:szCs w:val="20"/>
        </w:rPr>
        <w:t>Kashere</w:t>
      </w:r>
      <w:proofErr w:type="spellEnd"/>
      <w:r>
        <w:rPr>
          <w:rFonts w:ascii="Arial" w:hAnsi="Arial" w:cs="Arial"/>
          <w:sz w:val="20"/>
          <w:szCs w:val="20"/>
        </w:rPr>
        <w:t xml:space="preserve"> and its environs, upper Benue Trough, North eastern Nigeria. </w:t>
      </w:r>
      <w:r>
        <w:rPr>
          <w:rFonts w:ascii="Arial" w:hAnsi="Arial" w:cs="Arial"/>
          <w:i/>
          <w:iCs/>
          <w:sz w:val="20"/>
          <w:szCs w:val="20"/>
        </w:rPr>
        <w:t>Global Journal Geological Science</w:t>
      </w:r>
      <w:r>
        <w:rPr>
          <w:rFonts w:ascii="Arial" w:hAnsi="Arial" w:cs="Arial"/>
          <w:sz w:val="20"/>
          <w:szCs w:val="20"/>
        </w:rPr>
        <w:t xml:space="preserve"> 16 25-36.</w:t>
      </w:r>
    </w:p>
    <w:sectPr w:rsidR="000D2B0F">
      <w:headerReference w:type="even" r:id="rId18"/>
      <w:headerReference w:type="default" r:id="rId19"/>
      <w:footerReference w:type="even" r:id="rId20"/>
      <w:footerReference w:type="default" r:id="rId21"/>
      <w:headerReference w:type="first" r:id="rId22"/>
      <w:footerReference w:type="first" r:id="rId23"/>
      <w:pgSz w:w="11907" w:h="16839"/>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71377" w14:textId="77777777" w:rsidR="00652A3C" w:rsidRDefault="00652A3C">
      <w:pPr>
        <w:spacing w:line="240" w:lineRule="auto"/>
      </w:pPr>
      <w:r>
        <w:separator/>
      </w:r>
    </w:p>
  </w:endnote>
  <w:endnote w:type="continuationSeparator" w:id="0">
    <w:p w14:paraId="021F1B2F" w14:textId="77777777" w:rsidR="00652A3C" w:rsidRDefault="00652A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761C9" w14:textId="77777777" w:rsidR="00F5737A" w:rsidRDefault="00F573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8062467"/>
      <w:docPartObj>
        <w:docPartGallery w:val="AutoText"/>
      </w:docPartObj>
    </w:sdtPr>
    <w:sdtContent>
      <w:p w14:paraId="7027E45E" w14:textId="77777777" w:rsidR="000D2B0F" w:rsidRDefault="00000000">
        <w:pPr>
          <w:pStyle w:val="Footer"/>
          <w:jc w:val="center"/>
        </w:pPr>
        <w:r>
          <w:fldChar w:fldCharType="begin"/>
        </w:r>
        <w:r>
          <w:instrText xml:space="preserve"> PAGE   \* MERGEFORMAT </w:instrText>
        </w:r>
        <w:r>
          <w:fldChar w:fldCharType="separate"/>
        </w:r>
        <w:r>
          <w:t>18</w:t>
        </w:r>
        <w:r>
          <w:fldChar w:fldCharType="end"/>
        </w:r>
      </w:p>
    </w:sdtContent>
  </w:sdt>
  <w:p w14:paraId="4570DC6A" w14:textId="77777777" w:rsidR="000D2B0F" w:rsidRDefault="000D2B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4EBED" w14:textId="77777777" w:rsidR="00F5737A" w:rsidRDefault="00F57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63D50" w14:textId="77777777" w:rsidR="00652A3C" w:rsidRDefault="00652A3C">
      <w:pPr>
        <w:spacing w:after="0"/>
      </w:pPr>
      <w:r>
        <w:separator/>
      </w:r>
    </w:p>
  </w:footnote>
  <w:footnote w:type="continuationSeparator" w:id="0">
    <w:p w14:paraId="78C38C11" w14:textId="77777777" w:rsidR="00652A3C" w:rsidRDefault="00652A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18319" w14:textId="666FCD22" w:rsidR="00F5737A" w:rsidRDefault="00F5737A">
    <w:pPr>
      <w:pStyle w:val="Header"/>
    </w:pPr>
    <w:r>
      <w:rPr>
        <w:noProof/>
      </w:rPr>
      <w:pict w14:anchorId="51DB55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34063" o:spid="_x0000_s1026" type="#_x0000_t136" style="position:absolute;margin-left:0;margin-top:0;width:538.4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A9B70" w14:textId="3AFD125D" w:rsidR="00F5737A" w:rsidRDefault="00F5737A">
    <w:pPr>
      <w:pStyle w:val="Header"/>
    </w:pPr>
    <w:r>
      <w:rPr>
        <w:noProof/>
      </w:rPr>
      <w:pict w14:anchorId="53BAA9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34064" o:spid="_x0000_s1027" type="#_x0000_t136" style="position:absolute;margin-left:0;margin-top:0;width:538.4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B60E6" w14:textId="4B21BEC8" w:rsidR="00F5737A" w:rsidRDefault="00F5737A">
    <w:pPr>
      <w:pStyle w:val="Header"/>
    </w:pPr>
    <w:r>
      <w:rPr>
        <w:noProof/>
      </w:rPr>
      <w:pict w14:anchorId="7EDEF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34062" o:spid="_x0000_s1025" type="#_x0000_t136" style="position:absolute;margin-left:0;margin-top:0;width:538.4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650260"/>
    <w:multiLevelType w:val="multilevel"/>
    <w:tmpl w:val="2E65026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677884"/>
    <w:multiLevelType w:val="multilevel"/>
    <w:tmpl w:val="31677884"/>
    <w:lvl w:ilvl="0">
      <w:start w:val="1"/>
      <w:numFmt w:val="decimal"/>
      <w:lvlText w:val="%1."/>
      <w:lvlJc w:val="left"/>
      <w:pPr>
        <w:ind w:left="450" w:hanging="360"/>
      </w:p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num w:numId="1" w16cid:durableId="981353582">
    <w:abstractNumId w:val="1"/>
  </w:num>
  <w:num w:numId="2" w16cid:durableId="80407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39E"/>
    <w:rsid w:val="0000571F"/>
    <w:rsid w:val="0001173B"/>
    <w:rsid w:val="000118EF"/>
    <w:rsid w:val="00011CB5"/>
    <w:rsid w:val="000173E3"/>
    <w:rsid w:val="00021C3A"/>
    <w:rsid w:val="00027EE1"/>
    <w:rsid w:val="0003079B"/>
    <w:rsid w:val="00031045"/>
    <w:rsid w:val="00032FE8"/>
    <w:rsid w:val="00042889"/>
    <w:rsid w:val="0004290E"/>
    <w:rsid w:val="00042F58"/>
    <w:rsid w:val="00043E23"/>
    <w:rsid w:val="00044B05"/>
    <w:rsid w:val="00046C57"/>
    <w:rsid w:val="00047C2F"/>
    <w:rsid w:val="00050A7B"/>
    <w:rsid w:val="00052AFE"/>
    <w:rsid w:val="000571AD"/>
    <w:rsid w:val="00060999"/>
    <w:rsid w:val="00060C42"/>
    <w:rsid w:val="00064CA4"/>
    <w:rsid w:val="00066E48"/>
    <w:rsid w:val="0007139E"/>
    <w:rsid w:val="00080C07"/>
    <w:rsid w:val="00094F19"/>
    <w:rsid w:val="000A029E"/>
    <w:rsid w:val="000A0E9A"/>
    <w:rsid w:val="000A338C"/>
    <w:rsid w:val="000B0A7C"/>
    <w:rsid w:val="000B1A30"/>
    <w:rsid w:val="000B1AE0"/>
    <w:rsid w:val="000B6151"/>
    <w:rsid w:val="000B6719"/>
    <w:rsid w:val="000C1CA1"/>
    <w:rsid w:val="000C21DD"/>
    <w:rsid w:val="000D2306"/>
    <w:rsid w:val="000D2B0F"/>
    <w:rsid w:val="000D54B6"/>
    <w:rsid w:val="000D61E4"/>
    <w:rsid w:val="000D7072"/>
    <w:rsid w:val="000E22D6"/>
    <w:rsid w:val="000E7406"/>
    <w:rsid w:val="000E7FF0"/>
    <w:rsid w:val="000F6FCF"/>
    <w:rsid w:val="00101CD7"/>
    <w:rsid w:val="00102FFE"/>
    <w:rsid w:val="00105EF6"/>
    <w:rsid w:val="00106B75"/>
    <w:rsid w:val="00110A75"/>
    <w:rsid w:val="00112941"/>
    <w:rsid w:val="00113E95"/>
    <w:rsid w:val="00116B0E"/>
    <w:rsid w:val="00121DAA"/>
    <w:rsid w:val="00123452"/>
    <w:rsid w:val="00134C27"/>
    <w:rsid w:val="001351F4"/>
    <w:rsid w:val="00135FB3"/>
    <w:rsid w:val="00137422"/>
    <w:rsid w:val="00141177"/>
    <w:rsid w:val="00141F5D"/>
    <w:rsid w:val="001433FC"/>
    <w:rsid w:val="001504CF"/>
    <w:rsid w:val="00151C29"/>
    <w:rsid w:val="0016094F"/>
    <w:rsid w:val="001668D6"/>
    <w:rsid w:val="0016703E"/>
    <w:rsid w:val="001808FA"/>
    <w:rsid w:val="00184C58"/>
    <w:rsid w:val="00185E62"/>
    <w:rsid w:val="00193BFF"/>
    <w:rsid w:val="00197FFB"/>
    <w:rsid w:val="001B33B5"/>
    <w:rsid w:val="001C02F1"/>
    <w:rsid w:val="001D1A59"/>
    <w:rsid w:val="001D4022"/>
    <w:rsid w:val="001E12D8"/>
    <w:rsid w:val="001E7DF3"/>
    <w:rsid w:val="001F3B87"/>
    <w:rsid w:val="001F53F4"/>
    <w:rsid w:val="00203BAE"/>
    <w:rsid w:val="00211786"/>
    <w:rsid w:val="00214F4E"/>
    <w:rsid w:val="002161F3"/>
    <w:rsid w:val="002204F7"/>
    <w:rsid w:val="00220767"/>
    <w:rsid w:val="00222C35"/>
    <w:rsid w:val="00224514"/>
    <w:rsid w:val="00231DC3"/>
    <w:rsid w:val="00233F36"/>
    <w:rsid w:val="002359EF"/>
    <w:rsid w:val="00236F95"/>
    <w:rsid w:val="00242588"/>
    <w:rsid w:val="00246E6D"/>
    <w:rsid w:val="002476D1"/>
    <w:rsid w:val="00251C5A"/>
    <w:rsid w:val="00254DE3"/>
    <w:rsid w:val="00255C59"/>
    <w:rsid w:val="00260801"/>
    <w:rsid w:val="0026186E"/>
    <w:rsid w:val="00261C9A"/>
    <w:rsid w:val="00267286"/>
    <w:rsid w:val="002704B7"/>
    <w:rsid w:val="002716DE"/>
    <w:rsid w:val="00271C65"/>
    <w:rsid w:val="002726AB"/>
    <w:rsid w:val="00273B35"/>
    <w:rsid w:val="00276A5B"/>
    <w:rsid w:val="002857B4"/>
    <w:rsid w:val="0029324A"/>
    <w:rsid w:val="00293B75"/>
    <w:rsid w:val="00295E99"/>
    <w:rsid w:val="002A0B8E"/>
    <w:rsid w:val="002A30D8"/>
    <w:rsid w:val="002A3B5C"/>
    <w:rsid w:val="002B0EE1"/>
    <w:rsid w:val="002C29AA"/>
    <w:rsid w:val="002C747D"/>
    <w:rsid w:val="002D29F1"/>
    <w:rsid w:val="002D74B1"/>
    <w:rsid w:val="002E0E7C"/>
    <w:rsid w:val="002E37F6"/>
    <w:rsid w:val="002E5117"/>
    <w:rsid w:val="002E7420"/>
    <w:rsid w:val="002F151E"/>
    <w:rsid w:val="002F3E48"/>
    <w:rsid w:val="00300D02"/>
    <w:rsid w:val="003039DD"/>
    <w:rsid w:val="003051E5"/>
    <w:rsid w:val="00313028"/>
    <w:rsid w:val="00314C04"/>
    <w:rsid w:val="00323901"/>
    <w:rsid w:val="003267C9"/>
    <w:rsid w:val="00327123"/>
    <w:rsid w:val="00330610"/>
    <w:rsid w:val="00334B3D"/>
    <w:rsid w:val="00335436"/>
    <w:rsid w:val="00337A24"/>
    <w:rsid w:val="00343BEE"/>
    <w:rsid w:val="00347330"/>
    <w:rsid w:val="00347D9A"/>
    <w:rsid w:val="003508CE"/>
    <w:rsid w:val="003532CD"/>
    <w:rsid w:val="00365DA0"/>
    <w:rsid w:val="00367224"/>
    <w:rsid w:val="0037622B"/>
    <w:rsid w:val="00376826"/>
    <w:rsid w:val="00391FC0"/>
    <w:rsid w:val="00393071"/>
    <w:rsid w:val="00395593"/>
    <w:rsid w:val="00397D83"/>
    <w:rsid w:val="003A20F5"/>
    <w:rsid w:val="003A21D5"/>
    <w:rsid w:val="003A357F"/>
    <w:rsid w:val="003A3A59"/>
    <w:rsid w:val="003A46A8"/>
    <w:rsid w:val="003B62EA"/>
    <w:rsid w:val="003B7228"/>
    <w:rsid w:val="003C23CB"/>
    <w:rsid w:val="003C4B00"/>
    <w:rsid w:val="003C4F18"/>
    <w:rsid w:val="003C779D"/>
    <w:rsid w:val="003D08A4"/>
    <w:rsid w:val="003D7433"/>
    <w:rsid w:val="003E527C"/>
    <w:rsid w:val="003E57F5"/>
    <w:rsid w:val="003E6C0C"/>
    <w:rsid w:val="003E7202"/>
    <w:rsid w:val="003F0792"/>
    <w:rsid w:val="003F1433"/>
    <w:rsid w:val="003F7334"/>
    <w:rsid w:val="003F7528"/>
    <w:rsid w:val="004008B5"/>
    <w:rsid w:val="00400958"/>
    <w:rsid w:val="00401AD5"/>
    <w:rsid w:val="00402760"/>
    <w:rsid w:val="00414FE3"/>
    <w:rsid w:val="00416D6D"/>
    <w:rsid w:val="00424EA5"/>
    <w:rsid w:val="004275A6"/>
    <w:rsid w:val="004302D4"/>
    <w:rsid w:val="0043280C"/>
    <w:rsid w:val="0044238C"/>
    <w:rsid w:val="0044581A"/>
    <w:rsid w:val="00445B9A"/>
    <w:rsid w:val="00462312"/>
    <w:rsid w:val="004623D8"/>
    <w:rsid w:val="00462F05"/>
    <w:rsid w:val="00464A40"/>
    <w:rsid w:val="00465192"/>
    <w:rsid w:val="00471576"/>
    <w:rsid w:val="004735EC"/>
    <w:rsid w:val="0047545F"/>
    <w:rsid w:val="004754AC"/>
    <w:rsid w:val="00484A76"/>
    <w:rsid w:val="004863FC"/>
    <w:rsid w:val="004873D1"/>
    <w:rsid w:val="004921E1"/>
    <w:rsid w:val="00494D4B"/>
    <w:rsid w:val="0049569D"/>
    <w:rsid w:val="00495BEC"/>
    <w:rsid w:val="00496286"/>
    <w:rsid w:val="0049756D"/>
    <w:rsid w:val="004A05B0"/>
    <w:rsid w:val="004A1878"/>
    <w:rsid w:val="004A1EAA"/>
    <w:rsid w:val="004A2286"/>
    <w:rsid w:val="004A3E7F"/>
    <w:rsid w:val="004C6F21"/>
    <w:rsid w:val="004C701A"/>
    <w:rsid w:val="004D2EF9"/>
    <w:rsid w:val="004D4B71"/>
    <w:rsid w:val="004D77A9"/>
    <w:rsid w:val="004E2272"/>
    <w:rsid w:val="004E3C2A"/>
    <w:rsid w:val="004E40CD"/>
    <w:rsid w:val="004E426E"/>
    <w:rsid w:val="004E45D6"/>
    <w:rsid w:val="004E614C"/>
    <w:rsid w:val="004F0BAE"/>
    <w:rsid w:val="004F54DC"/>
    <w:rsid w:val="005102C9"/>
    <w:rsid w:val="005148E8"/>
    <w:rsid w:val="0051620C"/>
    <w:rsid w:val="00516524"/>
    <w:rsid w:val="00521BC7"/>
    <w:rsid w:val="005232EF"/>
    <w:rsid w:val="00523F9B"/>
    <w:rsid w:val="00525666"/>
    <w:rsid w:val="0052594B"/>
    <w:rsid w:val="005333B0"/>
    <w:rsid w:val="005335D4"/>
    <w:rsid w:val="00534EFE"/>
    <w:rsid w:val="00540086"/>
    <w:rsid w:val="00547919"/>
    <w:rsid w:val="00551944"/>
    <w:rsid w:val="00553683"/>
    <w:rsid w:val="00554112"/>
    <w:rsid w:val="005577A7"/>
    <w:rsid w:val="00570C1E"/>
    <w:rsid w:val="00570E7B"/>
    <w:rsid w:val="005846F5"/>
    <w:rsid w:val="0058505F"/>
    <w:rsid w:val="00593D66"/>
    <w:rsid w:val="00595182"/>
    <w:rsid w:val="00597A85"/>
    <w:rsid w:val="005B1215"/>
    <w:rsid w:val="005B4B87"/>
    <w:rsid w:val="005B56E0"/>
    <w:rsid w:val="005B5F3C"/>
    <w:rsid w:val="005C0AB5"/>
    <w:rsid w:val="005C2B76"/>
    <w:rsid w:val="005C353A"/>
    <w:rsid w:val="005C51A4"/>
    <w:rsid w:val="005E2685"/>
    <w:rsid w:val="005F1856"/>
    <w:rsid w:val="006072FA"/>
    <w:rsid w:val="00613D69"/>
    <w:rsid w:val="0061524A"/>
    <w:rsid w:val="00625AFE"/>
    <w:rsid w:val="00626EB4"/>
    <w:rsid w:val="00640D33"/>
    <w:rsid w:val="00644B55"/>
    <w:rsid w:val="00644EC2"/>
    <w:rsid w:val="0064520E"/>
    <w:rsid w:val="0064687A"/>
    <w:rsid w:val="00652A3C"/>
    <w:rsid w:val="0065602C"/>
    <w:rsid w:val="00661FA9"/>
    <w:rsid w:val="006673C9"/>
    <w:rsid w:val="0067278A"/>
    <w:rsid w:val="0067434A"/>
    <w:rsid w:val="00677AD1"/>
    <w:rsid w:val="00680E96"/>
    <w:rsid w:val="00686134"/>
    <w:rsid w:val="00686DA5"/>
    <w:rsid w:val="00687C5C"/>
    <w:rsid w:val="00692040"/>
    <w:rsid w:val="00693C65"/>
    <w:rsid w:val="006949CE"/>
    <w:rsid w:val="00695FAE"/>
    <w:rsid w:val="00696ACA"/>
    <w:rsid w:val="006A25E2"/>
    <w:rsid w:val="006A2805"/>
    <w:rsid w:val="006A6A53"/>
    <w:rsid w:val="006A75A4"/>
    <w:rsid w:val="006B1A33"/>
    <w:rsid w:val="006B2BCC"/>
    <w:rsid w:val="006B3E5D"/>
    <w:rsid w:val="006B428B"/>
    <w:rsid w:val="006C1C2A"/>
    <w:rsid w:val="006C3613"/>
    <w:rsid w:val="006C7C5B"/>
    <w:rsid w:val="006D2D41"/>
    <w:rsid w:val="006D384A"/>
    <w:rsid w:val="006D5B69"/>
    <w:rsid w:val="006D6B3E"/>
    <w:rsid w:val="006F45FE"/>
    <w:rsid w:val="006F5210"/>
    <w:rsid w:val="006F710E"/>
    <w:rsid w:val="006F7DA5"/>
    <w:rsid w:val="0071105D"/>
    <w:rsid w:val="0071656A"/>
    <w:rsid w:val="0072042B"/>
    <w:rsid w:val="00720C21"/>
    <w:rsid w:val="0072262C"/>
    <w:rsid w:val="00723ED7"/>
    <w:rsid w:val="00726171"/>
    <w:rsid w:val="00726F49"/>
    <w:rsid w:val="00727EDC"/>
    <w:rsid w:val="00730689"/>
    <w:rsid w:val="00730FF7"/>
    <w:rsid w:val="00732626"/>
    <w:rsid w:val="00733034"/>
    <w:rsid w:val="00734631"/>
    <w:rsid w:val="00734F90"/>
    <w:rsid w:val="00735FB2"/>
    <w:rsid w:val="007374AC"/>
    <w:rsid w:val="007416C3"/>
    <w:rsid w:val="007437C2"/>
    <w:rsid w:val="00747C1C"/>
    <w:rsid w:val="0075768C"/>
    <w:rsid w:val="0076063D"/>
    <w:rsid w:val="00766A8A"/>
    <w:rsid w:val="007675A0"/>
    <w:rsid w:val="00770186"/>
    <w:rsid w:val="007761BD"/>
    <w:rsid w:val="00781E8F"/>
    <w:rsid w:val="00782623"/>
    <w:rsid w:val="00785782"/>
    <w:rsid w:val="00790010"/>
    <w:rsid w:val="0079099C"/>
    <w:rsid w:val="007951C2"/>
    <w:rsid w:val="007A37EB"/>
    <w:rsid w:val="007A6789"/>
    <w:rsid w:val="007B16AF"/>
    <w:rsid w:val="007B7F9C"/>
    <w:rsid w:val="007D2AEA"/>
    <w:rsid w:val="007D6F67"/>
    <w:rsid w:val="007D7F07"/>
    <w:rsid w:val="007E11CC"/>
    <w:rsid w:val="007E2FE0"/>
    <w:rsid w:val="007E43CB"/>
    <w:rsid w:val="007E737A"/>
    <w:rsid w:val="007E74BA"/>
    <w:rsid w:val="007F1F9F"/>
    <w:rsid w:val="007F35FA"/>
    <w:rsid w:val="008002EB"/>
    <w:rsid w:val="0080098C"/>
    <w:rsid w:val="008020AF"/>
    <w:rsid w:val="00803DE5"/>
    <w:rsid w:val="00813D7D"/>
    <w:rsid w:val="008150DE"/>
    <w:rsid w:val="00816341"/>
    <w:rsid w:val="00825468"/>
    <w:rsid w:val="00825CB5"/>
    <w:rsid w:val="00827407"/>
    <w:rsid w:val="00830E68"/>
    <w:rsid w:val="0083342B"/>
    <w:rsid w:val="008410B7"/>
    <w:rsid w:val="00844FC6"/>
    <w:rsid w:val="00847470"/>
    <w:rsid w:val="008505CF"/>
    <w:rsid w:val="00853D86"/>
    <w:rsid w:val="00854EE9"/>
    <w:rsid w:val="008635FE"/>
    <w:rsid w:val="00864141"/>
    <w:rsid w:val="00877C71"/>
    <w:rsid w:val="00886F6A"/>
    <w:rsid w:val="0089219B"/>
    <w:rsid w:val="008975BA"/>
    <w:rsid w:val="008A3EA7"/>
    <w:rsid w:val="008A5007"/>
    <w:rsid w:val="008C3037"/>
    <w:rsid w:val="008C4EFE"/>
    <w:rsid w:val="008C732B"/>
    <w:rsid w:val="008D4799"/>
    <w:rsid w:val="008D7395"/>
    <w:rsid w:val="008D7A5E"/>
    <w:rsid w:val="008F0220"/>
    <w:rsid w:val="008F2162"/>
    <w:rsid w:val="008F3CA5"/>
    <w:rsid w:val="008F782F"/>
    <w:rsid w:val="0090084B"/>
    <w:rsid w:val="0090107C"/>
    <w:rsid w:val="00902282"/>
    <w:rsid w:val="009038C3"/>
    <w:rsid w:val="009144FC"/>
    <w:rsid w:val="00914BAD"/>
    <w:rsid w:val="00920882"/>
    <w:rsid w:val="00926A73"/>
    <w:rsid w:val="009409DA"/>
    <w:rsid w:val="00944A82"/>
    <w:rsid w:val="009451F1"/>
    <w:rsid w:val="00951E5D"/>
    <w:rsid w:val="00953360"/>
    <w:rsid w:val="009577B6"/>
    <w:rsid w:val="00966C3F"/>
    <w:rsid w:val="00972827"/>
    <w:rsid w:val="00974AF3"/>
    <w:rsid w:val="009934F0"/>
    <w:rsid w:val="00994A2A"/>
    <w:rsid w:val="009970D0"/>
    <w:rsid w:val="009971B3"/>
    <w:rsid w:val="009A7599"/>
    <w:rsid w:val="009B019A"/>
    <w:rsid w:val="009B1C62"/>
    <w:rsid w:val="009B241E"/>
    <w:rsid w:val="009B2657"/>
    <w:rsid w:val="009B7148"/>
    <w:rsid w:val="009C4311"/>
    <w:rsid w:val="009D201E"/>
    <w:rsid w:val="009D366D"/>
    <w:rsid w:val="009D7BB0"/>
    <w:rsid w:val="009E562C"/>
    <w:rsid w:val="009E573E"/>
    <w:rsid w:val="009E63CA"/>
    <w:rsid w:val="009E6BB2"/>
    <w:rsid w:val="009F1541"/>
    <w:rsid w:val="009F4294"/>
    <w:rsid w:val="009F4B81"/>
    <w:rsid w:val="009F5E32"/>
    <w:rsid w:val="009F6783"/>
    <w:rsid w:val="00A0213B"/>
    <w:rsid w:val="00A03249"/>
    <w:rsid w:val="00A04531"/>
    <w:rsid w:val="00A048CE"/>
    <w:rsid w:val="00A0688C"/>
    <w:rsid w:val="00A0767B"/>
    <w:rsid w:val="00A13F55"/>
    <w:rsid w:val="00A1502A"/>
    <w:rsid w:val="00A15BE7"/>
    <w:rsid w:val="00A1702E"/>
    <w:rsid w:val="00A268A2"/>
    <w:rsid w:val="00A364D9"/>
    <w:rsid w:val="00A3759E"/>
    <w:rsid w:val="00A377AB"/>
    <w:rsid w:val="00A41109"/>
    <w:rsid w:val="00A43ECB"/>
    <w:rsid w:val="00A46476"/>
    <w:rsid w:val="00A53682"/>
    <w:rsid w:val="00A56719"/>
    <w:rsid w:val="00A63B4C"/>
    <w:rsid w:val="00A667B1"/>
    <w:rsid w:val="00A71567"/>
    <w:rsid w:val="00A76388"/>
    <w:rsid w:val="00A7775F"/>
    <w:rsid w:val="00A77F44"/>
    <w:rsid w:val="00A85254"/>
    <w:rsid w:val="00A87103"/>
    <w:rsid w:val="00A87A4E"/>
    <w:rsid w:val="00A92356"/>
    <w:rsid w:val="00A92519"/>
    <w:rsid w:val="00A92835"/>
    <w:rsid w:val="00A94780"/>
    <w:rsid w:val="00A94E57"/>
    <w:rsid w:val="00A957AA"/>
    <w:rsid w:val="00A970CC"/>
    <w:rsid w:val="00AA2320"/>
    <w:rsid w:val="00AA2D9C"/>
    <w:rsid w:val="00AA307F"/>
    <w:rsid w:val="00AA46FB"/>
    <w:rsid w:val="00AA6405"/>
    <w:rsid w:val="00AB0F09"/>
    <w:rsid w:val="00AB2812"/>
    <w:rsid w:val="00AC0DA2"/>
    <w:rsid w:val="00AC17F3"/>
    <w:rsid w:val="00AC427F"/>
    <w:rsid w:val="00AC46F6"/>
    <w:rsid w:val="00AC7A47"/>
    <w:rsid w:val="00AD004A"/>
    <w:rsid w:val="00AD35AC"/>
    <w:rsid w:val="00AD503C"/>
    <w:rsid w:val="00AD72F7"/>
    <w:rsid w:val="00AD7674"/>
    <w:rsid w:val="00AF2F14"/>
    <w:rsid w:val="00AF3972"/>
    <w:rsid w:val="00AF3AFF"/>
    <w:rsid w:val="00AF6543"/>
    <w:rsid w:val="00B04F35"/>
    <w:rsid w:val="00B05AB7"/>
    <w:rsid w:val="00B07C6D"/>
    <w:rsid w:val="00B114BE"/>
    <w:rsid w:val="00B11722"/>
    <w:rsid w:val="00B11970"/>
    <w:rsid w:val="00B170B9"/>
    <w:rsid w:val="00B23ED4"/>
    <w:rsid w:val="00B27087"/>
    <w:rsid w:val="00B35A42"/>
    <w:rsid w:val="00B366A4"/>
    <w:rsid w:val="00B417D4"/>
    <w:rsid w:val="00B42729"/>
    <w:rsid w:val="00B433F3"/>
    <w:rsid w:val="00B5436A"/>
    <w:rsid w:val="00B54923"/>
    <w:rsid w:val="00B61177"/>
    <w:rsid w:val="00B67951"/>
    <w:rsid w:val="00B67C16"/>
    <w:rsid w:val="00B76E3D"/>
    <w:rsid w:val="00B8281E"/>
    <w:rsid w:val="00B856CA"/>
    <w:rsid w:val="00B9074A"/>
    <w:rsid w:val="00B91E0D"/>
    <w:rsid w:val="00B97091"/>
    <w:rsid w:val="00B97B2B"/>
    <w:rsid w:val="00BA2721"/>
    <w:rsid w:val="00BA6575"/>
    <w:rsid w:val="00BB43A3"/>
    <w:rsid w:val="00BB4DCE"/>
    <w:rsid w:val="00BB5E7F"/>
    <w:rsid w:val="00BB79C0"/>
    <w:rsid w:val="00BC0F00"/>
    <w:rsid w:val="00BC2A60"/>
    <w:rsid w:val="00BC6E17"/>
    <w:rsid w:val="00BC7C44"/>
    <w:rsid w:val="00BD2D5D"/>
    <w:rsid w:val="00BD4E74"/>
    <w:rsid w:val="00BD50A6"/>
    <w:rsid w:val="00BD5C7F"/>
    <w:rsid w:val="00BD7C48"/>
    <w:rsid w:val="00BE3FF4"/>
    <w:rsid w:val="00BE4716"/>
    <w:rsid w:val="00BF327E"/>
    <w:rsid w:val="00C004B9"/>
    <w:rsid w:val="00C17B9D"/>
    <w:rsid w:val="00C202C2"/>
    <w:rsid w:val="00C22DD9"/>
    <w:rsid w:val="00C233D8"/>
    <w:rsid w:val="00C23610"/>
    <w:rsid w:val="00C23DC2"/>
    <w:rsid w:val="00C253DE"/>
    <w:rsid w:val="00C253F3"/>
    <w:rsid w:val="00C26AB3"/>
    <w:rsid w:val="00C26F56"/>
    <w:rsid w:val="00C34FE4"/>
    <w:rsid w:val="00C35587"/>
    <w:rsid w:val="00C42AC6"/>
    <w:rsid w:val="00C50E67"/>
    <w:rsid w:val="00C515FB"/>
    <w:rsid w:val="00C52277"/>
    <w:rsid w:val="00C52F54"/>
    <w:rsid w:val="00C52F76"/>
    <w:rsid w:val="00C61905"/>
    <w:rsid w:val="00C643E4"/>
    <w:rsid w:val="00C64B56"/>
    <w:rsid w:val="00C70129"/>
    <w:rsid w:val="00C77085"/>
    <w:rsid w:val="00C800D2"/>
    <w:rsid w:val="00C83D56"/>
    <w:rsid w:val="00C843B0"/>
    <w:rsid w:val="00C84BAF"/>
    <w:rsid w:val="00C84D74"/>
    <w:rsid w:val="00C86400"/>
    <w:rsid w:val="00C8740A"/>
    <w:rsid w:val="00C8755C"/>
    <w:rsid w:val="00C91377"/>
    <w:rsid w:val="00C9141D"/>
    <w:rsid w:val="00C91619"/>
    <w:rsid w:val="00C92075"/>
    <w:rsid w:val="00C937E8"/>
    <w:rsid w:val="00C96B53"/>
    <w:rsid w:val="00CA2AEC"/>
    <w:rsid w:val="00CA5708"/>
    <w:rsid w:val="00CB010F"/>
    <w:rsid w:val="00CB082A"/>
    <w:rsid w:val="00CB0AE2"/>
    <w:rsid w:val="00CB56DB"/>
    <w:rsid w:val="00CB6D82"/>
    <w:rsid w:val="00CC1D3E"/>
    <w:rsid w:val="00CD65DC"/>
    <w:rsid w:val="00CD68C2"/>
    <w:rsid w:val="00CE25B5"/>
    <w:rsid w:val="00CE371E"/>
    <w:rsid w:val="00CE657D"/>
    <w:rsid w:val="00D05CC9"/>
    <w:rsid w:val="00D11F50"/>
    <w:rsid w:val="00D15DA7"/>
    <w:rsid w:val="00D21EE8"/>
    <w:rsid w:val="00D2381D"/>
    <w:rsid w:val="00D23F57"/>
    <w:rsid w:val="00D35917"/>
    <w:rsid w:val="00D35D46"/>
    <w:rsid w:val="00D36526"/>
    <w:rsid w:val="00D42AF6"/>
    <w:rsid w:val="00D56746"/>
    <w:rsid w:val="00D62DBE"/>
    <w:rsid w:val="00D667BC"/>
    <w:rsid w:val="00D66BC2"/>
    <w:rsid w:val="00D769CC"/>
    <w:rsid w:val="00D818CE"/>
    <w:rsid w:val="00D84AEF"/>
    <w:rsid w:val="00D87078"/>
    <w:rsid w:val="00D91353"/>
    <w:rsid w:val="00D94D51"/>
    <w:rsid w:val="00D95D72"/>
    <w:rsid w:val="00D965A1"/>
    <w:rsid w:val="00DB013D"/>
    <w:rsid w:val="00DB1AC2"/>
    <w:rsid w:val="00DB2465"/>
    <w:rsid w:val="00DB39C4"/>
    <w:rsid w:val="00DB4313"/>
    <w:rsid w:val="00DB48D6"/>
    <w:rsid w:val="00DB5721"/>
    <w:rsid w:val="00DB6C98"/>
    <w:rsid w:val="00DB73FF"/>
    <w:rsid w:val="00DC2093"/>
    <w:rsid w:val="00DC4108"/>
    <w:rsid w:val="00DC66FB"/>
    <w:rsid w:val="00DC767B"/>
    <w:rsid w:val="00DD1EB5"/>
    <w:rsid w:val="00DD51CC"/>
    <w:rsid w:val="00DF215B"/>
    <w:rsid w:val="00DF382B"/>
    <w:rsid w:val="00E00C5B"/>
    <w:rsid w:val="00E03C1A"/>
    <w:rsid w:val="00E04E88"/>
    <w:rsid w:val="00E13678"/>
    <w:rsid w:val="00E16A22"/>
    <w:rsid w:val="00E16B85"/>
    <w:rsid w:val="00E2355A"/>
    <w:rsid w:val="00E246BF"/>
    <w:rsid w:val="00E26136"/>
    <w:rsid w:val="00E308EF"/>
    <w:rsid w:val="00E314D9"/>
    <w:rsid w:val="00E349D5"/>
    <w:rsid w:val="00E35868"/>
    <w:rsid w:val="00E37368"/>
    <w:rsid w:val="00E405C7"/>
    <w:rsid w:val="00E41DB2"/>
    <w:rsid w:val="00E43953"/>
    <w:rsid w:val="00E43C91"/>
    <w:rsid w:val="00E440E1"/>
    <w:rsid w:val="00E4507E"/>
    <w:rsid w:val="00E46D5E"/>
    <w:rsid w:val="00E54B42"/>
    <w:rsid w:val="00E54DF1"/>
    <w:rsid w:val="00E55306"/>
    <w:rsid w:val="00E612AB"/>
    <w:rsid w:val="00E62875"/>
    <w:rsid w:val="00E64F19"/>
    <w:rsid w:val="00E70335"/>
    <w:rsid w:val="00E70AFE"/>
    <w:rsid w:val="00E7510F"/>
    <w:rsid w:val="00E8190A"/>
    <w:rsid w:val="00E86AF6"/>
    <w:rsid w:val="00E92B9C"/>
    <w:rsid w:val="00E96011"/>
    <w:rsid w:val="00EA2AED"/>
    <w:rsid w:val="00EB09BB"/>
    <w:rsid w:val="00EB58C5"/>
    <w:rsid w:val="00EB6B92"/>
    <w:rsid w:val="00EC1A19"/>
    <w:rsid w:val="00EC2E38"/>
    <w:rsid w:val="00EC79D6"/>
    <w:rsid w:val="00EC7C68"/>
    <w:rsid w:val="00ED009B"/>
    <w:rsid w:val="00EE15C1"/>
    <w:rsid w:val="00EE6F85"/>
    <w:rsid w:val="00EF1131"/>
    <w:rsid w:val="00EF3BD0"/>
    <w:rsid w:val="00EF7412"/>
    <w:rsid w:val="00F0060B"/>
    <w:rsid w:val="00F03128"/>
    <w:rsid w:val="00F06677"/>
    <w:rsid w:val="00F06EC3"/>
    <w:rsid w:val="00F07C12"/>
    <w:rsid w:val="00F112DC"/>
    <w:rsid w:val="00F20924"/>
    <w:rsid w:val="00F24F35"/>
    <w:rsid w:val="00F270C4"/>
    <w:rsid w:val="00F27E63"/>
    <w:rsid w:val="00F30CD3"/>
    <w:rsid w:val="00F351D9"/>
    <w:rsid w:val="00F35916"/>
    <w:rsid w:val="00F4152C"/>
    <w:rsid w:val="00F4746D"/>
    <w:rsid w:val="00F50DF4"/>
    <w:rsid w:val="00F51A89"/>
    <w:rsid w:val="00F54BC7"/>
    <w:rsid w:val="00F55346"/>
    <w:rsid w:val="00F5737A"/>
    <w:rsid w:val="00F6328C"/>
    <w:rsid w:val="00F825B4"/>
    <w:rsid w:val="00F918E8"/>
    <w:rsid w:val="00F928B4"/>
    <w:rsid w:val="00FA1064"/>
    <w:rsid w:val="00FA41D6"/>
    <w:rsid w:val="00FA589F"/>
    <w:rsid w:val="00FB0560"/>
    <w:rsid w:val="00FB1CB1"/>
    <w:rsid w:val="00FB1DFF"/>
    <w:rsid w:val="00FB2BA5"/>
    <w:rsid w:val="00FB6AAF"/>
    <w:rsid w:val="00FB6DCE"/>
    <w:rsid w:val="00FC0408"/>
    <w:rsid w:val="00FC1CB4"/>
    <w:rsid w:val="00FC318B"/>
    <w:rsid w:val="00FC5F4B"/>
    <w:rsid w:val="00FC7956"/>
    <w:rsid w:val="00FD29C6"/>
    <w:rsid w:val="00FD5B7E"/>
    <w:rsid w:val="00FE0C3E"/>
    <w:rsid w:val="00FE5D86"/>
    <w:rsid w:val="00FE6DE2"/>
    <w:rsid w:val="00FF1552"/>
    <w:rsid w:val="25986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094F6A6"/>
  <w15:docId w15:val="{8ADD2B00-F21C-4B56-B4D1-0E2593D9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pPr>
      <w:tabs>
        <w:tab w:val="right" w:leader="dot" w:pos="8803"/>
      </w:tabs>
      <w:spacing w:after="100" w:line="360" w:lineRule="auto"/>
      <w:jc w:val="both"/>
    </w:pPr>
    <w:rPr>
      <w:rFonts w:ascii="Times New Roman" w:hAnsi="Times New Roman" w:cs="Times New Roman"/>
      <w:b/>
      <w:sz w:val="24"/>
      <w:szCs w:val="24"/>
    </w:rPr>
  </w:style>
  <w:style w:type="paragraph" w:styleId="ListParagraph">
    <w:name w:val="List Paragraph"/>
    <w:basedOn w:val="Normal"/>
    <w:uiPriority w:val="34"/>
    <w:qFormat/>
    <w:pPr>
      <w:ind w:left="720"/>
      <w:contextualSpacing/>
    </w:p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qFormat/>
    <w:rPr>
      <w:color w:val="80808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EB5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doi.org/10.21203/rs.3.rs-206352/v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16/j.totert.2023.10006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16/j.sesci.2021.07.001" TargetMode="Externa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i.org/10.1063/1.51101"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23D4FA8-91AB-406B-BDF5-85072F1D37A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3620</TotalTime>
  <Pages>16</Pages>
  <Words>7729</Words>
  <Characters>44060</Characters>
  <Application>Microsoft Office Word</Application>
  <DocSecurity>0</DocSecurity>
  <Lines>367</Lines>
  <Paragraphs>103</Paragraphs>
  <ScaleCrop>false</ScaleCrop>
  <Company/>
  <LinksUpToDate>false</LinksUpToDate>
  <CharactersWithSpaces>51686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Editor-23</cp:lastModifiedBy>
  <cp:revision>1327</cp:revision>
  <cp:lastPrinted>2024-07-09T12:16:00Z</cp:lastPrinted>
  <dcterms:created xsi:type="dcterms:W3CDTF">2024-03-15T04:58:00Z</dcterms:created>
  <dcterms:modified xsi:type="dcterms:W3CDTF">2024-12-28T09:44:00Z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2B1075DE37D642A6ADE81A0C5E914BC5_13</vt:lpwstr>
  </property>
</Properties>
</file>