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42570E" w14:textId="158A6E0E" w:rsidR="005C74E3" w:rsidRDefault="005C74E3" w:rsidP="003C2A8C">
      <w:pPr>
        <w:jc w:val="right"/>
        <w:rPr>
          <w:rFonts w:ascii="Arial" w:hAnsi="Arial" w:cs="Arial"/>
          <w:b/>
          <w:bCs/>
          <w:sz w:val="36"/>
          <w:szCs w:val="36"/>
        </w:rPr>
      </w:pPr>
      <w:r w:rsidRPr="005C74E3">
        <w:rPr>
          <w:rFonts w:ascii="Arial" w:hAnsi="Arial" w:cs="Arial"/>
          <w:b/>
          <w:bCs/>
          <w:sz w:val="36"/>
          <w:szCs w:val="36"/>
        </w:rPr>
        <w:t>Original Research Article</w:t>
      </w:r>
    </w:p>
    <w:p w14:paraId="44096131" w14:textId="77777777" w:rsidR="005C74E3" w:rsidRDefault="005C74E3" w:rsidP="003C2A8C">
      <w:pPr>
        <w:jc w:val="right"/>
        <w:rPr>
          <w:rFonts w:ascii="Arial" w:hAnsi="Arial" w:cs="Arial"/>
          <w:b/>
          <w:bCs/>
          <w:sz w:val="36"/>
          <w:szCs w:val="36"/>
        </w:rPr>
      </w:pPr>
    </w:p>
    <w:p w14:paraId="07E55040" w14:textId="601295CA" w:rsidR="0015080B" w:rsidRDefault="0015080B" w:rsidP="003C2A8C">
      <w:pPr>
        <w:jc w:val="right"/>
        <w:rPr>
          <w:rFonts w:ascii="Arial" w:hAnsi="Arial" w:cs="Arial"/>
          <w:b/>
          <w:bCs/>
          <w:sz w:val="36"/>
          <w:szCs w:val="36"/>
        </w:rPr>
      </w:pPr>
      <w:r w:rsidRPr="0020329F">
        <w:rPr>
          <w:rFonts w:ascii="Arial" w:hAnsi="Arial" w:cs="Arial"/>
          <w:b/>
          <w:bCs/>
          <w:sz w:val="36"/>
          <w:szCs w:val="36"/>
        </w:rPr>
        <w:t>Efficacy of Essential Oils in managing Oxidative Stress in Scabietic dogs</w:t>
      </w:r>
    </w:p>
    <w:p w14:paraId="0A67D106" w14:textId="0C1C089E" w:rsidR="00B16133" w:rsidRPr="0020329F" w:rsidRDefault="00B16133" w:rsidP="00B16133">
      <w:pPr>
        <w:spacing w:after="0"/>
        <w:jc w:val="right"/>
        <w:rPr>
          <w:rFonts w:ascii="Arial" w:hAnsi="Arial" w:cs="Arial"/>
          <w:i/>
          <w:iCs/>
          <w:sz w:val="20"/>
          <w:szCs w:val="20"/>
        </w:rPr>
      </w:pPr>
      <w:r>
        <w:rPr>
          <w:rFonts w:ascii="Arial" w:hAnsi="Arial" w:cs="Arial"/>
          <w:i/>
          <w:iCs/>
          <w:sz w:val="20"/>
          <w:szCs w:val="20"/>
        </w:rPr>
        <w:t xml:space="preserve"> </w:t>
      </w:r>
    </w:p>
    <w:p w14:paraId="290561C4" w14:textId="63FCF2E3" w:rsidR="003C2A8C" w:rsidRPr="0020329F" w:rsidRDefault="006748CB" w:rsidP="003C2A8C">
      <w:pPr>
        <w:jc w:val="right"/>
        <w:rPr>
          <w:rFonts w:ascii="Arial" w:hAnsi="Arial" w:cs="Arial"/>
          <w:b/>
          <w:bCs/>
          <w:sz w:val="24"/>
          <w:szCs w:val="24"/>
        </w:rPr>
      </w:pPr>
      <w:r w:rsidRPr="0020329F">
        <w:rPr>
          <w:rFonts w:ascii="Arial" w:hAnsi="Arial" w:cs="Arial"/>
          <w:noProof/>
        </w:rPr>
        <mc:AlternateContent>
          <mc:Choice Requires="wps">
            <w:drawing>
              <wp:inline distT="0" distB="0" distL="0" distR="0" wp14:anchorId="1BF6AD3A" wp14:editId="2BF79897">
                <wp:extent cx="5729504" cy="45719"/>
                <wp:effectExtent l="0" t="0" r="24130" b="31115"/>
                <wp:docPr id="763166487"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29504" cy="45719"/>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fl="http://schemas.microsoft.com/office/word/2024/wordml/sdtformatlock">
            <w:pict>
              <v:shapetype w14:anchorId="5E29E238" id="_x0000_t32" coordsize="21600,21600" o:spt="32" o:oned="t" path="m,l21600,21600e" filled="f">
                <v:path arrowok="t" fillok="f" o:connecttype="none"/>
                <o:lock v:ext="edit" shapetype="t"/>
              </v:shapetype>
              <v:shape id="Straight Arrow Connector 1" o:spid="_x0000_s1026" type="#_x0000_t32" style="width:451.15pt;height:3.6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" strokeweight="1.5pt">
                <w10:anchorlock/>
              </v:shape>
            </w:pict>
          </mc:Fallback>
        </mc:AlternateContent>
      </w:r>
    </w:p>
    <w:p w14:paraId="425E8901" w14:textId="15B65188" w:rsidR="00D64F7E" w:rsidRPr="0020329F" w:rsidRDefault="00D64F7E" w:rsidP="00D64F7E">
      <w:pPr>
        <w:pStyle w:val="AbstHead"/>
        <w:spacing w:after="0"/>
        <w:rPr>
          <w:rFonts w:ascii="Arial" w:hAnsi="Arial" w:cs="Arial"/>
        </w:rPr>
      </w:pPr>
      <w:r w:rsidRPr="0020329F">
        <w:rPr>
          <w:rFonts w:ascii="Arial" w:hAnsi="Arial" w:cs="Arial"/>
        </w:rPr>
        <w:t xml:space="preserve">ABSTRACT </w:t>
      </w:r>
    </w:p>
    <w:p w14:paraId="3FBABB76" w14:textId="77777777" w:rsidR="00D64F7E" w:rsidRPr="0020329F" w:rsidRDefault="00D64F7E" w:rsidP="00D64F7E">
      <w:pPr>
        <w:pStyle w:val="AbstHead"/>
        <w:spacing w:after="0"/>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016"/>
      </w:tblGrid>
      <w:tr w:rsidR="00F91F7C" w:rsidRPr="0020329F" w14:paraId="4118F610" w14:textId="77777777" w:rsidTr="00404DA8">
        <w:tc>
          <w:tcPr>
            <w:tcW w:w="9016" w:type="dxa"/>
            <w:shd w:val="clear" w:color="auto" w:fill="F2F2F2"/>
          </w:tcPr>
          <w:p w14:paraId="0C114673" w14:textId="5C3335BB" w:rsidR="00D64F7E" w:rsidRPr="0020329F" w:rsidRDefault="00D64F7E" w:rsidP="00A31A3A">
            <w:pPr>
              <w:pStyle w:val="Body"/>
              <w:spacing w:after="0"/>
              <w:rPr>
                <w:rFonts w:ascii="Arial" w:eastAsia="Calibri" w:hAnsi="Arial" w:cs="Arial"/>
              </w:rPr>
            </w:pPr>
            <w:r w:rsidRPr="0020329F">
              <w:rPr>
                <w:rFonts w:ascii="Arial" w:eastAsia="Calibri" w:hAnsi="Arial" w:cs="Arial"/>
                <w:b/>
                <w:szCs w:val="22"/>
              </w:rPr>
              <w:t xml:space="preserve">Aims: </w:t>
            </w:r>
            <w:r w:rsidR="00CB5ED5" w:rsidRPr="0020329F">
              <w:rPr>
                <w:rFonts w:ascii="Arial" w:hAnsi="Arial" w:cs="Arial"/>
                <w:bCs/>
              </w:rPr>
              <w:t>T</w:t>
            </w:r>
            <w:r w:rsidR="00631964" w:rsidRPr="0020329F">
              <w:rPr>
                <w:rFonts w:ascii="Arial" w:hAnsi="Arial" w:cs="Arial"/>
              </w:rPr>
              <w:t xml:space="preserve">o evaluate the oxidant-antioxidant balance in </w:t>
            </w:r>
            <w:r w:rsidR="00631964" w:rsidRPr="0020329F">
              <w:rPr>
                <w:rFonts w:ascii="Arial" w:hAnsi="Arial" w:cs="Arial"/>
                <w:i/>
                <w:iCs/>
              </w:rPr>
              <w:t>Sarcoptic scabiei</w:t>
            </w:r>
            <w:r w:rsidR="00631964" w:rsidRPr="0020329F">
              <w:rPr>
                <w:rFonts w:ascii="Arial" w:hAnsi="Arial" w:cs="Arial"/>
              </w:rPr>
              <w:t xml:space="preserve"> infected dogs and to investigate the effect 2% combination of three essential oils, i.e. 1% Lemongrass oil (</w:t>
            </w:r>
            <w:r w:rsidR="00631964" w:rsidRPr="0020329F">
              <w:rPr>
                <w:rFonts w:ascii="Arial" w:eastAsia="MinionPro-Regular" w:hAnsi="Arial" w:cs="Arial"/>
                <w:i/>
              </w:rPr>
              <w:t xml:space="preserve">Cymbopogon </w:t>
            </w:r>
            <w:proofErr w:type="spellStart"/>
            <w:r w:rsidR="00631964" w:rsidRPr="0020329F">
              <w:rPr>
                <w:rFonts w:ascii="Arial" w:eastAsia="MinionPro-Regular" w:hAnsi="Arial" w:cs="Arial"/>
                <w:i/>
              </w:rPr>
              <w:t>citratus</w:t>
            </w:r>
            <w:proofErr w:type="spellEnd"/>
            <w:r w:rsidR="00631964" w:rsidRPr="0020329F">
              <w:rPr>
                <w:rFonts w:ascii="Arial" w:eastAsia="MinionPro-Regular" w:hAnsi="Arial" w:cs="Arial"/>
                <w:iCs/>
              </w:rPr>
              <w:t>)</w:t>
            </w:r>
            <w:r w:rsidR="00631964" w:rsidRPr="0020329F">
              <w:rPr>
                <w:rFonts w:ascii="Arial" w:hAnsi="Arial" w:cs="Arial"/>
              </w:rPr>
              <w:t>, 0.5% Tulsi oil (</w:t>
            </w:r>
            <w:proofErr w:type="spellStart"/>
            <w:r w:rsidR="00631964" w:rsidRPr="0020329F">
              <w:rPr>
                <w:rFonts w:ascii="Arial" w:eastAsia="MinionPro-Regular" w:hAnsi="Arial" w:cs="Arial"/>
                <w:i/>
              </w:rPr>
              <w:t>Ocimum</w:t>
            </w:r>
            <w:proofErr w:type="spellEnd"/>
            <w:r w:rsidR="00631964" w:rsidRPr="0020329F">
              <w:rPr>
                <w:rFonts w:ascii="Arial" w:eastAsia="MinionPro-Regular" w:hAnsi="Arial" w:cs="Arial"/>
                <w:i/>
              </w:rPr>
              <w:t xml:space="preserve"> </w:t>
            </w:r>
            <w:proofErr w:type="spellStart"/>
            <w:r w:rsidR="00631964" w:rsidRPr="0020329F">
              <w:rPr>
                <w:rFonts w:ascii="Arial" w:eastAsia="MinionPro-Regular" w:hAnsi="Arial" w:cs="Arial"/>
                <w:i/>
              </w:rPr>
              <w:t>tenuiflorum</w:t>
            </w:r>
            <w:proofErr w:type="spellEnd"/>
            <w:r w:rsidR="00631964" w:rsidRPr="0020329F">
              <w:rPr>
                <w:rFonts w:ascii="Arial" w:hAnsi="Arial" w:cs="Arial"/>
              </w:rPr>
              <w:t>) and 0.5% Sandalwood oil (</w:t>
            </w:r>
            <w:r w:rsidR="00631964" w:rsidRPr="0020329F">
              <w:rPr>
                <w:rFonts w:ascii="Arial" w:eastAsia="MinionPro-Regular" w:hAnsi="Arial" w:cs="Arial"/>
                <w:i/>
              </w:rPr>
              <w:t>Santalum album</w:t>
            </w:r>
            <w:r w:rsidR="00631964" w:rsidRPr="0020329F">
              <w:rPr>
                <w:rFonts w:ascii="Arial" w:hAnsi="Arial" w:cs="Arial"/>
              </w:rPr>
              <w:t>) in ameliorating these parameters</w:t>
            </w:r>
            <w:r w:rsidRPr="0020329F">
              <w:rPr>
                <w:rFonts w:ascii="Arial" w:eastAsia="Calibri" w:hAnsi="Arial" w:cs="Arial"/>
              </w:rPr>
              <w:t>.</w:t>
            </w:r>
          </w:p>
          <w:p w14:paraId="0DC86E0A" w14:textId="72BE0A3D" w:rsidR="00D64F7E" w:rsidRPr="0020329F" w:rsidRDefault="00D64F7E" w:rsidP="00A31A3A">
            <w:pPr>
              <w:pStyle w:val="Body"/>
              <w:spacing w:after="0"/>
              <w:rPr>
                <w:rFonts w:ascii="Arial" w:eastAsia="Calibri" w:hAnsi="Arial" w:cs="Arial"/>
              </w:rPr>
            </w:pPr>
            <w:r w:rsidRPr="0020329F">
              <w:rPr>
                <w:rFonts w:ascii="Arial" w:eastAsia="Calibri" w:hAnsi="Arial" w:cs="Arial"/>
                <w:b/>
              </w:rPr>
              <w:t>Study design:</w:t>
            </w:r>
            <w:r w:rsidRPr="0020329F">
              <w:rPr>
                <w:rFonts w:ascii="Arial" w:eastAsia="Calibri" w:hAnsi="Arial" w:cs="Arial"/>
              </w:rPr>
              <w:t xml:space="preserve"> </w:t>
            </w:r>
            <w:r w:rsidR="000D7DA8" w:rsidRPr="0020329F">
              <w:rPr>
                <w:rFonts w:ascii="Arial" w:eastAsia="Calibri" w:hAnsi="Arial" w:cs="Arial"/>
              </w:rPr>
              <w:t xml:space="preserve">Dogs that were brought to the Veterinary Clinical Complex with symptoms of sarcoptic mange were included in the study. Oxidative stress indices of positive dogs were analyzed and compared to the healthy ones to identify any significant difference caused by </w:t>
            </w:r>
            <w:proofErr w:type="spellStart"/>
            <w:r w:rsidR="000D7DA8" w:rsidRPr="0020329F">
              <w:rPr>
                <w:rFonts w:ascii="Arial" w:eastAsia="Calibri" w:hAnsi="Arial" w:cs="Arial"/>
                <w:i/>
                <w:iCs/>
              </w:rPr>
              <w:t>Sarcoptes</w:t>
            </w:r>
            <w:proofErr w:type="spellEnd"/>
            <w:r w:rsidR="000D7DA8" w:rsidRPr="0020329F">
              <w:rPr>
                <w:rFonts w:ascii="Arial" w:eastAsia="Calibri" w:hAnsi="Arial" w:cs="Arial"/>
                <w:i/>
                <w:iCs/>
              </w:rPr>
              <w:t xml:space="preserve"> scabiei. </w:t>
            </w:r>
            <w:r w:rsidR="000D7DA8" w:rsidRPr="0020329F">
              <w:rPr>
                <w:rFonts w:ascii="Arial" w:eastAsia="Calibri" w:hAnsi="Arial" w:cs="Arial"/>
              </w:rPr>
              <w:t>Further, efficacy of topical application of these essential oils was compared with Ivermectin.</w:t>
            </w:r>
          </w:p>
          <w:p w14:paraId="5D323B51" w14:textId="0774978C" w:rsidR="00D64F7E" w:rsidRPr="0020329F" w:rsidRDefault="00D64F7E" w:rsidP="00B119C7">
            <w:pPr>
              <w:pStyle w:val="Body"/>
              <w:spacing w:after="0"/>
              <w:rPr>
                <w:rFonts w:ascii="Arial" w:eastAsia="Calibri" w:hAnsi="Arial" w:cs="Arial"/>
              </w:rPr>
            </w:pPr>
            <w:r w:rsidRPr="0020329F">
              <w:rPr>
                <w:rFonts w:ascii="Arial" w:eastAsia="Calibri" w:hAnsi="Arial" w:cs="Arial"/>
                <w:b/>
              </w:rPr>
              <w:t>Place and Duration of Study:</w:t>
            </w:r>
            <w:r w:rsidRPr="0020329F">
              <w:rPr>
                <w:rFonts w:ascii="Arial" w:eastAsia="Calibri" w:hAnsi="Arial" w:cs="Arial"/>
              </w:rPr>
              <w:t xml:space="preserve"> </w:t>
            </w:r>
            <w:r w:rsidR="00631964" w:rsidRPr="0020329F">
              <w:rPr>
                <w:rFonts w:ascii="Arial" w:eastAsia="Calibri" w:hAnsi="Arial" w:cs="Arial"/>
              </w:rPr>
              <w:t>The study was conducted at Department of Veterinary Medicine and Veterinary Clinical Complex, DUVASU, Mathura, India</w:t>
            </w:r>
            <w:r w:rsidR="00631964" w:rsidRPr="0020329F">
              <w:rPr>
                <w:rFonts w:ascii="Arial" w:hAnsi="Arial" w:cs="Arial"/>
              </w:rPr>
              <w:t>, over a span of 18 months, from February, 2023 to July, 2024.</w:t>
            </w:r>
          </w:p>
          <w:p w14:paraId="7EBCFD1E" w14:textId="604A4787" w:rsidR="00A15749" w:rsidRPr="0020329F" w:rsidRDefault="00D64F7E" w:rsidP="00A15749">
            <w:pPr>
              <w:spacing w:after="0"/>
              <w:rPr>
                <w:rFonts w:ascii="Arial" w:eastAsia="Times New Roman" w:hAnsi="Arial" w:cs="Arial"/>
                <w:sz w:val="20"/>
                <w:szCs w:val="20"/>
              </w:rPr>
            </w:pPr>
            <w:r w:rsidRPr="0020329F">
              <w:rPr>
                <w:rFonts w:ascii="Arial" w:eastAsia="Calibri" w:hAnsi="Arial" w:cs="Arial"/>
                <w:b/>
                <w:bCs/>
                <w:sz w:val="20"/>
                <w:szCs w:val="20"/>
              </w:rPr>
              <w:t>Methodology:</w:t>
            </w:r>
            <w:r w:rsidRPr="0020329F">
              <w:rPr>
                <w:rFonts w:ascii="Arial" w:eastAsia="Calibri" w:hAnsi="Arial" w:cs="Arial"/>
                <w:sz w:val="20"/>
                <w:szCs w:val="20"/>
              </w:rPr>
              <w:t xml:space="preserve"> </w:t>
            </w:r>
            <w:r w:rsidR="00631964" w:rsidRPr="0020329F">
              <w:rPr>
                <w:rFonts w:ascii="Arial" w:hAnsi="Arial" w:cs="Arial"/>
                <w:sz w:val="20"/>
                <w:szCs w:val="20"/>
              </w:rPr>
              <w:t>Twelve dogs suffering from sarcoptic mange were divided into two groups, one treated with the 2% essential oil combination topically, and the other with Ivermectin injection, given subcutaneously. Six apparently healthy dogs were treated as control. Total oxidant status (TOS), Total antioxidant capacity (TAOC) and Oxidative stress index</w:t>
            </w:r>
            <w:r w:rsidR="000D7DA8" w:rsidRPr="0020329F">
              <w:rPr>
                <w:rFonts w:ascii="Arial" w:hAnsi="Arial" w:cs="Arial"/>
                <w:sz w:val="20"/>
                <w:szCs w:val="20"/>
              </w:rPr>
              <w:t xml:space="preserve"> (OSI)</w:t>
            </w:r>
            <w:r w:rsidR="00631964" w:rsidRPr="0020329F">
              <w:rPr>
                <w:rFonts w:ascii="Arial" w:hAnsi="Arial" w:cs="Arial"/>
                <w:sz w:val="20"/>
                <w:szCs w:val="20"/>
              </w:rPr>
              <w:t xml:space="preserve"> parameters were estimated at days 0 (pre-therapy), and days 14 and 28 (post-therapy).</w:t>
            </w:r>
            <w:r w:rsidR="00577682" w:rsidRPr="0020329F">
              <w:rPr>
                <w:rFonts w:ascii="Arial" w:hAnsi="Arial" w:cs="Arial"/>
                <w:sz w:val="20"/>
                <w:szCs w:val="20"/>
              </w:rPr>
              <w:t xml:space="preserve"> </w:t>
            </w:r>
            <w:r w:rsidR="00544F20">
              <w:rPr>
                <w:rFonts w:ascii="Arial" w:hAnsi="Arial" w:cs="Arial"/>
                <w:sz w:val="20"/>
                <w:szCs w:val="20"/>
              </w:rPr>
              <w:t xml:space="preserve">Student’s t-test and </w:t>
            </w:r>
            <w:r w:rsidR="00B119C7" w:rsidRPr="0020329F">
              <w:rPr>
                <w:rFonts w:ascii="Arial" w:eastAsia="Times New Roman" w:hAnsi="Arial" w:cs="Arial"/>
                <w:sz w:val="20"/>
                <w:szCs w:val="20"/>
              </w:rPr>
              <w:t xml:space="preserve">Analysis of Variance (ANOVA) </w:t>
            </w:r>
            <w:r w:rsidR="0085345C" w:rsidRPr="0020329F">
              <w:rPr>
                <w:rFonts w:ascii="Arial" w:eastAsia="Times New Roman" w:hAnsi="Arial" w:cs="Arial"/>
                <w:sz w:val="20"/>
                <w:szCs w:val="20"/>
              </w:rPr>
              <w:t>in</w:t>
            </w:r>
            <w:r w:rsidR="00B119C7" w:rsidRPr="0020329F">
              <w:rPr>
                <w:rFonts w:ascii="Arial" w:eastAsia="Times New Roman" w:hAnsi="Arial" w:cs="Arial"/>
                <w:sz w:val="20"/>
                <w:szCs w:val="20"/>
              </w:rPr>
              <w:t xml:space="preserve"> </w:t>
            </w:r>
            <w:proofErr w:type="spellStart"/>
            <w:r w:rsidR="00B119C7" w:rsidRPr="0020329F">
              <w:rPr>
                <w:rFonts w:ascii="Arial" w:eastAsia="Times New Roman" w:hAnsi="Arial" w:cs="Arial"/>
                <w:sz w:val="20"/>
                <w:szCs w:val="20"/>
              </w:rPr>
              <w:t>Graphpad</w:t>
            </w:r>
            <w:proofErr w:type="spellEnd"/>
            <w:r w:rsidR="00B119C7" w:rsidRPr="0020329F">
              <w:rPr>
                <w:rFonts w:ascii="Arial" w:eastAsia="Times New Roman" w:hAnsi="Arial" w:cs="Arial"/>
                <w:sz w:val="20"/>
                <w:szCs w:val="20"/>
              </w:rPr>
              <w:t xml:space="preserve"> Prism software</w:t>
            </w:r>
            <w:r w:rsidR="0085345C" w:rsidRPr="0020329F">
              <w:rPr>
                <w:rFonts w:ascii="Arial" w:eastAsia="Times New Roman" w:hAnsi="Arial" w:cs="Arial"/>
                <w:sz w:val="20"/>
                <w:szCs w:val="20"/>
              </w:rPr>
              <w:t xml:space="preserve"> was used for statistical analysis</w:t>
            </w:r>
            <w:r w:rsidR="00B119C7" w:rsidRPr="0020329F">
              <w:rPr>
                <w:rFonts w:ascii="Arial" w:eastAsia="Times New Roman" w:hAnsi="Arial" w:cs="Arial"/>
                <w:sz w:val="20"/>
                <w:szCs w:val="20"/>
              </w:rPr>
              <w:t>.</w:t>
            </w:r>
          </w:p>
          <w:p w14:paraId="6F4B0349" w14:textId="3DC6627C" w:rsidR="00D64F7E" w:rsidRPr="0020329F" w:rsidRDefault="00D64F7E" w:rsidP="00A15749">
            <w:pPr>
              <w:spacing w:after="0"/>
              <w:rPr>
                <w:rFonts w:ascii="Arial" w:eastAsiaTheme="minorHAnsi" w:hAnsi="Arial" w:cs="Arial"/>
              </w:rPr>
            </w:pPr>
            <w:r w:rsidRPr="0020329F">
              <w:rPr>
                <w:rFonts w:ascii="Arial" w:eastAsia="Calibri" w:hAnsi="Arial" w:cs="Arial"/>
                <w:b/>
                <w:bCs/>
                <w:sz w:val="20"/>
                <w:szCs w:val="20"/>
              </w:rPr>
              <w:t>Results:</w:t>
            </w:r>
            <w:r w:rsidRPr="0020329F">
              <w:rPr>
                <w:rFonts w:ascii="Arial" w:eastAsia="Calibri" w:hAnsi="Arial" w:cs="Arial"/>
                <w:sz w:val="20"/>
                <w:szCs w:val="20"/>
              </w:rPr>
              <w:t xml:space="preserve"> </w:t>
            </w:r>
            <w:r w:rsidR="000D7DA8" w:rsidRPr="0020329F">
              <w:rPr>
                <w:rFonts w:ascii="Arial" w:hAnsi="Arial" w:cs="Arial"/>
                <w:sz w:val="20"/>
                <w:szCs w:val="20"/>
              </w:rPr>
              <w:t>The infected dogs had a significantly elevated TOS and OSI values, whereas TAOC levels were observed to be significantly low. Both the treatment groups in this study were successful in amelioration of these oxidative stress indicator panels post-therapy, but the essential oil (EO) treated group was better than the ivermectin treated group.</w:t>
            </w:r>
          </w:p>
          <w:p w14:paraId="00FE914D" w14:textId="2BF56A7B" w:rsidR="00D64F7E" w:rsidRPr="0020329F" w:rsidRDefault="00D64F7E" w:rsidP="000D7DA8">
            <w:pPr>
              <w:spacing w:line="240" w:lineRule="auto"/>
              <w:rPr>
                <w:rFonts w:ascii="Arial" w:eastAsiaTheme="minorHAnsi" w:hAnsi="Arial" w:cs="Arial"/>
                <w:sz w:val="20"/>
                <w:szCs w:val="20"/>
              </w:rPr>
            </w:pPr>
            <w:r w:rsidRPr="0020329F">
              <w:rPr>
                <w:rFonts w:ascii="Arial" w:eastAsia="Calibri" w:hAnsi="Arial" w:cs="Arial"/>
                <w:b/>
                <w:bCs/>
                <w:sz w:val="20"/>
                <w:szCs w:val="20"/>
              </w:rPr>
              <w:t>Conclusion:</w:t>
            </w:r>
            <w:r w:rsidRPr="0020329F">
              <w:rPr>
                <w:rFonts w:ascii="Arial" w:eastAsia="Calibri" w:hAnsi="Arial" w:cs="Arial"/>
                <w:sz w:val="20"/>
                <w:szCs w:val="20"/>
              </w:rPr>
              <w:t xml:space="preserve"> </w:t>
            </w:r>
            <w:r w:rsidR="000D7DA8" w:rsidRPr="0020329F">
              <w:rPr>
                <w:rFonts w:ascii="Arial" w:hAnsi="Arial" w:cs="Arial"/>
                <w:sz w:val="20"/>
                <w:szCs w:val="20"/>
              </w:rPr>
              <w:t>These findings indicate a correlation between the oxidative stress markers and sarcoptic mange with possible antioxidant potential of the essential oil combination under study.</w:t>
            </w:r>
          </w:p>
        </w:tc>
      </w:tr>
    </w:tbl>
    <w:p w14:paraId="495B43BD" w14:textId="77777777" w:rsidR="00404DA8" w:rsidRPr="0020329F" w:rsidRDefault="00404DA8" w:rsidP="00404DA8">
      <w:pPr>
        <w:pStyle w:val="Body"/>
        <w:spacing w:after="0"/>
        <w:rPr>
          <w:rFonts w:ascii="Arial" w:hAnsi="Arial" w:cs="Arial"/>
          <w:i/>
        </w:rPr>
      </w:pPr>
    </w:p>
    <w:p w14:paraId="56EB900A" w14:textId="6C4B1406" w:rsidR="00404DA8" w:rsidRPr="0020329F" w:rsidRDefault="00404DA8" w:rsidP="00404DA8">
      <w:pPr>
        <w:pStyle w:val="Body"/>
        <w:spacing w:after="0"/>
        <w:rPr>
          <w:rFonts w:ascii="Arial" w:hAnsi="Arial" w:cs="Arial"/>
          <w:i/>
        </w:rPr>
      </w:pPr>
      <w:r w:rsidRPr="0020329F">
        <w:rPr>
          <w:rFonts w:ascii="Arial" w:hAnsi="Arial" w:cs="Arial"/>
          <w:i/>
        </w:rPr>
        <w:t xml:space="preserve">Keywords: </w:t>
      </w:r>
      <w:proofErr w:type="spellStart"/>
      <w:r w:rsidRPr="0020329F">
        <w:rPr>
          <w:rFonts w:ascii="Arial" w:hAnsi="Arial" w:cs="Arial"/>
          <w:i/>
        </w:rPr>
        <w:t>Sarcoptes</w:t>
      </w:r>
      <w:proofErr w:type="spellEnd"/>
      <w:r w:rsidRPr="0020329F">
        <w:rPr>
          <w:rFonts w:ascii="Arial" w:hAnsi="Arial" w:cs="Arial"/>
          <w:i/>
        </w:rPr>
        <w:t xml:space="preserve"> scabiei; oxidative stress; essential oils; dog; Mathura; India.</w:t>
      </w:r>
    </w:p>
    <w:p w14:paraId="54DD2197" w14:textId="77777777" w:rsidR="00D64F7E" w:rsidRPr="0020329F" w:rsidRDefault="00D64F7E" w:rsidP="00B76940">
      <w:pPr>
        <w:rPr>
          <w:rFonts w:ascii="Arial" w:hAnsi="Arial" w:cs="Arial"/>
          <w:b/>
          <w:bCs/>
          <w:sz w:val="24"/>
          <w:szCs w:val="24"/>
        </w:rPr>
      </w:pPr>
    </w:p>
    <w:p w14:paraId="341A1805" w14:textId="28C04AE3" w:rsidR="00416308" w:rsidRPr="0020329F" w:rsidRDefault="00416308" w:rsidP="000D7DA8">
      <w:pPr>
        <w:pStyle w:val="ListParagraph"/>
        <w:numPr>
          <w:ilvl w:val="0"/>
          <w:numId w:val="2"/>
        </w:numPr>
        <w:spacing w:line="360" w:lineRule="auto"/>
        <w:rPr>
          <w:rFonts w:ascii="Arial" w:hAnsi="Arial" w:cs="Arial"/>
          <w:b/>
          <w:bCs/>
        </w:rPr>
      </w:pPr>
      <w:r w:rsidRPr="0020329F">
        <w:rPr>
          <w:rFonts w:ascii="Arial" w:hAnsi="Arial" w:cs="Arial"/>
          <w:b/>
          <w:bCs/>
        </w:rPr>
        <w:t>I</w:t>
      </w:r>
      <w:r w:rsidR="000D7DA8" w:rsidRPr="0020329F">
        <w:rPr>
          <w:rFonts w:ascii="Arial" w:hAnsi="Arial" w:cs="Arial"/>
          <w:b/>
          <w:bCs/>
        </w:rPr>
        <w:t>NTRODUCTION</w:t>
      </w:r>
    </w:p>
    <w:p w14:paraId="09C2B47F" w14:textId="3D1AABF8" w:rsidR="00205FA0" w:rsidRPr="0020329F" w:rsidRDefault="006176FC" w:rsidP="00951827">
      <w:pPr>
        <w:spacing w:line="360" w:lineRule="auto"/>
        <w:ind w:firstLine="720"/>
        <w:rPr>
          <w:rFonts w:ascii="Arial" w:hAnsi="Arial" w:cs="Arial"/>
          <w:sz w:val="20"/>
          <w:szCs w:val="20"/>
        </w:rPr>
      </w:pPr>
      <w:r w:rsidRPr="0020329F">
        <w:rPr>
          <w:rFonts w:ascii="Arial" w:hAnsi="Arial" w:cs="Arial"/>
          <w:sz w:val="20"/>
          <w:szCs w:val="20"/>
        </w:rPr>
        <w:t>Throughout their lifespan, dogs are susceptible to various fatal diseases, including bacterial, viral, protozoan, nutritional deficiencies, and systemic diseases.</w:t>
      </w:r>
      <w:r w:rsidR="00951827" w:rsidRPr="0020329F">
        <w:rPr>
          <w:rFonts w:ascii="Arial" w:hAnsi="Arial" w:cs="Arial"/>
          <w:sz w:val="20"/>
          <w:szCs w:val="20"/>
        </w:rPr>
        <w:t xml:space="preserve"> </w:t>
      </w:r>
      <w:r w:rsidR="00CF0104" w:rsidRPr="0020329F">
        <w:rPr>
          <w:rFonts w:ascii="Arial" w:hAnsi="Arial" w:cs="Arial"/>
          <w:sz w:val="20"/>
          <w:szCs w:val="20"/>
        </w:rPr>
        <w:t>Dermatological ailments are very common in small animal practice comprising approximately 25% morbidity (Mir, M.H., 2013).</w:t>
      </w:r>
      <w:r w:rsidR="007E43AC" w:rsidRPr="0020329F">
        <w:rPr>
          <w:rFonts w:ascii="Arial" w:hAnsi="Arial" w:cs="Arial"/>
          <w:sz w:val="20"/>
          <w:szCs w:val="20"/>
        </w:rPr>
        <w:t xml:space="preserve"> There are over 55,000 identified mite species, and at least 50 of them are responsible for causing various types of mange diseases (OIE, 2016). Among these, </w:t>
      </w:r>
      <w:proofErr w:type="spellStart"/>
      <w:r w:rsidR="007E43AC" w:rsidRPr="0020329F">
        <w:rPr>
          <w:rFonts w:ascii="Arial" w:hAnsi="Arial" w:cs="Arial"/>
          <w:i/>
          <w:sz w:val="20"/>
          <w:szCs w:val="20"/>
        </w:rPr>
        <w:t>Sarcoptes</w:t>
      </w:r>
      <w:proofErr w:type="spellEnd"/>
      <w:r w:rsidR="007E43AC" w:rsidRPr="0020329F">
        <w:rPr>
          <w:rFonts w:ascii="Arial" w:hAnsi="Arial" w:cs="Arial"/>
          <w:i/>
          <w:sz w:val="20"/>
          <w:szCs w:val="20"/>
        </w:rPr>
        <w:t xml:space="preserve"> scabiei</w:t>
      </w:r>
      <w:r w:rsidR="007E43AC" w:rsidRPr="0020329F">
        <w:rPr>
          <w:rFonts w:ascii="Arial" w:hAnsi="Arial" w:cs="Arial"/>
          <w:sz w:val="20"/>
          <w:szCs w:val="20"/>
        </w:rPr>
        <w:t>, the burrowing parasite causing sarcoptic mange, stands out as the most significant species, affecting numerous domestic and wildlife species (Escobar et al., 2022).</w:t>
      </w:r>
      <w:r w:rsidR="006C58E1" w:rsidRPr="0020329F">
        <w:rPr>
          <w:rFonts w:ascii="Arial" w:hAnsi="Arial" w:cs="Arial"/>
          <w:sz w:val="20"/>
          <w:szCs w:val="20"/>
        </w:rPr>
        <w:t xml:space="preserve"> Sarcoptic mange is a highly contagious skin ailment in mammals, and has been documented in at least 148 species of domestic and wild mammals, establishing itself as one of the most versatile ectoparasites (Escobar et al., 2022). The mite exhibits a near-global distribution, facilitated by various forms of transmission and its ability to utilize a diverse range of host species.</w:t>
      </w:r>
    </w:p>
    <w:p w14:paraId="5F4A651B" w14:textId="0C058AF0" w:rsidR="00B7489C" w:rsidRPr="0020329F" w:rsidRDefault="00B7489C" w:rsidP="00951827">
      <w:pPr>
        <w:spacing w:line="360" w:lineRule="auto"/>
        <w:ind w:firstLine="720"/>
        <w:rPr>
          <w:rFonts w:ascii="Arial" w:hAnsi="Arial" w:cs="Arial"/>
          <w:sz w:val="20"/>
          <w:szCs w:val="20"/>
        </w:rPr>
      </w:pPr>
      <w:r w:rsidRPr="0020329F">
        <w:rPr>
          <w:rFonts w:ascii="Arial" w:hAnsi="Arial" w:cs="Arial"/>
          <w:sz w:val="20"/>
          <w:szCs w:val="20"/>
        </w:rPr>
        <w:lastRenderedPageBreak/>
        <w:t>The transmission primarily occurs through direct contact among hosts, involving all three stages: larvae, nymphs, and adults, each capable of migration. Inanimate objects like bedding and grooming tools facilitates in its transmission.</w:t>
      </w:r>
      <w:r w:rsidR="00832C57" w:rsidRPr="0020329F">
        <w:rPr>
          <w:rFonts w:ascii="Arial" w:hAnsi="Arial" w:cs="Arial"/>
          <w:sz w:val="20"/>
          <w:szCs w:val="20"/>
        </w:rPr>
        <w:t xml:space="preserve"> The clinical and pathological signs are influenced by the host's immune responses to the mite. These pathological outcomes generally fall into two categories, which depend on the type of hypersensitivity reaction initiated by the host: a Type I immediate antibody-mediated immune response, and a Type IV delayed cell-mediated immune response. </w:t>
      </w:r>
      <w:r w:rsidR="00DC779A" w:rsidRPr="0020329F">
        <w:rPr>
          <w:rFonts w:ascii="Arial" w:hAnsi="Arial" w:cs="Arial"/>
          <w:sz w:val="20"/>
          <w:szCs w:val="20"/>
        </w:rPr>
        <w:t xml:space="preserve">Excessive production of free radicals, beyond the body’s endogenous </w:t>
      </w:r>
      <w:proofErr w:type="spellStart"/>
      <w:r w:rsidR="00DC779A" w:rsidRPr="0020329F">
        <w:rPr>
          <w:rFonts w:ascii="Arial" w:hAnsi="Arial" w:cs="Arial"/>
          <w:sz w:val="20"/>
          <w:szCs w:val="20"/>
        </w:rPr>
        <w:t>defense</w:t>
      </w:r>
      <w:proofErr w:type="spellEnd"/>
      <w:r w:rsidR="00DC779A" w:rsidRPr="0020329F">
        <w:rPr>
          <w:rFonts w:ascii="Arial" w:hAnsi="Arial" w:cs="Arial"/>
          <w:sz w:val="20"/>
          <w:szCs w:val="20"/>
        </w:rPr>
        <w:t xml:space="preserve"> mechanisms, has been observed in infections and inflammatory conditions</w:t>
      </w:r>
      <w:r w:rsidR="008B4F53" w:rsidRPr="0020329F">
        <w:rPr>
          <w:rFonts w:ascii="Arial" w:hAnsi="Arial" w:cs="Arial"/>
          <w:sz w:val="20"/>
          <w:szCs w:val="20"/>
        </w:rPr>
        <w:t xml:space="preserve">, triggering the production of </w:t>
      </w:r>
      <w:r w:rsidR="00185A80" w:rsidRPr="0020329F">
        <w:rPr>
          <w:rFonts w:ascii="Arial" w:hAnsi="Arial" w:cs="Arial"/>
          <w:sz w:val="20"/>
          <w:szCs w:val="20"/>
        </w:rPr>
        <w:t xml:space="preserve">proinflammatory cytokines such as </w:t>
      </w:r>
      <w:r w:rsidR="00D620C9" w:rsidRPr="0020329F">
        <w:rPr>
          <w:rFonts w:ascii="Arial" w:hAnsi="Arial" w:cs="Arial"/>
          <w:sz w:val="20"/>
          <w:szCs w:val="20"/>
        </w:rPr>
        <w:t xml:space="preserve">IL-1α, IL-1β, TNFα, and </w:t>
      </w:r>
      <w:proofErr w:type="spellStart"/>
      <w:r w:rsidR="00D620C9" w:rsidRPr="0020329F">
        <w:rPr>
          <w:rFonts w:ascii="Arial" w:hAnsi="Arial" w:cs="Arial"/>
          <w:sz w:val="20"/>
          <w:szCs w:val="20"/>
        </w:rPr>
        <w:t>IFNγ</w:t>
      </w:r>
      <w:proofErr w:type="spellEnd"/>
      <w:r w:rsidR="00D620C9" w:rsidRPr="0020329F">
        <w:rPr>
          <w:rFonts w:ascii="Arial" w:hAnsi="Arial" w:cs="Arial"/>
          <w:sz w:val="20"/>
          <w:szCs w:val="20"/>
        </w:rPr>
        <w:t>, secreted by keratinocytes, spleen, lymph node, and peripheral blood mononuclear cells</w:t>
      </w:r>
      <w:r w:rsidR="00DC779A" w:rsidRPr="0020329F">
        <w:rPr>
          <w:rFonts w:ascii="Arial" w:hAnsi="Arial" w:cs="Arial"/>
          <w:sz w:val="20"/>
          <w:szCs w:val="20"/>
        </w:rPr>
        <w:t xml:space="preserve"> (Allam et al., 2014)</w:t>
      </w:r>
      <w:r w:rsidR="00D620C9" w:rsidRPr="0020329F">
        <w:rPr>
          <w:rFonts w:ascii="Arial" w:hAnsi="Arial" w:cs="Arial"/>
          <w:sz w:val="20"/>
          <w:szCs w:val="20"/>
        </w:rPr>
        <w:t xml:space="preserve">. </w:t>
      </w:r>
      <w:r w:rsidR="00090416" w:rsidRPr="0020329F">
        <w:rPr>
          <w:rFonts w:ascii="Arial" w:hAnsi="Arial" w:cs="Arial"/>
          <w:sz w:val="20"/>
          <w:szCs w:val="20"/>
        </w:rPr>
        <w:t>Additionally, t</w:t>
      </w:r>
      <w:r w:rsidR="006F69AD" w:rsidRPr="0020329F">
        <w:rPr>
          <w:rFonts w:ascii="Arial" w:hAnsi="Arial" w:cs="Arial"/>
          <w:sz w:val="20"/>
          <w:szCs w:val="20"/>
        </w:rPr>
        <w:t>he physical irritation produced by burrowing mite</w:t>
      </w:r>
      <w:r w:rsidR="00D30E72" w:rsidRPr="0020329F">
        <w:rPr>
          <w:rFonts w:ascii="Arial" w:hAnsi="Arial" w:cs="Arial"/>
          <w:sz w:val="20"/>
          <w:szCs w:val="20"/>
        </w:rPr>
        <w:t>s</w:t>
      </w:r>
      <w:r w:rsidR="007D2F74" w:rsidRPr="0020329F">
        <w:rPr>
          <w:rFonts w:ascii="Arial" w:hAnsi="Arial" w:cs="Arial"/>
          <w:sz w:val="20"/>
          <w:szCs w:val="20"/>
        </w:rPr>
        <w:t xml:space="preserve"> may lead to the </w:t>
      </w:r>
      <w:r w:rsidR="00090416" w:rsidRPr="0020329F">
        <w:rPr>
          <w:rFonts w:ascii="Arial" w:hAnsi="Arial" w:cs="Arial"/>
          <w:sz w:val="20"/>
          <w:szCs w:val="20"/>
        </w:rPr>
        <w:t>production of cytokines</w:t>
      </w:r>
      <w:r w:rsidR="00AB5C75" w:rsidRPr="0020329F">
        <w:rPr>
          <w:rFonts w:ascii="Arial" w:hAnsi="Arial" w:cs="Arial"/>
          <w:sz w:val="20"/>
          <w:szCs w:val="20"/>
        </w:rPr>
        <w:t xml:space="preserve"> as a consequence of skin inflammation</w:t>
      </w:r>
      <w:r w:rsidR="000F194D" w:rsidRPr="0020329F">
        <w:rPr>
          <w:rFonts w:ascii="Arial" w:hAnsi="Arial" w:cs="Arial"/>
          <w:sz w:val="20"/>
          <w:szCs w:val="20"/>
        </w:rPr>
        <w:t xml:space="preserve"> (Beigh et al., 2013). </w:t>
      </w:r>
      <w:r w:rsidR="00090416" w:rsidRPr="0020329F">
        <w:rPr>
          <w:rFonts w:ascii="Arial" w:hAnsi="Arial" w:cs="Arial"/>
          <w:sz w:val="20"/>
          <w:szCs w:val="20"/>
        </w:rPr>
        <w:t xml:space="preserve"> </w:t>
      </w:r>
    </w:p>
    <w:p w14:paraId="15ABABD7" w14:textId="1F6383AE" w:rsidR="00310CB9" w:rsidRPr="0020329F" w:rsidRDefault="00905543" w:rsidP="007737C8">
      <w:pPr>
        <w:spacing w:line="360" w:lineRule="auto"/>
        <w:ind w:firstLine="720"/>
        <w:rPr>
          <w:rFonts w:ascii="Arial" w:hAnsi="Arial" w:cs="Arial"/>
          <w:sz w:val="20"/>
          <w:szCs w:val="20"/>
        </w:rPr>
      </w:pPr>
      <w:r w:rsidRPr="0020329F">
        <w:rPr>
          <w:rFonts w:ascii="Arial" w:hAnsi="Arial" w:cs="Arial"/>
          <w:sz w:val="20"/>
          <w:szCs w:val="20"/>
        </w:rPr>
        <w:t>This proinflammatory cascade can trigger an overproduction of reactive oxidants and free radicals</w:t>
      </w:r>
      <w:r w:rsidR="00574378" w:rsidRPr="0020329F">
        <w:rPr>
          <w:rFonts w:ascii="Arial" w:hAnsi="Arial" w:cs="Arial"/>
          <w:sz w:val="20"/>
          <w:szCs w:val="20"/>
        </w:rPr>
        <w:t xml:space="preserve">, </w:t>
      </w:r>
      <w:r w:rsidR="00C9195B" w:rsidRPr="0020329F">
        <w:rPr>
          <w:rFonts w:ascii="Arial" w:hAnsi="Arial" w:cs="Arial"/>
          <w:sz w:val="20"/>
          <w:szCs w:val="20"/>
        </w:rPr>
        <w:t>leading to metabolic dysfunction and oxidative damage to biomolecules, causing pathological changes in tissues</w:t>
      </w:r>
      <w:r w:rsidR="00CB578B" w:rsidRPr="0020329F">
        <w:rPr>
          <w:rFonts w:ascii="Arial" w:hAnsi="Arial" w:cs="Arial"/>
          <w:sz w:val="20"/>
          <w:szCs w:val="20"/>
        </w:rPr>
        <w:t xml:space="preserve"> (Allam et al., 2014)</w:t>
      </w:r>
      <w:r w:rsidR="00C9195B" w:rsidRPr="0020329F">
        <w:rPr>
          <w:rFonts w:ascii="Arial" w:hAnsi="Arial" w:cs="Arial"/>
          <w:sz w:val="20"/>
          <w:szCs w:val="20"/>
        </w:rPr>
        <w:t>.</w:t>
      </w:r>
      <w:r w:rsidRPr="0020329F">
        <w:rPr>
          <w:rFonts w:ascii="Arial" w:hAnsi="Arial" w:cs="Arial"/>
          <w:sz w:val="20"/>
          <w:szCs w:val="20"/>
        </w:rPr>
        <w:t xml:space="preserve"> </w:t>
      </w:r>
      <w:r w:rsidR="00156946" w:rsidRPr="0020329F">
        <w:rPr>
          <w:rFonts w:ascii="Arial" w:hAnsi="Arial" w:cs="Arial"/>
          <w:sz w:val="20"/>
          <w:szCs w:val="20"/>
        </w:rPr>
        <w:t>Thus, t</w:t>
      </w:r>
      <w:r w:rsidR="00940028" w:rsidRPr="0020329F">
        <w:rPr>
          <w:rFonts w:ascii="Arial" w:hAnsi="Arial" w:cs="Arial"/>
          <w:sz w:val="20"/>
          <w:szCs w:val="20"/>
        </w:rPr>
        <w:t xml:space="preserve">his study was aimed to investigate </w:t>
      </w:r>
      <w:r w:rsidR="00F776F6" w:rsidRPr="0020329F">
        <w:rPr>
          <w:rFonts w:ascii="Arial" w:hAnsi="Arial" w:cs="Arial"/>
          <w:sz w:val="20"/>
          <w:szCs w:val="20"/>
        </w:rPr>
        <w:t xml:space="preserve">the oxidative stress levels in dogs </w:t>
      </w:r>
      <w:r w:rsidR="00934AC8" w:rsidRPr="0020329F">
        <w:rPr>
          <w:rFonts w:ascii="Arial" w:hAnsi="Arial" w:cs="Arial"/>
          <w:sz w:val="20"/>
          <w:szCs w:val="20"/>
        </w:rPr>
        <w:t xml:space="preserve">naturally </w:t>
      </w:r>
      <w:r w:rsidR="00F776F6" w:rsidRPr="0020329F">
        <w:rPr>
          <w:rFonts w:ascii="Arial" w:hAnsi="Arial" w:cs="Arial"/>
          <w:sz w:val="20"/>
          <w:szCs w:val="20"/>
        </w:rPr>
        <w:t>infected with sarcoptic mange</w:t>
      </w:r>
      <w:r w:rsidR="00934AC8" w:rsidRPr="0020329F">
        <w:rPr>
          <w:rFonts w:ascii="Arial" w:hAnsi="Arial" w:cs="Arial"/>
          <w:sz w:val="20"/>
          <w:szCs w:val="20"/>
        </w:rPr>
        <w:t xml:space="preserve"> and th</w:t>
      </w:r>
      <w:r w:rsidR="00C13460" w:rsidRPr="0020329F">
        <w:rPr>
          <w:rFonts w:ascii="Arial" w:hAnsi="Arial" w:cs="Arial"/>
          <w:sz w:val="20"/>
          <w:szCs w:val="20"/>
        </w:rPr>
        <w:t>e efficacy of essential oils in managing its levels.</w:t>
      </w:r>
    </w:p>
    <w:p w14:paraId="693982CB" w14:textId="2D8B5CE8" w:rsidR="00416308" w:rsidRPr="0020329F" w:rsidRDefault="0045062F" w:rsidP="0045062F">
      <w:pPr>
        <w:pStyle w:val="ListParagraph"/>
        <w:numPr>
          <w:ilvl w:val="0"/>
          <w:numId w:val="2"/>
        </w:numPr>
        <w:rPr>
          <w:rFonts w:ascii="Arial" w:hAnsi="Arial" w:cs="Arial"/>
          <w:b/>
          <w:bCs/>
        </w:rPr>
      </w:pPr>
      <w:r w:rsidRPr="0020329F">
        <w:rPr>
          <w:rFonts w:ascii="Arial" w:hAnsi="Arial" w:cs="Arial"/>
          <w:b/>
          <w:bCs/>
        </w:rPr>
        <w:t>MATERIALS AND METHODS</w:t>
      </w:r>
    </w:p>
    <w:p w14:paraId="3FE921BE" w14:textId="77777777" w:rsidR="003C46D7" w:rsidRPr="0020329F" w:rsidRDefault="00BB7781" w:rsidP="003C46D7">
      <w:pPr>
        <w:spacing w:after="120" w:line="360" w:lineRule="auto"/>
        <w:ind w:firstLine="720"/>
        <w:rPr>
          <w:rFonts w:ascii="Arial" w:hAnsi="Arial" w:cs="Arial"/>
          <w:sz w:val="20"/>
          <w:szCs w:val="20"/>
        </w:rPr>
      </w:pPr>
      <w:r w:rsidRPr="0020329F">
        <w:rPr>
          <w:rFonts w:ascii="Arial" w:hAnsi="Arial" w:cs="Arial"/>
          <w:sz w:val="20"/>
          <w:szCs w:val="20"/>
        </w:rPr>
        <w:t>The study included 12 d</w:t>
      </w:r>
      <w:r w:rsidR="00416308" w:rsidRPr="0020329F">
        <w:rPr>
          <w:rFonts w:ascii="Arial" w:hAnsi="Arial" w:cs="Arial"/>
          <w:sz w:val="20"/>
          <w:szCs w:val="20"/>
        </w:rPr>
        <w:t xml:space="preserve">ogs </w:t>
      </w:r>
      <w:r w:rsidR="008F710C" w:rsidRPr="0020329F">
        <w:rPr>
          <w:rFonts w:ascii="Arial" w:hAnsi="Arial" w:cs="Arial"/>
          <w:sz w:val="20"/>
          <w:szCs w:val="20"/>
        </w:rPr>
        <w:t xml:space="preserve">suffering from </w:t>
      </w:r>
      <w:r w:rsidRPr="0020329F">
        <w:rPr>
          <w:rFonts w:ascii="Arial" w:hAnsi="Arial" w:cs="Arial"/>
          <w:sz w:val="20"/>
          <w:szCs w:val="20"/>
        </w:rPr>
        <w:t xml:space="preserve">sarcoptic mange that were </w:t>
      </w:r>
      <w:r w:rsidR="00416308" w:rsidRPr="0020329F">
        <w:rPr>
          <w:rFonts w:ascii="Arial" w:hAnsi="Arial" w:cs="Arial"/>
          <w:sz w:val="20"/>
          <w:szCs w:val="20"/>
        </w:rPr>
        <w:t xml:space="preserve">brought to the Veterinary Clinical Complex (VCC), Kothari Hospital, DUVASU, Mathura, over a </w:t>
      </w:r>
      <w:r w:rsidR="00756CDC" w:rsidRPr="0020329F">
        <w:rPr>
          <w:rFonts w:ascii="Arial" w:hAnsi="Arial" w:cs="Arial"/>
          <w:sz w:val="20"/>
          <w:szCs w:val="20"/>
        </w:rPr>
        <w:t>span</w:t>
      </w:r>
      <w:r w:rsidR="00416308" w:rsidRPr="0020329F">
        <w:rPr>
          <w:rFonts w:ascii="Arial" w:hAnsi="Arial" w:cs="Arial"/>
          <w:sz w:val="20"/>
          <w:szCs w:val="20"/>
        </w:rPr>
        <w:t xml:space="preserve"> of 18 months</w:t>
      </w:r>
      <w:r w:rsidR="00756CDC" w:rsidRPr="0020329F">
        <w:rPr>
          <w:rFonts w:ascii="Arial" w:hAnsi="Arial" w:cs="Arial"/>
          <w:sz w:val="20"/>
          <w:szCs w:val="20"/>
        </w:rPr>
        <w:t xml:space="preserve">, from </w:t>
      </w:r>
      <w:r w:rsidR="00416308" w:rsidRPr="0020329F">
        <w:rPr>
          <w:rFonts w:ascii="Arial" w:hAnsi="Arial" w:cs="Arial"/>
          <w:sz w:val="20"/>
          <w:szCs w:val="20"/>
        </w:rPr>
        <w:t>February, 2023 to July, 2024.</w:t>
      </w:r>
      <w:r w:rsidR="00547A5F" w:rsidRPr="0020329F">
        <w:rPr>
          <w:rFonts w:ascii="Arial" w:hAnsi="Arial" w:cs="Arial"/>
          <w:sz w:val="20"/>
          <w:szCs w:val="20"/>
        </w:rPr>
        <w:t xml:space="preserve"> Dogs </w:t>
      </w:r>
      <w:r w:rsidR="00D56DF4" w:rsidRPr="0020329F">
        <w:rPr>
          <w:rFonts w:ascii="Arial" w:hAnsi="Arial" w:cs="Arial"/>
          <w:sz w:val="20"/>
          <w:szCs w:val="20"/>
        </w:rPr>
        <w:t>exhibited symptoms such as pruritus, crusting, alopecia, erythema, irritability, papules, excoriations along with intense itching and self-inflicted trauma from scratching. The primary areas affected were the ear margins, legs (especially the elbows and hocks), face, and ventral region. All the dogs showed a markedly positive pinnal-pedal scratch reflex on day 0</w:t>
      </w:r>
      <w:r w:rsidR="00BD1937" w:rsidRPr="0020329F">
        <w:rPr>
          <w:rFonts w:ascii="Arial" w:hAnsi="Arial" w:cs="Arial"/>
          <w:sz w:val="20"/>
          <w:szCs w:val="20"/>
        </w:rPr>
        <w:t>, while the healthy dogs had a good body condition.</w:t>
      </w:r>
    </w:p>
    <w:p w14:paraId="5372FF39" w14:textId="77777777" w:rsidR="00D90240" w:rsidRPr="0020329F" w:rsidRDefault="008D3B1C" w:rsidP="003C46D7">
      <w:pPr>
        <w:spacing w:after="120" w:line="360" w:lineRule="auto"/>
        <w:ind w:firstLine="720"/>
        <w:rPr>
          <w:rFonts w:ascii="Arial" w:hAnsi="Arial" w:cs="Arial"/>
          <w:sz w:val="20"/>
          <w:szCs w:val="20"/>
        </w:rPr>
      </w:pPr>
      <w:r w:rsidRPr="0020329F">
        <w:rPr>
          <w:rFonts w:ascii="Arial" w:hAnsi="Arial" w:cs="Arial"/>
          <w:sz w:val="20"/>
          <w:szCs w:val="20"/>
        </w:rPr>
        <w:t>As per the consent of the pet owner regarding the trial, blood was collected from each dog from the recurrent tarsal or cephalic vein using disposable syringe and needle, at days 0 (pre-treatment) and days 14 and 28 (post-treatment)</w:t>
      </w:r>
      <w:r w:rsidR="00A4637A" w:rsidRPr="0020329F">
        <w:rPr>
          <w:rFonts w:ascii="Arial" w:hAnsi="Arial" w:cs="Arial"/>
          <w:sz w:val="20"/>
          <w:szCs w:val="20"/>
        </w:rPr>
        <w:t>, and was</w:t>
      </w:r>
      <w:r w:rsidR="001A553C" w:rsidRPr="0020329F">
        <w:rPr>
          <w:rFonts w:ascii="Arial" w:hAnsi="Arial" w:cs="Arial"/>
          <w:sz w:val="20"/>
          <w:szCs w:val="20"/>
        </w:rPr>
        <w:t xml:space="preserve"> transferred into clot activator vials. The vials were placed in a slanted position for 25-30 minutes at normal room temperature, followed by centrifugation at 2000 rpm for 5 minutes to harvest the serum for c</w:t>
      </w:r>
      <w:r w:rsidR="003C46D7" w:rsidRPr="0020329F">
        <w:rPr>
          <w:rFonts w:ascii="Arial" w:hAnsi="Arial" w:cs="Arial"/>
          <w:sz w:val="20"/>
          <w:szCs w:val="20"/>
        </w:rPr>
        <w:t xml:space="preserve">onducting </w:t>
      </w:r>
      <w:r w:rsidR="001A553C" w:rsidRPr="0020329F">
        <w:rPr>
          <w:rFonts w:ascii="Arial" w:hAnsi="Arial" w:cs="Arial"/>
          <w:sz w:val="20"/>
          <w:szCs w:val="20"/>
        </w:rPr>
        <w:t xml:space="preserve">oxidant/antioxidant </w:t>
      </w:r>
      <w:r w:rsidR="003C46D7" w:rsidRPr="0020329F">
        <w:rPr>
          <w:rFonts w:ascii="Arial" w:hAnsi="Arial" w:cs="Arial"/>
          <w:sz w:val="20"/>
          <w:szCs w:val="20"/>
        </w:rPr>
        <w:t>assay</w:t>
      </w:r>
      <w:r w:rsidR="001A553C" w:rsidRPr="0020329F">
        <w:rPr>
          <w:rFonts w:ascii="Arial" w:hAnsi="Arial" w:cs="Arial"/>
          <w:sz w:val="20"/>
          <w:szCs w:val="20"/>
        </w:rPr>
        <w:t xml:space="preserve">. </w:t>
      </w:r>
    </w:p>
    <w:p w14:paraId="5E5B837B" w14:textId="59F25025" w:rsidR="00416308" w:rsidRPr="0020329F" w:rsidRDefault="003C46D7" w:rsidP="00F01AA7">
      <w:pPr>
        <w:spacing w:before="120" w:after="120" w:line="360" w:lineRule="auto"/>
        <w:ind w:firstLine="720"/>
        <w:rPr>
          <w:rFonts w:ascii="Arial" w:hAnsi="Arial" w:cs="Arial"/>
          <w:sz w:val="20"/>
          <w:szCs w:val="20"/>
        </w:rPr>
      </w:pPr>
      <w:r w:rsidRPr="0020329F">
        <w:rPr>
          <w:rFonts w:ascii="Arial" w:eastAsia="Times New Roman" w:hAnsi="Arial" w:cs="Arial"/>
          <w:sz w:val="20"/>
          <w:szCs w:val="20"/>
        </w:rPr>
        <w:t xml:space="preserve">Oxidant-antioxidant study was done using </w:t>
      </w:r>
      <w:r w:rsidRPr="0020329F">
        <w:rPr>
          <w:rFonts w:ascii="Arial" w:hAnsi="Arial" w:cs="Arial"/>
          <w:sz w:val="20"/>
          <w:szCs w:val="20"/>
        </w:rPr>
        <w:t xml:space="preserve">commercially available Colorimetric assay kits (BT Lab) and Total oxidant status (TOS), Total antioxidant capacity (T-AOC) </w:t>
      </w:r>
      <w:r w:rsidR="007839FF" w:rsidRPr="0020329F">
        <w:rPr>
          <w:rFonts w:ascii="Arial" w:hAnsi="Arial" w:cs="Arial"/>
          <w:sz w:val="20"/>
          <w:szCs w:val="20"/>
        </w:rPr>
        <w:t>was</w:t>
      </w:r>
      <w:r w:rsidR="00D90240" w:rsidRPr="0020329F">
        <w:rPr>
          <w:rFonts w:ascii="Arial" w:hAnsi="Arial" w:cs="Arial"/>
          <w:sz w:val="20"/>
          <w:szCs w:val="20"/>
        </w:rPr>
        <w:t xml:space="preserve"> estimated as per the manufacturer’s protocol. </w:t>
      </w:r>
      <w:r w:rsidR="00407514" w:rsidRPr="0020329F">
        <w:rPr>
          <w:rFonts w:ascii="Arial" w:hAnsi="Arial" w:cs="Arial"/>
          <w:sz w:val="20"/>
          <w:szCs w:val="20"/>
        </w:rPr>
        <w:t>The TOS to TAOC ratio is regarded as the OSI. To perform the calculation, the result unit of TAOC, mmol/L, is changed to µmol/L, and the OSI value was calculated as follows: OSI = [(TOS, µmol/L)/ (TAC, µmol/ L) ×100] (</w:t>
      </w:r>
      <w:proofErr w:type="spellStart"/>
      <w:r w:rsidR="00407514" w:rsidRPr="0020329F">
        <w:rPr>
          <w:rFonts w:ascii="Arial" w:hAnsi="Arial" w:cs="Arial"/>
          <w:sz w:val="20"/>
          <w:szCs w:val="20"/>
        </w:rPr>
        <w:t>Camkerten</w:t>
      </w:r>
      <w:proofErr w:type="spellEnd"/>
      <w:r w:rsidR="00407514" w:rsidRPr="0020329F">
        <w:rPr>
          <w:rFonts w:ascii="Arial" w:hAnsi="Arial" w:cs="Arial"/>
          <w:sz w:val="20"/>
          <w:szCs w:val="20"/>
        </w:rPr>
        <w:t xml:space="preserve"> et al., 2009).</w:t>
      </w:r>
    </w:p>
    <w:p w14:paraId="77CFE870" w14:textId="08B46E62" w:rsidR="00416308" w:rsidRPr="0020329F" w:rsidRDefault="00416308" w:rsidP="00416308">
      <w:pPr>
        <w:spacing w:line="360" w:lineRule="auto"/>
        <w:ind w:firstLine="720"/>
        <w:rPr>
          <w:rFonts w:ascii="Arial" w:eastAsia="Calibri" w:hAnsi="Arial" w:cs="Arial"/>
          <w:sz w:val="20"/>
          <w:szCs w:val="20"/>
        </w:rPr>
      </w:pPr>
      <w:r w:rsidRPr="0020329F">
        <w:rPr>
          <w:rFonts w:ascii="Arial" w:hAnsi="Arial" w:cs="Arial"/>
          <w:sz w:val="20"/>
          <w:szCs w:val="20"/>
        </w:rPr>
        <w:t>Essential oils combination (2%) comprising of 1% Lemongrass oil</w:t>
      </w:r>
      <w:r w:rsidR="00042F1C" w:rsidRPr="0020329F">
        <w:rPr>
          <w:rFonts w:ascii="Arial" w:hAnsi="Arial" w:cs="Arial"/>
          <w:sz w:val="20"/>
          <w:szCs w:val="20"/>
        </w:rPr>
        <w:t xml:space="preserve"> (</w:t>
      </w:r>
      <w:r w:rsidR="00FC2205" w:rsidRPr="0020329F">
        <w:rPr>
          <w:rFonts w:ascii="Arial" w:eastAsia="MinionPro-Regular" w:hAnsi="Arial" w:cs="Arial"/>
          <w:i/>
          <w:sz w:val="20"/>
          <w:szCs w:val="20"/>
        </w:rPr>
        <w:t xml:space="preserve">Cymbopogon </w:t>
      </w:r>
      <w:proofErr w:type="spellStart"/>
      <w:r w:rsidR="00FC2205" w:rsidRPr="0020329F">
        <w:rPr>
          <w:rFonts w:ascii="Arial" w:eastAsia="MinionPro-Regular" w:hAnsi="Arial" w:cs="Arial"/>
          <w:i/>
          <w:sz w:val="20"/>
          <w:szCs w:val="20"/>
        </w:rPr>
        <w:t>citratus</w:t>
      </w:r>
      <w:proofErr w:type="spellEnd"/>
      <w:r w:rsidR="00FC2205" w:rsidRPr="0020329F">
        <w:rPr>
          <w:rFonts w:ascii="Arial" w:eastAsia="MinionPro-Regular" w:hAnsi="Arial" w:cs="Arial"/>
          <w:iCs/>
          <w:sz w:val="20"/>
          <w:szCs w:val="20"/>
        </w:rPr>
        <w:t>)</w:t>
      </w:r>
      <w:r w:rsidRPr="0020329F">
        <w:rPr>
          <w:rFonts w:ascii="Arial" w:hAnsi="Arial" w:cs="Arial"/>
          <w:sz w:val="20"/>
          <w:szCs w:val="20"/>
        </w:rPr>
        <w:t>, 0.5% Tulsi oil</w:t>
      </w:r>
      <w:r w:rsidR="00FC2205" w:rsidRPr="0020329F">
        <w:rPr>
          <w:rFonts w:ascii="Arial" w:hAnsi="Arial" w:cs="Arial"/>
          <w:sz w:val="20"/>
          <w:szCs w:val="20"/>
        </w:rPr>
        <w:t xml:space="preserve"> (</w:t>
      </w:r>
      <w:proofErr w:type="spellStart"/>
      <w:r w:rsidR="00877543" w:rsidRPr="0020329F">
        <w:rPr>
          <w:rFonts w:ascii="Arial" w:eastAsia="MinionPro-Regular" w:hAnsi="Arial" w:cs="Arial"/>
          <w:i/>
          <w:sz w:val="20"/>
          <w:szCs w:val="20"/>
        </w:rPr>
        <w:t>Ocimum</w:t>
      </w:r>
      <w:proofErr w:type="spellEnd"/>
      <w:r w:rsidR="00877543" w:rsidRPr="0020329F">
        <w:rPr>
          <w:rFonts w:ascii="Arial" w:eastAsia="MinionPro-Regular" w:hAnsi="Arial" w:cs="Arial"/>
          <w:i/>
          <w:sz w:val="20"/>
          <w:szCs w:val="20"/>
        </w:rPr>
        <w:t xml:space="preserve"> </w:t>
      </w:r>
      <w:proofErr w:type="spellStart"/>
      <w:r w:rsidR="00877543" w:rsidRPr="0020329F">
        <w:rPr>
          <w:rFonts w:ascii="Arial" w:eastAsia="MinionPro-Regular" w:hAnsi="Arial" w:cs="Arial"/>
          <w:i/>
          <w:sz w:val="20"/>
          <w:szCs w:val="20"/>
        </w:rPr>
        <w:t>tenuiflorum</w:t>
      </w:r>
      <w:proofErr w:type="spellEnd"/>
      <w:r w:rsidR="00FC2205" w:rsidRPr="0020329F">
        <w:rPr>
          <w:rFonts w:ascii="Arial" w:hAnsi="Arial" w:cs="Arial"/>
          <w:sz w:val="20"/>
          <w:szCs w:val="20"/>
        </w:rPr>
        <w:t>)</w:t>
      </w:r>
      <w:r w:rsidRPr="0020329F">
        <w:rPr>
          <w:rFonts w:ascii="Arial" w:hAnsi="Arial" w:cs="Arial"/>
          <w:sz w:val="20"/>
          <w:szCs w:val="20"/>
        </w:rPr>
        <w:t xml:space="preserve"> and 0.5% Sandalwood oil </w:t>
      </w:r>
      <w:r w:rsidR="00877543" w:rsidRPr="0020329F">
        <w:rPr>
          <w:rFonts w:ascii="Arial" w:hAnsi="Arial" w:cs="Arial"/>
          <w:sz w:val="20"/>
          <w:szCs w:val="20"/>
        </w:rPr>
        <w:t>(</w:t>
      </w:r>
      <w:r w:rsidR="00E900D7" w:rsidRPr="0020329F">
        <w:rPr>
          <w:rFonts w:ascii="Arial" w:eastAsia="MinionPro-Regular" w:hAnsi="Arial" w:cs="Arial"/>
          <w:i/>
          <w:sz w:val="20"/>
          <w:szCs w:val="20"/>
        </w:rPr>
        <w:t>Santalum album</w:t>
      </w:r>
      <w:r w:rsidR="00877543" w:rsidRPr="0020329F">
        <w:rPr>
          <w:rFonts w:ascii="Arial" w:hAnsi="Arial" w:cs="Arial"/>
          <w:sz w:val="20"/>
          <w:szCs w:val="20"/>
        </w:rPr>
        <w:t xml:space="preserve">) </w:t>
      </w:r>
      <w:r w:rsidRPr="0020329F">
        <w:rPr>
          <w:rFonts w:ascii="Arial" w:hAnsi="Arial" w:cs="Arial"/>
          <w:sz w:val="20"/>
          <w:szCs w:val="20"/>
        </w:rPr>
        <w:t xml:space="preserve">was tested against 12 </w:t>
      </w:r>
      <w:proofErr w:type="spellStart"/>
      <w:r w:rsidRPr="0020329F">
        <w:rPr>
          <w:rFonts w:ascii="Arial" w:hAnsi="Arial" w:cs="Arial"/>
          <w:i/>
          <w:iCs/>
          <w:sz w:val="20"/>
          <w:szCs w:val="20"/>
        </w:rPr>
        <w:t>Sarcoptes</w:t>
      </w:r>
      <w:proofErr w:type="spellEnd"/>
      <w:r w:rsidRPr="0020329F">
        <w:rPr>
          <w:rFonts w:ascii="Arial" w:hAnsi="Arial" w:cs="Arial"/>
          <w:sz w:val="20"/>
          <w:szCs w:val="20"/>
        </w:rPr>
        <w:t xml:space="preserve"> infected dogs. Group 1 comprised of 6 apparently </w:t>
      </w:r>
      <w:r w:rsidRPr="0020329F">
        <w:rPr>
          <w:rFonts w:ascii="Arial" w:eastAsia="Calibri" w:hAnsi="Arial" w:cs="Arial"/>
          <w:sz w:val="20"/>
          <w:szCs w:val="20"/>
        </w:rPr>
        <w:t xml:space="preserve">healthy dogs, of any age, breed and sex. Group 2 had six infected dogs that were treated topically with the 2% EO combination, once a week, till </w:t>
      </w:r>
      <w:r w:rsidRPr="0020329F">
        <w:rPr>
          <w:rFonts w:ascii="Arial" w:eastAsia="Calibri" w:hAnsi="Arial" w:cs="Arial"/>
          <w:sz w:val="20"/>
          <w:szCs w:val="20"/>
        </w:rPr>
        <w:lastRenderedPageBreak/>
        <w:t xml:space="preserve">4 weeks, while group 3 had six infected dogs that were treated with Inj. Ivermectin @ 0.2 mg/kg </w:t>
      </w:r>
      <w:proofErr w:type="spellStart"/>
      <w:r w:rsidRPr="0020329F">
        <w:rPr>
          <w:rFonts w:ascii="Arial" w:eastAsia="Calibri" w:hAnsi="Arial" w:cs="Arial"/>
          <w:sz w:val="20"/>
          <w:szCs w:val="20"/>
        </w:rPr>
        <w:t>b.wt</w:t>
      </w:r>
      <w:proofErr w:type="spellEnd"/>
      <w:r w:rsidRPr="0020329F">
        <w:rPr>
          <w:rFonts w:ascii="Arial" w:eastAsia="Calibri" w:hAnsi="Arial" w:cs="Arial"/>
          <w:sz w:val="20"/>
          <w:szCs w:val="20"/>
        </w:rPr>
        <w:t xml:space="preserve">. SC every week for 4 treatments. </w:t>
      </w:r>
    </w:p>
    <w:p w14:paraId="21A2780A" w14:textId="18FCFE75" w:rsidR="00BC6E52" w:rsidRPr="0020329F" w:rsidRDefault="003F3F9A" w:rsidP="003F3F9A">
      <w:pPr>
        <w:spacing w:line="360" w:lineRule="auto"/>
        <w:ind w:firstLine="720"/>
        <w:rPr>
          <w:rFonts w:ascii="Arial" w:eastAsiaTheme="minorHAnsi" w:hAnsi="Arial" w:cs="Arial"/>
          <w:sz w:val="18"/>
          <w:szCs w:val="18"/>
        </w:rPr>
      </w:pPr>
      <w:r w:rsidRPr="0020329F">
        <w:rPr>
          <w:rFonts w:ascii="Arial" w:eastAsia="Times New Roman" w:hAnsi="Arial" w:cs="Arial"/>
          <w:sz w:val="20"/>
          <w:szCs w:val="20"/>
        </w:rPr>
        <w:t xml:space="preserve">The values of various parameters were expressed as mean ± S.E. and data were </w:t>
      </w:r>
      <w:proofErr w:type="spellStart"/>
      <w:r w:rsidRPr="0020329F">
        <w:rPr>
          <w:rFonts w:ascii="Arial" w:eastAsia="Times New Roman" w:hAnsi="Arial" w:cs="Arial"/>
          <w:sz w:val="20"/>
          <w:szCs w:val="20"/>
        </w:rPr>
        <w:t>analyzed</w:t>
      </w:r>
      <w:proofErr w:type="spellEnd"/>
      <w:r w:rsidRPr="0020329F">
        <w:rPr>
          <w:rFonts w:ascii="Arial" w:eastAsia="Times New Roman" w:hAnsi="Arial" w:cs="Arial"/>
          <w:sz w:val="20"/>
          <w:szCs w:val="20"/>
        </w:rPr>
        <w:t xml:space="preserve"> for any significant variation </w:t>
      </w:r>
      <w:r w:rsidR="0020329F" w:rsidRPr="0020329F">
        <w:rPr>
          <w:rFonts w:ascii="Arial" w:eastAsia="Times New Roman" w:hAnsi="Arial" w:cs="Arial"/>
          <w:sz w:val="20"/>
          <w:szCs w:val="20"/>
        </w:rPr>
        <w:t xml:space="preserve">by t-test </w:t>
      </w:r>
      <w:r w:rsidR="00544F20">
        <w:rPr>
          <w:rFonts w:ascii="Arial" w:eastAsia="Times New Roman" w:hAnsi="Arial" w:cs="Arial"/>
          <w:sz w:val="20"/>
          <w:szCs w:val="20"/>
        </w:rPr>
        <w:t xml:space="preserve">and </w:t>
      </w:r>
      <w:r w:rsidRPr="0020329F">
        <w:rPr>
          <w:rFonts w:ascii="Arial" w:eastAsia="Times New Roman" w:hAnsi="Arial" w:cs="Arial"/>
          <w:sz w:val="20"/>
          <w:szCs w:val="20"/>
        </w:rPr>
        <w:t xml:space="preserve">Analysis of Variance (ANOVA) using </w:t>
      </w:r>
      <w:proofErr w:type="spellStart"/>
      <w:r w:rsidRPr="0020329F">
        <w:rPr>
          <w:rFonts w:ascii="Arial" w:eastAsia="Times New Roman" w:hAnsi="Arial" w:cs="Arial"/>
          <w:sz w:val="20"/>
          <w:szCs w:val="20"/>
        </w:rPr>
        <w:t>Graphpad</w:t>
      </w:r>
      <w:proofErr w:type="spellEnd"/>
      <w:r w:rsidRPr="0020329F">
        <w:rPr>
          <w:rFonts w:ascii="Arial" w:eastAsia="Times New Roman" w:hAnsi="Arial" w:cs="Arial"/>
          <w:sz w:val="20"/>
          <w:szCs w:val="20"/>
        </w:rPr>
        <w:t xml:space="preserve"> Prism software. The level of statistical significance for all comparisons was established at (</w:t>
      </w:r>
      <w:r w:rsidRPr="0020329F">
        <w:rPr>
          <w:rFonts w:ascii="Arial" w:eastAsia="Times New Roman" w:hAnsi="Arial" w:cs="Arial"/>
          <w:i/>
          <w:iCs/>
          <w:sz w:val="20"/>
          <w:szCs w:val="20"/>
        </w:rPr>
        <w:t>P</w:t>
      </w:r>
      <w:r w:rsidR="00DA21D6" w:rsidRPr="0020329F">
        <w:rPr>
          <w:rFonts w:ascii="Arial" w:eastAsia="Times New Roman" w:hAnsi="Arial" w:cs="Arial"/>
          <w:sz w:val="20"/>
          <w:szCs w:val="20"/>
        </w:rPr>
        <w:t xml:space="preserve">= </w:t>
      </w:r>
      <w:r w:rsidRPr="0020329F">
        <w:rPr>
          <w:rFonts w:ascii="Arial" w:eastAsia="Times New Roman" w:hAnsi="Arial" w:cs="Arial"/>
          <w:sz w:val="20"/>
          <w:szCs w:val="20"/>
        </w:rPr>
        <w:t>.05).</w:t>
      </w:r>
    </w:p>
    <w:p w14:paraId="1FCB714B" w14:textId="5309FCE3" w:rsidR="00416308" w:rsidRPr="0020329F" w:rsidRDefault="0045062F" w:rsidP="0045062F">
      <w:pPr>
        <w:pStyle w:val="ListParagraph"/>
        <w:numPr>
          <w:ilvl w:val="0"/>
          <w:numId w:val="2"/>
        </w:numPr>
        <w:rPr>
          <w:rFonts w:ascii="Arial" w:hAnsi="Arial" w:cs="Arial"/>
          <w:b/>
          <w:bCs/>
        </w:rPr>
      </w:pPr>
      <w:r w:rsidRPr="0020329F">
        <w:rPr>
          <w:rFonts w:ascii="Arial" w:hAnsi="Arial" w:cs="Arial"/>
          <w:b/>
          <w:bCs/>
        </w:rPr>
        <w:t>RESULTS AND DISCUSSION</w:t>
      </w:r>
    </w:p>
    <w:p w14:paraId="3C7FC10E" w14:textId="1FBAF319" w:rsidR="001074D3" w:rsidRPr="0020329F" w:rsidRDefault="005F2DBD" w:rsidP="00D462CB">
      <w:pPr>
        <w:spacing w:line="360" w:lineRule="auto"/>
        <w:ind w:firstLine="720"/>
        <w:rPr>
          <w:rFonts w:ascii="Arial" w:eastAsia="Calibri" w:hAnsi="Arial" w:cs="Arial"/>
          <w:sz w:val="20"/>
          <w:szCs w:val="20"/>
        </w:rPr>
      </w:pPr>
      <w:r w:rsidRPr="0020329F">
        <w:rPr>
          <w:rFonts w:ascii="Arial" w:hAnsi="Arial" w:cs="Arial"/>
          <w:sz w:val="20"/>
          <w:szCs w:val="20"/>
        </w:rPr>
        <w:t xml:space="preserve">The Mean </w:t>
      </w:r>
      <w:r w:rsidRPr="0020329F">
        <w:rPr>
          <w:rFonts w:ascii="Arial" w:eastAsia="Calibri" w:hAnsi="Arial" w:cs="Arial"/>
          <w:sz w:val="20"/>
          <w:szCs w:val="20"/>
        </w:rPr>
        <w:t>± SE values of TOS</w:t>
      </w:r>
      <w:r w:rsidR="0099061B" w:rsidRPr="0020329F">
        <w:rPr>
          <w:rFonts w:ascii="Arial" w:eastAsia="Calibri" w:hAnsi="Arial" w:cs="Arial"/>
          <w:sz w:val="20"/>
          <w:szCs w:val="20"/>
        </w:rPr>
        <w:t>, TAOC and OSI</w:t>
      </w:r>
      <w:r w:rsidRPr="0020329F">
        <w:rPr>
          <w:rFonts w:ascii="Arial" w:eastAsia="Calibri" w:hAnsi="Arial" w:cs="Arial"/>
          <w:sz w:val="20"/>
          <w:szCs w:val="20"/>
        </w:rPr>
        <w:t xml:space="preserve"> of healthy dogs</w:t>
      </w:r>
      <w:r w:rsidR="00D0638C" w:rsidRPr="0020329F">
        <w:rPr>
          <w:rFonts w:ascii="Arial" w:eastAsia="Calibri" w:hAnsi="Arial" w:cs="Arial"/>
          <w:sz w:val="20"/>
          <w:szCs w:val="20"/>
        </w:rPr>
        <w:t xml:space="preserve"> </w:t>
      </w:r>
      <w:r w:rsidR="00037111" w:rsidRPr="0020329F">
        <w:rPr>
          <w:rFonts w:ascii="Arial" w:eastAsia="Calibri" w:hAnsi="Arial" w:cs="Arial"/>
          <w:sz w:val="20"/>
          <w:szCs w:val="20"/>
        </w:rPr>
        <w:t xml:space="preserve">and dogs suffering from canine sarcoptic acariasis </w:t>
      </w:r>
      <w:r w:rsidR="00D0638C" w:rsidRPr="0020329F">
        <w:rPr>
          <w:rFonts w:ascii="Arial" w:eastAsia="Calibri" w:hAnsi="Arial" w:cs="Arial"/>
          <w:sz w:val="20"/>
          <w:szCs w:val="20"/>
        </w:rPr>
        <w:t>are presented in Table 1</w:t>
      </w:r>
      <w:r w:rsidR="00806397" w:rsidRPr="0020329F">
        <w:rPr>
          <w:rFonts w:ascii="Arial" w:eastAsia="Calibri" w:hAnsi="Arial" w:cs="Arial"/>
          <w:sz w:val="20"/>
          <w:szCs w:val="20"/>
        </w:rPr>
        <w:t xml:space="preserve">. </w:t>
      </w:r>
      <w:r w:rsidR="00D0615F" w:rsidRPr="0020329F">
        <w:rPr>
          <w:rFonts w:ascii="Arial" w:eastAsia="Calibri" w:hAnsi="Arial" w:cs="Arial"/>
          <w:sz w:val="20"/>
          <w:szCs w:val="20"/>
        </w:rPr>
        <w:t>The standard curve of TOS concentration</w:t>
      </w:r>
      <w:r w:rsidR="00B63E8C" w:rsidRPr="0020329F">
        <w:rPr>
          <w:rFonts w:ascii="Arial" w:eastAsia="Calibri" w:hAnsi="Arial" w:cs="Arial"/>
          <w:sz w:val="20"/>
          <w:szCs w:val="20"/>
        </w:rPr>
        <w:t xml:space="preserve"> against absorbance at 590 nm is represented in </w:t>
      </w:r>
      <w:r w:rsidR="00E073DC">
        <w:rPr>
          <w:rFonts w:ascii="Arial" w:eastAsia="Calibri" w:hAnsi="Arial" w:cs="Arial"/>
          <w:sz w:val="20"/>
          <w:szCs w:val="20"/>
        </w:rPr>
        <w:t>Fig</w:t>
      </w:r>
      <w:r w:rsidR="00B63E8C" w:rsidRPr="0020329F">
        <w:rPr>
          <w:rFonts w:ascii="Arial" w:eastAsia="Calibri" w:hAnsi="Arial" w:cs="Arial"/>
          <w:sz w:val="20"/>
          <w:szCs w:val="20"/>
        </w:rPr>
        <w:t xml:space="preserve"> 1.</w:t>
      </w:r>
      <w:r w:rsidR="00D0615F" w:rsidRPr="0020329F">
        <w:rPr>
          <w:rFonts w:ascii="Arial" w:eastAsia="Calibri" w:hAnsi="Arial" w:cs="Arial"/>
          <w:sz w:val="20"/>
          <w:szCs w:val="20"/>
        </w:rPr>
        <w:t xml:space="preserve"> </w:t>
      </w:r>
      <w:r w:rsidR="00645312" w:rsidRPr="0020329F">
        <w:rPr>
          <w:rFonts w:ascii="Arial" w:eastAsia="Calibri" w:hAnsi="Arial" w:cs="Arial"/>
          <w:sz w:val="20"/>
          <w:szCs w:val="20"/>
        </w:rPr>
        <w:t>The TOS values were observed to be significantly elevated on day 0 in both the treatment groups in comparison to the healthy group</w:t>
      </w:r>
      <w:r w:rsidR="00993156" w:rsidRPr="0020329F">
        <w:rPr>
          <w:rFonts w:ascii="Arial" w:eastAsia="Calibri" w:hAnsi="Arial" w:cs="Arial"/>
          <w:sz w:val="20"/>
          <w:szCs w:val="20"/>
        </w:rPr>
        <w:t xml:space="preserve"> (</w:t>
      </w:r>
      <w:r w:rsidR="00E073DC">
        <w:rPr>
          <w:rFonts w:ascii="Arial" w:eastAsia="Calibri" w:hAnsi="Arial" w:cs="Arial"/>
          <w:sz w:val="20"/>
          <w:szCs w:val="20"/>
        </w:rPr>
        <w:t>Fig</w:t>
      </w:r>
      <w:r w:rsidR="00993156" w:rsidRPr="0020329F">
        <w:rPr>
          <w:rFonts w:ascii="Arial" w:eastAsia="Calibri" w:hAnsi="Arial" w:cs="Arial"/>
          <w:sz w:val="20"/>
          <w:szCs w:val="20"/>
        </w:rPr>
        <w:t xml:space="preserve"> 2)</w:t>
      </w:r>
      <w:r w:rsidR="00645312" w:rsidRPr="0020329F">
        <w:rPr>
          <w:rFonts w:ascii="Arial" w:eastAsia="Calibri" w:hAnsi="Arial" w:cs="Arial"/>
          <w:sz w:val="20"/>
          <w:szCs w:val="20"/>
        </w:rPr>
        <w:t>. Significant reduction (</w:t>
      </w:r>
      <w:r w:rsidR="00645312" w:rsidRPr="0020329F">
        <w:rPr>
          <w:rFonts w:ascii="Arial" w:eastAsia="Calibri" w:hAnsi="Arial" w:cs="Arial"/>
          <w:i/>
          <w:iCs/>
          <w:sz w:val="20"/>
          <w:szCs w:val="20"/>
        </w:rPr>
        <w:t>P</w:t>
      </w:r>
      <w:r w:rsidR="00E512D8" w:rsidRPr="0020329F">
        <w:rPr>
          <w:rFonts w:ascii="Arial" w:eastAsia="Calibri" w:hAnsi="Arial" w:cs="Arial"/>
          <w:i/>
          <w:iCs/>
          <w:sz w:val="20"/>
          <w:szCs w:val="20"/>
        </w:rPr>
        <w:t xml:space="preserve"> </w:t>
      </w:r>
      <w:r w:rsidR="00645312" w:rsidRPr="0020329F">
        <w:rPr>
          <w:rFonts w:ascii="Arial" w:eastAsia="Calibri" w:hAnsi="Arial" w:cs="Arial"/>
          <w:sz w:val="20"/>
          <w:szCs w:val="20"/>
        </w:rPr>
        <w:t xml:space="preserve">&lt;0.0001) was noted in both the groups at days 14 and 28 </w:t>
      </w:r>
      <w:r w:rsidR="00806397" w:rsidRPr="0020329F">
        <w:rPr>
          <w:rFonts w:ascii="Arial" w:eastAsia="Calibri" w:hAnsi="Arial" w:cs="Arial"/>
          <w:sz w:val="20"/>
          <w:szCs w:val="20"/>
        </w:rPr>
        <w:t xml:space="preserve">post-therapy </w:t>
      </w:r>
      <w:r w:rsidR="00645312" w:rsidRPr="0020329F">
        <w:rPr>
          <w:rFonts w:ascii="Arial" w:eastAsia="Calibri" w:hAnsi="Arial" w:cs="Arial"/>
          <w:sz w:val="20"/>
          <w:szCs w:val="20"/>
        </w:rPr>
        <w:t>when compared to their own day 0 values</w:t>
      </w:r>
      <w:r w:rsidR="00993156" w:rsidRPr="0020329F">
        <w:rPr>
          <w:rFonts w:ascii="Arial" w:eastAsia="Calibri" w:hAnsi="Arial" w:cs="Arial"/>
          <w:sz w:val="20"/>
          <w:szCs w:val="20"/>
        </w:rPr>
        <w:t xml:space="preserve"> (</w:t>
      </w:r>
      <w:r w:rsidR="00E073DC">
        <w:rPr>
          <w:rFonts w:ascii="Arial" w:eastAsia="Calibri" w:hAnsi="Arial" w:cs="Arial"/>
          <w:sz w:val="20"/>
          <w:szCs w:val="20"/>
        </w:rPr>
        <w:t>Fig</w:t>
      </w:r>
      <w:r w:rsidR="00993156" w:rsidRPr="0020329F">
        <w:rPr>
          <w:rFonts w:ascii="Arial" w:eastAsia="Calibri" w:hAnsi="Arial" w:cs="Arial"/>
          <w:sz w:val="20"/>
          <w:szCs w:val="20"/>
        </w:rPr>
        <w:t xml:space="preserve"> 3)</w:t>
      </w:r>
      <w:r w:rsidR="00645312" w:rsidRPr="0020329F">
        <w:rPr>
          <w:rFonts w:ascii="Arial" w:eastAsia="Calibri" w:hAnsi="Arial" w:cs="Arial"/>
          <w:sz w:val="20"/>
          <w:szCs w:val="20"/>
        </w:rPr>
        <w:t>, although none of the groups could attain comparable values as the healthy one.</w:t>
      </w:r>
    </w:p>
    <w:p w14:paraId="79BD8D58" w14:textId="55AB8A17" w:rsidR="00BF628A" w:rsidRPr="0020329F" w:rsidRDefault="002E5F50" w:rsidP="00B7128D">
      <w:pPr>
        <w:spacing w:line="360" w:lineRule="auto"/>
        <w:ind w:firstLine="720"/>
        <w:rPr>
          <w:rFonts w:ascii="Arial" w:eastAsia="Calibri" w:hAnsi="Arial" w:cs="Arial"/>
          <w:sz w:val="20"/>
          <w:szCs w:val="20"/>
        </w:rPr>
      </w:pPr>
      <w:r w:rsidRPr="0020329F">
        <w:rPr>
          <w:rFonts w:ascii="Arial" w:eastAsia="Calibri" w:hAnsi="Arial" w:cs="Arial"/>
          <w:sz w:val="20"/>
          <w:szCs w:val="20"/>
        </w:rPr>
        <w:t xml:space="preserve">The standard curve of TAOC concentration against absorbance at 590 nm is represented in </w:t>
      </w:r>
      <w:r w:rsidR="00E073DC">
        <w:rPr>
          <w:rFonts w:ascii="Arial" w:eastAsia="Calibri" w:hAnsi="Arial" w:cs="Arial"/>
          <w:sz w:val="20"/>
          <w:szCs w:val="20"/>
        </w:rPr>
        <w:t>Fig</w:t>
      </w:r>
      <w:r w:rsidRPr="0020329F">
        <w:rPr>
          <w:rFonts w:ascii="Arial" w:eastAsia="Calibri" w:hAnsi="Arial" w:cs="Arial"/>
          <w:sz w:val="20"/>
          <w:szCs w:val="20"/>
        </w:rPr>
        <w:t xml:space="preserve"> 4.</w:t>
      </w:r>
      <w:r w:rsidR="0031631A" w:rsidRPr="0020329F">
        <w:rPr>
          <w:rFonts w:ascii="Arial" w:eastAsia="Calibri" w:hAnsi="Arial" w:cs="Arial"/>
          <w:sz w:val="20"/>
          <w:szCs w:val="20"/>
        </w:rPr>
        <w:t xml:space="preserve"> </w:t>
      </w:r>
      <w:r w:rsidR="00BF628A" w:rsidRPr="0020329F">
        <w:rPr>
          <w:rFonts w:ascii="Arial" w:eastAsia="Calibri" w:hAnsi="Arial" w:cs="Arial"/>
          <w:sz w:val="20"/>
          <w:szCs w:val="20"/>
        </w:rPr>
        <w:t>The TAOC values were found to be significantly reduced (</w:t>
      </w:r>
      <w:r w:rsidR="00BF628A" w:rsidRPr="0020329F">
        <w:rPr>
          <w:rFonts w:ascii="Arial" w:eastAsia="Calibri" w:hAnsi="Arial" w:cs="Arial"/>
          <w:i/>
          <w:iCs/>
          <w:sz w:val="20"/>
          <w:szCs w:val="20"/>
        </w:rPr>
        <w:t>P</w:t>
      </w:r>
      <w:r w:rsidR="00E512D8" w:rsidRPr="0020329F">
        <w:rPr>
          <w:rFonts w:ascii="Arial" w:eastAsia="Calibri" w:hAnsi="Arial" w:cs="Arial"/>
          <w:i/>
          <w:iCs/>
          <w:sz w:val="20"/>
          <w:szCs w:val="20"/>
        </w:rPr>
        <w:t xml:space="preserve"> </w:t>
      </w:r>
      <w:r w:rsidR="00BF628A" w:rsidRPr="0020329F">
        <w:rPr>
          <w:rFonts w:ascii="Arial" w:eastAsia="Calibri" w:hAnsi="Arial" w:cs="Arial"/>
          <w:sz w:val="20"/>
          <w:szCs w:val="20"/>
        </w:rPr>
        <w:t xml:space="preserve">&lt;0.0001) on day 0 in both the </w:t>
      </w:r>
      <w:proofErr w:type="spellStart"/>
      <w:r w:rsidR="00BF628A" w:rsidRPr="0020329F">
        <w:rPr>
          <w:rFonts w:ascii="Arial" w:eastAsia="Calibri" w:hAnsi="Arial" w:cs="Arial"/>
          <w:i/>
          <w:iCs/>
          <w:sz w:val="20"/>
          <w:szCs w:val="20"/>
        </w:rPr>
        <w:t>Sarcoptes</w:t>
      </w:r>
      <w:proofErr w:type="spellEnd"/>
      <w:r w:rsidR="00BF628A" w:rsidRPr="0020329F">
        <w:rPr>
          <w:rFonts w:ascii="Arial" w:eastAsia="Calibri" w:hAnsi="Arial" w:cs="Arial"/>
          <w:sz w:val="20"/>
          <w:szCs w:val="20"/>
        </w:rPr>
        <w:t xml:space="preserve"> affected groups as compared to the healthy group at day 0</w:t>
      </w:r>
      <w:r w:rsidRPr="0020329F">
        <w:rPr>
          <w:rFonts w:ascii="Arial" w:eastAsia="Calibri" w:hAnsi="Arial" w:cs="Arial"/>
          <w:sz w:val="20"/>
          <w:szCs w:val="20"/>
        </w:rPr>
        <w:t xml:space="preserve"> (</w:t>
      </w:r>
      <w:r w:rsidR="00E073DC">
        <w:rPr>
          <w:rFonts w:ascii="Arial" w:eastAsia="Calibri" w:hAnsi="Arial" w:cs="Arial"/>
          <w:sz w:val="20"/>
          <w:szCs w:val="20"/>
        </w:rPr>
        <w:t>Fig</w:t>
      </w:r>
      <w:r w:rsidRPr="0020329F">
        <w:rPr>
          <w:rFonts w:ascii="Arial" w:eastAsia="Calibri" w:hAnsi="Arial" w:cs="Arial"/>
          <w:sz w:val="20"/>
          <w:szCs w:val="20"/>
        </w:rPr>
        <w:t xml:space="preserve"> 5)</w:t>
      </w:r>
      <w:r w:rsidR="00BF628A" w:rsidRPr="0020329F">
        <w:rPr>
          <w:rFonts w:ascii="Arial" w:eastAsia="Calibri" w:hAnsi="Arial" w:cs="Arial"/>
          <w:sz w:val="20"/>
          <w:szCs w:val="20"/>
        </w:rPr>
        <w:t>. Significant rise was observed in TAOC levels on days 14 and 28 in both the treatment groups, when compared to their own day 0 values</w:t>
      </w:r>
      <w:r w:rsidR="00F96520" w:rsidRPr="0020329F">
        <w:rPr>
          <w:rFonts w:ascii="Arial" w:eastAsia="Calibri" w:hAnsi="Arial" w:cs="Arial"/>
          <w:sz w:val="20"/>
          <w:szCs w:val="20"/>
        </w:rPr>
        <w:t xml:space="preserve"> (</w:t>
      </w:r>
      <w:r w:rsidR="00E073DC">
        <w:rPr>
          <w:rFonts w:ascii="Arial" w:eastAsia="Calibri" w:hAnsi="Arial" w:cs="Arial"/>
          <w:sz w:val="20"/>
          <w:szCs w:val="20"/>
        </w:rPr>
        <w:t>Fig</w:t>
      </w:r>
      <w:r w:rsidR="00F96520" w:rsidRPr="0020329F">
        <w:rPr>
          <w:rFonts w:ascii="Arial" w:eastAsia="Calibri" w:hAnsi="Arial" w:cs="Arial"/>
          <w:sz w:val="20"/>
          <w:szCs w:val="20"/>
        </w:rPr>
        <w:t xml:space="preserve"> 6)</w:t>
      </w:r>
      <w:r w:rsidR="00BF628A" w:rsidRPr="0020329F">
        <w:rPr>
          <w:rFonts w:ascii="Arial" w:eastAsia="Calibri" w:hAnsi="Arial" w:cs="Arial"/>
          <w:sz w:val="20"/>
          <w:szCs w:val="20"/>
        </w:rPr>
        <w:t>. Although none of the groups could attain comparable values as the healthy one on day 28</w:t>
      </w:r>
      <w:r w:rsidR="00BF628A" w:rsidRPr="0020329F">
        <w:rPr>
          <w:rFonts w:ascii="Arial" w:eastAsia="Calibri" w:hAnsi="Arial" w:cs="Arial"/>
          <w:sz w:val="20"/>
          <w:szCs w:val="20"/>
          <w:vertAlign w:val="superscript"/>
        </w:rPr>
        <w:t>th</w:t>
      </w:r>
      <w:r w:rsidR="00BF628A" w:rsidRPr="0020329F">
        <w:rPr>
          <w:rFonts w:ascii="Arial" w:eastAsia="Calibri" w:hAnsi="Arial" w:cs="Arial"/>
          <w:sz w:val="20"/>
          <w:szCs w:val="20"/>
        </w:rPr>
        <w:t xml:space="preserve"> post therapy, but better amelioration of this parameter was noticeable in group 2 than group 3.</w:t>
      </w:r>
      <w:r w:rsidR="00B7128D" w:rsidRPr="0020329F">
        <w:rPr>
          <w:rFonts w:ascii="Arial" w:eastAsia="Calibri" w:hAnsi="Arial" w:cs="Arial"/>
          <w:sz w:val="20"/>
          <w:szCs w:val="20"/>
        </w:rPr>
        <w:t xml:space="preserve"> </w:t>
      </w:r>
      <w:r w:rsidR="003B4B36" w:rsidRPr="0020329F">
        <w:rPr>
          <w:rFonts w:ascii="Arial" w:eastAsia="Calibri" w:hAnsi="Arial" w:cs="Arial"/>
          <w:sz w:val="20"/>
          <w:szCs w:val="20"/>
        </w:rPr>
        <w:t>Similarly, the OSI values were significantly elevated (</w:t>
      </w:r>
      <w:r w:rsidR="003B4B36" w:rsidRPr="0020329F">
        <w:rPr>
          <w:rFonts w:ascii="Arial" w:eastAsia="Calibri" w:hAnsi="Arial" w:cs="Arial"/>
          <w:i/>
          <w:iCs/>
          <w:sz w:val="20"/>
          <w:szCs w:val="20"/>
        </w:rPr>
        <w:t>P</w:t>
      </w:r>
      <w:r w:rsidR="00E512D8" w:rsidRPr="0020329F">
        <w:rPr>
          <w:rFonts w:ascii="Arial" w:eastAsia="Calibri" w:hAnsi="Arial" w:cs="Arial"/>
          <w:i/>
          <w:iCs/>
          <w:sz w:val="20"/>
          <w:szCs w:val="20"/>
        </w:rPr>
        <w:t xml:space="preserve"> </w:t>
      </w:r>
      <w:r w:rsidR="003B4B36" w:rsidRPr="0020329F">
        <w:rPr>
          <w:rFonts w:ascii="Arial" w:eastAsia="Calibri" w:hAnsi="Arial" w:cs="Arial"/>
          <w:sz w:val="20"/>
          <w:szCs w:val="20"/>
        </w:rPr>
        <w:t>&lt;0.0001) in both the treatment groups as compared to the healthy group on day 0</w:t>
      </w:r>
      <w:r w:rsidR="00F96520" w:rsidRPr="0020329F">
        <w:rPr>
          <w:rFonts w:ascii="Arial" w:eastAsia="Calibri" w:hAnsi="Arial" w:cs="Arial"/>
          <w:sz w:val="20"/>
          <w:szCs w:val="20"/>
        </w:rPr>
        <w:t xml:space="preserve"> (</w:t>
      </w:r>
      <w:r w:rsidR="00E073DC">
        <w:rPr>
          <w:rFonts w:ascii="Arial" w:eastAsia="Calibri" w:hAnsi="Arial" w:cs="Arial"/>
          <w:sz w:val="20"/>
          <w:szCs w:val="20"/>
        </w:rPr>
        <w:t>Fig</w:t>
      </w:r>
      <w:r w:rsidR="00F96520" w:rsidRPr="0020329F">
        <w:rPr>
          <w:rFonts w:ascii="Arial" w:eastAsia="Calibri" w:hAnsi="Arial" w:cs="Arial"/>
          <w:sz w:val="20"/>
          <w:szCs w:val="20"/>
        </w:rPr>
        <w:t xml:space="preserve"> 7)</w:t>
      </w:r>
      <w:r w:rsidR="003B4B36" w:rsidRPr="0020329F">
        <w:rPr>
          <w:rFonts w:ascii="Arial" w:eastAsia="Calibri" w:hAnsi="Arial" w:cs="Arial"/>
          <w:sz w:val="20"/>
          <w:szCs w:val="20"/>
        </w:rPr>
        <w:t>. Both the treatment groups showed significant decrement in the</w:t>
      </w:r>
      <w:r w:rsidR="00806397" w:rsidRPr="0020329F">
        <w:rPr>
          <w:rFonts w:ascii="Arial" w:eastAsia="Calibri" w:hAnsi="Arial" w:cs="Arial"/>
          <w:sz w:val="20"/>
          <w:szCs w:val="20"/>
        </w:rPr>
        <w:t>se</w:t>
      </w:r>
      <w:r w:rsidR="003B4B36" w:rsidRPr="0020329F">
        <w:rPr>
          <w:rFonts w:ascii="Arial" w:eastAsia="Calibri" w:hAnsi="Arial" w:cs="Arial"/>
          <w:sz w:val="20"/>
          <w:szCs w:val="20"/>
        </w:rPr>
        <w:t xml:space="preserve"> values on days 14 and 28 post treatment, although neither group could achieve comparable levels as the healthy group</w:t>
      </w:r>
      <w:r w:rsidR="00F96520" w:rsidRPr="0020329F">
        <w:rPr>
          <w:rFonts w:ascii="Arial" w:eastAsia="Calibri" w:hAnsi="Arial" w:cs="Arial"/>
          <w:sz w:val="20"/>
          <w:szCs w:val="20"/>
        </w:rPr>
        <w:t xml:space="preserve"> (</w:t>
      </w:r>
      <w:r w:rsidR="00E073DC">
        <w:rPr>
          <w:rFonts w:ascii="Arial" w:eastAsia="Calibri" w:hAnsi="Arial" w:cs="Arial"/>
          <w:sz w:val="20"/>
          <w:szCs w:val="20"/>
        </w:rPr>
        <w:t>Fig</w:t>
      </w:r>
      <w:r w:rsidR="00F96520" w:rsidRPr="0020329F">
        <w:rPr>
          <w:rFonts w:ascii="Arial" w:eastAsia="Calibri" w:hAnsi="Arial" w:cs="Arial"/>
          <w:sz w:val="20"/>
          <w:szCs w:val="20"/>
        </w:rPr>
        <w:t xml:space="preserve"> 8)</w:t>
      </w:r>
      <w:r w:rsidR="003B4B36" w:rsidRPr="0020329F">
        <w:rPr>
          <w:rFonts w:ascii="Arial" w:eastAsia="Calibri" w:hAnsi="Arial" w:cs="Arial"/>
          <w:sz w:val="20"/>
          <w:szCs w:val="20"/>
        </w:rPr>
        <w:t>.</w:t>
      </w:r>
    </w:p>
    <w:p w14:paraId="40A2C9DB" w14:textId="2F43124E" w:rsidR="00685B5A" w:rsidRPr="0020329F" w:rsidRDefault="0099061B" w:rsidP="00685B5A">
      <w:pPr>
        <w:spacing w:after="120"/>
        <w:rPr>
          <w:rFonts w:ascii="Arial" w:hAnsi="Arial" w:cs="Arial"/>
          <w:b/>
          <w:bCs/>
          <w:sz w:val="20"/>
          <w:szCs w:val="20"/>
        </w:rPr>
      </w:pPr>
      <w:r w:rsidRPr="0020329F">
        <w:rPr>
          <w:rFonts w:ascii="Arial" w:hAnsi="Arial" w:cs="Arial"/>
          <w:b/>
          <w:bCs/>
          <w:sz w:val="20"/>
          <w:szCs w:val="20"/>
        </w:rPr>
        <w:t xml:space="preserve">Table 1: </w:t>
      </w:r>
      <w:r w:rsidR="00685B5A" w:rsidRPr="0020329F">
        <w:rPr>
          <w:rFonts w:ascii="Arial" w:hAnsi="Arial" w:cs="Arial"/>
          <w:b/>
          <w:bCs/>
          <w:sz w:val="20"/>
          <w:szCs w:val="20"/>
        </w:rPr>
        <w:t xml:space="preserve">Total Oxidant Status (µmol/L), </w:t>
      </w:r>
      <w:r w:rsidR="00261224" w:rsidRPr="0020329F">
        <w:rPr>
          <w:rFonts w:ascii="Arial" w:hAnsi="Arial" w:cs="Arial"/>
          <w:b/>
          <w:bCs/>
          <w:sz w:val="20"/>
          <w:szCs w:val="20"/>
        </w:rPr>
        <w:t xml:space="preserve">Total Antioxidant Capacity (mmol/L) and </w:t>
      </w:r>
      <w:r w:rsidR="004B5039" w:rsidRPr="0020329F">
        <w:rPr>
          <w:rFonts w:ascii="Arial" w:hAnsi="Arial" w:cs="Arial"/>
          <w:b/>
          <w:bCs/>
          <w:sz w:val="20"/>
          <w:szCs w:val="20"/>
        </w:rPr>
        <w:t>Oxidative Stress Index (OSI)</w:t>
      </w:r>
      <w:r w:rsidR="00685B5A" w:rsidRPr="0020329F">
        <w:rPr>
          <w:rFonts w:ascii="Arial" w:hAnsi="Arial" w:cs="Arial"/>
          <w:b/>
          <w:bCs/>
          <w:sz w:val="20"/>
          <w:szCs w:val="20"/>
        </w:rPr>
        <w:t xml:space="preserve"> of healthy dogs and dogs suffering from canine sarcoptic acariasis</w:t>
      </w:r>
    </w:p>
    <w:tbl>
      <w:tblPr>
        <w:tblStyle w:val="TableGrid"/>
        <w:tblW w:w="0" w:type="auto"/>
        <w:tblLook w:val="04A0" w:firstRow="1" w:lastRow="0" w:firstColumn="1" w:lastColumn="0" w:noHBand="0" w:noVBand="1"/>
      </w:tblPr>
      <w:tblGrid>
        <w:gridCol w:w="1803"/>
        <w:gridCol w:w="1803"/>
        <w:gridCol w:w="1803"/>
        <w:gridCol w:w="1803"/>
        <w:gridCol w:w="1804"/>
      </w:tblGrid>
      <w:tr w:rsidR="00F91F7C" w:rsidRPr="0020329F" w14:paraId="2F5BA328" w14:textId="77777777" w:rsidTr="00926A1D">
        <w:tc>
          <w:tcPr>
            <w:tcW w:w="1803" w:type="dxa"/>
            <w:vAlign w:val="center"/>
          </w:tcPr>
          <w:p w14:paraId="6A57FF42" w14:textId="1D7D2C72" w:rsidR="007706DA" w:rsidRPr="0020329F" w:rsidRDefault="007706DA" w:rsidP="007706DA">
            <w:pPr>
              <w:rPr>
                <w:rFonts w:ascii="Arial" w:hAnsi="Arial" w:cs="Arial"/>
                <w:b/>
                <w:bCs/>
                <w:sz w:val="20"/>
                <w:szCs w:val="20"/>
              </w:rPr>
            </w:pPr>
            <w:r w:rsidRPr="0020329F">
              <w:rPr>
                <w:rFonts w:ascii="Arial" w:hAnsi="Arial" w:cs="Arial"/>
                <w:b/>
                <w:bCs/>
                <w:sz w:val="20"/>
                <w:szCs w:val="20"/>
              </w:rPr>
              <w:t>Parameter</w:t>
            </w:r>
          </w:p>
        </w:tc>
        <w:tc>
          <w:tcPr>
            <w:tcW w:w="1803" w:type="dxa"/>
            <w:vAlign w:val="center"/>
          </w:tcPr>
          <w:p w14:paraId="4CE88861" w14:textId="661EE568" w:rsidR="007706DA" w:rsidRPr="0020329F" w:rsidRDefault="007706DA" w:rsidP="007706DA">
            <w:pPr>
              <w:rPr>
                <w:rFonts w:ascii="Arial" w:hAnsi="Arial" w:cs="Arial"/>
                <w:b/>
                <w:bCs/>
                <w:sz w:val="20"/>
                <w:szCs w:val="20"/>
              </w:rPr>
            </w:pPr>
            <w:r w:rsidRPr="0020329F">
              <w:rPr>
                <w:rFonts w:ascii="Arial" w:hAnsi="Arial" w:cs="Arial"/>
                <w:b/>
                <w:bCs/>
                <w:sz w:val="20"/>
                <w:szCs w:val="20"/>
              </w:rPr>
              <w:t>Groups</w:t>
            </w:r>
          </w:p>
        </w:tc>
        <w:tc>
          <w:tcPr>
            <w:tcW w:w="1803" w:type="dxa"/>
            <w:vAlign w:val="center"/>
          </w:tcPr>
          <w:p w14:paraId="0FC4BF51" w14:textId="4A53B85F" w:rsidR="007706DA" w:rsidRPr="0020329F" w:rsidRDefault="007706DA" w:rsidP="007706DA">
            <w:pPr>
              <w:rPr>
                <w:rFonts w:ascii="Arial" w:hAnsi="Arial" w:cs="Arial"/>
                <w:b/>
                <w:bCs/>
                <w:sz w:val="20"/>
                <w:szCs w:val="20"/>
              </w:rPr>
            </w:pPr>
            <w:r w:rsidRPr="0020329F">
              <w:rPr>
                <w:rFonts w:ascii="Arial" w:hAnsi="Arial" w:cs="Arial"/>
                <w:b/>
                <w:bCs/>
                <w:sz w:val="20"/>
                <w:szCs w:val="20"/>
              </w:rPr>
              <w:t>Day 0</w:t>
            </w:r>
          </w:p>
        </w:tc>
        <w:tc>
          <w:tcPr>
            <w:tcW w:w="1803" w:type="dxa"/>
            <w:vAlign w:val="center"/>
          </w:tcPr>
          <w:p w14:paraId="09EC443F" w14:textId="08D4FC71" w:rsidR="007706DA" w:rsidRPr="0020329F" w:rsidRDefault="007706DA" w:rsidP="007706DA">
            <w:pPr>
              <w:rPr>
                <w:rFonts w:ascii="Arial" w:hAnsi="Arial" w:cs="Arial"/>
                <w:b/>
                <w:bCs/>
                <w:sz w:val="20"/>
                <w:szCs w:val="20"/>
              </w:rPr>
            </w:pPr>
            <w:r w:rsidRPr="0020329F">
              <w:rPr>
                <w:rFonts w:ascii="Arial" w:hAnsi="Arial" w:cs="Arial"/>
                <w:b/>
                <w:bCs/>
                <w:sz w:val="20"/>
                <w:szCs w:val="20"/>
              </w:rPr>
              <w:t>Day 14</w:t>
            </w:r>
          </w:p>
        </w:tc>
        <w:tc>
          <w:tcPr>
            <w:tcW w:w="1804" w:type="dxa"/>
            <w:vAlign w:val="center"/>
          </w:tcPr>
          <w:p w14:paraId="4802D2BE" w14:textId="6DE52C0D" w:rsidR="007706DA" w:rsidRPr="0020329F" w:rsidRDefault="007706DA" w:rsidP="007706DA">
            <w:pPr>
              <w:rPr>
                <w:rFonts w:ascii="Arial" w:hAnsi="Arial" w:cs="Arial"/>
                <w:b/>
                <w:bCs/>
                <w:sz w:val="20"/>
                <w:szCs w:val="20"/>
              </w:rPr>
            </w:pPr>
            <w:r w:rsidRPr="0020329F">
              <w:rPr>
                <w:rFonts w:ascii="Arial" w:hAnsi="Arial" w:cs="Arial"/>
                <w:b/>
                <w:bCs/>
                <w:sz w:val="20"/>
                <w:szCs w:val="20"/>
              </w:rPr>
              <w:t>Day 28</w:t>
            </w:r>
          </w:p>
        </w:tc>
      </w:tr>
      <w:tr w:rsidR="00F91F7C" w:rsidRPr="0020329F" w14:paraId="38D8F6CE" w14:textId="77777777" w:rsidTr="00310941">
        <w:tc>
          <w:tcPr>
            <w:tcW w:w="1803" w:type="dxa"/>
            <w:vMerge w:val="restart"/>
            <w:vAlign w:val="center"/>
          </w:tcPr>
          <w:p w14:paraId="698F1117" w14:textId="58AA0AD9" w:rsidR="006F7F8B" w:rsidRPr="0020329F" w:rsidRDefault="006F7F8B" w:rsidP="006F7F8B">
            <w:pPr>
              <w:rPr>
                <w:rFonts w:ascii="Arial" w:hAnsi="Arial" w:cs="Arial"/>
                <w:b/>
                <w:bCs/>
                <w:sz w:val="20"/>
                <w:szCs w:val="20"/>
              </w:rPr>
            </w:pPr>
            <w:r w:rsidRPr="0020329F">
              <w:rPr>
                <w:rFonts w:ascii="Arial" w:hAnsi="Arial" w:cs="Arial"/>
                <w:b/>
                <w:bCs/>
                <w:sz w:val="20"/>
                <w:szCs w:val="20"/>
              </w:rPr>
              <w:t>TOS (µmol/L)</w:t>
            </w:r>
          </w:p>
        </w:tc>
        <w:tc>
          <w:tcPr>
            <w:tcW w:w="1803" w:type="dxa"/>
            <w:vAlign w:val="center"/>
          </w:tcPr>
          <w:p w14:paraId="308F9E36" w14:textId="74C5198D" w:rsidR="006F7F8B" w:rsidRPr="0020329F" w:rsidRDefault="006F7F8B" w:rsidP="006F7F8B">
            <w:pPr>
              <w:rPr>
                <w:rFonts w:ascii="Arial" w:hAnsi="Arial" w:cs="Arial"/>
                <w:b/>
                <w:bCs/>
                <w:sz w:val="20"/>
                <w:szCs w:val="20"/>
              </w:rPr>
            </w:pPr>
            <w:r w:rsidRPr="0020329F">
              <w:rPr>
                <w:rFonts w:ascii="Arial" w:hAnsi="Arial" w:cs="Arial"/>
                <w:sz w:val="20"/>
                <w:szCs w:val="20"/>
              </w:rPr>
              <w:t>1 (Healthy)</w:t>
            </w:r>
          </w:p>
        </w:tc>
        <w:tc>
          <w:tcPr>
            <w:tcW w:w="1803" w:type="dxa"/>
          </w:tcPr>
          <w:p w14:paraId="10B544F4" w14:textId="37668AD0" w:rsidR="006F7F8B" w:rsidRPr="0020329F" w:rsidRDefault="006F7F8B" w:rsidP="006F7F8B">
            <w:pPr>
              <w:rPr>
                <w:rFonts w:ascii="Arial" w:hAnsi="Arial" w:cs="Arial"/>
                <w:b/>
                <w:bCs/>
                <w:sz w:val="20"/>
                <w:szCs w:val="20"/>
              </w:rPr>
            </w:pPr>
            <w:r w:rsidRPr="0020329F">
              <w:rPr>
                <w:rFonts w:ascii="Arial" w:eastAsia="Calibri" w:hAnsi="Arial" w:cs="Arial"/>
                <w:sz w:val="20"/>
                <w:szCs w:val="20"/>
              </w:rPr>
              <w:t>12.23 ± 0.21</w:t>
            </w:r>
            <w:r w:rsidRPr="0020329F">
              <w:rPr>
                <w:rFonts w:ascii="Arial" w:eastAsia="Calibri" w:hAnsi="Arial" w:cs="Arial"/>
                <w:sz w:val="20"/>
                <w:szCs w:val="20"/>
                <w:vertAlign w:val="superscript"/>
              </w:rPr>
              <w:t>Dd</w:t>
            </w:r>
          </w:p>
        </w:tc>
        <w:tc>
          <w:tcPr>
            <w:tcW w:w="1803" w:type="dxa"/>
          </w:tcPr>
          <w:p w14:paraId="1522F51F" w14:textId="73E831E3" w:rsidR="006F7F8B" w:rsidRPr="0020329F" w:rsidRDefault="006F7F8B" w:rsidP="006F7F8B">
            <w:pPr>
              <w:rPr>
                <w:rFonts w:ascii="Arial" w:hAnsi="Arial" w:cs="Arial"/>
                <w:b/>
                <w:bCs/>
                <w:sz w:val="20"/>
                <w:szCs w:val="20"/>
              </w:rPr>
            </w:pPr>
            <w:r w:rsidRPr="0020329F">
              <w:rPr>
                <w:rFonts w:ascii="Arial" w:eastAsia="Calibri" w:hAnsi="Arial" w:cs="Arial"/>
                <w:sz w:val="20"/>
                <w:szCs w:val="20"/>
              </w:rPr>
              <w:t>12.23 ± 0.21</w:t>
            </w:r>
            <w:r w:rsidRPr="0020329F">
              <w:rPr>
                <w:rFonts w:ascii="Arial" w:eastAsia="Calibri" w:hAnsi="Arial" w:cs="Arial"/>
                <w:sz w:val="20"/>
                <w:szCs w:val="20"/>
                <w:vertAlign w:val="superscript"/>
              </w:rPr>
              <w:t>Dd</w:t>
            </w:r>
          </w:p>
        </w:tc>
        <w:tc>
          <w:tcPr>
            <w:tcW w:w="1804" w:type="dxa"/>
          </w:tcPr>
          <w:p w14:paraId="79226DBD" w14:textId="2DCED9FC" w:rsidR="006F7F8B" w:rsidRPr="0020329F" w:rsidRDefault="006F7F8B" w:rsidP="006F7F8B">
            <w:pPr>
              <w:rPr>
                <w:rFonts w:ascii="Arial" w:hAnsi="Arial" w:cs="Arial"/>
                <w:b/>
                <w:bCs/>
                <w:sz w:val="20"/>
                <w:szCs w:val="20"/>
              </w:rPr>
            </w:pPr>
            <w:r w:rsidRPr="0020329F">
              <w:rPr>
                <w:rFonts w:ascii="Arial" w:eastAsia="Calibri" w:hAnsi="Arial" w:cs="Arial"/>
                <w:sz w:val="20"/>
                <w:szCs w:val="20"/>
              </w:rPr>
              <w:t>12.23 ± 0.21</w:t>
            </w:r>
            <w:r w:rsidRPr="0020329F">
              <w:rPr>
                <w:rFonts w:ascii="Arial" w:eastAsia="Calibri" w:hAnsi="Arial" w:cs="Arial"/>
                <w:sz w:val="20"/>
                <w:szCs w:val="20"/>
                <w:vertAlign w:val="superscript"/>
              </w:rPr>
              <w:t>Dd</w:t>
            </w:r>
          </w:p>
        </w:tc>
      </w:tr>
      <w:tr w:rsidR="00F91F7C" w:rsidRPr="0020329F" w14:paraId="18B83A07" w14:textId="77777777" w:rsidTr="00310941">
        <w:tc>
          <w:tcPr>
            <w:tcW w:w="1803" w:type="dxa"/>
            <w:vMerge/>
            <w:vAlign w:val="center"/>
          </w:tcPr>
          <w:p w14:paraId="7680FC26" w14:textId="77777777" w:rsidR="006F7F8B" w:rsidRPr="0020329F" w:rsidRDefault="006F7F8B" w:rsidP="006F7F8B">
            <w:pPr>
              <w:rPr>
                <w:rFonts w:ascii="Arial" w:hAnsi="Arial" w:cs="Arial"/>
                <w:b/>
                <w:bCs/>
                <w:sz w:val="20"/>
                <w:szCs w:val="20"/>
              </w:rPr>
            </w:pPr>
          </w:p>
        </w:tc>
        <w:tc>
          <w:tcPr>
            <w:tcW w:w="1803" w:type="dxa"/>
            <w:vAlign w:val="center"/>
          </w:tcPr>
          <w:p w14:paraId="4D562A4D" w14:textId="061955B4" w:rsidR="006F7F8B" w:rsidRPr="0020329F" w:rsidRDefault="006F7F8B" w:rsidP="006F7F8B">
            <w:pPr>
              <w:rPr>
                <w:rFonts w:ascii="Arial" w:hAnsi="Arial" w:cs="Arial"/>
                <w:b/>
                <w:bCs/>
                <w:sz w:val="20"/>
                <w:szCs w:val="20"/>
              </w:rPr>
            </w:pPr>
            <w:r w:rsidRPr="0020329F">
              <w:rPr>
                <w:rFonts w:ascii="Arial" w:hAnsi="Arial" w:cs="Arial"/>
                <w:sz w:val="20"/>
                <w:szCs w:val="20"/>
              </w:rPr>
              <w:t>2 (EO treated)</w:t>
            </w:r>
          </w:p>
        </w:tc>
        <w:tc>
          <w:tcPr>
            <w:tcW w:w="1803" w:type="dxa"/>
          </w:tcPr>
          <w:p w14:paraId="7DA1A668" w14:textId="738D7096" w:rsidR="006F7F8B" w:rsidRPr="0020329F" w:rsidRDefault="006F7F8B" w:rsidP="006F7F8B">
            <w:pPr>
              <w:rPr>
                <w:rFonts w:ascii="Arial" w:hAnsi="Arial" w:cs="Arial"/>
                <w:b/>
                <w:bCs/>
                <w:sz w:val="20"/>
                <w:szCs w:val="20"/>
              </w:rPr>
            </w:pPr>
            <w:r w:rsidRPr="0020329F">
              <w:rPr>
                <w:rFonts w:ascii="Arial" w:eastAsia="Calibri" w:hAnsi="Arial" w:cs="Arial"/>
                <w:sz w:val="20"/>
                <w:szCs w:val="20"/>
              </w:rPr>
              <w:t>21.21 ± 1.01</w:t>
            </w:r>
            <w:r w:rsidRPr="0020329F">
              <w:rPr>
                <w:rFonts w:ascii="Arial" w:eastAsia="Calibri" w:hAnsi="Arial" w:cs="Arial"/>
                <w:sz w:val="20"/>
                <w:szCs w:val="20"/>
                <w:vertAlign w:val="superscript"/>
              </w:rPr>
              <w:t>Aa</w:t>
            </w:r>
          </w:p>
        </w:tc>
        <w:tc>
          <w:tcPr>
            <w:tcW w:w="1803" w:type="dxa"/>
          </w:tcPr>
          <w:p w14:paraId="3D79ED33" w14:textId="142514BE" w:rsidR="006F7F8B" w:rsidRPr="0020329F" w:rsidRDefault="006F7F8B" w:rsidP="006F7F8B">
            <w:pPr>
              <w:rPr>
                <w:rFonts w:ascii="Arial" w:hAnsi="Arial" w:cs="Arial"/>
                <w:b/>
                <w:bCs/>
                <w:sz w:val="20"/>
                <w:szCs w:val="20"/>
              </w:rPr>
            </w:pPr>
            <w:r w:rsidRPr="0020329F">
              <w:rPr>
                <w:rFonts w:ascii="Arial" w:eastAsia="Calibri" w:hAnsi="Arial" w:cs="Arial"/>
                <w:sz w:val="20"/>
                <w:szCs w:val="20"/>
              </w:rPr>
              <w:t>16.34 ± 0.73</w:t>
            </w:r>
            <w:r w:rsidRPr="0020329F">
              <w:rPr>
                <w:rFonts w:ascii="Arial" w:eastAsia="Calibri" w:hAnsi="Arial" w:cs="Arial"/>
                <w:sz w:val="20"/>
                <w:szCs w:val="20"/>
                <w:vertAlign w:val="superscript"/>
              </w:rPr>
              <w:t>Bb</w:t>
            </w:r>
          </w:p>
        </w:tc>
        <w:tc>
          <w:tcPr>
            <w:tcW w:w="1804" w:type="dxa"/>
          </w:tcPr>
          <w:p w14:paraId="098D9C77" w14:textId="6D998660" w:rsidR="006F7F8B" w:rsidRPr="0020329F" w:rsidRDefault="006F7F8B" w:rsidP="006F7F8B">
            <w:pPr>
              <w:rPr>
                <w:rFonts w:ascii="Arial" w:hAnsi="Arial" w:cs="Arial"/>
                <w:b/>
                <w:bCs/>
                <w:sz w:val="20"/>
                <w:szCs w:val="20"/>
              </w:rPr>
            </w:pPr>
            <w:r w:rsidRPr="0020329F">
              <w:rPr>
                <w:rFonts w:ascii="Arial" w:eastAsia="Calibri" w:hAnsi="Arial" w:cs="Arial"/>
                <w:sz w:val="20"/>
                <w:szCs w:val="20"/>
              </w:rPr>
              <w:t>13.45 ± 0.67</w:t>
            </w:r>
            <w:r w:rsidRPr="0020329F">
              <w:rPr>
                <w:rFonts w:ascii="Arial" w:eastAsia="Calibri" w:hAnsi="Arial" w:cs="Arial"/>
                <w:sz w:val="20"/>
                <w:szCs w:val="20"/>
                <w:vertAlign w:val="superscript"/>
              </w:rPr>
              <w:t>Cc</w:t>
            </w:r>
          </w:p>
        </w:tc>
      </w:tr>
      <w:tr w:rsidR="00F91F7C" w:rsidRPr="0020329F" w14:paraId="016D88E4" w14:textId="77777777" w:rsidTr="00310941">
        <w:tc>
          <w:tcPr>
            <w:tcW w:w="1803" w:type="dxa"/>
            <w:vMerge/>
            <w:vAlign w:val="center"/>
          </w:tcPr>
          <w:p w14:paraId="6E96EC3E" w14:textId="77777777" w:rsidR="006F7F8B" w:rsidRPr="0020329F" w:rsidRDefault="006F7F8B" w:rsidP="006F7F8B">
            <w:pPr>
              <w:rPr>
                <w:rFonts w:ascii="Arial" w:hAnsi="Arial" w:cs="Arial"/>
                <w:b/>
                <w:bCs/>
                <w:sz w:val="20"/>
                <w:szCs w:val="20"/>
              </w:rPr>
            </w:pPr>
          </w:p>
        </w:tc>
        <w:tc>
          <w:tcPr>
            <w:tcW w:w="1803" w:type="dxa"/>
            <w:vAlign w:val="center"/>
          </w:tcPr>
          <w:p w14:paraId="2EF1EE3A" w14:textId="2A004202" w:rsidR="006F7F8B" w:rsidRPr="0020329F" w:rsidRDefault="006F7F8B" w:rsidP="006F7F8B">
            <w:pPr>
              <w:rPr>
                <w:rFonts w:ascii="Arial" w:hAnsi="Arial" w:cs="Arial"/>
                <w:b/>
                <w:bCs/>
                <w:sz w:val="20"/>
                <w:szCs w:val="20"/>
              </w:rPr>
            </w:pPr>
            <w:r w:rsidRPr="0020329F">
              <w:rPr>
                <w:rFonts w:ascii="Arial" w:hAnsi="Arial" w:cs="Arial"/>
                <w:sz w:val="20"/>
                <w:szCs w:val="20"/>
              </w:rPr>
              <w:t>3 (IVM control)</w:t>
            </w:r>
          </w:p>
        </w:tc>
        <w:tc>
          <w:tcPr>
            <w:tcW w:w="1803" w:type="dxa"/>
          </w:tcPr>
          <w:p w14:paraId="124CE989" w14:textId="35C50A69" w:rsidR="006F7F8B" w:rsidRPr="0020329F" w:rsidRDefault="006F7F8B" w:rsidP="006F7F8B">
            <w:pPr>
              <w:rPr>
                <w:rFonts w:ascii="Arial" w:hAnsi="Arial" w:cs="Arial"/>
                <w:b/>
                <w:bCs/>
                <w:sz w:val="20"/>
                <w:szCs w:val="20"/>
              </w:rPr>
            </w:pPr>
            <w:r w:rsidRPr="0020329F">
              <w:rPr>
                <w:rFonts w:ascii="Arial" w:eastAsia="Calibri" w:hAnsi="Arial" w:cs="Arial"/>
                <w:sz w:val="20"/>
                <w:szCs w:val="20"/>
              </w:rPr>
              <w:t>21.33 ± 1.60</w:t>
            </w:r>
            <w:r w:rsidRPr="0020329F">
              <w:rPr>
                <w:rFonts w:ascii="Arial" w:eastAsia="Calibri" w:hAnsi="Arial" w:cs="Arial"/>
                <w:sz w:val="20"/>
                <w:szCs w:val="20"/>
                <w:vertAlign w:val="superscript"/>
              </w:rPr>
              <w:t>Aa</w:t>
            </w:r>
          </w:p>
        </w:tc>
        <w:tc>
          <w:tcPr>
            <w:tcW w:w="1803" w:type="dxa"/>
          </w:tcPr>
          <w:p w14:paraId="2BA7E4AB" w14:textId="632D2998" w:rsidR="006F7F8B" w:rsidRPr="0020329F" w:rsidRDefault="006F7F8B" w:rsidP="006F7F8B">
            <w:pPr>
              <w:rPr>
                <w:rFonts w:ascii="Arial" w:hAnsi="Arial" w:cs="Arial"/>
                <w:b/>
                <w:bCs/>
                <w:sz w:val="20"/>
                <w:szCs w:val="20"/>
              </w:rPr>
            </w:pPr>
            <w:r w:rsidRPr="0020329F">
              <w:rPr>
                <w:rFonts w:ascii="Arial" w:eastAsia="Calibri" w:hAnsi="Arial" w:cs="Arial"/>
                <w:sz w:val="20"/>
                <w:szCs w:val="20"/>
              </w:rPr>
              <w:t>17.88 ± 1.24</w:t>
            </w:r>
            <w:r w:rsidRPr="0020329F">
              <w:rPr>
                <w:rFonts w:ascii="Arial" w:eastAsia="Calibri" w:hAnsi="Arial" w:cs="Arial"/>
                <w:sz w:val="20"/>
                <w:szCs w:val="20"/>
                <w:vertAlign w:val="superscript"/>
              </w:rPr>
              <w:t>Bb</w:t>
            </w:r>
          </w:p>
        </w:tc>
        <w:tc>
          <w:tcPr>
            <w:tcW w:w="1804" w:type="dxa"/>
          </w:tcPr>
          <w:p w14:paraId="62FC3AED" w14:textId="56A1A90C" w:rsidR="006F7F8B" w:rsidRPr="0020329F" w:rsidRDefault="006F7F8B" w:rsidP="006F7F8B">
            <w:pPr>
              <w:rPr>
                <w:rFonts w:ascii="Arial" w:hAnsi="Arial" w:cs="Arial"/>
                <w:b/>
                <w:bCs/>
                <w:sz w:val="20"/>
                <w:szCs w:val="20"/>
              </w:rPr>
            </w:pPr>
            <w:r w:rsidRPr="0020329F">
              <w:rPr>
                <w:rFonts w:ascii="Arial" w:eastAsia="Calibri" w:hAnsi="Arial" w:cs="Arial"/>
                <w:sz w:val="20"/>
                <w:szCs w:val="20"/>
              </w:rPr>
              <w:t>15.95 ± 1.54</w:t>
            </w:r>
            <w:r w:rsidRPr="0020329F">
              <w:rPr>
                <w:rFonts w:ascii="Arial" w:eastAsia="Calibri" w:hAnsi="Arial" w:cs="Arial"/>
                <w:sz w:val="20"/>
                <w:szCs w:val="20"/>
                <w:vertAlign w:val="superscript"/>
              </w:rPr>
              <w:t>Cc</w:t>
            </w:r>
          </w:p>
        </w:tc>
      </w:tr>
      <w:tr w:rsidR="00F91F7C" w:rsidRPr="0020329F" w14:paraId="34BFD924" w14:textId="77777777" w:rsidTr="00926A1D">
        <w:tc>
          <w:tcPr>
            <w:tcW w:w="1803" w:type="dxa"/>
            <w:vMerge w:val="restart"/>
            <w:vAlign w:val="center"/>
          </w:tcPr>
          <w:p w14:paraId="622950CB" w14:textId="1D4BCCDA" w:rsidR="006F7F8B" w:rsidRPr="0020329F" w:rsidRDefault="006F7F8B" w:rsidP="006F7F8B">
            <w:pPr>
              <w:rPr>
                <w:rFonts w:ascii="Arial" w:hAnsi="Arial" w:cs="Arial"/>
                <w:b/>
                <w:bCs/>
                <w:sz w:val="20"/>
                <w:szCs w:val="20"/>
              </w:rPr>
            </w:pPr>
            <w:r w:rsidRPr="0020329F">
              <w:rPr>
                <w:rFonts w:ascii="Arial" w:hAnsi="Arial" w:cs="Arial"/>
                <w:b/>
                <w:bCs/>
                <w:sz w:val="20"/>
                <w:szCs w:val="20"/>
              </w:rPr>
              <w:t>TAOC (mmol/L)</w:t>
            </w:r>
          </w:p>
        </w:tc>
        <w:tc>
          <w:tcPr>
            <w:tcW w:w="1803" w:type="dxa"/>
            <w:vAlign w:val="center"/>
          </w:tcPr>
          <w:p w14:paraId="660D5DE7" w14:textId="77F136DA" w:rsidR="006F7F8B" w:rsidRPr="0020329F" w:rsidRDefault="006F7F8B" w:rsidP="006F7F8B">
            <w:pPr>
              <w:rPr>
                <w:rFonts w:ascii="Arial" w:hAnsi="Arial" w:cs="Arial"/>
                <w:b/>
                <w:bCs/>
                <w:sz w:val="20"/>
                <w:szCs w:val="20"/>
              </w:rPr>
            </w:pPr>
            <w:r w:rsidRPr="0020329F">
              <w:rPr>
                <w:rFonts w:ascii="Arial" w:hAnsi="Arial" w:cs="Arial"/>
                <w:sz w:val="20"/>
                <w:szCs w:val="20"/>
              </w:rPr>
              <w:t>1 (Healthy)</w:t>
            </w:r>
          </w:p>
        </w:tc>
        <w:tc>
          <w:tcPr>
            <w:tcW w:w="1803" w:type="dxa"/>
          </w:tcPr>
          <w:p w14:paraId="29D84A46" w14:textId="69AC37F0" w:rsidR="006F7F8B" w:rsidRPr="0020329F" w:rsidRDefault="006F7F8B" w:rsidP="006F7F8B">
            <w:pPr>
              <w:rPr>
                <w:rFonts w:ascii="Arial" w:hAnsi="Arial" w:cs="Arial"/>
                <w:b/>
                <w:bCs/>
                <w:sz w:val="20"/>
                <w:szCs w:val="20"/>
              </w:rPr>
            </w:pPr>
            <w:r w:rsidRPr="0020329F">
              <w:rPr>
                <w:rFonts w:ascii="Arial" w:eastAsia="Calibri" w:hAnsi="Arial" w:cs="Arial"/>
                <w:sz w:val="20"/>
                <w:szCs w:val="20"/>
              </w:rPr>
              <w:t>0.43 ± 0.02</w:t>
            </w:r>
            <w:r w:rsidRPr="0020329F">
              <w:rPr>
                <w:rFonts w:ascii="Arial" w:eastAsia="Calibri" w:hAnsi="Arial" w:cs="Arial"/>
                <w:sz w:val="20"/>
                <w:szCs w:val="20"/>
                <w:vertAlign w:val="superscript"/>
              </w:rPr>
              <w:t>Aa</w:t>
            </w:r>
          </w:p>
        </w:tc>
        <w:tc>
          <w:tcPr>
            <w:tcW w:w="1803" w:type="dxa"/>
          </w:tcPr>
          <w:p w14:paraId="69A633B9" w14:textId="0EEAEB6D" w:rsidR="006F7F8B" w:rsidRPr="0020329F" w:rsidRDefault="006F7F8B" w:rsidP="006F7F8B">
            <w:pPr>
              <w:rPr>
                <w:rFonts w:ascii="Arial" w:hAnsi="Arial" w:cs="Arial"/>
                <w:b/>
                <w:bCs/>
                <w:sz w:val="20"/>
                <w:szCs w:val="20"/>
              </w:rPr>
            </w:pPr>
            <w:r w:rsidRPr="0020329F">
              <w:rPr>
                <w:rFonts w:ascii="Arial" w:eastAsia="Calibri" w:hAnsi="Arial" w:cs="Arial"/>
                <w:sz w:val="20"/>
                <w:szCs w:val="20"/>
              </w:rPr>
              <w:t>0.43 ± 0.02</w:t>
            </w:r>
            <w:r w:rsidRPr="0020329F">
              <w:rPr>
                <w:rFonts w:ascii="Arial" w:eastAsia="Calibri" w:hAnsi="Arial" w:cs="Arial"/>
                <w:sz w:val="20"/>
                <w:szCs w:val="20"/>
                <w:vertAlign w:val="superscript"/>
              </w:rPr>
              <w:t>Aa</w:t>
            </w:r>
          </w:p>
        </w:tc>
        <w:tc>
          <w:tcPr>
            <w:tcW w:w="1804" w:type="dxa"/>
          </w:tcPr>
          <w:p w14:paraId="281B274F" w14:textId="65566406" w:rsidR="006F7F8B" w:rsidRPr="0020329F" w:rsidRDefault="006F7F8B" w:rsidP="006F7F8B">
            <w:pPr>
              <w:rPr>
                <w:rFonts w:ascii="Arial" w:hAnsi="Arial" w:cs="Arial"/>
                <w:b/>
                <w:bCs/>
                <w:sz w:val="20"/>
                <w:szCs w:val="20"/>
              </w:rPr>
            </w:pPr>
            <w:r w:rsidRPr="0020329F">
              <w:rPr>
                <w:rFonts w:ascii="Arial" w:eastAsia="Calibri" w:hAnsi="Arial" w:cs="Arial"/>
                <w:sz w:val="20"/>
                <w:szCs w:val="20"/>
              </w:rPr>
              <w:t>0.43 ± 0.02</w:t>
            </w:r>
            <w:r w:rsidRPr="0020329F">
              <w:rPr>
                <w:rFonts w:ascii="Arial" w:eastAsia="Calibri" w:hAnsi="Arial" w:cs="Arial"/>
                <w:sz w:val="20"/>
                <w:szCs w:val="20"/>
                <w:vertAlign w:val="superscript"/>
              </w:rPr>
              <w:t>Aa</w:t>
            </w:r>
          </w:p>
        </w:tc>
      </w:tr>
      <w:tr w:rsidR="00F91F7C" w:rsidRPr="0020329F" w14:paraId="590993C7" w14:textId="77777777" w:rsidTr="00926A1D">
        <w:tc>
          <w:tcPr>
            <w:tcW w:w="1803" w:type="dxa"/>
            <w:vMerge/>
            <w:vAlign w:val="center"/>
          </w:tcPr>
          <w:p w14:paraId="3EFA12F2" w14:textId="77777777" w:rsidR="006F7F8B" w:rsidRPr="0020329F" w:rsidRDefault="006F7F8B" w:rsidP="006F7F8B">
            <w:pPr>
              <w:rPr>
                <w:rFonts w:ascii="Arial" w:hAnsi="Arial" w:cs="Arial"/>
                <w:b/>
                <w:bCs/>
                <w:sz w:val="20"/>
                <w:szCs w:val="20"/>
              </w:rPr>
            </w:pPr>
          </w:p>
        </w:tc>
        <w:tc>
          <w:tcPr>
            <w:tcW w:w="1803" w:type="dxa"/>
            <w:vAlign w:val="center"/>
          </w:tcPr>
          <w:p w14:paraId="1AB591BA" w14:textId="31B9971D" w:rsidR="006F7F8B" w:rsidRPr="0020329F" w:rsidRDefault="006F7F8B" w:rsidP="006F7F8B">
            <w:pPr>
              <w:rPr>
                <w:rFonts w:ascii="Arial" w:hAnsi="Arial" w:cs="Arial"/>
                <w:b/>
                <w:bCs/>
                <w:sz w:val="20"/>
                <w:szCs w:val="20"/>
              </w:rPr>
            </w:pPr>
            <w:r w:rsidRPr="0020329F">
              <w:rPr>
                <w:rFonts w:ascii="Arial" w:hAnsi="Arial" w:cs="Arial"/>
                <w:sz w:val="20"/>
                <w:szCs w:val="20"/>
              </w:rPr>
              <w:t>2 (EO treated)</w:t>
            </w:r>
          </w:p>
        </w:tc>
        <w:tc>
          <w:tcPr>
            <w:tcW w:w="1803" w:type="dxa"/>
          </w:tcPr>
          <w:p w14:paraId="42A44ECF" w14:textId="3E48398F" w:rsidR="006F7F8B" w:rsidRPr="0020329F" w:rsidRDefault="006F7F8B" w:rsidP="006F7F8B">
            <w:pPr>
              <w:rPr>
                <w:rFonts w:ascii="Arial" w:hAnsi="Arial" w:cs="Arial"/>
                <w:b/>
                <w:bCs/>
                <w:sz w:val="20"/>
                <w:szCs w:val="20"/>
              </w:rPr>
            </w:pPr>
            <w:r w:rsidRPr="0020329F">
              <w:rPr>
                <w:rFonts w:ascii="Arial" w:eastAsia="Calibri" w:hAnsi="Arial" w:cs="Arial"/>
                <w:sz w:val="20"/>
                <w:szCs w:val="20"/>
              </w:rPr>
              <w:t>0.17 ± 0.03</w:t>
            </w:r>
            <w:r w:rsidRPr="0020329F">
              <w:rPr>
                <w:rFonts w:ascii="Arial" w:eastAsia="Calibri" w:hAnsi="Arial" w:cs="Arial"/>
                <w:sz w:val="20"/>
                <w:szCs w:val="20"/>
                <w:vertAlign w:val="superscript"/>
              </w:rPr>
              <w:t>Df</w:t>
            </w:r>
          </w:p>
        </w:tc>
        <w:tc>
          <w:tcPr>
            <w:tcW w:w="1803" w:type="dxa"/>
          </w:tcPr>
          <w:p w14:paraId="3470248E" w14:textId="73D4F4B1" w:rsidR="006F7F8B" w:rsidRPr="0020329F" w:rsidRDefault="006F7F8B" w:rsidP="006F7F8B">
            <w:pPr>
              <w:rPr>
                <w:rFonts w:ascii="Arial" w:hAnsi="Arial" w:cs="Arial"/>
                <w:b/>
                <w:bCs/>
                <w:sz w:val="20"/>
                <w:szCs w:val="20"/>
              </w:rPr>
            </w:pPr>
            <w:r w:rsidRPr="0020329F">
              <w:rPr>
                <w:rFonts w:ascii="Arial" w:eastAsia="Calibri" w:hAnsi="Arial" w:cs="Arial"/>
                <w:sz w:val="20"/>
                <w:szCs w:val="20"/>
              </w:rPr>
              <w:t>0.24 ± 0.01</w:t>
            </w:r>
            <w:r w:rsidRPr="0020329F">
              <w:rPr>
                <w:rFonts w:ascii="Arial" w:eastAsia="Calibri" w:hAnsi="Arial" w:cs="Arial"/>
                <w:sz w:val="20"/>
                <w:szCs w:val="20"/>
                <w:vertAlign w:val="superscript"/>
              </w:rPr>
              <w:t>Cd</w:t>
            </w:r>
          </w:p>
        </w:tc>
        <w:tc>
          <w:tcPr>
            <w:tcW w:w="1804" w:type="dxa"/>
          </w:tcPr>
          <w:p w14:paraId="4D372EC2" w14:textId="4BBC3105" w:rsidR="006F7F8B" w:rsidRPr="0020329F" w:rsidRDefault="006F7F8B" w:rsidP="006F7F8B">
            <w:pPr>
              <w:rPr>
                <w:rFonts w:ascii="Arial" w:hAnsi="Arial" w:cs="Arial"/>
                <w:b/>
                <w:bCs/>
                <w:sz w:val="20"/>
                <w:szCs w:val="20"/>
              </w:rPr>
            </w:pPr>
            <w:r w:rsidRPr="0020329F">
              <w:rPr>
                <w:rFonts w:ascii="Arial" w:eastAsia="Calibri" w:hAnsi="Arial" w:cs="Arial"/>
                <w:sz w:val="20"/>
                <w:szCs w:val="20"/>
              </w:rPr>
              <w:t>0.33 ± 0.01</w:t>
            </w:r>
            <w:r w:rsidRPr="0020329F">
              <w:rPr>
                <w:rFonts w:ascii="Arial" w:eastAsia="Calibri" w:hAnsi="Arial" w:cs="Arial"/>
                <w:sz w:val="20"/>
                <w:szCs w:val="20"/>
                <w:vertAlign w:val="superscript"/>
              </w:rPr>
              <w:t>Bb</w:t>
            </w:r>
          </w:p>
        </w:tc>
      </w:tr>
      <w:tr w:rsidR="00F91F7C" w:rsidRPr="0020329F" w14:paraId="288DE7F9" w14:textId="77777777" w:rsidTr="00926A1D">
        <w:tc>
          <w:tcPr>
            <w:tcW w:w="1803" w:type="dxa"/>
            <w:vMerge/>
            <w:vAlign w:val="center"/>
          </w:tcPr>
          <w:p w14:paraId="5F77282F" w14:textId="77777777" w:rsidR="006F7F8B" w:rsidRPr="0020329F" w:rsidRDefault="006F7F8B" w:rsidP="006F7F8B">
            <w:pPr>
              <w:rPr>
                <w:rFonts w:ascii="Arial" w:hAnsi="Arial" w:cs="Arial"/>
                <w:b/>
                <w:bCs/>
                <w:sz w:val="20"/>
                <w:szCs w:val="20"/>
              </w:rPr>
            </w:pPr>
          </w:p>
        </w:tc>
        <w:tc>
          <w:tcPr>
            <w:tcW w:w="1803" w:type="dxa"/>
            <w:vAlign w:val="center"/>
          </w:tcPr>
          <w:p w14:paraId="794D8CAE" w14:textId="1E2DB23D" w:rsidR="006F7F8B" w:rsidRPr="0020329F" w:rsidRDefault="006F7F8B" w:rsidP="006F7F8B">
            <w:pPr>
              <w:rPr>
                <w:rFonts w:ascii="Arial" w:hAnsi="Arial" w:cs="Arial"/>
                <w:b/>
                <w:bCs/>
                <w:sz w:val="20"/>
                <w:szCs w:val="20"/>
              </w:rPr>
            </w:pPr>
            <w:r w:rsidRPr="0020329F">
              <w:rPr>
                <w:rFonts w:ascii="Arial" w:hAnsi="Arial" w:cs="Arial"/>
                <w:sz w:val="20"/>
                <w:szCs w:val="20"/>
              </w:rPr>
              <w:t>3 (IVM control)</w:t>
            </w:r>
          </w:p>
        </w:tc>
        <w:tc>
          <w:tcPr>
            <w:tcW w:w="1803" w:type="dxa"/>
          </w:tcPr>
          <w:p w14:paraId="2F1AE7D9" w14:textId="0DB17D70" w:rsidR="006F7F8B" w:rsidRPr="0020329F" w:rsidRDefault="006F7F8B" w:rsidP="006F7F8B">
            <w:pPr>
              <w:rPr>
                <w:rFonts w:ascii="Arial" w:hAnsi="Arial" w:cs="Arial"/>
                <w:b/>
                <w:bCs/>
                <w:sz w:val="20"/>
                <w:szCs w:val="20"/>
              </w:rPr>
            </w:pPr>
            <w:r w:rsidRPr="0020329F">
              <w:rPr>
                <w:rFonts w:ascii="Arial" w:eastAsia="Calibri" w:hAnsi="Arial" w:cs="Arial"/>
                <w:sz w:val="20"/>
                <w:szCs w:val="20"/>
              </w:rPr>
              <w:t>0.17 ± 0.02</w:t>
            </w:r>
            <w:r w:rsidRPr="0020329F">
              <w:rPr>
                <w:rFonts w:ascii="Arial" w:eastAsia="Calibri" w:hAnsi="Arial" w:cs="Arial"/>
                <w:sz w:val="20"/>
                <w:szCs w:val="20"/>
                <w:vertAlign w:val="superscript"/>
              </w:rPr>
              <w:t>Df</w:t>
            </w:r>
          </w:p>
        </w:tc>
        <w:tc>
          <w:tcPr>
            <w:tcW w:w="1803" w:type="dxa"/>
          </w:tcPr>
          <w:p w14:paraId="363D3464" w14:textId="6D25E563" w:rsidR="006F7F8B" w:rsidRPr="0020329F" w:rsidRDefault="006F7F8B" w:rsidP="006F7F8B">
            <w:pPr>
              <w:rPr>
                <w:rFonts w:ascii="Arial" w:hAnsi="Arial" w:cs="Arial"/>
                <w:b/>
                <w:bCs/>
                <w:sz w:val="20"/>
                <w:szCs w:val="20"/>
              </w:rPr>
            </w:pPr>
            <w:r w:rsidRPr="0020329F">
              <w:rPr>
                <w:rFonts w:ascii="Arial" w:eastAsia="Calibri" w:hAnsi="Arial" w:cs="Arial"/>
                <w:sz w:val="20"/>
                <w:szCs w:val="20"/>
              </w:rPr>
              <w:t>0.21 ± 0.02</w:t>
            </w:r>
            <w:r w:rsidRPr="0020329F">
              <w:rPr>
                <w:rFonts w:ascii="Arial" w:eastAsia="Calibri" w:hAnsi="Arial" w:cs="Arial"/>
                <w:sz w:val="20"/>
                <w:szCs w:val="20"/>
                <w:vertAlign w:val="superscript"/>
              </w:rPr>
              <w:t>Ce</w:t>
            </w:r>
          </w:p>
        </w:tc>
        <w:tc>
          <w:tcPr>
            <w:tcW w:w="1804" w:type="dxa"/>
          </w:tcPr>
          <w:p w14:paraId="650FC1E2" w14:textId="61DDED8A" w:rsidR="006F7F8B" w:rsidRPr="0020329F" w:rsidRDefault="006F7F8B" w:rsidP="006F7F8B">
            <w:pPr>
              <w:rPr>
                <w:rFonts w:ascii="Arial" w:hAnsi="Arial" w:cs="Arial"/>
                <w:b/>
                <w:bCs/>
                <w:sz w:val="20"/>
                <w:szCs w:val="20"/>
              </w:rPr>
            </w:pPr>
            <w:r w:rsidRPr="0020329F">
              <w:rPr>
                <w:rFonts w:ascii="Arial" w:eastAsia="Calibri" w:hAnsi="Arial" w:cs="Arial"/>
                <w:sz w:val="20"/>
                <w:szCs w:val="20"/>
              </w:rPr>
              <w:t>0.28 ± 0.03</w:t>
            </w:r>
            <w:r w:rsidRPr="0020329F">
              <w:rPr>
                <w:rFonts w:ascii="Arial" w:eastAsia="Calibri" w:hAnsi="Arial" w:cs="Arial"/>
                <w:sz w:val="20"/>
                <w:szCs w:val="20"/>
                <w:vertAlign w:val="superscript"/>
              </w:rPr>
              <w:t>Bc</w:t>
            </w:r>
          </w:p>
        </w:tc>
      </w:tr>
      <w:tr w:rsidR="00F91F7C" w:rsidRPr="0020329F" w14:paraId="2A7C4B04" w14:textId="77777777" w:rsidTr="00926A1D">
        <w:tc>
          <w:tcPr>
            <w:tcW w:w="1803" w:type="dxa"/>
            <w:vMerge w:val="restart"/>
            <w:vAlign w:val="center"/>
          </w:tcPr>
          <w:p w14:paraId="6709125F" w14:textId="30A5314D" w:rsidR="006F7F8B" w:rsidRPr="0020329F" w:rsidRDefault="006F7F8B" w:rsidP="006F7F8B">
            <w:pPr>
              <w:rPr>
                <w:rFonts w:ascii="Arial" w:hAnsi="Arial" w:cs="Arial"/>
                <w:b/>
                <w:bCs/>
                <w:sz w:val="20"/>
                <w:szCs w:val="20"/>
              </w:rPr>
            </w:pPr>
            <w:r w:rsidRPr="0020329F">
              <w:rPr>
                <w:rFonts w:ascii="Arial" w:hAnsi="Arial" w:cs="Arial"/>
                <w:b/>
                <w:bCs/>
                <w:sz w:val="20"/>
                <w:szCs w:val="20"/>
              </w:rPr>
              <w:t>OSI</w:t>
            </w:r>
          </w:p>
        </w:tc>
        <w:tc>
          <w:tcPr>
            <w:tcW w:w="1803" w:type="dxa"/>
            <w:vAlign w:val="center"/>
          </w:tcPr>
          <w:p w14:paraId="6212BB53" w14:textId="079489B1" w:rsidR="006F7F8B" w:rsidRPr="0020329F" w:rsidRDefault="006F7F8B" w:rsidP="006F7F8B">
            <w:pPr>
              <w:rPr>
                <w:rFonts w:ascii="Arial" w:hAnsi="Arial" w:cs="Arial"/>
                <w:b/>
                <w:bCs/>
                <w:sz w:val="20"/>
                <w:szCs w:val="20"/>
              </w:rPr>
            </w:pPr>
            <w:r w:rsidRPr="0020329F">
              <w:rPr>
                <w:rFonts w:ascii="Arial" w:hAnsi="Arial" w:cs="Arial"/>
                <w:sz w:val="20"/>
                <w:szCs w:val="20"/>
              </w:rPr>
              <w:t>1 (Healthy)</w:t>
            </w:r>
          </w:p>
        </w:tc>
        <w:tc>
          <w:tcPr>
            <w:tcW w:w="1803" w:type="dxa"/>
          </w:tcPr>
          <w:p w14:paraId="03A93FD0" w14:textId="22DDD2B2" w:rsidR="006F7F8B" w:rsidRPr="0020329F" w:rsidRDefault="006F7F8B" w:rsidP="009B541D">
            <w:pPr>
              <w:rPr>
                <w:rFonts w:ascii="Arial" w:hAnsi="Arial" w:cs="Arial"/>
                <w:b/>
                <w:bCs/>
                <w:sz w:val="20"/>
                <w:szCs w:val="20"/>
              </w:rPr>
            </w:pPr>
            <w:r w:rsidRPr="0020329F">
              <w:rPr>
                <w:rFonts w:ascii="Arial" w:eastAsia="Calibri" w:hAnsi="Arial" w:cs="Arial"/>
                <w:sz w:val="20"/>
                <w:szCs w:val="20"/>
              </w:rPr>
              <w:t>2.87 ± 0.12</w:t>
            </w:r>
            <w:r w:rsidRPr="0020329F">
              <w:rPr>
                <w:rFonts w:ascii="Arial" w:eastAsia="Calibri" w:hAnsi="Arial" w:cs="Arial"/>
                <w:sz w:val="20"/>
                <w:szCs w:val="20"/>
                <w:vertAlign w:val="superscript"/>
              </w:rPr>
              <w:t>Dg</w:t>
            </w:r>
          </w:p>
        </w:tc>
        <w:tc>
          <w:tcPr>
            <w:tcW w:w="1803" w:type="dxa"/>
          </w:tcPr>
          <w:p w14:paraId="0F01CE2E" w14:textId="32E8B920" w:rsidR="006F7F8B" w:rsidRPr="0020329F" w:rsidRDefault="006F7F8B" w:rsidP="006F7F8B">
            <w:pPr>
              <w:rPr>
                <w:rFonts w:ascii="Arial" w:hAnsi="Arial" w:cs="Arial"/>
                <w:b/>
                <w:bCs/>
                <w:sz w:val="20"/>
                <w:szCs w:val="20"/>
              </w:rPr>
            </w:pPr>
            <w:r w:rsidRPr="0020329F">
              <w:rPr>
                <w:rFonts w:ascii="Arial" w:eastAsia="Calibri" w:hAnsi="Arial" w:cs="Arial"/>
                <w:sz w:val="20"/>
                <w:szCs w:val="20"/>
              </w:rPr>
              <w:t>2.87 ± 0.12</w:t>
            </w:r>
            <w:r w:rsidRPr="0020329F">
              <w:rPr>
                <w:rFonts w:ascii="Arial" w:eastAsia="Calibri" w:hAnsi="Arial" w:cs="Arial"/>
                <w:sz w:val="20"/>
                <w:szCs w:val="20"/>
                <w:vertAlign w:val="superscript"/>
              </w:rPr>
              <w:t>Dg</w:t>
            </w:r>
          </w:p>
        </w:tc>
        <w:tc>
          <w:tcPr>
            <w:tcW w:w="1804" w:type="dxa"/>
          </w:tcPr>
          <w:p w14:paraId="534F765A" w14:textId="2512DEE3" w:rsidR="006F7F8B" w:rsidRPr="0020329F" w:rsidRDefault="006F7F8B" w:rsidP="006F7F8B">
            <w:pPr>
              <w:rPr>
                <w:rFonts w:ascii="Arial" w:hAnsi="Arial" w:cs="Arial"/>
                <w:b/>
                <w:bCs/>
                <w:sz w:val="20"/>
                <w:szCs w:val="20"/>
              </w:rPr>
            </w:pPr>
            <w:r w:rsidRPr="0020329F">
              <w:rPr>
                <w:rFonts w:ascii="Arial" w:eastAsia="Calibri" w:hAnsi="Arial" w:cs="Arial"/>
                <w:sz w:val="20"/>
                <w:szCs w:val="20"/>
              </w:rPr>
              <w:t>2.87 ± 0.12</w:t>
            </w:r>
            <w:r w:rsidRPr="0020329F">
              <w:rPr>
                <w:rFonts w:ascii="Arial" w:eastAsia="Calibri" w:hAnsi="Arial" w:cs="Arial"/>
                <w:sz w:val="20"/>
                <w:szCs w:val="20"/>
                <w:vertAlign w:val="superscript"/>
              </w:rPr>
              <w:t>Dg</w:t>
            </w:r>
          </w:p>
        </w:tc>
      </w:tr>
      <w:tr w:rsidR="00F91F7C" w:rsidRPr="0020329F" w14:paraId="01E26E4A" w14:textId="77777777" w:rsidTr="00926A1D">
        <w:tc>
          <w:tcPr>
            <w:tcW w:w="1803" w:type="dxa"/>
            <w:vMerge/>
            <w:vAlign w:val="center"/>
          </w:tcPr>
          <w:p w14:paraId="119A6FDC" w14:textId="77777777" w:rsidR="006F7F8B" w:rsidRPr="0020329F" w:rsidRDefault="006F7F8B" w:rsidP="006F7F8B">
            <w:pPr>
              <w:rPr>
                <w:rFonts w:ascii="Arial" w:hAnsi="Arial" w:cs="Arial"/>
                <w:b/>
                <w:bCs/>
                <w:sz w:val="20"/>
                <w:szCs w:val="20"/>
              </w:rPr>
            </w:pPr>
          </w:p>
        </w:tc>
        <w:tc>
          <w:tcPr>
            <w:tcW w:w="1803" w:type="dxa"/>
            <w:vAlign w:val="center"/>
          </w:tcPr>
          <w:p w14:paraId="6CC20A3C" w14:textId="215E4F7B" w:rsidR="006F7F8B" w:rsidRPr="0020329F" w:rsidRDefault="006F7F8B" w:rsidP="006F7F8B">
            <w:pPr>
              <w:rPr>
                <w:rFonts w:ascii="Arial" w:hAnsi="Arial" w:cs="Arial"/>
                <w:b/>
                <w:bCs/>
                <w:sz w:val="20"/>
                <w:szCs w:val="20"/>
              </w:rPr>
            </w:pPr>
            <w:r w:rsidRPr="0020329F">
              <w:rPr>
                <w:rFonts w:ascii="Arial" w:hAnsi="Arial" w:cs="Arial"/>
                <w:sz w:val="20"/>
                <w:szCs w:val="20"/>
              </w:rPr>
              <w:t>2 (EO treated)</w:t>
            </w:r>
          </w:p>
        </w:tc>
        <w:tc>
          <w:tcPr>
            <w:tcW w:w="1803" w:type="dxa"/>
          </w:tcPr>
          <w:p w14:paraId="6B0FA34B" w14:textId="5FFD7145" w:rsidR="006F7F8B" w:rsidRPr="0020329F" w:rsidRDefault="006F7F8B" w:rsidP="006F7F8B">
            <w:pPr>
              <w:rPr>
                <w:rFonts w:ascii="Arial" w:hAnsi="Arial" w:cs="Arial"/>
                <w:b/>
                <w:bCs/>
                <w:sz w:val="20"/>
                <w:szCs w:val="20"/>
              </w:rPr>
            </w:pPr>
            <w:r w:rsidRPr="0020329F">
              <w:rPr>
                <w:rFonts w:ascii="Arial" w:eastAsia="Calibri" w:hAnsi="Arial" w:cs="Arial"/>
                <w:sz w:val="20"/>
                <w:szCs w:val="20"/>
              </w:rPr>
              <w:t>12.40 ± 0.53</w:t>
            </w:r>
            <w:r w:rsidRPr="0020329F">
              <w:rPr>
                <w:rFonts w:ascii="Arial" w:eastAsia="Calibri" w:hAnsi="Arial" w:cs="Arial"/>
                <w:sz w:val="20"/>
                <w:szCs w:val="20"/>
                <w:vertAlign w:val="superscript"/>
              </w:rPr>
              <w:t>Ab</w:t>
            </w:r>
          </w:p>
        </w:tc>
        <w:tc>
          <w:tcPr>
            <w:tcW w:w="1803" w:type="dxa"/>
          </w:tcPr>
          <w:p w14:paraId="51F86C0E" w14:textId="18EF56DC" w:rsidR="006F7F8B" w:rsidRPr="0020329F" w:rsidRDefault="006F7F8B" w:rsidP="006F7F8B">
            <w:pPr>
              <w:rPr>
                <w:rFonts w:ascii="Arial" w:hAnsi="Arial" w:cs="Arial"/>
                <w:b/>
                <w:bCs/>
                <w:sz w:val="20"/>
                <w:szCs w:val="20"/>
              </w:rPr>
            </w:pPr>
            <w:r w:rsidRPr="0020329F">
              <w:rPr>
                <w:rFonts w:ascii="Arial" w:eastAsia="Calibri" w:hAnsi="Arial" w:cs="Arial"/>
                <w:sz w:val="20"/>
                <w:szCs w:val="20"/>
              </w:rPr>
              <w:t>6.89 ± 0.44</w:t>
            </w:r>
            <w:r w:rsidRPr="0020329F">
              <w:rPr>
                <w:rFonts w:ascii="Arial" w:eastAsia="Calibri" w:hAnsi="Arial" w:cs="Arial"/>
                <w:sz w:val="20"/>
                <w:szCs w:val="20"/>
                <w:vertAlign w:val="superscript"/>
              </w:rPr>
              <w:t>Bd</w:t>
            </w:r>
          </w:p>
        </w:tc>
        <w:tc>
          <w:tcPr>
            <w:tcW w:w="1804" w:type="dxa"/>
          </w:tcPr>
          <w:p w14:paraId="42564002" w14:textId="30E3F3E4" w:rsidR="006F7F8B" w:rsidRPr="0020329F" w:rsidRDefault="006F7F8B" w:rsidP="006F7F8B">
            <w:pPr>
              <w:rPr>
                <w:rFonts w:ascii="Arial" w:hAnsi="Arial" w:cs="Arial"/>
                <w:b/>
                <w:bCs/>
                <w:sz w:val="20"/>
                <w:szCs w:val="20"/>
              </w:rPr>
            </w:pPr>
            <w:r w:rsidRPr="0020329F">
              <w:rPr>
                <w:rFonts w:ascii="Arial" w:eastAsia="Calibri" w:hAnsi="Arial" w:cs="Arial"/>
                <w:sz w:val="20"/>
                <w:szCs w:val="20"/>
              </w:rPr>
              <w:t>4.13 ± 0.26</w:t>
            </w:r>
            <w:r w:rsidRPr="0020329F">
              <w:rPr>
                <w:rFonts w:ascii="Arial" w:eastAsia="Calibri" w:hAnsi="Arial" w:cs="Arial"/>
                <w:sz w:val="20"/>
                <w:szCs w:val="20"/>
                <w:vertAlign w:val="superscript"/>
              </w:rPr>
              <w:t>Cf</w:t>
            </w:r>
          </w:p>
        </w:tc>
      </w:tr>
      <w:tr w:rsidR="00F91F7C" w:rsidRPr="0020329F" w14:paraId="41F360AC" w14:textId="77777777" w:rsidTr="00926A1D">
        <w:tc>
          <w:tcPr>
            <w:tcW w:w="1803" w:type="dxa"/>
            <w:vMerge/>
            <w:vAlign w:val="center"/>
          </w:tcPr>
          <w:p w14:paraId="061B9CF4" w14:textId="77777777" w:rsidR="006F7F8B" w:rsidRPr="0020329F" w:rsidRDefault="006F7F8B" w:rsidP="006F7F8B">
            <w:pPr>
              <w:rPr>
                <w:rFonts w:ascii="Arial" w:hAnsi="Arial" w:cs="Arial"/>
                <w:b/>
                <w:bCs/>
                <w:sz w:val="20"/>
                <w:szCs w:val="20"/>
              </w:rPr>
            </w:pPr>
          </w:p>
        </w:tc>
        <w:tc>
          <w:tcPr>
            <w:tcW w:w="1803" w:type="dxa"/>
            <w:vAlign w:val="center"/>
          </w:tcPr>
          <w:p w14:paraId="6C60E40D" w14:textId="456E841C" w:rsidR="006F7F8B" w:rsidRPr="0020329F" w:rsidRDefault="006F7F8B" w:rsidP="006F7F8B">
            <w:pPr>
              <w:rPr>
                <w:rFonts w:ascii="Arial" w:hAnsi="Arial" w:cs="Arial"/>
                <w:b/>
                <w:bCs/>
                <w:sz w:val="20"/>
                <w:szCs w:val="20"/>
              </w:rPr>
            </w:pPr>
            <w:r w:rsidRPr="0020329F">
              <w:rPr>
                <w:rFonts w:ascii="Arial" w:hAnsi="Arial" w:cs="Arial"/>
                <w:sz w:val="20"/>
                <w:szCs w:val="20"/>
              </w:rPr>
              <w:t>3 (IVM control)</w:t>
            </w:r>
          </w:p>
        </w:tc>
        <w:tc>
          <w:tcPr>
            <w:tcW w:w="1803" w:type="dxa"/>
          </w:tcPr>
          <w:p w14:paraId="5C19B564" w14:textId="34102D9F" w:rsidR="006F7F8B" w:rsidRPr="0020329F" w:rsidRDefault="006F7F8B" w:rsidP="006F7F8B">
            <w:pPr>
              <w:rPr>
                <w:rFonts w:ascii="Arial" w:hAnsi="Arial" w:cs="Arial"/>
                <w:b/>
                <w:bCs/>
                <w:sz w:val="20"/>
                <w:szCs w:val="20"/>
              </w:rPr>
            </w:pPr>
            <w:r w:rsidRPr="0020329F">
              <w:rPr>
                <w:rFonts w:ascii="Arial" w:eastAsia="Calibri" w:hAnsi="Arial" w:cs="Arial"/>
                <w:sz w:val="20"/>
                <w:szCs w:val="20"/>
              </w:rPr>
              <w:t>12.65 ± 1.28</w:t>
            </w:r>
            <w:r w:rsidRPr="0020329F">
              <w:rPr>
                <w:rFonts w:ascii="Arial" w:eastAsia="Calibri" w:hAnsi="Arial" w:cs="Arial"/>
                <w:sz w:val="20"/>
                <w:szCs w:val="20"/>
                <w:vertAlign w:val="superscript"/>
              </w:rPr>
              <w:t>Aa</w:t>
            </w:r>
          </w:p>
        </w:tc>
        <w:tc>
          <w:tcPr>
            <w:tcW w:w="1803" w:type="dxa"/>
          </w:tcPr>
          <w:p w14:paraId="6150A21B" w14:textId="6BB304A6" w:rsidR="006F7F8B" w:rsidRPr="0020329F" w:rsidRDefault="006F7F8B" w:rsidP="006F7F8B">
            <w:pPr>
              <w:rPr>
                <w:rFonts w:ascii="Arial" w:hAnsi="Arial" w:cs="Arial"/>
                <w:b/>
                <w:bCs/>
                <w:sz w:val="20"/>
                <w:szCs w:val="20"/>
              </w:rPr>
            </w:pPr>
            <w:r w:rsidRPr="0020329F">
              <w:rPr>
                <w:rFonts w:ascii="Arial" w:eastAsia="Calibri" w:hAnsi="Arial" w:cs="Arial"/>
                <w:sz w:val="20"/>
                <w:szCs w:val="20"/>
              </w:rPr>
              <w:t>8.39 ± 0.83</w:t>
            </w:r>
            <w:r w:rsidRPr="0020329F">
              <w:rPr>
                <w:rFonts w:ascii="Arial" w:eastAsia="Calibri" w:hAnsi="Arial" w:cs="Arial"/>
                <w:sz w:val="20"/>
                <w:szCs w:val="20"/>
                <w:vertAlign w:val="superscript"/>
              </w:rPr>
              <w:t>Bc</w:t>
            </w:r>
          </w:p>
        </w:tc>
        <w:tc>
          <w:tcPr>
            <w:tcW w:w="1804" w:type="dxa"/>
          </w:tcPr>
          <w:p w14:paraId="6D67CB69" w14:textId="4DC656FB" w:rsidR="006F7F8B" w:rsidRPr="0020329F" w:rsidRDefault="006F7F8B" w:rsidP="006F7F8B">
            <w:pPr>
              <w:rPr>
                <w:rFonts w:ascii="Arial" w:hAnsi="Arial" w:cs="Arial"/>
                <w:b/>
                <w:bCs/>
                <w:sz w:val="20"/>
                <w:szCs w:val="20"/>
              </w:rPr>
            </w:pPr>
            <w:r w:rsidRPr="0020329F">
              <w:rPr>
                <w:rFonts w:ascii="Arial" w:eastAsia="Calibri" w:hAnsi="Arial" w:cs="Arial"/>
                <w:sz w:val="20"/>
                <w:szCs w:val="20"/>
              </w:rPr>
              <w:t>5.63 ± 0.49</w:t>
            </w:r>
            <w:r w:rsidRPr="0020329F">
              <w:rPr>
                <w:rFonts w:ascii="Arial" w:eastAsia="Calibri" w:hAnsi="Arial" w:cs="Arial"/>
                <w:sz w:val="20"/>
                <w:szCs w:val="20"/>
                <w:vertAlign w:val="superscript"/>
              </w:rPr>
              <w:t>Ce</w:t>
            </w:r>
          </w:p>
        </w:tc>
      </w:tr>
    </w:tbl>
    <w:p w14:paraId="20078D52" w14:textId="77777777" w:rsidR="00FF1F00" w:rsidRPr="0020329F" w:rsidRDefault="00FF1F00" w:rsidP="00FF1F00">
      <w:pPr>
        <w:spacing w:line="240" w:lineRule="auto"/>
        <w:rPr>
          <w:rFonts w:ascii="Arial" w:hAnsi="Arial" w:cs="Arial"/>
          <w:sz w:val="20"/>
          <w:szCs w:val="20"/>
        </w:rPr>
      </w:pPr>
      <w:r w:rsidRPr="0020329F">
        <w:rPr>
          <w:rFonts w:ascii="Arial" w:hAnsi="Arial" w:cs="Arial"/>
          <w:sz w:val="20"/>
          <w:szCs w:val="20"/>
        </w:rPr>
        <w:t>Mean with different superscript (a, b, c, d) in rows are differing significantly in between the groups, otherwise non-significant.</w:t>
      </w:r>
    </w:p>
    <w:p w14:paraId="29AFD23B" w14:textId="628BF3C1" w:rsidR="001074D3" w:rsidRPr="0020329F" w:rsidRDefault="00FF1F00" w:rsidP="00FF1F00">
      <w:pPr>
        <w:spacing w:after="240" w:line="240" w:lineRule="auto"/>
        <w:rPr>
          <w:rFonts w:ascii="Arial" w:hAnsi="Arial" w:cs="Arial"/>
          <w:sz w:val="20"/>
          <w:szCs w:val="20"/>
        </w:rPr>
      </w:pPr>
      <w:r w:rsidRPr="0020329F">
        <w:rPr>
          <w:rFonts w:ascii="Arial" w:hAnsi="Arial" w:cs="Arial"/>
          <w:sz w:val="20"/>
          <w:szCs w:val="20"/>
        </w:rPr>
        <w:t xml:space="preserve">Mean with different superscript (A, B, C, D) in columns are differing significantly in between the intervals, otherwise non-significant. </w:t>
      </w:r>
    </w:p>
    <w:p w14:paraId="0D3047CB" w14:textId="5AC9C368" w:rsidR="007C50F5" w:rsidRDefault="009538ED" w:rsidP="007C50F5">
      <w:pPr>
        <w:spacing w:after="240" w:line="240" w:lineRule="auto"/>
        <w:jc w:val="center"/>
        <w:rPr>
          <w:rFonts w:ascii="Arial" w:hAnsi="Arial" w:cs="Arial"/>
          <w:noProof/>
          <w:sz w:val="24"/>
          <w:szCs w:val="24"/>
        </w:rPr>
      </w:pPr>
      <w:r w:rsidRPr="0020329F">
        <w:rPr>
          <w:rFonts w:ascii="Arial" w:hAnsi="Arial" w:cs="Arial"/>
          <w:noProof/>
          <w:sz w:val="24"/>
          <w:szCs w:val="24"/>
        </w:rPr>
        <w:lastRenderedPageBreak/>
        <w:drawing>
          <wp:inline distT="0" distB="0" distL="0" distR="0" wp14:anchorId="6CFD5D07" wp14:editId="6E9934FE">
            <wp:extent cx="3363210" cy="1987966"/>
            <wp:effectExtent l="0" t="0" r="8890" b="0"/>
            <wp:docPr id="1021475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475336" name="Picture 1021475336"/>
                    <pic:cNvPicPr/>
                  </pic:nvPicPr>
                  <pic:blipFill>
                    <a:blip r:embed="rId7">
                      <a:extLst>
                        <a:ext uri="{28A0092B-C50C-407E-A947-70E740481C1C}">
                          <a14:useLocalDpi xmlns:a14="http://schemas.microsoft.com/office/drawing/2010/main" val="0"/>
                        </a:ext>
                      </a:extLst>
                    </a:blip>
                    <a:stretch>
                      <a:fillRect/>
                    </a:stretch>
                  </pic:blipFill>
                  <pic:spPr>
                    <a:xfrm>
                      <a:off x="0" y="0"/>
                      <a:ext cx="3363210" cy="1987966"/>
                    </a:xfrm>
                    <a:prstGeom prst="rect">
                      <a:avLst/>
                    </a:prstGeom>
                  </pic:spPr>
                </pic:pic>
              </a:graphicData>
            </a:graphic>
          </wp:inline>
        </w:drawing>
      </w:r>
    </w:p>
    <w:p w14:paraId="3A241A57" w14:textId="7B13CB0F" w:rsidR="00E073DC" w:rsidRPr="00E073DC" w:rsidRDefault="00E073DC" w:rsidP="00E073DC">
      <w:pPr>
        <w:autoSpaceDE w:val="0"/>
        <w:autoSpaceDN w:val="0"/>
        <w:adjustRightInd w:val="0"/>
        <w:rPr>
          <w:rFonts w:ascii="Arial" w:hAnsi="Arial" w:cs="Arial"/>
          <w:b/>
          <w:bCs/>
          <w:sz w:val="20"/>
          <w:szCs w:val="20"/>
        </w:rPr>
      </w:pPr>
      <w:r w:rsidRPr="00E073DC">
        <w:rPr>
          <w:rFonts w:ascii="Arial" w:hAnsi="Arial" w:cs="Arial"/>
          <w:b/>
          <w:bCs/>
          <w:sz w:val="20"/>
          <w:szCs w:val="20"/>
        </w:rPr>
        <w:t xml:space="preserve">Fig. 1. </w:t>
      </w:r>
      <w:r w:rsidR="0004393C">
        <w:rPr>
          <w:rFonts w:ascii="Arial" w:hAnsi="Arial" w:cs="Arial"/>
          <w:b/>
          <w:bCs/>
          <w:sz w:val="20"/>
          <w:szCs w:val="20"/>
        </w:rPr>
        <w:t>Standard curve of TOS concentration against absorbance at 590 nm</w:t>
      </w:r>
    </w:p>
    <w:p w14:paraId="6A18DF52" w14:textId="745A4AD9" w:rsidR="00E073DC" w:rsidRDefault="00E073DC" w:rsidP="00E073DC">
      <w:pPr>
        <w:tabs>
          <w:tab w:val="center" w:pos="1788"/>
        </w:tabs>
        <w:spacing w:after="240" w:line="240" w:lineRule="auto"/>
        <w:jc w:val="left"/>
        <w:rPr>
          <w:rFonts w:ascii="Arial" w:hAnsi="Arial" w:cs="Arial"/>
          <w:noProof/>
          <w:sz w:val="24"/>
          <w:szCs w:val="24"/>
        </w:rPr>
      </w:pPr>
      <w:r w:rsidRPr="0020329F">
        <w:rPr>
          <w:rFonts w:ascii="Arial" w:hAnsi="Arial" w:cs="Arial"/>
          <w:noProof/>
          <w:sz w:val="24"/>
          <w:szCs w:val="24"/>
        </w:rPr>
        <w:drawing>
          <wp:anchor distT="0" distB="0" distL="114300" distR="114300" simplePos="0" relativeHeight="251658240" behindDoc="0" locked="0" layoutInCell="1" allowOverlap="1" wp14:anchorId="481634C5" wp14:editId="68630CB5">
            <wp:simplePos x="0" y="0"/>
            <wp:positionH relativeFrom="column">
              <wp:posOffset>1542222</wp:posOffset>
            </wp:positionH>
            <wp:positionV relativeFrom="paragraph">
              <wp:posOffset>181416</wp:posOffset>
            </wp:positionV>
            <wp:extent cx="2790908" cy="2048679"/>
            <wp:effectExtent l="0" t="0" r="0" b="8890"/>
            <wp:wrapSquare wrapText="bothSides"/>
            <wp:docPr id="3709340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934087" name="Picture 370934087"/>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90908" cy="2048679"/>
                    </a:xfrm>
                    <a:prstGeom prst="rect">
                      <a:avLst/>
                    </a:prstGeom>
                  </pic:spPr>
                </pic:pic>
              </a:graphicData>
            </a:graphic>
          </wp:anchor>
        </w:drawing>
      </w:r>
    </w:p>
    <w:p w14:paraId="5E3983DC" w14:textId="7715C69A" w:rsidR="008030DF" w:rsidRPr="00641C83" w:rsidRDefault="00E073DC" w:rsidP="00641C83">
      <w:pPr>
        <w:autoSpaceDE w:val="0"/>
        <w:autoSpaceDN w:val="0"/>
        <w:adjustRightInd w:val="0"/>
        <w:rPr>
          <w:rFonts w:ascii="Arial" w:hAnsi="Arial" w:cs="Arial"/>
          <w:b/>
          <w:bCs/>
          <w:sz w:val="20"/>
          <w:szCs w:val="20"/>
        </w:rPr>
      </w:pPr>
      <w:r>
        <w:rPr>
          <w:rFonts w:ascii="Arial" w:hAnsi="Arial" w:cs="Arial"/>
          <w:noProof/>
          <w:sz w:val="24"/>
          <w:szCs w:val="24"/>
        </w:rPr>
        <w:br w:type="textWrapping" w:clear="all"/>
      </w:r>
      <w:r w:rsidRPr="00E073DC">
        <w:rPr>
          <w:rFonts w:ascii="Arial" w:hAnsi="Arial" w:cs="Arial"/>
          <w:b/>
          <w:bCs/>
          <w:sz w:val="20"/>
          <w:szCs w:val="20"/>
        </w:rPr>
        <w:t xml:space="preserve">Fig. </w:t>
      </w:r>
      <w:r>
        <w:rPr>
          <w:rFonts w:ascii="Arial" w:hAnsi="Arial" w:cs="Arial"/>
          <w:b/>
          <w:bCs/>
          <w:sz w:val="20"/>
          <w:szCs w:val="20"/>
        </w:rPr>
        <w:t>2</w:t>
      </w:r>
      <w:r w:rsidRPr="00E073DC">
        <w:rPr>
          <w:rFonts w:ascii="Arial" w:hAnsi="Arial" w:cs="Arial"/>
          <w:b/>
          <w:bCs/>
          <w:sz w:val="20"/>
          <w:szCs w:val="20"/>
        </w:rPr>
        <w:t xml:space="preserve">. </w:t>
      </w:r>
      <w:r w:rsidR="0004393C">
        <w:rPr>
          <w:rFonts w:ascii="Arial" w:hAnsi="Arial" w:cs="Arial"/>
          <w:b/>
          <w:bCs/>
          <w:sz w:val="20"/>
          <w:szCs w:val="20"/>
        </w:rPr>
        <w:t>TOS concentration in infected vs. healthy dogs</w:t>
      </w:r>
    </w:p>
    <w:p w14:paraId="5A3ECC46" w14:textId="77777777" w:rsidR="007C50F5" w:rsidRDefault="009538ED" w:rsidP="007C50F5">
      <w:pPr>
        <w:spacing w:after="240" w:line="240" w:lineRule="auto"/>
        <w:jc w:val="center"/>
        <w:rPr>
          <w:rFonts w:ascii="Arial" w:hAnsi="Arial" w:cs="Arial"/>
          <w:noProof/>
          <w:sz w:val="24"/>
          <w:szCs w:val="24"/>
        </w:rPr>
      </w:pPr>
      <w:r w:rsidRPr="0020329F">
        <w:rPr>
          <w:rFonts w:ascii="Arial" w:hAnsi="Arial" w:cs="Arial"/>
          <w:noProof/>
          <w:sz w:val="24"/>
          <w:szCs w:val="24"/>
        </w:rPr>
        <w:drawing>
          <wp:inline distT="0" distB="0" distL="0" distR="0" wp14:anchorId="36BAE6CE" wp14:editId="5383F2BC">
            <wp:extent cx="3264004" cy="1963972"/>
            <wp:effectExtent l="0" t="0" r="0" b="0"/>
            <wp:docPr id="16952542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254253" name="Picture 1695254253"/>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09752" cy="1991499"/>
                    </a:xfrm>
                    <a:prstGeom prst="rect">
                      <a:avLst/>
                    </a:prstGeom>
                  </pic:spPr>
                </pic:pic>
              </a:graphicData>
            </a:graphic>
          </wp:inline>
        </w:drawing>
      </w:r>
    </w:p>
    <w:p w14:paraId="454D2FAB" w14:textId="2CEC4884" w:rsidR="00E073DC" w:rsidRPr="00E073DC" w:rsidRDefault="00E073DC" w:rsidP="00E073DC">
      <w:pPr>
        <w:autoSpaceDE w:val="0"/>
        <w:autoSpaceDN w:val="0"/>
        <w:adjustRightInd w:val="0"/>
        <w:rPr>
          <w:rFonts w:ascii="Arial" w:hAnsi="Arial" w:cs="Arial"/>
          <w:b/>
          <w:bCs/>
          <w:sz w:val="20"/>
          <w:szCs w:val="20"/>
        </w:rPr>
      </w:pPr>
      <w:r w:rsidRPr="00E073DC">
        <w:rPr>
          <w:rFonts w:ascii="Arial" w:hAnsi="Arial" w:cs="Arial"/>
          <w:b/>
          <w:bCs/>
          <w:sz w:val="20"/>
          <w:szCs w:val="20"/>
        </w:rPr>
        <w:t xml:space="preserve">Fig. </w:t>
      </w:r>
      <w:r>
        <w:rPr>
          <w:rFonts w:ascii="Arial" w:hAnsi="Arial" w:cs="Arial"/>
          <w:b/>
          <w:bCs/>
          <w:sz w:val="20"/>
          <w:szCs w:val="20"/>
        </w:rPr>
        <w:t>3</w:t>
      </w:r>
      <w:r w:rsidR="0004393C">
        <w:rPr>
          <w:rFonts w:ascii="Arial" w:hAnsi="Arial" w:cs="Arial"/>
          <w:b/>
          <w:bCs/>
          <w:sz w:val="20"/>
          <w:szCs w:val="20"/>
        </w:rPr>
        <w:t>. TOS concentration in treatment groups on days 0, 14 and 28</w:t>
      </w:r>
    </w:p>
    <w:p w14:paraId="2551C8E1" w14:textId="3D2A9427" w:rsidR="00E073DC" w:rsidRPr="00E073DC" w:rsidRDefault="00E073DC" w:rsidP="00E073DC">
      <w:pPr>
        <w:tabs>
          <w:tab w:val="left" w:pos="2467"/>
        </w:tabs>
        <w:rPr>
          <w:rFonts w:ascii="Arial" w:hAnsi="Arial" w:cs="Arial"/>
          <w:sz w:val="24"/>
          <w:szCs w:val="24"/>
        </w:rPr>
      </w:pPr>
    </w:p>
    <w:p w14:paraId="6C47E45E" w14:textId="103EF4B7" w:rsidR="00297370" w:rsidRPr="0020329F" w:rsidRDefault="00297370" w:rsidP="007C50F5">
      <w:pPr>
        <w:spacing w:after="240" w:line="240" w:lineRule="auto"/>
        <w:jc w:val="center"/>
        <w:rPr>
          <w:rFonts w:ascii="Arial" w:hAnsi="Arial" w:cs="Arial"/>
          <w:sz w:val="24"/>
          <w:szCs w:val="24"/>
        </w:rPr>
      </w:pPr>
      <w:r w:rsidRPr="0020329F">
        <w:rPr>
          <w:rFonts w:ascii="Arial" w:hAnsi="Arial" w:cs="Arial"/>
          <w:noProof/>
          <w:sz w:val="24"/>
          <w:szCs w:val="24"/>
        </w:rPr>
        <w:lastRenderedPageBreak/>
        <w:drawing>
          <wp:inline distT="0" distB="0" distL="0" distR="0" wp14:anchorId="7DC569E9" wp14:editId="5F7688AB">
            <wp:extent cx="2950944" cy="1916265"/>
            <wp:effectExtent l="0" t="0" r="1905" b="8255"/>
            <wp:docPr id="2135237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23787" name="Picture 213523787"/>
                    <pic:cNvPicPr/>
                  </pic:nvPicPr>
                  <pic:blipFill>
                    <a:blip r:embed="rId10">
                      <a:extLst>
                        <a:ext uri="{28A0092B-C50C-407E-A947-70E740481C1C}">
                          <a14:useLocalDpi xmlns:a14="http://schemas.microsoft.com/office/drawing/2010/main" val="0"/>
                        </a:ext>
                      </a:extLst>
                    </a:blip>
                    <a:stretch>
                      <a:fillRect/>
                    </a:stretch>
                  </pic:blipFill>
                  <pic:spPr>
                    <a:xfrm>
                      <a:off x="0" y="0"/>
                      <a:ext cx="2978938" cy="1934443"/>
                    </a:xfrm>
                    <a:prstGeom prst="rect">
                      <a:avLst/>
                    </a:prstGeom>
                  </pic:spPr>
                </pic:pic>
              </a:graphicData>
            </a:graphic>
          </wp:inline>
        </w:drawing>
      </w:r>
    </w:p>
    <w:p w14:paraId="57333C64" w14:textId="223AC437" w:rsidR="0004393C" w:rsidRPr="00E073DC" w:rsidRDefault="0079474A" w:rsidP="0004393C">
      <w:pPr>
        <w:autoSpaceDE w:val="0"/>
        <w:autoSpaceDN w:val="0"/>
        <w:adjustRightInd w:val="0"/>
        <w:rPr>
          <w:rFonts w:ascii="Arial" w:hAnsi="Arial" w:cs="Arial"/>
          <w:b/>
          <w:bCs/>
          <w:sz w:val="20"/>
          <w:szCs w:val="20"/>
        </w:rPr>
      </w:pPr>
      <w:r w:rsidRPr="00E073DC">
        <w:rPr>
          <w:rFonts w:ascii="Arial" w:hAnsi="Arial" w:cs="Arial"/>
          <w:b/>
          <w:bCs/>
          <w:sz w:val="20"/>
          <w:szCs w:val="20"/>
        </w:rPr>
        <w:t xml:space="preserve">Fig. </w:t>
      </w:r>
      <w:r>
        <w:rPr>
          <w:rFonts w:ascii="Arial" w:hAnsi="Arial" w:cs="Arial"/>
          <w:b/>
          <w:bCs/>
          <w:sz w:val="20"/>
          <w:szCs w:val="20"/>
        </w:rPr>
        <w:t>4</w:t>
      </w:r>
      <w:r w:rsidRPr="00E073DC">
        <w:rPr>
          <w:rFonts w:ascii="Arial" w:hAnsi="Arial" w:cs="Arial"/>
          <w:b/>
          <w:bCs/>
          <w:sz w:val="20"/>
          <w:szCs w:val="20"/>
        </w:rPr>
        <w:t xml:space="preserve">. </w:t>
      </w:r>
      <w:r w:rsidR="0004393C">
        <w:rPr>
          <w:rFonts w:ascii="Arial" w:hAnsi="Arial" w:cs="Arial"/>
          <w:b/>
          <w:bCs/>
          <w:sz w:val="20"/>
          <w:szCs w:val="20"/>
        </w:rPr>
        <w:t>Standard curve of TAOC concentration against absorbance at 590 nm</w:t>
      </w:r>
    </w:p>
    <w:p w14:paraId="55AA111B" w14:textId="63A0B845" w:rsidR="0079474A" w:rsidRPr="0079474A" w:rsidRDefault="0079474A" w:rsidP="0079474A">
      <w:pPr>
        <w:autoSpaceDE w:val="0"/>
        <w:autoSpaceDN w:val="0"/>
        <w:adjustRightInd w:val="0"/>
        <w:rPr>
          <w:rFonts w:ascii="Arial" w:hAnsi="Arial" w:cs="Arial"/>
          <w:b/>
          <w:bCs/>
          <w:sz w:val="20"/>
          <w:szCs w:val="20"/>
        </w:rPr>
      </w:pPr>
    </w:p>
    <w:p w14:paraId="551B331A" w14:textId="6BFE8526" w:rsidR="007C50F5" w:rsidRDefault="00297370" w:rsidP="007C50F5">
      <w:pPr>
        <w:spacing w:after="240" w:line="240" w:lineRule="auto"/>
        <w:jc w:val="center"/>
        <w:rPr>
          <w:rFonts w:ascii="Arial" w:hAnsi="Arial" w:cs="Arial"/>
          <w:noProof/>
          <w:sz w:val="24"/>
          <w:szCs w:val="24"/>
        </w:rPr>
      </w:pPr>
      <w:r w:rsidRPr="0020329F">
        <w:rPr>
          <w:rFonts w:ascii="Arial" w:hAnsi="Arial" w:cs="Arial"/>
          <w:noProof/>
          <w:sz w:val="24"/>
          <w:szCs w:val="24"/>
        </w:rPr>
        <w:drawing>
          <wp:inline distT="0" distB="0" distL="0" distR="0" wp14:anchorId="0AF8C666" wp14:editId="483F13F7">
            <wp:extent cx="2305878" cy="1987816"/>
            <wp:effectExtent l="0" t="0" r="0" b="0"/>
            <wp:docPr id="17742084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208418" name="Picture 177420841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72745" cy="2045460"/>
                    </a:xfrm>
                    <a:prstGeom prst="rect">
                      <a:avLst/>
                    </a:prstGeom>
                  </pic:spPr>
                </pic:pic>
              </a:graphicData>
            </a:graphic>
          </wp:inline>
        </w:drawing>
      </w:r>
    </w:p>
    <w:p w14:paraId="3992889E" w14:textId="6A9D082D" w:rsidR="0004393C" w:rsidRPr="00641C83" w:rsidRDefault="0079474A" w:rsidP="0004393C">
      <w:pPr>
        <w:autoSpaceDE w:val="0"/>
        <w:autoSpaceDN w:val="0"/>
        <w:adjustRightInd w:val="0"/>
        <w:rPr>
          <w:rFonts w:ascii="Arial" w:hAnsi="Arial" w:cs="Arial"/>
          <w:b/>
          <w:bCs/>
          <w:sz w:val="20"/>
          <w:szCs w:val="20"/>
        </w:rPr>
      </w:pPr>
      <w:r w:rsidRPr="00E073DC">
        <w:rPr>
          <w:rFonts w:ascii="Arial" w:hAnsi="Arial" w:cs="Arial"/>
          <w:b/>
          <w:bCs/>
          <w:sz w:val="20"/>
          <w:szCs w:val="20"/>
        </w:rPr>
        <w:t xml:space="preserve">Fig. </w:t>
      </w:r>
      <w:r>
        <w:rPr>
          <w:rFonts w:ascii="Arial" w:hAnsi="Arial" w:cs="Arial"/>
          <w:b/>
          <w:bCs/>
          <w:sz w:val="20"/>
          <w:szCs w:val="20"/>
        </w:rPr>
        <w:t>5</w:t>
      </w:r>
      <w:r w:rsidRPr="00E073DC">
        <w:rPr>
          <w:rFonts w:ascii="Arial" w:hAnsi="Arial" w:cs="Arial"/>
          <w:b/>
          <w:bCs/>
          <w:sz w:val="20"/>
          <w:szCs w:val="20"/>
        </w:rPr>
        <w:t xml:space="preserve">. </w:t>
      </w:r>
      <w:r w:rsidR="0004393C">
        <w:rPr>
          <w:rFonts w:ascii="Arial" w:hAnsi="Arial" w:cs="Arial"/>
          <w:b/>
          <w:bCs/>
          <w:sz w:val="20"/>
          <w:szCs w:val="20"/>
        </w:rPr>
        <w:t>TAOC concentration in infected vs. healthy dogs</w:t>
      </w:r>
    </w:p>
    <w:p w14:paraId="32DA5046" w14:textId="458FE9C5" w:rsidR="0079474A" w:rsidRPr="00E073DC" w:rsidRDefault="0079474A" w:rsidP="0079474A">
      <w:pPr>
        <w:autoSpaceDE w:val="0"/>
        <w:autoSpaceDN w:val="0"/>
        <w:adjustRightInd w:val="0"/>
        <w:rPr>
          <w:rFonts w:ascii="Arial" w:hAnsi="Arial" w:cs="Arial"/>
          <w:b/>
          <w:bCs/>
          <w:sz w:val="20"/>
          <w:szCs w:val="20"/>
        </w:rPr>
      </w:pPr>
    </w:p>
    <w:p w14:paraId="1445D6A6" w14:textId="7C4655E2" w:rsidR="0079474A" w:rsidRDefault="0079474A" w:rsidP="0079474A">
      <w:pPr>
        <w:tabs>
          <w:tab w:val="left" w:pos="2367"/>
        </w:tabs>
        <w:spacing w:after="240" w:line="240" w:lineRule="auto"/>
        <w:rPr>
          <w:rFonts w:ascii="Arial" w:hAnsi="Arial" w:cs="Arial"/>
          <w:noProof/>
          <w:sz w:val="24"/>
          <w:szCs w:val="24"/>
        </w:rPr>
      </w:pPr>
    </w:p>
    <w:p w14:paraId="4BC6FF1E" w14:textId="252B96D3" w:rsidR="009538ED" w:rsidRDefault="00297370" w:rsidP="007C50F5">
      <w:pPr>
        <w:spacing w:after="240" w:line="240" w:lineRule="auto"/>
        <w:jc w:val="center"/>
        <w:rPr>
          <w:rFonts w:ascii="Arial" w:hAnsi="Arial" w:cs="Arial"/>
          <w:sz w:val="24"/>
          <w:szCs w:val="24"/>
        </w:rPr>
      </w:pPr>
      <w:r w:rsidRPr="0020329F">
        <w:rPr>
          <w:rFonts w:ascii="Arial" w:hAnsi="Arial" w:cs="Arial"/>
          <w:noProof/>
          <w:sz w:val="24"/>
          <w:szCs w:val="24"/>
        </w:rPr>
        <w:drawing>
          <wp:inline distT="0" distB="0" distL="0" distR="0" wp14:anchorId="50A71507" wp14:editId="1F15E28A">
            <wp:extent cx="3527813" cy="1804946"/>
            <wp:effectExtent l="0" t="0" r="0" b="5080"/>
            <wp:docPr id="2484811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481187" name="Picture 24848118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50606" cy="1816608"/>
                    </a:xfrm>
                    <a:prstGeom prst="rect">
                      <a:avLst/>
                    </a:prstGeom>
                  </pic:spPr>
                </pic:pic>
              </a:graphicData>
            </a:graphic>
          </wp:inline>
        </w:drawing>
      </w:r>
    </w:p>
    <w:p w14:paraId="7B5350F5" w14:textId="6F400637" w:rsidR="0079474A" w:rsidRPr="00E073DC" w:rsidRDefault="0079474A" w:rsidP="0079474A">
      <w:pPr>
        <w:autoSpaceDE w:val="0"/>
        <w:autoSpaceDN w:val="0"/>
        <w:adjustRightInd w:val="0"/>
        <w:rPr>
          <w:rFonts w:ascii="Arial" w:hAnsi="Arial" w:cs="Arial"/>
          <w:b/>
          <w:bCs/>
          <w:sz w:val="20"/>
          <w:szCs w:val="20"/>
        </w:rPr>
      </w:pPr>
      <w:r w:rsidRPr="00E073DC">
        <w:rPr>
          <w:rFonts w:ascii="Arial" w:hAnsi="Arial" w:cs="Arial"/>
          <w:b/>
          <w:bCs/>
          <w:sz w:val="20"/>
          <w:szCs w:val="20"/>
        </w:rPr>
        <w:t xml:space="preserve">Fig. </w:t>
      </w:r>
      <w:r>
        <w:rPr>
          <w:rFonts w:ascii="Arial" w:hAnsi="Arial" w:cs="Arial"/>
          <w:b/>
          <w:bCs/>
          <w:sz w:val="20"/>
          <w:szCs w:val="20"/>
        </w:rPr>
        <w:t>6</w:t>
      </w:r>
      <w:r w:rsidRPr="00E073DC">
        <w:rPr>
          <w:rFonts w:ascii="Arial" w:hAnsi="Arial" w:cs="Arial"/>
          <w:b/>
          <w:bCs/>
          <w:sz w:val="20"/>
          <w:szCs w:val="20"/>
        </w:rPr>
        <w:t xml:space="preserve">. </w:t>
      </w:r>
      <w:r w:rsidR="0004393C">
        <w:rPr>
          <w:rFonts w:ascii="Arial" w:hAnsi="Arial" w:cs="Arial"/>
          <w:b/>
          <w:bCs/>
          <w:sz w:val="20"/>
          <w:szCs w:val="20"/>
        </w:rPr>
        <w:t>TAOC concentration in treatment groups on days 0, 14 and 28</w:t>
      </w:r>
    </w:p>
    <w:p w14:paraId="32F8EEA8" w14:textId="4655C1F6" w:rsidR="0079474A" w:rsidRPr="0079474A" w:rsidRDefault="0079474A" w:rsidP="0079474A">
      <w:pPr>
        <w:tabs>
          <w:tab w:val="left" w:pos="1565"/>
        </w:tabs>
        <w:rPr>
          <w:rFonts w:ascii="Arial" w:hAnsi="Arial" w:cs="Arial"/>
          <w:sz w:val="24"/>
          <w:szCs w:val="24"/>
        </w:rPr>
      </w:pPr>
    </w:p>
    <w:p w14:paraId="5F473EAD" w14:textId="77777777" w:rsidR="007C50F5" w:rsidRDefault="00477077" w:rsidP="007C50F5">
      <w:pPr>
        <w:spacing w:after="240" w:line="240" w:lineRule="auto"/>
        <w:jc w:val="center"/>
        <w:rPr>
          <w:rFonts w:ascii="Arial" w:hAnsi="Arial" w:cs="Arial"/>
          <w:noProof/>
          <w:sz w:val="24"/>
          <w:szCs w:val="24"/>
        </w:rPr>
      </w:pPr>
      <w:r w:rsidRPr="0020329F">
        <w:rPr>
          <w:rFonts w:ascii="Arial" w:hAnsi="Arial" w:cs="Arial"/>
          <w:noProof/>
          <w:sz w:val="24"/>
          <w:szCs w:val="24"/>
        </w:rPr>
        <w:lastRenderedPageBreak/>
        <w:drawing>
          <wp:inline distT="0" distB="0" distL="0" distR="0" wp14:anchorId="0C77E241" wp14:editId="064AD589">
            <wp:extent cx="2454575" cy="2167945"/>
            <wp:effectExtent l="0" t="0" r="3175" b="3810"/>
            <wp:docPr id="80411958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119581" name="Picture 80411958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62386" cy="2174844"/>
                    </a:xfrm>
                    <a:prstGeom prst="rect">
                      <a:avLst/>
                    </a:prstGeom>
                  </pic:spPr>
                </pic:pic>
              </a:graphicData>
            </a:graphic>
          </wp:inline>
        </w:drawing>
      </w:r>
    </w:p>
    <w:p w14:paraId="0EC0D924" w14:textId="2374A1F5" w:rsidR="0079474A" w:rsidRPr="0079474A" w:rsidRDefault="0079474A" w:rsidP="0079474A">
      <w:pPr>
        <w:autoSpaceDE w:val="0"/>
        <w:autoSpaceDN w:val="0"/>
        <w:adjustRightInd w:val="0"/>
        <w:rPr>
          <w:rFonts w:ascii="Arial" w:hAnsi="Arial" w:cs="Arial"/>
          <w:b/>
          <w:bCs/>
          <w:sz w:val="20"/>
          <w:szCs w:val="20"/>
        </w:rPr>
      </w:pPr>
      <w:r w:rsidRPr="00E073DC">
        <w:rPr>
          <w:rFonts w:ascii="Arial" w:hAnsi="Arial" w:cs="Arial"/>
          <w:b/>
          <w:bCs/>
          <w:sz w:val="20"/>
          <w:szCs w:val="20"/>
        </w:rPr>
        <w:t xml:space="preserve">Fig. </w:t>
      </w:r>
      <w:r>
        <w:rPr>
          <w:rFonts w:ascii="Arial" w:hAnsi="Arial" w:cs="Arial"/>
          <w:b/>
          <w:bCs/>
          <w:sz w:val="20"/>
          <w:szCs w:val="20"/>
        </w:rPr>
        <w:t>7</w:t>
      </w:r>
      <w:r w:rsidRPr="00E073DC">
        <w:rPr>
          <w:rFonts w:ascii="Arial" w:hAnsi="Arial" w:cs="Arial"/>
          <w:b/>
          <w:bCs/>
          <w:sz w:val="20"/>
          <w:szCs w:val="20"/>
        </w:rPr>
        <w:t xml:space="preserve">. </w:t>
      </w:r>
      <w:r w:rsidR="0004393C">
        <w:rPr>
          <w:rFonts w:ascii="Arial" w:hAnsi="Arial" w:cs="Arial"/>
          <w:b/>
          <w:bCs/>
          <w:sz w:val="20"/>
          <w:szCs w:val="20"/>
        </w:rPr>
        <w:t>OSI concentration in infected vs. healthy dogs</w:t>
      </w:r>
    </w:p>
    <w:p w14:paraId="16428187" w14:textId="3BF3B057" w:rsidR="008030DF" w:rsidRPr="0020329F" w:rsidRDefault="00477077" w:rsidP="007C50F5">
      <w:pPr>
        <w:spacing w:after="240" w:line="240" w:lineRule="auto"/>
        <w:jc w:val="center"/>
        <w:rPr>
          <w:rFonts w:ascii="Arial" w:hAnsi="Arial" w:cs="Arial"/>
          <w:sz w:val="24"/>
          <w:szCs w:val="24"/>
        </w:rPr>
      </w:pPr>
      <w:r w:rsidRPr="0020329F">
        <w:rPr>
          <w:rFonts w:ascii="Arial" w:hAnsi="Arial" w:cs="Arial"/>
          <w:noProof/>
          <w:sz w:val="24"/>
          <w:szCs w:val="24"/>
        </w:rPr>
        <w:drawing>
          <wp:inline distT="0" distB="0" distL="0" distR="0" wp14:anchorId="003851F9" wp14:editId="6F9883F9">
            <wp:extent cx="3332712" cy="2091193"/>
            <wp:effectExtent l="0" t="0" r="1270" b="4445"/>
            <wp:docPr id="137947640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476402" name="Picture 137947640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48216" cy="2100921"/>
                    </a:xfrm>
                    <a:prstGeom prst="rect">
                      <a:avLst/>
                    </a:prstGeom>
                  </pic:spPr>
                </pic:pic>
              </a:graphicData>
            </a:graphic>
          </wp:inline>
        </w:drawing>
      </w:r>
    </w:p>
    <w:p w14:paraId="0FD3BCD1" w14:textId="5C3E9FD7" w:rsidR="0079474A" w:rsidRPr="0079474A" w:rsidRDefault="0079474A" w:rsidP="0079474A">
      <w:pPr>
        <w:autoSpaceDE w:val="0"/>
        <w:autoSpaceDN w:val="0"/>
        <w:adjustRightInd w:val="0"/>
        <w:rPr>
          <w:rFonts w:ascii="Arial" w:hAnsi="Arial" w:cs="Arial"/>
          <w:b/>
          <w:bCs/>
          <w:sz w:val="20"/>
          <w:szCs w:val="20"/>
        </w:rPr>
      </w:pPr>
      <w:r w:rsidRPr="00E073DC">
        <w:rPr>
          <w:rFonts w:ascii="Arial" w:hAnsi="Arial" w:cs="Arial"/>
          <w:b/>
          <w:bCs/>
          <w:sz w:val="20"/>
          <w:szCs w:val="20"/>
        </w:rPr>
        <w:t xml:space="preserve">Fig. </w:t>
      </w:r>
      <w:r>
        <w:rPr>
          <w:rFonts w:ascii="Arial" w:hAnsi="Arial" w:cs="Arial"/>
          <w:b/>
          <w:bCs/>
          <w:sz w:val="20"/>
          <w:szCs w:val="20"/>
        </w:rPr>
        <w:t>8</w:t>
      </w:r>
      <w:r w:rsidRPr="00E073DC">
        <w:rPr>
          <w:rFonts w:ascii="Arial" w:hAnsi="Arial" w:cs="Arial"/>
          <w:b/>
          <w:bCs/>
          <w:sz w:val="20"/>
          <w:szCs w:val="20"/>
        </w:rPr>
        <w:t xml:space="preserve">. </w:t>
      </w:r>
      <w:r w:rsidR="0004393C">
        <w:rPr>
          <w:rFonts w:ascii="Arial" w:hAnsi="Arial" w:cs="Arial"/>
          <w:b/>
          <w:bCs/>
          <w:sz w:val="20"/>
          <w:szCs w:val="20"/>
        </w:rPr>
        <w:t>OSI concentration in treatment groups on days 0, 14 and 28</w:t>
      </w:r>
    </w:p>
    <w:p w14:paraId="5B07E203" w14:textId="50C314DD" w:rsidR="007E7CBF" w:rsidRPr="0020329F" w:rsidRDefault="00497298" w:rsidP="007E7CBF">
      <w:pPr>
        <w:spacing w:before="120" w:after="120" w:line="360" w:lineRule="auto"/>
        <w:ind w:firstLine="720"/>
        <w:rPr>
          <w:rFonts w:ascii="Arial" w:hAnsi="Arial" w:cs="Arial"/>
          <w:sz w:val="20"/>
          <w:szCs w:val="20"/>
        </w:rPr>
      </w:pPr>
      <w:r w:rsidRPr="0020329F">
        <w:rPr>
          <w:rFonts w:ascii="Arial" w:hAnsi="Arial" w:cs="Arial"/>
          <w:sz w:val="20"/>
          <w:szCs w:val="20"/>
        </w:rPr>
        <w:t xml:space="preserve">The infected dogs in this study had a significantly elevated TOS and OSI values, whereas TAOC levels were observed to be significantly low. These results are in accordance with Behera et al. (2011), Allam et al. (2014), De and Dey (2010) and Beigh et al. (2016). Excessive production of free radicals, beyond the body’s endogenous </w:t>
      </w:r>
      <w:r w:rsidR="001D3E8B" w:rsidRPr="0020329F">
        <w:rPr>
          <w:rFonts w:ascii="Arial" w:hAnsi="Arial" w:cs="Arial"/>
          <w:sz w:val="20"/>
          <w:szCs w:val="20"/>
        </w:rPr>
        <w:t>defence</w:t>
      </w:r>
      <w:r w:rsidRPr="0020329F">
        <w:rPr>
          <w:rFonts w:ascii="Arial" w:hAnsi="Arial" w:cs="Arial"/>
          <w:sz w:val="20"/>
          <w:szCs w:val="20"/>
        </w:rPr>
        <w:t xml:space="preserve"> mechanisms, has been observed in infections and inflammatory conditions (Allam et al., 2014). A key factor in the pathogenesis of these conditions is the production of proinflammatory cytokines, including IL-1α, IL-1β, TNFα, and </w:t>
      </w:r>
      <w:proofErr w:type="spellStart"/>
      <w:r w:rsidRPr="0020329F">
        <w:rPr>
          <w:rFonts w:ascii="Arial" w:hAnsi="Arial" w:cs="Arial"/>
          <w:sz w:val="20"/>
          <w:szCs w:val="20"/>
        </w:rPr>
        <w:t>IFN</w:t>
      </w:r>
      <w:r w:rsidR="00B32011">
        <w:rPr>
          <w:rFonts w:ascii="Arial" w:hAnsi="Arial" w:cs="Arial"/>
          <w:sz w:val="20"/>
          <w:szCs w:val="20"/>
        </w:rPr>
        <w:t>γ</w:t>
      </w:r>
      <w:proofErr w:type="spellEnd"/>
      <w:r w:rsidRPr="0020329F">
        <w:rPr>
          <w:rFonts w:ascii="Arial" w:hAnsi="Arial" w:cs="Arial"/>
          <w:sz w:val="20"/>
          <w:szCs w:val="20"/>
        </w:rPr>
        <w:t xml:space="preserve">, secreted by keratinocytes, spleen, lymph node, and peripheral blood mononuclear cells. Additionally, cytokines may be produced as a result of skin inflammation caused by physical irritation from burrowing mites (Beigh et al., 2013). This proinflammatory cascade can trigger an overproduction of reactive oxidants and free radicals, such as reactive oxygen species (ROS)—including hydroperoxide (OH) and superoxide anion (O2)—and reactive nitrogen species (RNS), such as nitric oxide (NO), within the body. </w:t>
      </w:r>
    </w:p>
    <w:p w14:paraId="093D3C19" w14:textId="62867373" w:rsidR="00497298" w:rsidRPr="0020329F" w:rsidRDefault="00497298" w:rsidP="007E7CBF">
      <w:pPr>
        <w:spacing w:before="120" w:after="120" w:line="360" w:lineRule="auto"/>
        <w:ind w:firstLine="720"/>
        <w:rPr>
          <w:rFonts w:ascii="Arial" w:hAnsi="Arial" w:cs="Arial"/>
          <w:sz w:val="20"/>
          <w:szCs w:val="20"/>
        </w:rPr>
      </w:pPr>
      <w:r w:rsidRPr="0020329F">
        <w:rPr>
          <w:rFonts w:ascii="Arial" w:hAnsi="Arial" w:cs="Arial"/>
          <w:sz w:val="20"/>
          <w:szCs w:val="20"/>
        </w:rPr>
        <w:t xml:space="preserve">While free radicals play an important role in the immune </w:t>
      </w:r>
      <w:r w:rsidR="00E57F50" w:rsidRPr="0020329F">
        <w:rPr>
          <w:rFonts w:ascii="Arial" w:hAnsi="Arial" w:cs="Arial"/>
          <w:sz w:val="20"/>
          <w:szCs w:val="20"/>
        </w:rPr>
        <w:t>defence</w:t>
      </w:r>
      <w:r w:rsidRPr="0020329F">
        <w:rPr>
          <w:rFonts w:ascii="Arial" w:hAnsi="Arial" w:cs="Arial"/>
          <w:sz w:val="20"/>
          <w:szCs w:val="20"/>
        </w:rPr>
        <w:t xml:space="preserve"> against invading parasites, their excessive production can lead to metabolic dysfunction and oxidative damage to biomolecules, contributing to pathological changes in tissues. Lipids and proteins are targets of various ROS and RNS, resulting in the formation of various toxic byproducts (Allam et al., 2014; Behera et al., 2011). Thus, oxidative stress occurs when there is an imbalance between radical-generating and radical </w:t>
      </w:r>
      <w:r w:rsidRPr="0020329F">
        <w:rPr>
          <w:rFonts w:ascii="Arial" w:hAnsi="Arial" w:cs="Arial"/>
          <w:sz w:val="20"/>
          <w:szCs w:val="20"/>
        </w:rPr>
        <w:lastRenderedPageBreak/>
        <w:t xml:space="preserve">scavenging activity, resulting in accumulation of oxidation products and tissue damage (Saleh et al. 2011). </w:t>
      </w:r>
    </w:p>
    <w:p w14:paraId="0D374142" w14:textId="49CB8B59" w:rsidR="00497298" w:rsidRPr="0020329F" w:rsidRDefault="00497298" w:rsidP="00497298">
      <w:pPr>
        <w:spacing w:before="120" w:after="120" w:line="360" w:lineRule="auto"/>
        <w:ind w:firstLine="720"/>
        <w:rPr>
          <w:rFonts w:ascii="Arial" w:hAnsi="Arial" w:cs="Arial"/>
          <w:sz w:val="20"/>
          <w:szCs w:val="20"/>
        </w:rPr>
      </w:pPr>
      <w:r w:rsidRPr="0020329F">
        <w:rPr>
          <w:rFonts w:ascii="Arial" w:hAnsi="Arial" w:cs="Arial"/>
          <w:sz w:val="20"/>
          <w:szCs w:val="20"/>
        </w:rPr>
        <w:t xml:space="preserve">In this study, the dogs exhibited significant oxidative stress along with an altered antioxidant </w:t>
      </w:r>
      <w:r w:rsidR="007E7CBF" w:rsidRPr="0020329F">
        <w:rPr>
          <w:rFonts w:ascii="Arial" w:hAnsi="Arial" w:cs="Arial"/>
          <w:sz w:val="20"/>
          <w:szCs w:val="20"/>
        </w:rPr>
        <w:t>defen</w:t>
      </w:r>
      <w:r w:rsidR="00ED3274" w:rsidRPr="0020329F">
        <w:rPr>
          <w:rFonts w:ascii="Arial" w:hAnsi="Arial" w:cs="Arial"/>
          <w:sz w:val="20"/>
          <w:szCs w:val="20"/>
        </w:rPr>
        <w:t>c</w:t>
      </w:r>
      <w:r w:rsidR="007E7CBF" w:rsidRPr="0020329F">
        <w:rPr>
          <w:rFonts w:ascii="Arial" w:hAnsi="Arial" w:cs="Arial"/>
          <w:sz w:val="20"/>
          <w:szCs w:val="20"/>
        </w:rPr>
        <w:t>e</w:t>
      </w:r>
      <w:r w:rsidRPr="0020329F">
        <w:rPr>
          <w:rFonts w:ascii="Arial" w:hAnsi="Arial" w:cs="Arial"/>
          <w:sz w:val="20"/>
          <w:szCs w:val="20"/>
        </w:rPr>
        <w:t xml:space="preserve"> mechanism. This may be the consequence of overproduction of free radicals by the inflammatory cells recruited to fight the parasites, leading to the depletion of dog’s antioxidant systems (Allam et al., 2014). Elevated levels of endogenous oxidants have been associated with various disorders, including inflammation and sarcoptic mange (</w:t>
      </w:r>
      <w:proofErr w:type="spellStart"/>
      <w:r w:rsidRPr="0020329F">
        <w:rPr>
          <w:rFonts w:ascii="Arial" w:hAnsi="Arial" w:cs="Arial"/>
          <w:sz w:val="20"/>
          <w:szCs w:val="20"/>
        </w:rPr>
        <w:t>Camkerten</w:t>
      </w:r>
      <w:proofErr w:type="spellEnd"/>
      <w:r w:rsidRPr="0020329F">
        <w:rPr>
          <w:rFonts w:ascii="Arial" w:hAnsi="Arial" w:cs="Arial"/>
          <w:sz w:val="20"/>
          <w:szCs w:val="20"/>
        </w:rPr>
        <w:t xml:space="preserve"> et al., 2009; De and Dey, 2010). Therefore, oxidative stress is a significant indicator for assessing the extent of tissue damage in the host system, as stated by De and Dey (2010).</w:t>
      </w:r>
    </w:p>
    <w:p w14:paraId="565F19BB" w14:textId="573FA5C5" w:rsidR="00AE53BC" w:rsidRPr="0020329F" w:rsidRDefault="00755338" w:rsidP="007267F5">
      <w:pPr>
        <w:spacing w:line="360" w:lineRule="auto"/>
        <w:ind w:firstLine="720"/>
        <w:rPr>
          <w:rFonts w:ascii="Arial" w:hAnsi="Arial" w:cs="Arial"/>
          <w:sz w:val="20"/>
          <w:szCs w:val="20"/>
        </w:rPr>
      </w:pPr>
      <w:r w:rsidRPr="0020329F">
        <w:rPr>
          <w:rFonts w:ascii="Arial" w:hAnsi="Arial" w:cs="Arial"/>
          <w:sz w:val="20"/>
          <w:szCs w:val="20"/>
        </w:rPr>
        <w:t xml:space="preserve">Both the treatment groups </w:t>
      </w:r>
      <w:r w:rsidR="0034473E" w:rsidRPr="0020329F">
        <w:rPr>
          <w:rFonts w:ascii="Arial" w:hAnsi="Arial" w:cs="Arial"/>
          <w:sz w:val="20"/>
          <w:szCs w:val="20"/>
        </w:rPr>
        <w:t xml:space="preserve">in this study </w:t>
      </w:r>
      <w:r w:rsidRPr="0020329F">
        <w:rPr>
          <w:rFonts w:ascii="Arial" w:hAnsi="Arial" w:cs="Arial"/>
          <w:sz w:val="20"/>
          <w:szCs w:val="20"/>
        </w:rPr>
        <w:t>were successful in amelioration of these oxidative stress indicator panels post-therapy, but the EO treated group was better than the ivermectin treated group.</w:t>
      </w:r>
      <w:r w:rsidR="00894EB2" w:rsidRPr="0020329F">
        <w:rPr>
          <w:rFonts w:ascii="Arial" w:hAnsi="Arial" w:cs="Arial"/>
          <w:sz w:val="20"/>
          <w:szCs w:val="20"/>
        </w:rPr>
        <w:t xml:space="preserve"> </w:t>
      </w:r>
      <w:r w:rsidR="00745D25" w:rsidRPr="0020329F">
        <w:rPr>
          <w:rFonts w:ascii="Arial" w:hAnsi="Arial" w:cs="Arial"/>
          <w:sz w:val="20"/>
          <w:szCs w:val="20"/>
        </w:rPr>
        <w:t xml:space="preserve">The essential oils </w:t>
      </w:r>
      <w:r w:rsidR="00894EB2" w:rsidRPr="0020329F">
        <w:rPr>
          <w:rFonts w:ascii="Arial" w:hAnsi="Arial" w:cs="Arial"/>
          <w:sz w:val="20"/>
          <w:szCs w:val="20"/>
        </w:rPr>
        <w:t xml:space="preserve">are proven to possess a range of biological properties, like antibacterial, antipruritic, anti-inflammatory </w:t>
      </w:r>
      <w:r w:rsidR="00894EB2" w:rsidRPr="0020329F">
        <w:rPr>
          <w:rFonts w:ascii="Arial" w:hAnsi="Arial" w:cs="Arial"/>
          <w:sz w:val="20"/>
          <w:szCs w:val="20"/>
          <w:shd w:val="clear" w:color="auto" w:fill="FFFFFF"/>
        </w:rPr>
        <w:t>(</w:t>
      </w:r>
      <w:proofErr w:type="spellStart"/>
      <w:r w:rsidR="00894EB2" w:rsidRPr="0020329F">
        <w:rPr>
          <w:rFonts w:ascii="Arial" w:hAnsi="Arial" w:cs="Arial"/>
          <w:sz w:val="20"/>
          <w:szCs w:val="20"/>
        </w:rPr>
        <w:t>Andriantsoanirina</w:t>
      </w:r>
      <w:proofErr w:type="spellEnd"/>
      <w:r w:rsidR="00894EB2" w:rsidRPr="0020329F">
        <w:rPr>
          <w:rFonts w:ascii="Arial" w:hAnsi="Arial" w:cs="Arial"/>
          <w:sz w:val="20"/>
          <w:szCs w:val="20"/>
        </w:rPr>
        <w:t xml:space="preserve"> et al., 2022), antioxidant (Choudhary and Chaudhary, 2021), antifungal (Li et al., 2020), anthelmintic (El-</w:t>
      </w:r>
      <w:proofErr w:type="spellStart"/>
      <w:r w:rsidR="00894EB2" w:rsidRPr="0020329F">
        <w:rPr>
          <w:rFonts w:ascii="Arial" w:hAnsi="Arial" w:cs="Arial"/>
          <w:sz w:val="20"/>
          <w:szCs w:val="20"/>
        </w:rPr>
        <w:t>Speiy</w:t>
      </w:r>
      <w:proofErr w:type="spellEnd"/>
      <w:r w:rsidR="00894EB2" w:rsidRPr="0020329F">
        <w:rPr>
          <w:rFonts w:ascii="Arial" w:hAnsi="Arial" w:cs="Arial"/>
          <w:sz w:val="20"/>
          <w:szCs w:val="20"/>
        </w:rPr>
        <w:t xml:space="preserve"> et al., 2016) and antiviral activities (Nardoni and </w:t>
      </w:r>
      <w:proofErr w:type="spellStart"/>
      <w:r w:rsidR="00894EB2" w:rsidRPr="0020329F">
        <w:rPr>
          <w:rFonts w:ascii="Arial" w:hAnsi="Arial" w:cs="Arial"/>
          <w:sz w:val="20"/>
          <w:szCs w:val="20"/>
        </w:rPr>
        <w:t>Mancianti</w:t>
      </w:r>
      <w:proofErr w:type="spellEnd"/>
      <w:r w:rsidR="00894EB2" w:rsidRPr="0020329F">
        <w:rPr>
          <w:rFonts w:ascii="Arial" w:hAnsi="Arial" w:cs="Arial"/>
          <w:sz w:val="20"/>
          <w:szCs w:val="20"/>
        </w:rPr>
        <w:t xml:space="preserve">, 2022). </w:t>
      </w:r>
      <w:r w:rsidR="00513D8E" w:rsidRPr="0020329F">
        <w:rPr>
          <w:rFonts w:ascii="Arial" w:hAnsi="Arial" w:cs="Arial"/>
          <w:sz w:val="20"/>
          <w:szCs w:val="20"/>
        </w:rPr>
        <w:t xml:space="preserve">According to Raina et al. (2013), </w:t>
      </w:r>
      <w:proofErr w:type="spellStart"/>
      <w:r w:rsidR="00513D8E" w:rsidRPr="0020329F">
        <w:rPr>
          <w:rFonts w:ascii="Arial" w:hAnsi="Arial" w:cs="Arial"/>
          <w:i/>
          <w:iCs/>
          <w:sz w:val="20"/>
          <w:szCs w:val="20"/>
        </w:rPr>
        <w:t>O</w:t>
      </w:r>
      <w:r w:rsidR="009A4896" w:rsidRPr="0020329F">
        <w:rPr>
          <w:rFonts w:ascii="Arial" w:hAnsi="Arial" w:cs="Arial"/>
          <w:i/>
          <w:iCs/>
          <w:sz w:val="20"/>
          <w:szCs w:val="20"/>
        </w:rPr>
        <w:t>cimum</w:t>
      </w:r>
      <w:proofErr w:type="spellEnd"/>
      <w:r w:rsidR="00513D8E" w:rsidRPr="0020329F">
        <w:rPr>
          <w:rFonts w:ascii="Arial" w:hAnsi="Arial" w:cs="Arial"/>
          <w:i/>
          <w:iCs/>
          <w:sz w:val="20"/>
          <w:szCs w:val="20"/>
        </w:rPr>
        <w:t xml:space="preserve"> </w:t>
      </w:r>
      <w:proofErr w:type="spellStart"/>
      <w:r w:rsidR="00513D8E" w:rsidRPr="0020329F">
        <w:rPr>
          <w:rFonts w:ascii="Arial" w:hAnsi="Arial" w:cs="Arial"/>
          <w:i/>
          <w:iCs/>
          <w:sz w:val="20"/>
          <w:szCs w:val="20"/>
        </w:rPr>
        <w:t>tenuiflorum</w:t>
      </w:r>
      <w:proofErr w:type="spellEnd"/>
      <w:r w:rsidR="00513D8E" w:rsidRPr="0020329F">
        <w:rPr>
          <w:rFonts w:ascii="Arial" w:hAnsi="Arial" w:cs="Arial"/>
          <w:sz w:val="20"/>
          <w:szCs w:val="20"/>
        </w:rPr>
        <w:t xml:space="preserve"> essential oil</w:t>
      </w:r>
      <w:r w:rsidR="00513D8E" w:rsidRPr="0020329F">
        <w:rPr>
          <w:rFonts w:ascii="Arial" w:hAnsi="Arial" w:cs="Arial"/>
          <w:sz w:val="20"/>
          <w:szCs w:val="20"/>
          <w:shd w:val="clear" w:color="auto" w:fill="FFFFFF"/>
        </w:rPr>
        <w:t xml:space="preserve"> </w:t>
      </w:r>
      <w:r w:rsidR="00513D8E" w:rsidRPr="0020329F">
        <w:rPr>
          <w:rFonts w:ascii="Arial" w:hAnsi="Arial" w:cs="Arial"/>
          <w:sz w:val="20"/>
          <w:szCs w:val="20"/>
        </w:rPr>
        <w:t xml:space="preserve">was suggested to possess strong antimicrobial, insecticidal, </w:t>
      </w:r>
      <w:proofErr w:type="spellStart"/>
      <w:r w:rsidR="00513D8E" w:rsidRPr="0020329F">
        <w:rPr>
          <w:rFonts w:ascii="Arial" w:hAnsi="Arial" w:cs="Arial"/>
          <w:sz w:val="20"/>
          <w:szCs w:val="20"/>
        </w:rPr>
        <w:t>antihelmenthic</w:t>
      </w:r>
      <w:proofErr w:type="spellEnd"/>
      <w:r w:rsidR="00513D8E" w:rsidRPr="0020329F">
        <w:rPr>
          <w:rFonts w:ascii="Arial" w:hAnsi="Arial" w:cs="Arial"/>
          <w:sz w:val="20"/>
          <w:szCs w:val="20"/>
        </w:rPr>
        <w:t xml:space="preserve">, </w:t>
      </w:r>
      <w:proofErr w:type="spellStart"/>
      <w:r w:rsidR="00513D8E" w:rsidRPr="0020329F">
        <w:rPr>
          <w:rFonts w:ascii="Arial" w:hAnsi="Arial" w:cs="Arial"/>
          <w:sz w:val="20"/>
          <w:szCs w:val="20"/>
        </w:rPr>
        <w:t>nematicidal</w:t>
      </w:r>
      <w:proofErr w:type="spellEnd"/>
      <w:r w:rsidR="00513D8E" w:rsidRPr="0020329F">
        <w:rPr>
          <w:rFonts w:ascii="Arial" w:hAnsi="Arial" w:cs="Arial"/>
          <w:sz w:val="20"/>
          <w:szCs w:val="20"/>
        </w:rPr>
        <w:t xml:space="preserve">, antioxidant, myorelaxant, stimulant and anaesthetic properties. </w:t>
      </w:r>
      <w:r w:rsidR="004C7394" w:rsidRPr="0020329F">
        <w:rPr>
          <w:rFonts w:ascii="Arial" w:hAnsi="Arial" w:cs="Arial"/>
          <w:sz w:val="20"/>
          <w:szCs w:val="20"/>
        </w:rPr>
        <w:t xml:space="preserve">Sandalwood essential oil was </w:t>
      </w:r>
      <w:r w:rsidR="004055F7" w:rsidRPr="0020329F">
        <w:rPr>
          <w:rFonts w:ascii="Arial" w:hAnsi="Arial" w:cs="Arial"/>
          <w:sz w:val="20"/>
          <w:szCs w:val="20"/>
        </w:rPr>
        <w:t xml:space="preserve">observed to suppress the expression of pro-inflammatory cytokine, IL-1b, in keratinocytes, reducing irritant dermatitis in mouse skin stimulated with haptens (Moy and Levenson, 2017). </w:t>
      </w:r>
      <w:r w:rsidR="00011EAC" w:rsidRPr="0020329F">
        <w:rPr>
          <w:rFonts w:ascii="Arial" w:hAnsi="Arial" w:cs="Arial"/>
          <w:sz w:val="20"/>
          <w:szCs w:val="20"/>
          <w:shd w:val="clear" w:color="auto" w:fill="FFFFFF"/>
        </w:rPr>
        <w:t>Mirghani et al. (2012) observed their extracted lemongrass EO to have a high anti-oxidant activity, owing to the phenolic compounds present in the oil, which are free radical scavengers.</w:t>
      </w:r>
    </w:p>
    <w:p w14:paraId="15BDACAF" w14:textId="051B8DD7" w:rsidR="00416308" w:rsidRPr="0020329F" w:rsidRDefault="0045062F" w:rsidP="0045062F">
      <w:pPr>
        <w:pStyle w:val="ListParagraph"/>
        <w:numPr>
          <w:ilvl w:val="0"/>
          <w:numId w:val="2"/>
        </w:numPr>
        <w:rPr>
          <w:rFonts w:ascii="Arial" w:hAnsi="Arial" w:cs="Arial"/>
          <w:b/>
          <w:bCs/>
        </w:rPr>
      </w:pPr>
      <w:r w:rsidRPr="0020329F">
        <w:rPr>
          <w:rFonts w:ascii="Arial" w:hAnsi="Arial" w:cs="Arial"/>
          <w:b/>
          <w:bCs/>
        </w:rPr>
        <w:t>CONCLUSION</w:t>
      </w:r>
    </w:p>
    <w:p w14:paraId="7E1F3305" w14:textId="64C11BC7" w:rsidR="00E95F87" w:rsidRPr="0020329F" w:rsidRDefault="008B153C" w:rsidP="001744C6">
      <w:pPr>
        <w:spacing w:line="360" w:lineRule="auto"/>
        <w:ind w:firstLine="720"/>
        <w:rPr>
          <w:rFonts w:ascii="Arial" w:hAnsi="Arial" w:cs="Arial"/>
          <w:sz w:val="20"/>
          <w:szCs w:val="20"/>
        </w:rPr>
      </w:pPr>
      <w:r w:rsidRPr="0020329F">
        <w:rPr>
          <w:rFonts w:ascii="Arial" w:hAnsi="Arial" w:cs="Arial"/>
          <w:sz w:val="20"/>
          <w:szCs w:val="20"/>
          <w:shd w:val="clear" w:color="auto" w:fill="FFFFFF"/>
        </w:rPr>
        <w:t xml:space="preserve">From the data of the present study, </w:t>
      </w:r>
      <w:r w:rsidR="00B34EAD" w:rsidRPr="0020329F">
        <w:rPr>
          <w:rFonts w:ascii="Arial" w:hAnsi="Arial" w:cs="Arial"/>
          <w:sz w:val="20"/>
          <w:szCs w:val="20"/>
          <w:shd w:val="clear" w:color="auto" w:fill="FFFFFF"/>
        </w:rPr>
        <w:t>it can be concluded that i</w:t>
      </w:r>
      <w:r w:rsidR="00D1310A" w:rsidRPr="0020329F">
        <w:rPr>
          <w:rFonts w:ascii="Arial" w:hAnsi="Arial" w:cs="Arial"/>
          <w:sz w:val="20"/>
          <w:szCs w:val="20"/>
          <w:shd w:val="clear" w:color="auto" w:fill="FFFFFF"/>
        </w:rPr>
        <w:t>nfestation by sarcoptic mites induces a state of oxidant-antioxidant imbalance</w:t>
      </w:r>
      <w:r w:rsidR="00116829" w:rsidRPr="0020329F">
        <w:rPr>
          <w:rFonts w:ascii="Arial" w:hAnsi="Arial" w:cs="Arial"/>
          <w:sz w:val="20"/>
          <w:szCs w:val="20"/>
          <w:shd w:val="clear" w:color="auto" w:fill="FFFFFF"/>
        </w:rPr>
        <w:t xml:space="preserve"> in the affected dogs. </w:t>
      </w:r>
      <w:r w:rsidR="007E5D65" w:rsidRPr="0020329F">
        <w:rPr>
          <w:rFonts w:ascii="Arial" w:hAnsi="Arial" w:cs="Arial"/>
          <w:sz w:val="20"/>
          <w:szCs w:val="20"/>
          <w:shd w:val="clear" w:color="auto" w:fill="FFFFFF"/>
        </w:rPr>
        <w:t xml:space="preserve">Combination of </w:t>
      </w:r>
      <w:r w:rsidR="00FE7D95" w:rsidRPr="0020329F">
        <w:rPr>
          <w:rFonts w:ascii="Arial" w:hAnsi="Arial" w:cs="Arial"/>
          <w:sz w:val="20"/>
          <w:szCs w:val="20"/>
          <w:shd w:val="clear" w:color="auto" w:fill="FFFFFF"/>
        </w:rPr>
        <w:t xml:space="preserve">three essential oils </w:t>
      </w:r>
      <w:r w:rsidR="00FE7D95" w:rsidRPr="0020329F">
        <w:rPr>
          <w:rFonts w:ascii="Arial" w:hAnsi="Arial" w:cs="Arial"/>
          <w:sz w:val="20"/>
          <w:szCs w:val="20"/>
        </w:rPr>
        <w:t>comprising 1% Lemongrass oil (</w:t>
      </w:r>
      <w:r w:rsidR="00FE7D95" w:rsidRPr="0020329F">
        <w:rPr>
          <w:rFonts w:ascii="Arial" w:eastAsia="MinionPro-Regular" w:hAnsi="Arial" w:cs="Arial"/>
          <w:i/>
          <w:sz w:val="20"/>
          <w:szCs w:val="20"/>
        </w:rPr>
        <w:t xml:space="preserve">Cymbopogon </w:t>
      </w:r>
      <w:proofErr w:type="spellStart"/>
      <w:r w:rsidR="00FE7D95" w:rsidRPr="0020329F">
        <w:rPr>
          <w:rFonts w:ascii="Arial" w:eastAsia="MinionPro-Regular" w:hAnsi="Arial" w:cs="Arial"/>
          <w:i/>
          <w:sz w:val="20"/>
          <w:szCs w:val="20"/>
        </w:rPr>
        <w:t>citratus</w:t>
      </w:r>
      <w:proofErr w:type="spellEnd"/>
      <w:r w:rsidR="00FE7D95" w:rsidRPr="0020329F">
        <w:rPr>
          <w:rFonts w:ascii="Arial" w:eastAsia="MinionPro-Regular" w:hAnsi="Arial" w:cs="Arial"/>
          <w:iCs/>
          <w:sz w:val="20"/>
          <w:szCs w:val="20"/>
        </w:rPr>
        <w:t>)</w:t>
      </w:r>
      <w:r w:rsidR="00FE7D95" w:rsidRPr="0020329F">
        <w:rPr>
          <w:rFonts w:ascii="Arial" w:hAnsi="Arial" w:cs="Arial"/>
          <w:sz w:val="20"/>
          <w:szCs w:val="20"/>
        </w:rPr>
        <w:t>, 0.5% Tulsi oil (</w:t>
      </w:r>
      <w:proofErr w:type="spellStart"/>
      <w:r w:rsidR="00FE7D95" w:rsidRPr="0020329F">
        <w:rPr>
          <w:rFonts w:ascii="Arial" w:eastAsia="MinionPro-Regular" w:hAnsi="Arial" w:cs="Arial"/>
          <w:i/>
          <w:sz w:val="20"/>
          <w:szCs w:val="20"/>
        </w:rPr>
        <w:t>Ocimum</w:t>
      </w:r>
      <w:proofErr w:type="spellEnd"/>
      <w:r w:rsidR="00FE7D95" w:rsidRPr="0020329F">
        <w:rPr>
          <w:rFonts w:ascii="Arial" w:eastAsia="MinionPro-Regular" w:hAnsi="Arial" w:cs="Arial"/>
          <w:i/>
          <w:sz w:val="20"/>
          <w:szCs w:val="20"/>
        </w:rPr>
        <w:t xml:space="preserve"> </w:t>
      </w:r>
      <w:proofErr w:type="spellStart"/>
      <w:r w:rsidR="00FE7D95" w:rsidRPr="0020329F">
        <w:rPr>
          <w:rFonts w:ascii="Arial" w:eastAsia="MinionPro-Regular" w:hAnsi="Arial" w:cs="Arial"/>
          <w:i/>
          <w:sz w:val="20"/>
          <w:szCs w:val="20"/>
        </w:rPr>
        <w:t>tenuiflorum</w:t>
      </w:r>
      <w:proofErr w:type="spellEnd"/>
      <w:r w:rsidR="00FE7D95" w:rsidRPr="0020329F">
        <w:rPr>
          <w:rFonts w:ascii="Arial" w:hAnsi="Arial" w:cs="Arial"/>
          <w:sz w:val="20"/>
          <w:szCs w:val="20"/>
        </w:rPr>
        <w:t>) and 0.5% Sandalwood oil (</w:t>
      </w:r>
      <w:r w:rsidR="00FE7D95" w:rsidRPr="0020329F">
        <w:rPr>
          <w:rFonts w:ascii="Arial" w:eastAsia="MinionPro-Regular" w:hAnsi="Arial" w:cs="Arial"/>
          <w:i/>
          <w:sz w:val="20"/>
          <w:szCs w:val="20"/>
        </w:rPr>
        <w:t>Santalum album</w:t>
      </w:r>
      <w:r w:rsidR="00FE7D95" w:rsidRPr="0020329F">
        <w:rPr>
          <w:rFonts w:ascii="Arial" w:hAnsi="Arial" w:cs="Arial"/>
          <w:sz w:val="20"/>
          <w:szCs w:val="20"/>
        </w:rPr>
        <w:t xml:space="preserve">) when applied topically </w:t>
      </w:r>
      <w:r w:rsidR="002A12A7" w:rsidRPr="0020329F">
        <w:rPr>
          <w:rFonts w:ascii="Arial" w:hAnsi="Arial" w:cs="Arial"/>
          <w:sz w:val="20"/>
          <w:szCs w:val="20"/>
        </w:rPr>
        <w:t xml:space="preserve">displayed strong </w:t>
      </w:r>
      <w:r w:rsidR="00774FB6" w:rsidRPr="0020329F">
        <w:rPr>
          <w:rFonts w:ascii="Arial" w:hAnsi="Arial" w:cs="Arial"/>
          <w:sz w:val="20"/>
          <w:szCs w:val="20"/>
        </w:rPr>
        <w:t xml:space="preserve">antioxidant potential bringing the elevated </w:t>
      </w:r>
      <w:r w:rsidR="00B74AEC" w:rsidRPr="0020329F">
        <w:rPr>
          <w:rFonts w:ascii="Arial" w:hAnsi="Arial" w:cs="Arial"/>
          <w:sz w:val="20"/>
          <w:szCs w:val="20"/>
        </w:rPr>
        <w:t xml:space="preserve">TOS, </w:t>
      </w:r>
      <w:r w:rsidR="00774FB6" w:rsidRPr="0020329F">
        <w:rPr>
          <w:rFonts w:ascii="Arial" w:hAnsi="Arial" w:cs="Arial"/>
          <w:sz w:val="20"/>
          <w:szCs w:val="20"/>
        </w:rPr>
        <w:t>OSI</w:t>
      </w:r>
      <w:r w:rsidR="00B74AEC" w:rsidRPr="0020329F">
        <w:rPr>
          <w:rFonts w:ascii="Arial" w:hAnsi="Arial" w:cs="Arial"/>
          <w:sz w:val="20"/>
          <w:szCs w:val="20"/>
        </w:rPr>
        <w:t xml:space="preserve"> and decreased TAOC</w:t>
      </w:r>
      <w:r w:rsidR="00774FB6" w:rsidRPr="0020329F">
        <w:rPr>
          <w:rFonts w:ascii="Arial" w:hAnsi="Arial" w:cs="Arial"/>
          <w:sz w:val="20"/>
          <w:szCs w:val="20"/>
        </w:rPr>
        <w:t xml:space="preserve"> levels</w:t>
      </w:r>
      <w:r w:rsidR="00B74AEC" w:rsidRPr="0020329F">
        <w:rPr>
          <w:rFonts w:ascii="Arial" w:hAnsi="Arial" w:cs="Arial"/>
          <w:sz w:val="20"/>
          <w:szCs w:val="20"/>
        </w:rPr>
        <w:t xml:space="preserve"> </w:t>
      </w:r>
      <w:r w:rsidR="00774FB6" w:rsidRPr="0020329F">
        <w:rPr>
          <w:rFonts w:ascii="Arial" w:hAnsi="Arial" w:cs="Arial"/>
          <w:sz w:val="20"/>
          <w:szCs w:val="20"/>
        </w:rPr>
        <w:t xml:space="preserve">to near </w:t>
      </w:r>
      <w:r w:rsidR="00B74AEC" w:rsidRPr="0020329F">
        <w:rPr>
          <w:rFonts w:ascii="Arial" w:hAnsi="Arial" w:cs="Arial"/>
          <w:sz w:val="20"/>
          <w:szCs w:val="20"/>
        </w:rPr>
        <w:t>n</w:t>
      </w:r>
      <w:r w:rsidR="00774FB6" w:rsidRPr="0020329F">
        <w:rPr>
          <w:rFonts w:ascii="Arial" w:hAnsi="Arial" w:cs="Arial"/>
          <w:sz w:val="20"/>
          <w:szCs w:val="20"/>
        </w:rPr>
        <w:t>ormalcy</w:t>
      </w:r>
      <w:r w:rsidR="00B74AEC" w:rsidRPr="0020329F">
        <w:rPr>
          <w:rFonts w:ascii="Arial" w:hAnsi="Arial" w:cs="Arial"/>
          <w:sz w:val="20"/>
          <w:szCs w:val="20"/>
        </w:rPr>
        <w:t>.</w:t>
      </w:r>
      <w:r w:rsidR="00B12EBB" w:rsidRPr="0020329F">
        <w:rPr>
          <w:rFonts w:ascii="Arial" w:hAnsi="Arial" w:cs="Arial"/>
          <w:sz w:val="20"/>
          <w:szCs w:val="20"/>
        </w:rPr>
        <w:t xml:space="preserve"> This </w:t>
      </w:r>
      <w:r w:rsidR="00A149E6" w:rsidRPr="0020329F">
        <w:rPr>
          <w:rFonts w:ascii="Arial" w:hAnsi="Arial" w:cs="Arial"/>
          <w:sz w:val="20"/>
          <w:szCs w:val="20"/>
        </w:rPr>
        <w:t xml:space="preserve">essential oil </w:t>
      </w:r>
      <w:r w:rsidR="00B12EBB" w:rsidRPr="0020329F">
        <w:rPr>
          <w:rFonts w:ascii="Arial" w:hAnsi="Arial" w:cs="Arial"/>
          <w:sz w:val="20"/>
          <w:szCs w:val="20"/>
        </w:rPr>
        <w:t xml:space="preserve">combination may be recommended </w:t>
      </w:r>
      <w:r w:rsidR="00A149E6" w:rsidRPr="0020329F">
        <w:rPr>
          <w:rFonts w:ascii="Arial" w:hAnsi="Arial" w:cs="Arial"/>
          <w:sz w:val="20"/>
          <w:szCs w:val="20"/>
        </w:rPr>
        <w:t xml:space="preserve">either </w:t>
      </w:r>
      <w:r w:rsidR="00B12EBB" w:rsidRPr="0020329F">
        <w:rPr>
          <w:rFonts w:ascii="Arial" w:hAnsi="Arial" w:cs="Arial"/>
          <w:sz w:val="20"/>
          <w:szCs w:val="20"/>
        </w:rPr>
        <w:t xml:space="preserve">as an adjunctive remedy along with </w:t>
      </w:r>
      <w:r w:rsidR="00A149E6" w:rsidRPr="0020329F">
        <w:rPr>
          <w:rFonts w:ascii="Arial" w:hAnsi="Arial" w:cs="Arial"/>
          <w:sz w:val="20"/>
          <w:szCs w:val="20"/>
        </w:rPr>
        <w:t xml:space="preserve">a </w:t>
      </w:r>
      <w:r w:rsidR="00B12EBB" w:rsidRPr="0020329F">
        <w:rPr>
          <w:rFonts w:ascii="Arial" w:hAnsi="Arial" w:cs="Arial"/>
          <w:sz w:val="20"/>
          <w:szCs w:val="20"/>
        </w:rPr>
        <w:t>miticide</w:t>
      </w:r>
      <w:r w:rsidR="00A149E6" w:rsidRPr="0020329F">
        <w:rPr>
          <w:rFonts w:ascii="Arial" w:hAnsi="Arial" w:cs="Arial"/>
          <w:sz w:val="20"/>
          <w:szCs w:val="20"/>
        </w:rPr>
        <w:t>, or as an alternative therapy</w:t>
      </w:r>
      <w:r w:rsidR="00B12EBB" w:rsidRPr="0020329F">
        <w:rPr>
          <w:rFonts w:ascii="Arial" w:hAnsi="Arial" w:cs="Arial"/>
          <w:sz w:val="20"/>
          <w:szCs w:val="20"/>
        </w:rPr>
        <w:t xml:space="preserve"> to manage clinical canine sarcoptic mange. </w:t>
      </w:r>
      <w:r w:rsidR="00A149E6" w:rsidRPr="0020329F">
        <w:rPr>
          <w:rFonts w:ascii="Arial" w:hAnsi="Arial" w:cs="Arial"/>
          <w:sz w:val="20"/>
          <w:szCs w:val="20"/>
        </w:rPr>
        <w:t>Further</w:t>
      </w:r>
      <w:r w:rsidR="00B12EBB" w:rsidRPr="0020329F">
        <w:rPr>
          <w:rFonts w:ascii="Arial" w:hAnsi="Arial" w:cs="Arial"/>
          <w:sz w:val="20"/>
          <w:szCs w:val="20"/>
        </w:rPr>
        <w:t>, large-scale studies are needed for these assumptions to be confirmed</w:t>
      </w:r>
      <w:r w:rsidR="00A149E6" w:rsidRPr="0020329F">
        <w:rPr>
          <w:rFonts w:ascii="Arial" w:hAnsi="Arial" w:cs="Arial"/>
          <w:sz w:val="20"/>
          <w:szCs w:val="20"/>
        </w:rPr>
        <w:t>.</w:t>
      </w:r>
    </w:p>
    <w:p w14:paraId="7DCDDA79" w14:textId="2785031B" w:rsidR="004C0045" w:rsidRPr="0020329F" w:rsidRDefault="004C0045" w:rsidP="004C0045">
      <w:pPr>
        <w:pStyle w:val="ReferHead"/>
        <w:spacing w:after="0"/>
        <w:rPr>
          <w:rFonts w:ascii="Arial" w:hAnsi="Arial" w:cs="Arial"/>
          <w:bCs/>
        </w:rPr>
      </w:pPr>
      <w:r w:rsidRPr="0020329F">
        <w:rPr>
          <w:rFonts w:ascii="Arial" w:hAnsi="Arial" w:cs="Arial"/>
          <w:bCs/>
        </w:rPr>
        <w:t xml:space="preserve">Ethical approval </w:t>
      </w:r>
    </w:p>
    <w:p w14:paraId="6683654A" w14:textId="77777777" w:rsidR="00AB6C1B" w:rsidRPr="0020329F" w:rsidRDefault="00AB6C1B" w:rsidP="004C0045">
      <w:pPr>
        <w:pStyle w:val="ReferHead"/>
        <w:spacing w:after="0"/>
        <w:rPr>
          <w:rFonts w:ascii="Arial" w:hAnsi="Arial" w:cs="Arial"/>
          <w:bCs/>
        </w:rPr>
      </w:pPr>
    </w:p>
    <w:p w14:paraId="5DEA9D33" w14:textId="0FE5A463" w:rsidR="00AB6C1B" w:rsidRPr="0020329F" w:rsidRDefault="00AB6C1B" w:rsidP="00AB6C1B">
      <w:pPr>
        <w:pStyle w:val="ReferHead"/>
        <w:spacing w:after="0" w:line="360" w:lineRule="auto"/>
        <w:rPr>
          <w:rFonts w:ascii="Arial" w:hAnsi="Arial" w:cs="Arial"/>
          <w:b w:val="0"/>
          <w:sz w:val="20"/>
          <w:szCs w:val="18"/>
        </w:rPr>
      </w:pPr>
      <w:r w:rsidRPr="0020329F">
        <w:rPr>
          <w:rFonts w:ascii="Arial" w:hAnsi="Arial" w:cs="Arial"/>
          <w:b w:val="0"/>
          <w:caps w:val="0"/>
          <w:sz w:val="20"/>
        </w:rPr>
        <w:t xml:space="preserve">The blood was collected from the diseased dogs and healthy animals under the ethical standards and guidelines of the Institutional Animal Ethics Committee (IAEC) and due permission was received from the ethical committee of the University via </w:t>
      </w:r>
      <w:r w:rsidRPr="00A314D1">
        <w:rPr>
          <w:rFonts w:ascii="Arial" w:hAnsi="Arial" w:cs="Arial"/>
          <w:b w:val="0"/>
          <w:caps w:val="0"/>
          <w:sz w:val="20"/>
        </w:rPr>
        <w:t>voucher no. IAEC/2</w:t>
      </w:r>
      <w:r w:rsidR="00A314D1" w:rsidRPr="00A314D1">
        <w:rPr>
          <w:rFonts w:ascii="Arial" w:hAnsi="Arial" w:cs="Arial"/>
          <w:b w:val="0"/>
          <w:caps w:val="0"/>
          <w:sz w:val="20"/>
        </w:rPr>
        <w:t>2/2</w:t>
      </w:r>
      <w:r w:rsidRPr="00A314D1">
        <w:rPr>
          <w:rFonts w:ascii="Arial" w:hAnsi="Arial" w:cs="Arial"/>
          <w:b w:val="0"/>
          <w:caps w:val="0"/>
          <w:sz w:val="20"/>
        </w:rPr>
        <w:t>/</w:t>
      </w:r>
      <w:r w:rsidR="00A314D1" w:rsidRPr="00A314D1">
        <w:rPr>
          <w:rFonts w:ascii="Arial" w:hAnsi="Arial" w:cs="Arial"/>
          <w:b w:val="0"/>
          <w:caps w:val="0"/>
          <w:sz w:val="20"/>
        </w:rPr>
        <w:t>14</w:t>
      </w:r>
      <w:r w:rsidRPr="00A314D1">
        <w:rPr>
          <w:rFonts w:ascii="Arial" w:hAnsi="Arial" w:cs="Arial"/>
          <w:b w:val="0"/>
          <w:caps w:val="0"/>
          <w:sz w:val="20"/>
        </w:rPr>
        <w:t xml:space="preserve"> dated 2</w:t>
      </w:r>
      <w:r w:rsidR="00A314D1" w:rsidRPr="00A314D1">
        <w:rPr>
          <w:rFonts w:ascii="Arial" w:hAnsi="Arial" w:cs="Arial"/>
          <w:b w:val="0"/>
          <w:caps w:val="0"/>
          <w:sz w:val="20"/>
        </w:rPr>
        <w:t>8</w:t>
      </w:r>
      <w:r w:rsidRPr="00A314D1">
        <w:rPr>
          <w:rFonts w:ascii="Arial" w:hAnsi="Arial" w:cs="Arial"/>
          <w:b w:val="0"/>
          <w:caps w:val="0"/>
          <w:sz w:val="20"/>
        </w:rPr>
        <w:t>-1</w:t>
      </w:r>
      <w:r w:rsidR="00A314D1" w:rsidRPr="00A314D1">
        <w:rPr>
          <w:rFonts w:ascii="Arial" w:hAnsi="Arial" w:cs="Arial"/>
          <w:b w:val="0"/>
          <w:caps w:val="0"/>
          <w:sz w:val="20"/>
        </w:rPr>
        <w:t>2</w:t>
      </w:r>
      <w:r w:rsidRPr="00A314D1">
        <w:rPr>
          <w:rFonts w:ascii="Arial" w:hAnsi="Arial" w:cs="Arial"/>
          <w:b w:val="0"/>
          <w:caps w:val="0"/>
          <w:sz w:val="20"/>
        </w:rPr>
        <w:t>-20</w:t>
      </w:r>
      <w:r w:rsidR="00A314D1" w:rsidRPr="00A314D1">
        <w:rPr>
          <w:rFonts w:ascii="Arial" w:hAnsi="Arial" w:cs="Arial"/>
          <w:b w:val="0"/>
          <w:caps w:val="0"/>
          <w:sz w:val="20"/>
        </w:rPr>
        <w:t>22</w:t>
      </w:r>
      <w:r w:rsidRPr="00A314D1">
        <w:rPr>
          <w:rFonts w:ascii="Arial" w:hAnsi="Arial" w:cs="Arial"/>
          <w:b w:val="0"/>
          <w:caps w:val="0"/>
          <w:sz w:val="20"/>
        </w:rPr>
        <w:t>.</w:t>
      </w:r>
    </w:p>
    <w:p w14:paraId="13DFAAAD" w14:textId="77777777" w:rsidR="00025D24" w:rsidRPr="0020329F" w:rsidRDefault="00025D24" w:rsidP="004C0045">
      <w:pPr>
        <w:pStyle w:val="ReferHead"/>
        <w:spacing w:after="0"/>
        <w:rPr>
          <w:rFonts w:ascii="Arial" w:hAnsi="Arial" w:cs="Arial"/>
          <w:b w:val="0"/>
          <w:caps w:val="0"/>
          <w:sz w:val="20"/>
        </w:rPr>
      </w:pPr>
    </w:p>
    <w:p w14:paraId="040EF17A" w14:textId="77777777" w:rsidR="004C0045" w:rsidRPr="0020329F" w:rsidRDefault="004C0045" w:rsidP="004C0045">
      <w:pPr>
        <w:pStyle w:val="ReferHead"/>
        <w:spacing w:after="0"/>
        <w:rPr>
          <w:rFonts w:ascii="Arial" w:hAnsi="Arial" w:cs="Arial"/>
        </w:rPr>
      </w:pPr>
      <w:r w:rsidRPr="0020329F">
        <w:rPr>
          <w:rFonts w:ascii="Arial" w:hAnsi="Arial" w:cs="Arial"/>
        </w:rPr>
        <w:t>References</w:t>
      </w:r>
    </w:p>
    <w:p w14:paraId="6AF96CE9" w14:textId="77777777" w:rsidR="004C0045" w:rsidRPr="0020329F" w:rsidRDefault="004C0045">
      <w:pPr>
        <w:rPr>
          <w:rFonts w:ascii="Arial" w:hAnsi="Arial" w:cs="Arial"/>
          <w:b/>
          <w:bCs/>
          <w:sz w:val="24"/>
          <w:szCs w:val="24"/>
          <w:shd w:val="clear" w:color="auto" w:fill="FFFFFF"/>
        </w:rPr>
      </w:pPr>
    </w:p>
    <w:p w14:paraId="52D9B830" w14:textId="77B7D2D0" w:rsidR="00215BA5" w:rsidRPr="0020329F" w:rsidRDefault="00215BA5" w:rsidP="00651018">
      <w:pPr>
        <w:pStyle w:val="ListParagraph"/>
        <w:numPr>
          <w:ilvl w:val="0"/>
          <w:numId w:val="3"/>
        </w:numPr>
        <w:spacing w:line="360" w:lineRule="auto"/>
        <w:rPr>
          <w:rFonts w:ascii="Arial" w:hAnsi="Arial" w:cs="Arial"/>
          <w:sz w:val="20"/>
          <w:szCs w:val="20"/>
        </w:rPr>
      </w:pPr>
      <w:r w:rsidRPr="0020329F">
        <w:rPr>
          <w:rFonts w:ascii="Arial" w:hAnsi="Arial" w:cs="Arial"/>
          <w:sz w:val="20"/>
          <w:szCs w:val="20"/>
        </w:rPr>
        <w:lastRenderedPageBreak/>
        <w:t>Allaam MA, Allam TS</w:t>
      </w:r>
      <w:r w:rsidR="00E41745" w:rsidRPr="0020329F">
        <w:rPr>
          <w:rFonts w:ascii="Arial" w:hAnsi="Arial" w:cs="Arial"/>
          <w:sz w:val="20"/>
          <w:szCs w:val="20"/>
        </w:rPr>
        <w:t>,</w:t>
      </w:r>
      <w:r w:rsidRPr="0020329F">
        <w:rPr>
          <w:rFonts w:ascii="Arial" w:hAnsi="Arial" w:cs="Arial"/>
          <w:sz w:val="20"/>
          <w:szCs w:val="20"/>
        </w:rPr>
        <w:t xml:space="preserve"> </w:t>
      </w:r>
      <w:proofErr w:type="spellStart"/>
      <w:r w:rsidRPr="0020329F">
        <w:rPr>
          <w:rFonts w:ascii="Arial" w:hAnsi="Arial" w:cs="Arial"/>
          <w:sz w:val="20"/>
          <w:szCs w:val="20"/>
        </w:rPr>
        <w:t>Elkhatam</w:t>
      </w:r>
      <w:proofErr w:type="spellEnd"/>
      <w:r w:rsidRPr="0020329F">
        <w:rPr>
          <w:rFonts w:ascii="Arial" w:hAnsi="Arial" w:cs="Arial"/>
          <w:sz w:val="20"/>
          <w:szCs w:val="20"/>
        </w:rPr>
        <w:t xml:space="preserve"> AO. </w:t>
      </w:r>
      <w:r w:rsidR="00E41745" w:rsidRPr="0020329F">
        <w:rPr>
          <w:rFonts w:ascii="Arial" w:hAnsi="Arial" w:cs="Arial"/>
          <w:sz w:val="20"/>
          <w:szCs w:val="20"/>
        </w:rPr>
        <w:t xml:space="preserve">2014. </w:t>
      </w:r>
      <w:r w:rsidRPr="0020329F">
        <w:rPr>
          <w:rFonts w:ascii="Arial" w:hAnsi="Arial" w:cs="Arial"/>
          <w:sz w:val="20"/>
          <w:szCs w:val="20"/>
        </w:rPr>
        <w:t xml:space="preserve">Biochemical and circulating oxidative stress biomarkers in Egyptian buffaloes (Bubalus bubalis) infested by sarcoptic mange. Global </w:t>
      </w:r>
      <w:proofErr w:type="spellStart"/>
      <w:r w:rsidRPr="0020329F">
        <w:rPr>
          <w:rFonts w:ascii="Arial" w:hAnsi="Arial" w:cs="Arial"/>
          <w:sz w:val="20"/>
          <w:szCs w:val="20"/>
        </w:rPr>
        <w:t>Veterinaria</w:t>
      </w:r>
      <w:proofErr w:type="spellEnd"/>
      <w:r w:rsidR="00E41745" w:rsidRPr="0020329F">
        <w:rPr>
          <w:rFonts w:ascii="Arial" w:hAnsi="Arial" w:cs="Arial"/>
          <w:sz w:val="20"/>
          <w:szCs w:val="20"/>
        </w:rPr>
        <w:t xml:space="preserve">, </w:t>
      </w:r>
      <w:r w:rsidRPr="0020329F">
        <w:rPr>
          <w:rFonts w:ascii="Arial" w:hAnsi="Arial" w:cs="Arial"/>
          <w:sz w:val="20"/>
          <w:szCs w:val="20"/>
        </w:rPr>
        <w:t>13(4):656-661.</w:t>
      </w:r>
    </w:p>
    <w:p w14:paraId="057BDC9D" w14:textId="2925EE5D" w:rsidR="00215BA5" w:rsidRPr="0020329F" w:rsidRDefault="00215BA5" w:rsidP="00651018">
      <w:pPr>
        <w:pStyle w:val="ListParagraph"/>
        <w:numPr>
          <w:ilvl w:val="0"/>
          <w:numId w:val="3"/>
        </w:numPr>
        <w:spacing w:line="360" w:lineRule="auto"/>
        <w:rPr>
          <w:rFonts w:ascii="Arial" w:hAnsi="Arial" w:cs="Arial"/>
          <w:sz w:val="20"/>
          <w:szCs w:val="20"/>
        </w:rPr>
      </w:pPr>
      <w:proofErr w:type="spellStart"/>
      <w:r w:rsidRPr="0020329F">
        <w:rPr>
          <w:rFonts w:ascii="Arial" w:hAnsi="Arial" w:cs="Arial"/>
          <w:sz w:val="20"/>
          <w:szCs w:val="20"/>
        </w:rPr>
        <w:t>Andriantsoanirina</w:t>
      </w:r>
      <w:proofErr w:type="spellEnd"/>
      <w:r w:rsidRPr="0020329F">
        <w:rPr>
          <w:rFonts w:ascii="Arial" w:hAnsi="Arial" w:cs="Arial"/>
          <w:sz w:val="20"/>
          <w:szCs w:val="20"/>
        </w:rPr>
        <w:t xml:space="preserve"> V, Guillot J, </w:t>
      </w:r>
      <w:proofErr w:type="spellStart"/>
      <w:r w:rsidRPr="0020329F">
        <w:rPr>
          <w:rFonts w:ascii="Arial" w:hAnsi="Arial" w:cs="Arial"/>
          <w:sz w:val="20"/>
          <w:szCs w:val="20"/>
        </w:rPr>
        <w:t>Ratsimbason</w:t>
      </w:r>
      <w:proofErr w:type="spellEnd"/>
      <w:r w:rsidRPr="0020329F">
        <w:rPr>
          <w:rFonts w:ascii="Arial" w:hAnsi="Arial" w:cs="Arial"/>
          <w:sz w:val="20"/>
          <w:szCs w:val="20"/>
        </w:rPr>
        <w:t xml:space="preserve"> M, </w:t>
      </w:r>
      <w:proofErr w:type="spellStart"/>
      <w:r w:rsidRPr="0020329F">
        <w:rPr>
          <w:rFonts w:ascii="Arial" w:hAnsi="Arial" w:cs="Arial"/>
          <w:sz w:val="20"/>
          <w:szCs w:val="20"/>
        </w:rPr>
        <w:t>Mekhloufi</w:t>
      </w:r>
      <w:proofErr w:type="spellEnd"/>
      <w:r w:rsidRPr="0020329F">
        <w:rPr>
          <w:rFonts w:ascii="Arial" w:hAnsi="Arial" w:cs="Arial"/>
          <w:sz w:val="20"/>
          <w:szCs w:val="20"/>
        </w:rPr>
        <w:t xml:space="preserve"> G, </w:t>
      </w:r>
      <w:proofErr w:type="spellStart"/>
      <w:r w:rsidRPr="0020329F">
        <w:rPr>
          <w:rFonts w:ascii="Arial" w:hAnsi="Arial" w:cs="Arial"/>
          <w:sz w:val="20"/>
          <w:szCs w:val="20"/>
        </w:rPr>
        <w:t>Randriamialinoro</w:t>
      </w:r>
      <w:proofErr w:type="spellEnd"/>
      <w:r w:rsidRPr="0020329F">
        <w:rPr>
          <w:rFonts w:ascii="Arial" w:hAnsi="Arial" w:cs="Arial"/>
          <w:sz w:val="20"/>
          <w:szCs w:val="20"/>
        </w:rPr>
        <w:t xml:space="preserve"> F, </w:t>
      </w:r>
      <w:proofErr w:type="spellStart"/>
      <w:r w:rsidRPr="0020329F">
        <w:rPr>
          <w:rFonts w:ascii="Arial" w:hAnsi="Arial" w:cs="Arial"/>
          <w:sz w:val="20"/>
          <w:szCs w:val="20"/>
        </w:rPr>
        <w:t>Ranarivelo</w:t>
      </w:r>
      <w:proofErr w:type="spellEnd"/>
      <w:r w:rsidRPr="0020329F">
        <w:rPr>
          <w:rFonts w:ascii="Arial" w:hAnsi="Arial" w:cs="Arial"/>
          <w:sz w:val="20"/>
          <w:szCs w:val="20"/>
        </w:rPr>
        <w:t xml:space="preserve"> L, </w:t>
      </w:r>
      <w:proofErr w:type="spellStart"/>
      <w:r w:rsidRPr="0020329F">
        <w:rPr>
          <w:rFonts w:ascii="Arial" w:hAnsi="Arial" w:cs="Arial"/>
          <w:sz w:val="20"/>
          <w:szCs w:val="20"/>
        </w:rPr>
        <w:t>Ariey</w:t>
      </w:r>
      <w:proofErr w:type="spellEnd"/>
      <w:r w:rsidRPr="0020329F">
        <w:rPr>
          <w:rFonts w:ascii="Arial" w:hAnsi="Arial" w:cs="Arial"/>
          <w:sz w:val="20"/>
          <w:szCs w:val="20"/>
        </w:rPr>
        <w:t xml:space="preserve"> F, Durand R. 2022. In vitro efficacy of essential oils against </w:t>
      </w:r>
      <w:proofErr w:type="spellStart"/>
      <w:r w:rsidRPr="0020329F">
        <w:rPr>
          <w:rFonts w:ascii="Arial" w:hAnsi="Arial" w:cs="Arial"/>
          <w:sz w:val="20"/>
          <w:szCs w:val="20"/>
        </w:rPr>
        <w:t>Sarcoptes</w:t>
      </w:r>
      <w:proofErr w:type="spellEnd"/>
      <w:r w:rsidRPr="0020329F">
        <w:rPr>
          <w:rFonts w:ascii="Arial" w:hAnsi="Arial" w:cs="Arial"/>
          <w:sz w:val="20"/>
          <w:szCs w:val="20"/>
        </w:rPr>
        <w:t xml:space="preserve"> scabiei. Scientific Reports, 12(1):1-8.</w:t>
      </w:r>
    </w:p>
    <w:p w14:paraId="7BCB17F9" w14:textId="3FC14615" w:rsidR="00215BA5" w:rsidRPr="0020329F" w:rsidRDefault="00215BA5" w:rsidP="00651018">
      <w:pPr>
        <w:pStyle w:val="ListParagraph"/>
        <w:numPr>
          <w:ilvl w:val="0"/>
          <w:numId w:val="3"/>
        </w:numPr>
        <w:spacing w:line="360" w:lineRule="auto"/>
        <w:rPr>
          <w:rFonts w:ascii="Arial" w:hAnsi="Arial" w:cs="Arial"/>
          <w:sz w:val="20"/>
          <w:szCs w:val="20"/>
        </w:rPr>
      </w:pPr>
      <w:r w:rsidRPr="0020329F">
        <w:rPr>
          <w:rFonts w:ascii="Arial" w:hAnsi="Arial" w:cs="Arial"/>
          <w:sz w:val="20"/>
          <w:szCs w:val="20"/>
        </w:rPr>
        <w:t xml:space="preserve">Behera SK, </w:t>
      </w:r>
      <w:proofErr w:type="spellStart"/>
      <w:r w:rsidRPr="0020329F">
        <w:rPr>
          <w:rFonts w:ascii="Arial" w:hAnsi="Arial" w:cs="Arial"/>
          <w:sz w:val="20"/>
          <w:szCs w:val="20"/>
        </w:rPr>
        <w:t>Dimri</w:t>
      </w:r>
      <w:proofErr w:type="spellEnd"/>
      <w:r w:rsidRPr="0020329F">
        <w:rPr>
          <w:rFonts w:ascii="Arial" w:hAnsi="Arial" w:cs="Arial"/>
          <w:sz w:val="20"/>
          <w:szCs w:val="20"/>
        </w:rPr>
        <w:t xml:space="preserve"> U, Singh SK, Mohanta RK. 2011. The curative and antioxidative efficiency of ivermectin and ivermectin+ vitamin E-selenium treatment on canine </w:t>
      </w:r>
      <w:proofErr w:type="spellStart"/>
      <w:r w:rsidRPr="0020329F">
        <w:rPr>
          <w:rFonts w:ascii="Arial" w:hAnsi="Arial" w:cs="Arial"/>
          <w:sz w:val="20"/>
          <w:szCs w:val="20"/>
        </w:rPr>
        <w:t>Sarcoptes</w:t>
      </w:r>
      <w:proofErr w:type="spellEnd"/>
      <w:r w:rsidRPr="0020329F">
        <w:rPr>
          <w:rFonts w:ascii="Arial" w:hAnsi="Arial" w:cs="Arial"/>
          <w:sz w:val="20"/>
          <w:szCs w:val="20"/>
        </w:rPr>
        <w:t xml:space="preserve"> scabiei infestation. Veterinary Research Communications, 35:237-244.</w:t>
      </w:r>
    </w:p>
    <w:p w14:paraId="39639A5A" w14:textId="51862B52" w:rsidR="00215BA5" w:rsidRPr="0020329F" w:rsidRDefault="00215BA5" w:rsidP="00651018">
      <w:pPr>
        <w:pStyle w:val="ListParagraph"/>
        <w:numPr>
          <w:ilvl w:val="0"/>
          <w:numId w:val="3"/>
        </w:numPr>
        <w:spacing w:line="360" w:lineRule="auto"/>
        <w:rPr>
          <w:rFonts w:ascii="Arial" w:hAnsi="Arial" w:cs="Arial"/>
          <w:sz w:val="20"/>
          <w:szCs w:val="20"/>
        </w:rPr>
      </w:pPr>
      <w:r w:rsidRPr="0020329F">
        <w:rPr>
          <w:rFonts w:ascii="Arial" w:hAnsi="Arial" w:cs="Arial"/>
          <w:sz w:val="20"/>
          <w:szCs w:val="20"/>
        </w:rPr>
        <w:t xml:space="preserve">Beigh SA, </w:t>
      </w:r>
      <w:proofErr w:type="spellStart"/>
      <w:r w:rsidRPr="0020329F">
        <w:rPr>
          <w:rFonts w:ascii="Arial" w:hAnsi="Arial" w:cs="Arial"/>
          <w:sz w:val="20"/>
          <w:szCs w:val="20"/>
        </w:rPr>
        <w:t>Soodan</w:t>
      </w:r>
      <w:proofErr w:type="spellEnd"/>
      <w:r w:rsidRPr="0020329F">
        <w:rPr>
          <w:rFonts w:ascii="Arial" w:hAnsi="Arial" w:cs="Arial"/>
          <w:sz w:val="20"/>
          <w:szCs w:val="20"/>
        </w:rPr>
        <w:t xml:space="preserve"> JS, Bhat AM. 2016. Sarcoptic mange in dogs: Its effect on liver, oxidative stress, trace minerals and vitamins. Veterinary Parasitology, 227:30-34.</w:t>
      </w:r>
    </w:p>
    <w:p w14:paraId="3D2541F1" w14:textId="0FE434FB" w:rsidR="00215BA5" w:rsidRPr="0020329F" w:rsidRDefault="00215BA5" w:rsidP="00651018">
      <w:pPr>
        <w:pStyle w:val="ListParagraph"/>
        <w:numPr>
          <w:ilvl w:val="0"/>
          <w:numId w:val="3"/>
        </w:numPr>
        <w:spacing w:before="120" w:after="120" w:line="360" w:lineRule="auto"/>
        <w:rPr>
          <w:rFonts w:ascii="Arial" w:hAnsi="Arial" w:cs="Arial"/>
          <w:sz w:val="20"/>
          <w:szCs w:val="20"/>
          <w:shd w:val="clear" w:color="auto" w:fill="FFFFFF"/>
        </w:rPr>
      </w:pPr>
      <w:r w:rsidRPr="0020329F">
        <w:rPr>
          <w:rFonts w:ascii="Arial" w:hAnsi="Arial" w:cs="Arial"/>
          <w:sz w:val="20"/>
          <w:szCs w:val="20"/>
          <w:shd w:val="clear" w:color="auto" w:fill="FFFFFF"/>
        </w:rPr>
        <w:t xml:space="preserve">Beigh SA, </w:t>
      </w:r>
      <w:proofErr w:type="spellStart"/>
      <w:r w:rsidRPr="0020329F">
        <w:rPr>
          <w:rFonts w:ascii="Arial" w:hAnsi="Arial" w:cs="Arial"/>
          <w:sz w:val="20"/>
          <w:szCs w:val="20"/>
          <w:shd w:val="clear" w:color="auto" w:fill="FFFFFF"/>
        </w:rPr>
        <w:t>Soodan</w:t>
      </w:r>
      <w:proofErr w:type="spellEnd"/>
      <w:r w:rsidRPr="0020329F">
        <w:rPr>
          <w:rFonts w:ascii="Arial" w:hAnsi="Arial" w:cs="Arial"/>
          <w:sz w:val="20"/>
          <w:szCs w:val="20"/>
          <w:shd w:val="clear" w:color="auto" w:fill="FFFFFF"/>
        </w:rPr>
        <w:t xml:space="preserve"> JS, Singh R, Raina R. 2013. Plasma Zinc, Iron, Vitamin A and </w:t>
      </w:r>
      <w:proofErr w:type="spellStart"/>
      <w:r w:rsidRPr="0020329F">
        <w:rPr>
          <w:rFonts w:ascii="Arial" w:hAnsi="Arial" w:cs="Arial"/>
          <w:sz w:val="20"/>
          <w:szCs w:val="20"/>
          <w:shd w:val="clear" w:color="auto" w:fill="FFFFFF"/>
        </w:rPr>
        <w:t>Hematological</w:t>
      </w:r>
      <w:proofErr w:type="spellEnd"/>
      <w:r w:rsidRPr="0020329F">
        <w:rPr>
          <w:rFonts w:ascii="Arial" w:hAnsi="Arial" w:cs="Arial"/>
          <w:sz w:val="20"/>
          <w:szCs w:val="20"/>
          <w:shd w:val="clear" w:color="auto" w:fill="FFFFFF"/>
        </w:rPr>
        <w:t xml:space="preserve"> Parameters in Dogs with Sarcoptic Mange. Israel Journal of Veterinary Medicine, 68(4):239-245.</w:t>
      </w:r>
    </w:p>
    <w:p w14:paraId="595F8CD2" w14:textId="1D5A6497" w:rsidR="00215BA5" w:rsidRPr="0020329F" w:rsidRDefault="00215BA5" w:rsidP="00651018">
      <w:pPr>
        <w:pStyle w:val="ListParagraph"/>
        <w:numPr>
          <w:ilvl w:val="0"/>
          <w:numId w:val="3"/>
        </w:numPr>
        <w:spacing w:line="360" w:lineRule="auto"/>
        <w:rPr>
          <w:rFonts w:ascii="Arial" w:hAnsi="Arial" w:cs="Arial"/>
          <w:sz w:val="20"/>
          <w:szCs w:val="20"/>
        </w:rPr>
      </w:pPr>
      <w:proofErr w:type="spellStart"/>
      <w:r w:rsidRPr="0020329F">
        <w:rPr>
          <w:rFonts w:ascii="Arial" w:hAnsi="Arial" w:cs="Arial"/>
          <w:sz w:val="20"/>
          <w:szCs w:val="20"/>
        </w:rPr>
        <w:t>Camkerten</w:t>
      </w:r>
      <w:proofErr w:type="spellEnd"/>
      <w:r w:rsidRPr="0020329F">
        <w:rPr>
          <w:rFonts w:ascii="Arial" w:hAnsi="Arial" w:cs="Arial"/>
          <w:sz w:val="20"/>
          <w:szCs w:val="20"/>
        </w:rPr>
        <w:t xml:space="preserve"> I, Sahin T, </w:t>
      </w:r>
      <w:proofErr w:type="spellStart"/>
      <w:r w:rsidRPr="0020329F">
        <w:rPr>
          <w:rFonts w:ascii="Arial" w:hAnsi="Arial" w:cs="Arial"/>
          <w:sz w:val="20"/>
          <w:szCs w:val="20"/>
        </w:rPr>
        <w:t>Borazan</w:t>
      </w:r>
      <w:proofErr w:type="spellEnd"/>
      <w:r w:rsidRPr="0020329F">
        <w:rPr>
          <w:rFonts w:ascii="Arial" w:hAnsi="Arial" w:cs="Arial"/>
          <w:sz w:val="20"/>
          <w:szCs w:val="20"/>
        </w:rPr>
        <w:t xml:space="preserve"> G, Gokcen A, Erel O, Das A. 2009. Evaluation of blood oxidant/antioxidant balance in dogs with sarcoptic mange. Veterinary Parasitology, 161(1-2):106-9.</w:t>
      </w:r>
    </w:p>
    <w:p w14:paraId="41AA3F10" w14:textId="78A1B508" w:rsidR="00215BA5" w:rsidRPr="0020329F" w:rsidRDefault="00215BA5" w:rsidP="00651018">
      <w:pPr>
        <w:pStyle w:val="ListParagraph"/>
        <w:numPr>
          <w:ilvl w:val="0"/>
          <w:numId w:val="3"/>
        </w:numPr>
        <w:spacing w:line="360" w:lineRule="auto"/>
        <w:rPr>
          <w:rFonts w:ascii="Arial" w:hAnsi="Arial" w:cs="Arial"/>
          <w:sz w:val="20"/>
          <w:szCs w:val="20"/>
        </w:rPr>
      </w:pPr>
      <w:r w:rsidRPr="0020329F">
        <w:rPr>
          <w:rFonts w:ascii="Arial" w:hAnsi="Arial" w:cs="Arial"/>
          <w:sz w:val="20"/>
          <w:szCs w:val="20"/>
        </w:rPr>
        <w:t>Choudhary S, Chaudhary G. 2021. Sandalwood (Santalum album): ancient tree with significant medicinal benefits. International Journal of Ayurveda and Pharma Research, 9(4):90-99.</w:t>
      </w:r>
    </w:p>
    <w:p w14:paraId="3B421C6F" w14:textId="635015AF" w:rsidR="00215BA5" w:rsidRPr="0020329F" w:rsidRDefault="00215BA5" w:rsidP="00651018">
      <w:pPr>
        <w:pStyle w:val="ListParagraph"/>
        <w:numPr>
          <w:ilvl w:val="0"/>
          <w:numId w:val="3"/>
        </w:numPr>
        <w:spacing w:before="120" w:after="120" w:line="360" w:lineRule="auto"/>
        <w:rPr>
          <w:rFonts w:ascii="Arial" w:hAnsi="Arial" w:cs="Arial"/>
          <w:sz w:val="20"/>
          <w:szCs w:val="20"/>
          <w:shd w:val="clear" w:color="auto" w:fill="FFFFFF"/>
        </w:rPr>
      </w:pPr>
      <w:r w:rsidRPr="0020329F">
        <w:rPr>
          <w:rFonts w:ascii="Arial" w:hAnsi="Arial" w:cs="Arial"/>
          <w:sz w:val="20"/>
          <w:szCs w:val="20"/>
        </w:rPr>
        <w:t>De UK, Dey S. 2010. Evaluation of organ function and oxidant/antioxidant status in goats with sarcoptic mange. Tropical Animal Health and Production, 42:1663-1668.</w:t>
      </w:r>
      <w:r w:rsidRPr="0020329F">
        <w:rPr>
          <w:rFonts w:ascii="Arial" w:hAnsi="Arial" w:cs="Arial"/>
          <w:sz w:val="20"/>
          <w:szCs w:val="20"/>
          <w:shd w:val="clear" w:color="auto" w:fill="FFFFFF"/>
        </w:rPr>
        <w:t xml:space="preserve"> </w:t>
      </w:r>
    </w:p>
    <w:p w14:paraId="72499D12" w14:textId="5D017213" w:rsidR="00215BA5" w:rsidRPr="0020329F" w:rsidRDefault="00215BA5" w:rsidP="00651018">
      <w:pPr>
        <w:pStyle w:val="ListParagraph"/>
        <w:numPr>
          <w:ilvl w:val="0"/>
          <w:numId w:val="3"/>
        </w:numPr>
        <w:spacing w:line="360" w:lineRule="auto"/>
        <w:rPr>
          <w:rFonts w:ascii="Arial" w:hAnsi="Arial" w:cs="Arial"/>
          <w:sz w:val="20"/>
          <w:szCs w:val="20"/>
        </w:rPr>
      </w:pPr>
      <w:r w:rsidRPr="0020329F">
        <w:rPr>
          <w:rFonts w:ascii="Arial" w:hAnsi="Arial" w:cs="Arial"/>
          <w:sz w:val="20"/>
          <w:szCs w:val="20"/>
        </w:rPr>
        <w:t>El-</w:t>
      </w:r>
      <w:proofErr w:type="spellStart"/>
      <w:r w:rsidRPr="0020329F">
        <w:rPr>
          <w:rFonts w:ascii="Arial" w:hAnsi="Arial" w:cs="Arial"/>
          <w:sz w:val="20"/>
          <w:szCs w:val="20"/>
        </w:rPr>
        <w:t>Spiey</w:t>
      </w:r>
      <w:proofErr w:type="spellEnd"/>
      <w:r w:rsidRPr="0020329F">
        <w:rPr>
          <w:rFonts w:ascii="Arial" w:hAnsi="Arial" w:cs="Arial"/>
          <w:sz w:val="20"/>
          <w:szCs w:val="20"/>
        </w:rPr>
        <w:t xml:space="preserve"> M, Elsawy M, Sadaka T, Tony M. 2016. Comparative studies on reproductive male rabbits as affected by ivermectin or both of garlic and cinnamon oils treatments 1. Acaricidal efficacy of ivermectin, garlic and cinnamon oils against </w:t>
      </w:r>
      <w:proofErr w:type="spellStart"/>
      <w:r w:rsidRPr="0020329F">
        <w:rPr>
          <w:rFonts w:ascii="Arial" w:hAnsi="Arial" w:cs="Arial"/>
          <w:sz w:val="20"/>
          <w:szCs w:val="20"/>
        </w:rPr>
        <w:t>Sarcoptes</w:t>
      </w:r>
      <w:proofErr w:type="spellEnd"/>
      <w:r w:rsidRPr="0020329F">
        <w:rPr>
          <w:rFonts w:ascii="Arial" w:hAnsi="Arial" w:cs="Arial"/>
          <w:sz w:val="20"/>
          <w:szCs w:val="20"/>
        </w:rPr>
        <w:t xml:space="preserve"> scabiei in suffering infested rabbits. Egyptian Journal of Rabbit Science, 26(1): 21-38.</w:t>
      </w:r>
    </w:p>
    <w:p w14:paraId="0D1BB813" w14:textId="2AA8E8BF" w:rsidR="00215BA5" w:rsidRPr="0020329F" w:rsidRDefault="00215BA5" w:rsidP="00651018">
      <w:pPr>
        <w:pStyle w:val="ListParagraph"/>
        <w:numPr>
          <w:ilvl w:val="0"/>
          <w:numId w:val="3"/>
        </w:numPr>
        <w:spacing w:line="360" w:lineRule="auto"/>
        <w:rPr>
          <w:rFonts w:ascii="Arial" w:hAnsi="Arial" w:cs="Arial"/>
          <w:sz w:val="20"/>
          <w:szCs w:val="20"/>
          <w:shd w:val="clear" w:color="auto" w:fill="FFFFFF"/>
        </w:rPr>
      </w:pPr>
      <w:r w:rsidRPr="0020329F">
        <w:rPr>
          <w:rFonts w:ascii="Arial" w:hAnsi="Arial" w:cs="Arial"/>
          <w:sz w:val="20"/>
          <w:szCs w:val="20"/>
          <w:shd w:val="clear" w:color="auto" w:fill="FFFFFF"/>
        </w:rPr>
        <w:t>Escobar LE, Carver S, Cross PC, Rossi L, Almberg ES, Yabsley MJ, Astorga F. 2022. Sarcoptic mange: An emerging panzootic in wildlife. Transboundary and Emerging Diseases, 69(3):927-942.</w:t>
      </w:r>
    </w:p>
    <w:p w14:paraId="7B71602E" w14:textId="47DB1633" w:rsidR="00215BA5" w:rsidRPr="0020329F" w:rsidRDefault="00215BA5" w:rsidP="00651018">
      <w:pPr>
        <w:pStyle w:val="ListParagraph"/>
        <w:numPr>
          <w:ilvl w:val="0"/>
          <w:numId w:val="3"/>
        </w:numPr>
        <w:spacing w:line="360" w:lineRule="auto"/>
        <w:rPr>
          <w:rFonts w:ascii="Arial" w:hAnsi="Arial" w:cs="Arial"/>
          <w:sz w:val="20"/>
          <w:szCs w:val="20"/>
        </w:rPr>
      </w:pPr>
      <w:r w:rsidRPr="0020329F">
        <w:rPr>
          <w:rFonts w:ascii="Arial" w:hAnsi="Arial" w:cs="Arial"/>
          <w:sz w:val="20"/>
          <w:szCs w:val="20"/>
        </w:rPr>
        <w:t xml:space="preserve">Li M, Liu B, </w:t>
      </w:r>
      <w:proofErr w:type="spellStart"/>
      <w:r w:rsidRPr="0020329F">
        <w:rPr>
          <w:rFonts w:ascii="Arial" w:hAnsi="Arial" w:cs="Arial"/>
          <w:sz w:val="20"/>
          <w:szCs w:val="20"/>
        </w:rPr>
        <w:t>Bernigaud</w:t>
      </w:r>
      <w:proofErr w:type="spellEnd"/>
      <w:r w:rsidRPr="0020329F">
        <w:rPr>
          <w:rFonts w:ascii="Arial" w:hAnsi="Arial" w:cs="Arial"/>
          <w:sz w:val="20"/>
          <w:szCs w:val="20"/>
        </w:rPr>
        <w:t xml:space="preserve"> C, Fischer K, Guillot J, Fang F. 2020. Lemongrass (Cymbopogon </w:t>
      </w:r>
      <w:proofErr w:type="spellStart"/>
      <w:r w:rsidRPr="0020329F">
        <w:rPr>
          <w:rFonts w:ascii="Arial" w:hAnsi="Arial" w:cs="Arial"/>
          <w:sz w:val="20"/>
          <w:szCs w:val="20"/>
        </w:rPr>
        <w:t>citratus</w:t>
      </w:r>
      <w:proofErr w:type="spellEnd"/>
      <w:r w:rsidRPr="0020329F">
        <w:rPr>
          <w:rFonts w:ascii="Arial" w:hAnsi="Arial" w:cs="Arial"/>
          <w:sz w:val="20"/>
          <w:szCs w:val="20"/>
        </w:rPr>
        <w:t xml:space="preserve">) oil: A promising miticidal and ovicidal agent against </w:t>
      </w:r>
      <w:proofErr w:type="spellStart"/>
      <w:r w:rsidRPr="0020329F">
        <w:rPr>
          <w:rFonts w:ascii="Arial" w:hAnsi="Arial" w:cs="Arial"/>
          <w:sz w:val="20"/>
          <w:szCs w:val="20"/>
        </w:rPr>
        <w:t>Sarcoptes</w:t>
      </w:r>
      <w:proofErr w:type="spellEnd"/>
      <w:r w:rsidRPr="0020329F">
        <w:rPr>
          <w:rFonts w:ascii="Arial" w:hAnsi="Arial" w:cs="Arial"/>
          <w:sz w:val="20"/>
          <w:szCs w:val="20"/>
        </w:rPr>
        <w:t xml:space="preserve"> scabiei. </w:t>
      </w:r>
      <w:proofErr w:type="spellStart"/>
      <w:r w:rsidRPr="0020329F">
        <w:rPr>
          <w:rFonts w:ascii="Arial" w:hAnsi="Arial" w:cs="Arial"/>
          <w:sz w:val="20"/>
          <w:szCs w:val="20"/>
        </w:rPr>
        <w:t>PLoS</w:t>
      </w:r>
      <w:proofErr w:type="spellEnd"/>
      <w:r w:rsidRPr="0020329F">
        <w:rPr>
          <w:rFonts w:ascii="Arial" w:hAnsi="Arial" w:cs="Arial"/>
          <w:sz w:val="20"/>
          <w:szCs w:val="20"/>
        </w:rPr>
        <w:t xml:space="preserve"> Neglected Tropical Diseases, 14(4):0008225.</w:t>
      </w:r>
    </w:p>
    <w:p w14:paraId="4783B627" w14:textId="749DA33A" w:rsidR="00215BA5" w:rsidRPr="0020329F" w:rsidRDefault="00215BA5" w:rsidP="00651018">
      <w:pPr>
        <w:pStyle w:val="ListParagraph"/>
        <w:numPr>
          <w:ilvl w:val="0"/>
          <w:numId w:val="3"/>
        </w:numPr>
        <w:spacing w:before="120" w:after="120" w:line="360" w:lineRule="auto"/>
        <w:rPr>
          <w:rFonts w:ascii="Arial" w:hAnsi="Arial" w:cs="Arial"/>
          <w:sz w:val="20"/>
          <w:szCs w:val="20"/>
          <w:shd w:val="clear" w:color="auto" w:fill="FFFFFF"/>
        </w:rPr>
      </w:pPr>
      <w:r w:rsidRPr="0020329F">
        <w:rPr>
          <w:rFonts w:ascii="Arial" w:hAnsi="Arial" w:cs="Arial"/>
          <w:sz w:val="20"/>
          <w:szCs w:val="20"/>
          <w:shd w:val="clear" w:color="auto" w:fill="FFFFFF"/>
        </w:rPr>
        <w:t xml:space="preserve">Mir MH. 2013. Evaluation of antioxidant and immunomodulatory potential of </w:t>
      </w:r>
      <w:proofErr w:type="spellStart"/>
      <w:r w:rsidRPr="0020329F">
        <w:rPr>
          <w:rFonts w:ascii="Arial" w:hAnsi="Arial" w:cs="Arial"/>
          <w:sz w:val="20"/>
          <w:szCs w:val="20"/>
          <w:shd w:val="clear" w:color="auto" w:fill="FFFFFF"/>
        </w:rPr>
        <w:t>withania</w:t>
      </w:r>
      <w:proofErr w:type="spellEnd"/>
      <w:r w:rsidRPr="0020329F">
        <w:rPr>
          <w:rFonts w:ascii="Arial" w:hAnsi="Arial" w:cs="Arial"/>
          <w:sz w:val="20"/>
          <w:szCs w:val="20"/>
          <w:shd w:val="clear" w:color="auto" w:fill="FFFFFF"/>
        </w:rPr>
        <w:t xml:space="preserve"> </w:t>
      </w:r>
      <w:proofErr w:type="spellStart"/>
      <w:r w:rsidRPr="0020329F">
        <w:rPr>
          <w:rFonts w:ascii="Arial" w:hAnsi="Arial" w:cs="Arial"/>
          <w:sz w:val="20"/>
          <w:szCs w:val="20"/>
          <w:shd w:val="clear" w:color="auto" w:fill="FFFFFF"/>
        </w:rPr>
        <w:t>somnifera</w:t>
      </w:r>
      <w:proofErr w:type="spellEnd"/>
      <w:r w:rsidRPr="0020329F">
        <w:rPr>
          <w:rFonts w:ascii="Arial" w:hAnsi="Arial" w:cs="Arial"/>
          <w:sz w:val="20"/>
          <w:szCs w:val="20"/>
          <w:shd w:val="clear" w:color="auto" w:fill="FFFFFF"/>
        </w:rPr>
        <w:t xml:space="preserve"> in canine sarcoptic acariasis (Doctoral dissertation) submitted to IVRI, Izzat Nagar, India.</w:t>
      </w:r>
    </w:p>
    <w:p w14:paraId="22EFD04F" w14:textId="6B2E6D80" w:rsidR="00215BA5" w:rsidRPr="0020329F" w:rsidRDefault="00215BA5" w:rsidP="00651018">
      <w:pPr>
        <w:pStyle w:val="ListParagraph"/>
        <w:numPr>
          <w:ilvl w:val="0"/>
          <w:numId w:val="3"/>
        </w:numPr>
        <w:spacing w:line="360" w:lineRule="auto"/>
        <w:rPr>
          <w:rFonts w:ascii="Arial" w:hAnsi="Arial" w:cs="Arial"/>
          <w:sz w:val="20"/>
          <w:szCs w:val="20"/>
        </w:rPr>
      </w:pPr>
      <w:r w:rsidRPr="0020329F">
        <w:rPr>
          <w:rFonts w:ascii="Arial" w:hAnsi="Arial" w:cs="Arial"/>
          <w:sz w:val="20"/>
          <w:szCs w:val="20"/>
        </w:rPr>
        <w:t>Mirghani MES, Liyana Y, Parveen J. 2012. Bioactivity analysis of lemongrass (</w:t>
      </w:r>
      <w:proofErr w:type="spellStart"/>
      <w:r w:rsidRPr="0020329F">
        <w:rPr>
          <w:rFonts w:ascii="Arial" w:hAnsi="Arial" w:cs="Arial"/>
          <w:sz w:val="20"/>
          <w:szCs w:val="20"/>
        </w:rPr>
        <w:t>Cymbopogan</w:t>
      </w:r>
      <w:proofErr w:type="spellEnd"/>
      <w:r w:rsidRPr="0020329F">
        <w:rPr>
          <w:rFonts w:ascii="Arial" w:hAnsi="Arial" w:cs="Arial"/>
          <w:sz w:val="20"/>
          <w:szCs w:val="20"/>
        </w:rPr>
        <w:t xml:space="preserve"> </w:t>
      </w:r>
      <w:proofErr w:type="spellStart"/>
      <w:r w:rsidRPr="0020329F">
        <w:rPr>
          <w:rFonts w:ascii="Arial" w:hAnsi="Arial" w:cs="Arial"/>
          <w:sz w:val="20"/>
          <w:szCs w:val="20"/>
        </w:rPr>
        <w:t>citratus</w:t>
      </w:r>
      <w:proofErr w:type="spellEnd"/>
      <w:r w:rsidRPr="0020329F">
        <w:rPr>
          <w:rFonts w:ascii="Arial" w:hAnsi="Arial" w:cs="Arial"/>
          <w:sz w:val="20"/>
          <w:szCs w:val="20"/>
        </w:rPr>
        <w:t>) essential oil. International Food Research Journal, 19(2):569-575.</w:t>
      </w:r>
    </w:p>
    <w:p w14:paraId="65172DE1" w14:textId="141A24F6" w:rsidR="00215BA5" w:rsidRPr="0020329F" w:rsidRDefault="00215BA5" w:rsidP="00651018">
      <w:pPr>
        <w:pStyle w:val="ListParagraph"/>
        <w:numPr>
          <w:ilvl w:val="0"/>
          <w:numId w:val="3"/>
        </w:numPr>
        <w:spacing w:line="360" w:lineRule="auto"/>
        <w:rPr>
          <w:rFonts w:ascii="Arial" w:hAnsi="Arial" w:cs="Arial"/>
          <w:sz w:val="20"/>
          <w:szCs w:val="20"/>
        </w:rPr>
      </w:pPr>
      <w:r w:rsidRPr="0020329F">
        <w:rPr>
          <w:rFonts w:ascii="Arial" w:hAnsi="Arial" w:cs="Arial"/>
          <w:sz w:val="20"/>
          <w:szCs w:val="20"/>
        </w:rPr>
        <w:t>Moy RL, Levenson C. 2017. Sandalwood album oil as a botanical therapeutic in dermatology. The Journal of clinical and aesthetic dermatology, 10(10):34.</w:t>
      </w:r>
    </w:p>
    <w:p w14:paraId="45480002" w14:textId="1AA2C5BA" w:rsidR="00215BA5" w:rsidRPr="0020329F" w:rsidRDefault="00215BA5" w:rsidP="00651018">
      <w:pPr>
        <w:pStyle w:val="ListParagraph"/>
        <w:numPr>
          <w:ilvl w:val="0"/>
          <w:numId w:val="3"/>
        </w:numPr>
        <w:spacing w:line="360" w:lineRule="auto"/>
        <w:rPr>
          <w:rFonts w:ascii="Arial" w:hAnsi="Arial" w:cs="Arial"/>
          <w:sz w:val="20"/>
          <w:szCs w:val="20"/>
        </w:rPr>
      </w:pPr>
      <w:r w:rsidRPr="0020329F">
        <w:rPr>
          <w:rFonts w:ascii="Arial" w:hAnsi="Arial" w:cs="Arial"/>
          <w:sz w:val="20"/>
          <w:szCs w:val="20"/>
        </w:rPr>
        <w:t xml:space="preserve">Nardoni S, </w:t>
      </w:r>
      <w:proofErr w:type="spellStart"/>
      <w:r w:rsidRPr="0020329F">
        <w:rPr>
          <w:rFonts w:ascii="Arial" w:hAnsi="Arial" w:cs="Arial"/>
          <w:sz w:val="20"/>
          <w:szCs w:val="20"/>
        </w:rPr>
        <w:t>Mancianti</w:t>
      </w:r>
      <w:proofErr w:type="spellEnd"/>
      <w:r w:rsidRPr="0020329F">
        <w:rPr>
          <w:rFonts w:ascii="Arial" w:hAnsi="Arial" w:cs="Arial"/>
          <w:sz w:val="20"/>
          <w:szCs w:val="20"/>
        </w:rPr>
        <w:t xml:space="preserve"> F. 2022. Essential oils against </w:t>
      </w:r>
      <w:proofErr w:type="spellStart"/>
      <w:r w:rsidRPr="0020329F">
        <w:rPr>
          <w:rFonts w:ascii="Arial" w:hAnsi="Arial" w:cs="Arial"/>
          <w:sz w:val="20"/>
          <w:szCs w:val="20"/>
        </w:rPr>
        <w:t>Sarcoptes</w:t>
      </w:r>
      <w:proofErr w:type="spellEnd"/>
      <w:r w:rsidRPr="0020329F">
        <w:rPr>
          <w:rFonts w:ascii="Arial" w:hAnsi="Arial" w:cs="Arial"/>
          <w:sz w:val="20"/>
          <w:szCs w:val="20"/>
        </w:rPr>
        <w:t xml:space="preserve"> scabiei. Molecules, 27(24):9067.</w:t>
      </w:r>
    </w:p>
    <w:p w14:paraId="76351C73" w14:textId="6BAF6EFD" w:rsidR="00215BA5" w:rsidRPr="0020329F" w:rsidRDefault="00215BA5" w:rsidP="00651018">
      <w:pPr>
        <w:pStyle w:val="ListParagraph"/>
        <w:numPr>
          <w:ilvl w:val="0"/>
          <w:numId w:val="3"/>
        </w:numPr>
        <w:spacing w:line="360" w:lineRule="auto"/>
        <w:rPr>
          <w:rFonts w:ascii="Arial" w:hAnsi="Arial" w:cs="Arial"/>
          <w:sz w:val="20"/>
          <w:szCs w:val="20"/>
        </w:rPr>
      </w:pPr>
      <w:r w:rsidRPr="0020329F">
        <w:rPr>
          <w:rFonts w:ascii="Arial" w:hAnsi="Arial" w:cs="Arial"/>
          <w:sz w:val="20"/>
          <w:szCs w:val="20"/>
        </w:rPr>
        <w:t xml:space="preserve">OIE. 2016. Mange. In: OIE Manual of diagnostic tests and vaccines for terrestrial animals. 6th </w:t>
      </w:r>
      <w:proofErr w:type="spellStart"/>
      <w:r w:rsidRPr="0020329F">
        <w:rPr>
          <w:rFonts w:ascii="Arial" w:hAnsi="Arial" w:cs="Arial"/>
          <w:sz w:val="20"/>
          <w:szCs w:val="20"/>
        </w:rPr>
        <w:t>edn</w:t>
      </w:r>
      <w:proofErr w:type="spellEnd"/>
      <w:r w:rsidRPr="0020329F">
        <w:rPr>
          <w:rFonts w:ascii="Arial" w:hAnsi="Arial" w:cs="Arial"/>
          <w:sz w:val="20"/>
          <w:szCs w:val="20"/>
        </w:rPr>
        <w:t xml:space="preserve">. World Organisation for Animal Health, pp 1255–1266. </w:t>
      </w:r>
    </w:p>
    <w:p w14:paraId="6E914BCE" w14:textId="1FE0B749" w:rsidR="00215BA5" w:rsidRPr="0020329F" w:rsidRDefault="00215BA5" w:rsidP="00651018">
      <w:pPr>
        <w:pStyle w:val="ListParagraph"/>
        <w:numPr>
          <w:ilvl w:val="0"/>
          <w:numId w:val="3"/>
        </w:numPr>
        <w:spacing w:line="360" w:lineRule="auto"/>
        <w:rPr>
          <w:rFonts w:ascii="Arial" w:hAnsi="Arial" w:cs="Arial"/>
          <w:sz w:val="20"/>
          <w:szCs w:val="20"/>
        </w:rPr>
      </w:pPr>
      <w:r w:rsidRPr="0020329F">
        <w:rPr>
          <w:rFonts w:ascii="Arial" w:hAnsi="Arial" w:cs="Arial"/>
          <w:sz w:val="20"/>
          <w:szCs w:val="20"/>
        </w:rPr>
        <w:lastRenderedPageBreak/>
        <w:t>Raina AP, Kumar A, Dutta M. 2013. Chemical characterization of aroma compounds in essential oil isolated from “Holy Basil” (</w:t>
      </w:r>
      <w:proofErr w:type="spellStart"/>
      <w:r w:rsidRPr="0020329F">
        <w:rPr>
          <w:rFonts w:ascii="Arial" w:hAnsi="Arial" w:cs="Arial"/>
          <w:sz w:val="20"/>
          <w:szCs w:val="20"/>
        </w:rPr>
        <w:t>Ocimum</w:t>
      </w:r>
      <w:proofErr w:type="spellEnd"/>
      <w:r w:rsidRPr="0020329F">
        <w:rPr>
          <w:rFonts w:ascii="Arial" w:hAnsi="Arial" w:cs="Arial"/>
          <w:sz w:val="20"/>
          <w:szCs w:val="20"/>
        </w:rPr>
        <w:t xml:space="preserve"> </w:t>
      </w:r>
      <w:proofErr w:type="spellStart"/>
      <w:r w:rsidRPr="0020329F">
        <w:rPr>
          <w:rFonts w:ascii="Arial" w:hAnsi="Arial" w:cs="Arial"/>
          <w:sz w:val="20"/>
          <w:szCs w:val="20"/>
        </w:rPr>
        <w:t>tenuiflorum</w:t>
      </w:r>
      <w:proofErr w:type="spellEnd"/>
      <w:r w:rsidRPr="0020329F">
        <w:rPr>
          <w:rFonts w:ascii="Arial" w:hAnsi="Arial" w:cs="Arial"/>
          <w:sz w:val="20"/>
          <w:szCs w:val="20"/>
        </w:rPr>
        <w:t xml:space="preserve"> L.) grown in India. Genetic Resources and Crop Evolution, 60:1727-1735.</w:t>
      </w:r>
    </w:p>
    <w:p w14:paraId="57160A8E" w14:textId="51FB0BAF" w:rsidR="00215BA5" w:rsidRPr="0020329F" w:rsidRDefault="00215BA5" w:rsidP="00651018">
      <w:pPr>
        <w:pStyle w:val="ListParagraph"/>
        <w:numPr>
          <w:ilvl w:val="0"/>
          <w:numId w:val="3"/>
        </w:numPr>
        <w:spacing w:line="360" w:lineRule="auto"/>
        <w:rPr>
          <w:rFonts w:ascii="Arial" w:hAnsi="Arial" w:cs="Arial"/>
          <w:sz w:val="20"/>
          <w:szCs w:val="20"/>
        </w:rPr>
      </w:pPr>
      <w:r w:rsidRPr="0020329F">
        <w:rPr>
          <w:rFonts w:ascii="Arial" w:hAnsi="Arial" w:cs="Arial"/>
          <w:sz w:val="20"/>
          <w:szCs w:val="20"/>
        </w:rPr>
        <w:t>Saleh MA, Mahran OM, Bassam Al-Salahy M. 2011. Circulating oxidative stress status in dromedary camels infested with sarcoptic mange. Veterinary research communications, 35:35-45.</w:t>
      </w:r>
    </w:p>
    <w:p w14:paraId="232DDBB2" w14:textId="77777777" w:rsidR="00AA35E7" w:rsidRPr="0020329F" w:rsidRDefault="00AA35E7">
      <w:pPr>
        <w:rPr>
          <w:rFonts w:ascii="Arial" w:hAnsi="Arial" w:cs="Arial"/>
          <w:b/>
          <w:bCs/>
        </w:rPr>
      </w:pPr>
    </w:p>
    <w:sectPr w:rsidR="00AA35E7" w:rsidRPr="0020329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F07367" w14:textId="77777777" w:rsidR="009D45DF" w:rsidRDefault="009D45DF" w:rsidP="00D9695E">
      <w:pPr>
        <w:spacing w:after="0" w:line="240" w:lineRule="auto"/>
      </w:pPr>
      <w:r>
        <w:separator/>
      </w:r>
    </w:p>
  </w:endnote>
  <w:endnote w:type="continuationSeparator" w:id="0">
    <w:p w14:paraId="0BA036CC" w14:textId="77777777" w:rsidR="009D45DF" w:rsidRDefault="009D45DF" w:rsidP="00D969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9D49DD" w14:textId="77777777" w:rsidR="00D9695E" w:rsidRDefault="00D969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03B14A" w14:textId="77777777" w:rsidR="00D9695E" w:rsidRDefault="00D969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9A14BB" w14:textId="77777777" w:rsidR="00D9695E" w:rsidRDefault="00D969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B93708" w14:textId="77777777" w:rsidR="009D45DF" w:rsidRDefault="009D45DF" w:rsidP="00D9695E">
      <w:pPr>
        <w:spacing w:after="0" w:line="240" w:lineRule="auto"/>
      </w:pPr>
      <w:r>
        <w:separator/>
      </w:r>
    </w:p>
  </w:footnote>
  <w:footnote w:type="continuationSeparator" w:id="0">
    <w:p w14:paraId="3DEB14E4" w14:textId="77777777" w:rsidR="009D45DF" w:rsidRDefault="009D45DF" w:rsidP="00D969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0DF42" w14:textId="05BD83BB" w:rsidR="00D9695E" w:rsidRDefault="00D9695E">
    <w:pPr>
      <w:pStyle w:val="Header"/>
    </w:pPr>
    <w:r>
      <w:rPr>
        <w:noProof/>
      </w:rPr>
      <w:pict w14:anchorId="04888E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69297" o:spid="_x0000_s1026" type="#_x0000_t136" style="position:absolute;left:0;text-align:left;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15C0B" w14:textId="199EF129" w:rsidR="00D9695E" w:rsidRDefault="00D9695E">
    <w:pPr>
      <w:pStyle w:val="Header"/>
    </w:pPr>
    <w:r>
      <w:rPr>
        <w:noProof/>
      </w:rPr>
      <w:pict w14:anchorId="5ACD86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69298" o:spid="_x0000_s1027" type="#_x0000_t136" style="position:absolute;left:0;text-align:left;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D0BFD" w14:textId="472A8CE8" w:rsidR="00D9695E" w:rsidRDefault="00D9695E">
    <w:pPr>
      <w:pStyle w:val="Header"/>
    </w:pPr>
    <w:r>
      <w:rPr>
        <w:noProof/>
      </w:rPr>
      <w:pict w14:anchorId="168D56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69296" o:spid="_x0000_s1025" type="#_x0000_t136" style="position:absolute;left:0;text-align:left;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D1D71"/>
    <w:multiLevelType w:val="hybridMultilevel"/>
    <w:tmpl w:val="61B0F5D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31F07F82"/>
    <w:multiLevelType w:val="hybridMultilevel"/>
    <w:tmpl w:val="0750C504"/>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15:restartNumberingAfterBreak="0">
    <w:nsid w:val="7F72044D"/>
    <w:multiLevelType w:val="hybridMultilevel"/>
    <w:tmpl w:val="1DAA81F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54148135">
    <w:abstractNumId w:val="2"/>
  </w:num>
  <w:num w:numId="2" w16cid:durableId="674575764">
    <w:abstractNumId w:val="0"/>
  </w:num>
  <w:num w:numId="3" w16cid:durableId="12068708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29D"/>
    <w:rsid w:val="00011EAC"/>
    <w:rsid w:val="00012AC0"/>
    <w:rsid w:val="00025D24"/>
    <w:rsid w:val="00037111"/>
    <w:rsid w:val="00042F1C"/>
    <w:rsid w:val="0004393C"/>
    <w:rsid w:val="00060C8E"/>
    <w:rsid w:val="00090416"/>
    <w:rsid w:val="000D65EA"/>
    <w:rsid w:val="000D7DA8"/>
    <w:rsid w:val="000F11A2"/>
    <w:rsid w:val="000F194D"/>
    <w:rsid w:val="001074D3"/>
    <w:rsid w:val="00116829"/>
    <w:rsid w:val="00132F42"/>
    <w:rsid w:val="00137348"/>
    <w:rsid w:val="0015080B"/>
    <w:rsid w:val="00156946"/>
    <w:rsid w:val="00164A36"/>
    <w:rsid w:val="001744C6"/>
    <w:rsid w:val="00185A80"/>
    <w:rsid w:val="001A553C"/>
    <w:rsid w:val="001D3E8B"/>
    <w:rsid w:val="0020329F"/>
    <w:rsid w:val="00205FA0"/>
    <w:rsid w:val="00215BA5"/>
    <w:rsid w:val="002205B9"/>
    <w:rsid w:val="00243EA2"/>
    <w:rsid w:val="00261224"/>
    <w:rsid w:val="00263CF6"/>
    <w:rsid w:val="002678DF"/>
    <w:rsid w:val="0027625A"/>
    <w:rsid w:val="00285C0C"/>
    <w:rsid w:val="00297370"/>
    <w:rsid w:val="002A12A7"/>
    <w:rsid w:val="002D0C91"/>
    <w:rsid w:val="002E5F50"/>
    <w:rsid w:val="00310CB9"/>
    <w:rsid w:val="0031631A"/>
    <w:rsid w:val="003324B4"/>
    <w:rsid w:val="0034473E"/>
    <w:rsid w:val="00367BF1"/>
    <w:rsid w:val="003876D7"/>
    <w:rsid w:val="003B4B36"/>
    <w:rsid w:val="003C2A8C"/>
    <w:rsid w:val="003C46D7"/>
    <w:rsid w:val="003C5344"/>
    <w:rsid w:val="003F3F9A"/>
    <w:rsid w:val="00404DA8"/>
    <w:rsid w:val="004055F7"/>
    <w:rsid w:val="00407514"/>
    <w:rsid w:val="00416308"/>
    <w:rsid w:val="0045062F"/>
    <w:rsid w:val="00477077"/>
    <w:rsid w:val="00480649"/>
    <w:rsid w:val="00497298"/>
    <w:rsid w:val="004B5039"/>
    <w:rsid w:val="004C0045"/>
    <w:rsid w:val="004C7394"/>
    <w:rsid w:val="00513D8E"/>
    <w:rsid w:val="00544F20"/>
    <w:rsid w:val="00547A5F"/>
    <w:rsid w:val="00547F59"/>
    <w:rsid w:val="00574378"/>
    <w:rsid w:val="00577682"/>
    <w:rsid w:val="005864D9"/>
    <w:rsid w:val="00592F1B"/>
    <w:rsid w:val="005C74E3"/>
    <w:rsid w:val="005D638D"/>
    <w:rsid w:val="005F2DBD"/>
    <w:rsid w:val="00604620"/>
    <w:rsid w:val="0061656F"/>
    <w:rsid w:val="006176FC"/>
    <w:rsid w:val="006277A9"/>
    <w:rsid w:val="00631964"/>
    <w:rsid w:val="00641C83"/>
    <w:rsid w:val="00645312"/>
    <w:rsid w:val="00651018"/>
    <w:rsid w:val="00664082"/>
    <w:rsid w:val="006748CB"/>
    <w:rsid w:val="0068063D"/>
    <w:rsid w:val="00685B5A"/>
    <w:rsid w:val="006C58E1"/>
    <w:rsid w:val="006F5830"/>
    <w:rsid w:val="006F69AD"/>
    <w:rsid w:val="006F7F8B"/>
    <w:rsid w:val="00713DE6"/>
    <w:rsid w:val="00722923"/>
    <w:rsid w:val="007267F5"/>
    <w:rsid w:val="007415AA"/>
    <w:rsid w:val="00741A2A"/>
    <w:rsid w:val="0074589E"/>
    <w:rsid w:val="00745D25"/>
    <w:rsid w:val="00755338"/>
    <w:rsid w:val="00756CDC"/>
    <w:rsid w:val="007706DA"/>
    <w:rsid w:val="007737C8"/>
    <w:rsid w:val="00774FB6"/>
    <w:rsid w:val="007839FF"/>
    <w:rsid w:val="0079474A"/>
    <w:rsid w:val="007B3B1A"/>
    <w:rsid w:val="007C50F5"/>
    <w:rsid w:val="007C6A6F"/>
    <w:rsid w:val="007D2F74"/>
    <w:rsid w:val="007D4364"/>
    <w:rsid w:val="007D7449"/>
    <w:rsid w:val="007E43AC"/>
    <w:rsid w:val="007E5D65"/>
    <w:rsid w:val="007E7CBF"/>
    <w:rsid w:val="008030DF"/>
    <w:rsid w:val="00805CEB"/>
    <w:rsid w:val="00806397"/>
    <w:rsid w:val="008135CD"/>
    <w:rsid w:val="00832C57"/>
    <w:rsid w:val="00836AFD"/>
    <w:rsid w:val="0085345C"/>
    <w:rsid w:val="0086530A"/>
    <w:rsid w:val="00874E5A"/>
    <w:rsid w:val="00877543"/>
    <w:rsid w:val="00894EB2"/>
    <w:rsid w:val="008A2C34"/>
    <w:rsid w:val="008B153C"/>
    <w:rsid w:val="008B4F53"/>
    <w:rsid w:val="008D3B1C"/>
    <w:rsid w:val="008D7806"/>
    <w:rsid w:val="008E24F9"/>
    <w:rsid w:val="008E2F80"/>
    <w:rsid w:val="008E5BDB"/>
    <w:rsid w:val="008F0BE0"/>
    <w:rsid w:val="008F710C"/>
    <w:rsid w:val="00900A6A"/>
    <w:rsid w:val="00905543"/>
    <w:rsid w:val="00926338"/>
    <w:rsid w:val="00934AC8"/>
    <w:rsid w:val="00940028"/>
    <w:rsid w:val="00951827"/>
    <w:rsid w:val="009538ED"/>
    <w:rsid w:val="0098778A"/>
    <w:rsid w:val="0099061B"/>
    <w:rsid w:val="00993156"/>
    <w:rsid w:val="009A4896"/>
    <w:rsid w:val="009B541D"/>
    <w:rsid w:val="009D45DF"/>
    <w:rsid w:val="00A067E7"/>
    <w:rsid w:val="00A149E6"/>
    <w:rsid w:val="00A15749"/>
    <w:rsid w:val="00A314D1"/>
    <w:rsid w:val="00A4637A"/>
    <w:rsid w:val="00A46C39"/>
    <w:rsid w:val="00A55351"/>
    <w:rsid w:val="00A73ADE"/>
    <w:rsid w:val="00A81CD0"/>
    <w:rsid w:val="00AA28B3"/>
    <w:rsid w:val="00AA35E7"/>
    <w:rsid w:val="00AB5C75"/>
    <w:rsid w:val="00AB6C1B"/>
    <w:rsid w:val="00AC1029"/>
    <w:rsid w:val="00AD0852"/>
    <w:rsid w:val="00AD73D4"/>
    <w:rsid w:val="00AE53BC"/>
    <w:rsid w:val="00B119C7"/>
    <w:rsid w:val="00B12EBB"/>
    <w:rsid w:val="00B16133"/>
    <w:rsid w:val="00B32011"/>
    <w:rsid w:val="00B34EAD"/>
    <w:rsid w:val="00B537E6"/>
    <w:rsid w:val="00B541D1"/>
    <w:rsid w:val="00B566AE"/>
    <w:rsid w:val="00B63E8C"/>
    <w:rsid w:val="00B7128D"/>
    <w:rsid w:val="00B7489C"/>
    <w:rsid w:val="00B74AEC"/>
    <w:rsid w:val="00B7529D"/>
    <w:rsid w:val="00B76940"/>
    <w:rsid w:val="00B8207C"/>
    <w:rsid w:val="00BA0649"/>
    <w:rsid w:val="00BB2590"/>
    <w:rsid w:val="00BB7781"/>
    <w:rsid w:val="00BC6E52"/>
    <w:rsid w:val="00BD1937"/>
    <w:rsid w:val="00BE4DA6"/>
    <w:rsid w:val="00BE7C37"/>
    <w:rsid w:val="00BF628A"/>
    <w:rsid w:val="00C13460"/>
    <w:rsid w:val="00C1600A"/>
    <w:rsid w:val="00C6608A"/>
    <w:rsid w:val="00C72125"/>
    <w:rsid w:val="00C905B6"/>
    <w:rsid w:val="00C9195B"/>
    <w:rsid w:val="00C91F46"/>
    <w:rsid w:val="00CB578B"/>
    <w:rsid w:val="00CB5ED5"/>
    <w:rsid w:val="00CF0104"/>
    <w:rsid w:val="00D0615F"/>
    <w:rsid w:val="00D0638C"/>
    <w:rsid w:val="00D1310A"/>
    <w:rsid w:val="00D26574"/>
    <w:rsid w:val="00D30E72"/>
    <w:rsid w:val="00D45D0C"/>
    <w:rsid w:val="00D462CB"/>
    <w:rsid w:val="00D56DF4"/>
    <w:rsid w:val="00D620C9"/>
    <w:rsid w:val="00D64F7E"/>
    <w:rsid w:val="00D90240"/>
    <w:rsid w:val="00D9695E"/>
    <w:rsid w:val="00DA21D6"/>
    <w:rsid w:val="00DC779A"/>
    <w:rsid w:val="00E073DC"/>
    <w:rsid w:val="00E1460D"/>
    <w:rsid w:val="00E41745"/>
    <w:rsid w:val="00E512D8"/>
    <w:rsid w:val="00E57F50"/>
    <w:rsid w:val="00E611E2"/>
    <w:rsid w:val="00E900D7"/>
    <w:rsid w:val="00E949A7"/>
    <w:rsid w:val="00E95F87"/>
    <w:rsid w:val="00EC2D61"/>
    <w:rsid w:val="00ED0A3E"/>
    <w:rsid w:val="00ED3274"/>
    <w:rsid w:val="00EE123F"/>
    <w:rsid w:val="00EE5F9F"/>
    <w:rsid w:val="00F01AA7"/>
    <w:rsid w:val="00F521B8"/>
    <w:rsid w:val="00F555B1"/>
    <w:rsid w:val="00F7034B"/>
    <w:rsid w:val="00F727E1"/>
    <w:rsid w:val="00F776F6"/>
    <w:rsid w:val="00F80697"/>
    <w:rsid w:val="00F823DF"/>
    <w:rsid w:val="00F91F7C"/>
    <w:rsid w:val="00F96520"/>
    <w:rsid w:val="00FC2205"/>
    <w:rsid w:val="00FE3292"/>
    <w:rsid w:val="00FE7D95"/>
    <w:rsid w:val="00FF1F0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B5064"/>
  <w15:chartTrackingRefBased/>
  <w15:docId w15:val="{FF08B443-69EF-4DE0-A831-F66ABB82E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IN"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0F5"/>
  </w:style>
  <w:style w:type="paragraph" w:styleId="Heading1">
    <w:name w:val="heading 1"/>
    <w:basedOn w:val="Normal"/>
    <w:next w:val="Normal"/>
    <w:link w:val="Heading1Char"/>
    <w:uiPriority w:val="9"/>
    <w:qFormat/>
    <w:rsid w:val="007C50F5"/>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7C50F5"/>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7C50F5"/>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7C50F5"/>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7C50F5"/>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7C50F5"/>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7C50F5"/>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7C50F5"/>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7C50F5"/>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6308"/>
    <w:pPr>
      <w:ind w:left="720"/>
      <w:contextualSpacing/>
    </w:pPr>
  </w:style>
  <w:style w:type="table" w:styleId="TableGrid">
    <w:name w:val="Table Grid"/>
    <w:basedOn w:val="TableNormal"/>
    <w:uiPriority w:val="39"/>
    <w:rsid w:val="004163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D64F7E"/>
    <w:pPr>
      <w:spacing w:after="240" w:line="240" w:lineRule="auto"/>
    </w:pPr>
    <w:rPr>
      <w:rFonts w:ascii="Helvetica" w:eastAsia="Times New Roman" w:hAnsi="Helvetica" w:cs="Times New Roman"/>
      <w:sz w:val="20"/>
      <w:szCs w:val="20"/>
      <w:lang w:val="en-US"/>
    </w:rPr>
  </w:style>
  <w:style w:type="paragraph" w:customStyle="1" w:styleId="AbstHead">
    <w:name w:val="Abst Head"/>
    <w:basedOn w:val="Normal"/>
    <w:rsid w:val="00D64F7E"/>
    <w:pPr>
      <w:keepNext/>
      <w:spacing w:after="240" w:line="240" w:lineRule="auto"/>
    </w:pPr>
    <w:rPr>
      <w:rFonts w:ascii="Helvetica" w:eastAsia="Times New Roman" w:hAnsi="Helvetica" w:cs="Times New Roman"/>
      <w:b/>
      <w:caps/>
      <w:szCs w:val="20"/>
      <w:lang w:val="en-US"/>
    </w:rPr>
  </w:style>
  <w:style w:type="paragraph" w:customStyle="1" w:styleId="AcknHead">
    <w:name w:val="Ackn Head"/>
    <w:basedOn w:val="Normal"/>
    <w:rsid w:val="004C0045"/>
    <w:pPr>
      <w:keepNext/>
      <w:spacing w:after="240" w:line="240" w:lineRule="auto"/>
    </w:pPr>
    <w:rPr>
      <w:rFonts w:ascii="Helvetica" w:eastAsia="Times New Roman" w:hAnsi="Helvetica" w:cs="Times New Roman"/>
      <w:b/>
      <w:caps/>
      <w:szCs w:val="20"/>
      <w:lang w:val="en-US"/>
    </w:rPr>
  </w:style>
  <w:style w:type="paragraph" w:customStyle="1" w:styleId="ReferHead">
    <w:name w:val="Refer Head"/>
    <w:basedOn w:val="Normal"/>
    <w:rsid w:val="004C0045"/>
    <w:pPr>
      <w:keepNext/>
      <w:spacing w:after="240" w:line="240" w:lineRule="auto"/>
    </w:pPr>
    <w:rPr>
      <w:rFonts w:ascii="Helvetica" w:eastAsia="Times New Roman" w:hAnsi="Helvetica" w:cs="Times New Roman"/>
      <w:b/>
      <w:caps/>
      <w:szCs w:val="20"/>
      <w:lang w:val="en-US"/>
    </w:rPr>
  </w:style>
  <w:style w:type="character" w:customStyle="1" w:styleId="Heading1Char">
    <w:name w:val="Heading 1 Char"/>
    <w:basedOn w:val="DefaultParagraphFont"/>
    <w:link w:val="Heading1"/>
    <w:uiPriority w:val="9"/>
    <w:rsid w:val="007C50F5"/>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7C50F5"/>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7C50F5"/>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7C50F5"/>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7C50F5"/>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7C50F5"/>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7C50F5"/>
    <w:rPr>
      <w:i/>
      <w:iCs/>
    </w:rPr>
  </w:style>
  <w:style w:type="character" w:customStyle="1" w:styleId="Heading8Char">
    <w:name w:val="Heading 8 Char"/>
    <w:basedOn w:val="DefaultParagraphFont"/>
    <w:link w:val="Heading8"/>
    <w:uiPriority w:val="9"/>
    <w:semiHidden/>
    <w:rsid w:val="007C50F5"/>
    <w:rPr>
      <w:b/>
      <w:bCs/>
    </w:rPr>
  </w:style>
  <w:style w:type="character" w:customStyle="1" w:styleId="Heading9Char">
    <w:name w:val="Heading 9 Char"/>
    <w:basedOn w:val="DefaultParagraphFont"/>
    <w:link w:val="Heading9"/>
    <w:uiPriority w:val="9"/>
    <w:semiHidden/>
    <w:rsid w:val="007C50F5"/>
    <w:rPr>
      <w:i/>
      <w:iCs/>
    </w:rPr>
  </w:style>
  <w:style w:type="paragraph" w:styleId="Caption">
    <w:name w:val="caption"/>
    <w:basedOn w:val="Normal"/>
    <w:next w:val="Normal"/>
    <w:uiPriority w:val="35"/>
    <w:semiHidden/>
    <w:unhideWhenUsed/>
    <w:qFormat/>
    <w:rsid w:val="007C50F5"/>
    <w:rPr>
      <w:b/>
      <w:bCs/>
      <w:sz w:val="18"/>
      <w:szCs w:val="18"/>
    </w:rPr>
  </w:style>
  <w:style w:type="paragraph" w:styleId="Title">
    <w:name w:val="Title"/>
    <w:basedOn w:val="Normal"/>
    <w:next w:val="Normal"/>
    <w:link w:val="TitleChar"/>
    <w:uiPriority w:val="10"/>
    <w:qFormat/>
    <w:rsid w:val="007C50F5"/>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7C50F5"/>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7C50F5"/>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7C50F5"/>
    <w:rPr>
      <w:rFonts w:asciiTheme="majorHAnsi" w:eastAsiaTheme="majorEastAsia" w:hAnsiTheme="majorHAnsi" w:cstheme="majorBidi"/>
      <w:sz w:val="24"/>
      <w:szCs w:val="24"/>
    </w:rPr>
  </w:style>
  <w:style w:type="character" w:styleId="Strong">
    <w:name w:val="Strong"/>
    <w:basedOn w:val="DefaultParagraphFont"/>
    <w:uiPriority w:val="22"/>
    <w:qFormat/>
    <w:rsid w:val="007C50F5"/>
    <w:rPr>
      <w:b/>
      <w:bCs/>
      <w:color w:val="auto"/>
    </w:rPr>
  </w:style>
  <w:style w:type="character" w:styleId="Emphasis">
    <w:name w:val="Emphasis"/>
    <w:basedOn w:val="DefaultParagraphFont"/>
    <w:uiPriority w:val="20"/>
    <w:qFormat/>
    <w:rsid w:val="007C50F5"/>
    <w:rPr>
      <w:i/>
      <w:iCs/>
      <w:color w:val="auto"/>
    </w:rPr>
  </w:style>
  <w:style w:type="paragraph" w:styleId="NoSpacing">
    <w:name w:val="No Spacing"/>
    <w:uiPriority w:val="1"/>
    <w:qFormat/>
    <w:rsid w:val="007C50F5"/>
    <w:pPr>
      <w:spacing w:after="0" w:line="240" w:lineRule="auto"/>
    </w:pPr>
  </w:style>
  <w:style w:type="paragraph" w:styleId="Quote">
    <w:name w:val="Quote"/>
    <w:basedOn w:val="Normal"/>
    <w:next w:val="Normal"/>
    <w:link w:val="QuoteChar"/>
    <w:uiPriority w:val="29"/>
    <w:qFormat/>
    <w:rsid w:val="007C50F5"/>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7C50F5"/>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7C50F5"/>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7C50F5"/>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7C50F5"/>
    <w:rPr>
      <w:i/>
      <w:iCs/>
      <w:color w:val="auto"/>
    </w:rPr>
  </w:style>
  <w:style w:type="character" w:styleId="IntenseEmphasis">
    <w:name w:val="Intense Emphasis"/>
    <w:basedOn w:val="DefaultParagraphFont"/>
    <w:uiPriority w:val="21"/>
    <w:qFormat/>
    <w:rsid w:val="007C50F5"/>
    <w:rPr>
      <w:b/>
      <w:bCs/>
      <w:i/>
      <w:iCs/>
      <w:color w:val="auto"/>
    </w:rPr>
  </w:style>
  <w:style w:type="character" w:styleId="SubtleReference">
    <w:name w:val="Subtle Reference"/>
    <w:basedOn w:val="DefaultParagraphFont"/>
    <w:uiPriority w:val="31"/>
    <w:qFormat/>
    <w:rsid w:val="007C50F5"/>
    <w:rPr>
      <w:smallCaps/>
      <w:color w:val="auto"/>
      <w:u w:val="single" w:color="7F7F7F" w:themeColor="text1" w:themeTint="80"/>
    </w:rPr>
  </w:style>
  <w:style w:type="character" w:styleId="IntenseReference">
    <w:name w:val="Intense Reference"/>
    <w:basedOn w:val="DefaultParagraphFont"/>
    <w:uiPriority w:val="32"/>
    <w:qFormat/>
    <w:rsid w:val="007C50F5"/>
    <w:rPr>
      <w:b/>
      <w:bCs/>
      <w:smallCaps/>
      <w:color w:val="auto"/>
      <w:u w:val="single"/>
    </w:rPr>
  </w:style>
  <w:style w:type="character" w:styleId="BookTitle">
    <w:name w:val="Book Title"/>
    <w:basedOn w:val="DefaultParagraphFont"/>
    <w:uiPriority w:val="33"/>
    <w:qFormat/>
    <w:rsid w:val="007C50F5"/>
    <w:rPr>
      <w:b/>
      <w:bCs/>
      <w:smallCaps/>
      <w:color w:val="auto"/>
    </w:rPr>
  </w:style>
  <w:style w:type="paragraph" w:styleId="TOCHeading">
    <w:name w:val="TOC Heading"/>
    <w:basedOn w:val="Heading1"/>
    <w:next w:val="Normal"/>
    <w:uiPriority w:val="39"/>
    <w:semiHidden/>
    <w:unhideWhenUsed/>
    <w:qFormat/>
    <w:rsid w:val="007C50F5"/>
    <w:pPr>
      <w:outlineLvl w:val="9"/>
    </w:pPr>
  </w:style>
  <w:style w:type="character" w:styleId="Hyperlink">
    <w:name w:val="Hyperlink"/>
    <w:basedOn w:val="DefaultParagraphFont"/>
    <w:uiPriority w:val="99"/>
    <w:unhideWhenUsed/>
    <w:rsid w:val="00B16133"/>
    <w:rPr>
      <w:color w:val="0563C1" w:themeColor="hyperlink"/>
      <w:u w:val="single"/>
    </w:rPr>
  </w:style>
  <w:style w:type="character" w:styleId="UnresolvedMention">
    <w:name w:val="Unresolved Mention"/>
    <w:basedOn w:val="DefaultParagraphFont"/>
    <w:uiPriority w:val="99"/>
    <w:semiHidden/>
    <w:unhideWhenUsed/>
    <w:rsid w:val="00B16133"/>
    <w:rPr>
      <w:color w:val="605E5C"/>
      <w:shd w:val="clear" w:color="auto" w:fill="E1DFDD"/>
    </w:rPr>
  </w:style>
  <w:style w:type="paragraph" w:styleId="Header">
    <w:name w:val="header"/>
    <w:basedOn w:val="Normal"/>
    <w:link w:val="HeaderChar"/>
    <w:uiPriority w:val="99"/>
    <w:unhideWhenUsed/>
    <w:rsid w:val="00D969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695E"/>
  </w:style>
  <w:style w:type="paragraph" w:styleId="Footer">
    <w:name w:val="footer"/>
    <w:basedOn w:val="Normal"/>
    <w:link w:val="FooterChar"/>
    <w:uiPriority w:val="99"/>
    <w:unhideWhenUsed/>
    <w:rsid w:val="00D969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69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13832</TotalTime>
  <Pages>9</Pages>
  <Words>2714</Words>
  <Characters>15475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Shruti Bhatt</dc:creator>
  <cp:keywords/>
  <dc:description/>
  <cp:lastModifiedBy>Editor-23</cp:lastModifiedBy>
  <cp:revision>258</cp:revision>
  <dcterms:created xsi:type="dcterms:W3CDTF">2024-11-20T09:36:00Z</dcterms:created>
  <dcterms:modified xsi:type="dcterms:W3CDTF">2024-12-27T07:53:00Z</dcterms:modified>
</cp:coreProperties>
</file>