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F3533" w14:textId="77777777" w:rsidR="00D879A9"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Synergistic impact of biochar and organic amendments on field bean (</w:t>
      </w:r>
      <w:r>
        <w:rPr>
          <w:rFonts w:ascii="Times New Roman" w:hAnsi="Times New Roman" w:cs="Times New Roman"/>
          <w:b/>
          <w:bCs/>
          <w:i/>
          <w:iCs/>
          <w:sz w:val="24"/>
          <w:szCs w:val="24"/>
        </w:rPr>
        <w:t>Vicia faba</w:t>
      </w:r>
      <w:r>
        <w:rPr>
          <w:rFonts w:ascii="Times New Roman" w:hAnsi="Times New Roman" w:cs="Times New Roman"/>
          <w:b/>
          <w:bCs/>
          <w:sz w:val="24"/>
          <w:szCs w:val="24"/>
        </w:rPr>
        <w:t>) growth and soil characteristics</w:t>
      </w:r>
    </w:p>
    <w:p w14:paraId="1F2EA992" w14:textId="77777777" w:rsidR="00F150EC" w:rsidRDefault="00F150EC">
      <w:pPr>
        <w:pStyle w:val="NormalWeb"/>
        <w:spacing w:line="360" w:lineRule="auto"/>
        <w:jc w:val="both"/>
        <w:rPr>
          <w:rStyle w:val="Strong"/>
          <w:lang w:val="en-IN"/>
        </w:rPr>
      </w:pPr>
    </w:p>
    <w:p w14:paraId="37940F42" w14:textId="03599826" w:rsidR="00D879A9" w:rsidRDefault="00000000">
      <w:pPr>
        <w:pStyle w:val="NormalWeb"/>
        <w:spacing w:line="360" w:lineRule="auto"/>
        <w:jc w:val="both"/>
      </w:pPr>
      <w:r>
        <w:rPr>
          <w:rStyle w:val="Strong"/>
        </w:rPr>
        <w:t>Abstract</w:t>
      </w:r>
    </w:p>
    <w:p w14:paraId="461A2CC5" w14:textId="77777777" w:rsidR="00D879A9" w:rsidRDefault="00000000">
      <w:pPr>
        <w:pStyle w:val="NormalWeb"/>
        <w:spacing w:line="360" w:lineRule="auto"/>
        <w:jc w:val="both"/>
      </w:pPr>
      <w:r>
        <w:t xml:space="preserve">Many studies have explored the effects of various biochar types and their combinations with inorganic fertilizers, but few have focused on identifying the most effective organic amendments when used with biochar in sandy loam soil. This study aims to determine the impact of different biochar doses combined with organic amendments on plant growth and yield (Vicia faba) in sandy loam soil. Biochar doses of 15, 20, and 25 t/ha were applied in combination with organic amendments such as farmyard manure (FYM), vermicompost (VC), </w:t>
      </w:r>
      <w:proofErr w:type="spellStart"/>
      <w:r>
        <w:t>Ghanajeevamruth</w:t>
      </w:r>
      <w:proofErr w:type="spellEnd"/>
      <w:r>
        <w:t xml:space="preserve"> (GA), and their various combinations. The effectiveness of these treatments was compared to the use of biochar alone. Results indicated that the combination of biochar and organic amendments significantly increased average pod number (by 36.19% to 88.63%) and pod weight (by 24.11% to 83.18%) compared to biochar alone. Higher biochar doses consistently resulted in increased pH levels in the soil, regardless of the organic amendment used. Additionally, biochar combined with organic amendments led to higher nutrient levels, including nitrogen, phosphorus, potassium, calcium, magnesium, and sulfur, compared to biochar alone. The study concluded that biochar, particularly in combination with </w:t>
      </w:r>
      <w:proofErr w:type="spellStart"/>
      <w:r>
        <w:t>Ghanajeevamruth</w:t>
      </w:r>
      <w:proofErr w:type="spellEnd"/>
      <w:r>
        <w:t>, had superior effects on plant growth and yield. The choice of amendment and biochar dosage significantly influenced soil pH, nutrient availability, bulk density, and water holding capacity. These findings underscore the potential of combining biochar with organic amendments to enhance soil fertility and agricultural productivity, offering valuable strategies for sustainable nutrient management in sandy loam soils.</w:t>
      </w:r>
    </w:p>
    <w:p w14:paraId="75345A94" w14:textId="77777777" w:rsidR="00D879A9"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Keywords: Biochar, organic amendments, FYM, </w:t>
      </w:r>
      <w:proofErr w:type="spellStart"/>
      <w:r>
        <w:rPr>
          <w:rFonts w:ascii="Times New Roman" w:hAnsi="Times New Roman" w:cs="Times New Roman"/>
          <w:sz w:val="24"/>
          <w:szCs w:val="24"/>
        </w:rPr>
        <w:t>Ghanajeevamruth</w:t>
      </w:r>
      <w:proofErr w:type="spellEnd"/>
      <w:r>
        <w:rPr>
          <w:rFonts w:ascii="Times New Roman" w:hAnsi="Times New Roman" w:cs="Times New Roman"/>
          <w:sz w:val="24"/>
          <w:szCs w:val="24"/>
        </w:rPr>
        <w:t xml:space="preserve">, Vermicompost, soil </w:t>
      </w:r>
      <w:proofErr w:type="spellStart"/>
      <w:r>
        <w:rPr>
          <w:rFonts w:ascii="Times New Roman" w:hAnsi="Times New Roman" w:cs="Times New Roman"/>
          <w:sz w:val="24"/>
          <w:szCs w:val="24"/>
        </w:rPr>
        <w:t>nurients</w:t>
      </w:r>
      <w:proofErr w:type="spellEnd"/>
      <w:r>
        <w:rPr>
          <w:rFonts w:ascii="Times New Roman" w:hAnsi="Times New Roman" w:cs="Times New Roman"/>
          <w:sz w:val="24"/>
          <w:szCs w:val="24"/>
        </w:rPr>
        <w:t xml:space="preserve">, Field bean, Growth parameters, Yield parameters. </w:t>
      </w:r>
    </w:p>
    <w:p w14:paraId="7483D7DF" w14:textId="77777777" w:rsidR="00D879A9" w:rsidRDefault="00D879A9">
      <w:pPr>
        <w:spacing w:line="480" w:lineRule="auto"/>
        <w:jc w:val="both"/>
        <w:rPr>
          <w:rFonts w:ascii="Times New Roman" w:hAnsi="Times New Roman" w:cs="Times New Roman"/>
          <w:b/>
          <w:bCs/>
          <w:sz w:val="24"/>
          <w:szCs w:val="24"/>
        </w:rPr>
      </w:pPr>
    </w:p>
    <w:p w14:paraId="2160087A" w14:textId="77777777" w:rsidR="00F150EC" w:rsidRDefault="00F150EC">
      <w:pPr>
        <w:spacing w:line="480" w:lineRule="auto"/>
        <w:jc w:val="both"/>
        <w:rPr>
          <w:rFonts w:ascii="Times New Roman" w:hAnsi="Times New Roman" w:cs="Times New Roman"/>
          <w:b/>
          <w:bCs/>
          <w:sz w:val="24"/>
          <w:szCs w:val="24"/>
        </w:rPr>
      </w:pPr>
    </w:p>
    <w:p w14:paraId="22B4A6FF" w14:textId="77777777" w:rsidR="00F150EC" w:rsidRDefault="00F150EC">
      <w:pPr>
        <w:spacing w:line="480" w:lineRule="auto"/>
        <w:jc w:val="both"/>
        <w:rPr>
          <w:rFonts w:ascii="Times New Roman" w:hAnsi="Times New Roman" w:cs="Times New Roman"/>
          <w:b/>
          <w:bCs/>
          <w:sz w:val="24"/>
          <w:szCs w:val="24"/>
        </w:rPr>
      </w:pPr>
    </w:p>
    <w:p w14:paraId="00FD8CD0" w14:textId="77777777" w:rsidR="00D879A9"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p>
    <w:p w14:paraId="1A0FB259" w14:textId="77777777" w:rsidR="00D879A9" w:rsidRDefault="00000000">
      <w:pPr>
        <w:jc w:val="both"/>
        <w:rPr>
          <w:rFonts w:ascii="Times New Roman" w:hAnsi="Times New Roman" w:cs="Times New Roman"/>
          <w:sz w:val="24"/>
          <w:szCs w:val="24"/>
          <w:shd w:val="clear" w:color="auto" w:fill="FCFCFC"/>
        </w:rPr>
      </w:pPr>
      <w:r>
        <w:rPr>
          <w:rFonts w:ascii="Times New Roman" w:hAnsi="Times New Roman" w:cs="Times New Roman"/>
          <w:sz w:val="24"/>
          <w:szCs w:val="24"/>
        </w:rPr>
        <w:t>Growing population demands have resulted in unsustainable farming practises and a significant reliance on chemical pesticides and fertilisers, which have degraded the soil quality (</w:t>
      </w:r>
      <w:r>
        <w:rPr>
          <w:rFonts w:ascii="Times New Roman" w:hAnsi="Times New Roman" w:cs="Times New Roman"/>
          <w:color w:val="222222"/>
          <w:sz w:val="24"/>
          <w:szCs w:val="24"/>
          <w:shd w:val="clear" w:color="auto" w:fill="FFFFFF"/>
        </w:rPr>
        <w:t>Vijay et al. 2021).</w:t>
      </w:r>
      <w:r>
        <w:rPr>
          <w:rFonts w:ascii="Times New Roman" w:hAnsi="Times New Roman" w:cs="Times New Roman"/>
          <w:sz w:val="24"/>
          <w:szCs w:val="24"/>
        </w:rPr>
        <w:t xml:space="preserve"> Because of the fast decomposition of soil organic matter and ensuing decline in soil carbon content, over use of chemical fertilisers can result in soil fertility loss, nutritional imbalances, and global warming (Foley et al. 2005</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impact is particularly severe in tropical areas as only a tiny amount of newly introduced organic materials settle in soil over time and the rest of the carbon is released to the environment as carbon dioxide (</w:t>
      </w:r>
      <w:proofErr w:type="spellStart"/>
      <w:r>
        <w:rPr>
          <w:rFonts w:ascii="Times New Roman" w:hAnsi="Times New Roman" w:cs="Times New Roman"/>
          <w:sz w:val="24"/>
          <w:szCs w:val="24"/>
        </w:rPr>
        <w:t>Agegnehu</w:t>
      </w:r>
      <w:proofErr w:type="spellEnd"/>
      <w:r>
        <w:rPr>
          <w:rFonts w:ascii="Times New Roman" w:hAnsi="Times New Roman" w:cs="Times New Roman"/>
          <w:sz w:val="24"/>
          <w:szCs w:val="24"/>
        </w:rPr>
        <w:t xml:space="preserve"> et al. 2016). The application of organic manures produced from biomass and animals plays a significant role in nutrient recycling through improving nutrient availability and soil physical properties (</w:t>
      </w:r>
      <w:hyperlink r:id="rId6" w:history="1">
        <w:bookmarkStart w:id="0" w:name="bbib0100"/>
        <w:r w:rsidR="00D879A9">
          <w:rPr>
            <w:rStyle w:val="Hyperlink"/>
            <w:rFonts w:ascii="Times New Roman" w:hAnsi="Times New Roman" w:cs="Times New Roman"/>
            <w:color w:val="auto"/>
            <w:sz w:val="24"/>
            <w:szCs w:val="24"/>
          </w:rPr>
          <w:t>Hasler et al. 2015</w:t>
        </w:r>
      </w:hyperlink>
      <w:bookmarkEnd w:id="0"/>
      <w:r>
        <w:rPr>
          <w:rFonts w:ascii="Times New Roman" w:hAnsi="Times New Roman" w:cs="Times New Roman"/>
          <w:sz w:val="24"/>
          <w:szCs w:val="24"/>
        </w:rPr>
        <w:t xml:space="preserve">).Apart from the conventionally used organic manures like farmyard manure  and vermicomposting ,one of the key areas that captured global attention is the  application of recalcitrant biochar produced from agricultural biomass (Bruun et al. 2016; </w:t>
      </w:r>
      <w:proofErr w:type="spellStart"/>
      <w:r>
        <w:rPr>
          <w:rFonts w:ascii="Times New Roman" w:hAnsi="Times New Roman" w:cs="Times New Roman"/>
          <w:sz w:val="24"/>
          <w:szCs w:val="24"/>
        </w:rPr>
        <w:t>Speratti</w:t>
      </w:r>
      <w:proofErr w:type="spellEnd"/>
      <w:r>
        <w:rPr>
          <w:rFonts w:ascii="Times New Roman" w:hAnsi="Times New Roman" w:cs="Times New Roman"/>
          <w:sz w:val="24"/>
          <w:szCs w:val="24"/>
        </w:rPr>
        <w:t xml:space="preserve"> et al. 2018).There are numerous studies  that reported the role of biochar in enhancing  soil quality</w:t>
      </w:r>
      <w:r>
        <w:rPr>
          <w:rFonts w:ascii="Times New Roman" w:hAnsi="Times New Roman" w:cs="Times New Roman"/>
          <w:color w:val="333333"/>
          <w:sz w:val="24"/>
          <w:szCs w:val="24"/>
          <w:shd w:val="clear" w:color="auto" w:fill="FCFCFC"/>
        </w:rPr>
        <w:t xml:space="preserve"> </w:t>
      </w:r>
      <w:r>
        <w:rPr>
          <w:rFonts w:ascii="Times New Roman" w:hAnsi="Times New Roman" w:cs="Times New Roman"/>
          <w:sz w:val="24"/>
          <w:szCs w:val="24"/>
          <w:shd w:val="clear" w:color="auto" w:fill="FCFCFC"/>
        </w:rPr>
        <w:t>(Kammann et al. 2015;Spokas et al. 2012; Xu et al. 2014)</w:t>
      </w:r>
      <w:r>
        <w:rPr>
          <w:rFonts w:ascii="Times New Roman" w:hAnsi="Times New Roman" w:cs="Times New Roman"/>
          <w:sz w:val="24"/>
          <w:szCs w:val="24"/>
        </w:rPr>
        <w:t xml:space="preserve"> boosted crop productivity, and encouraged plant development (Major et al. 2010; Zhang et al. 2010). Addition of biochar influences several mechanisms, including initial addition of soluble nutrients contained in the biochar (Sohi et al. 2010) ,mineralization of the labile fraction of biochar containing organically bound nutrients (Lehmann et al. 2015), reduction of nutrient leaching due to biochar's physicochemical properties (Liang et al. 2006), and retention of N, P, and S associated with plants, have been proposed for increasing plant nutrient availability in nutrient-limited agroecosystems</w:t>
      </w:r>
      <w:r>
        <w:rPr>
          <w:rFonts w:ascii="Times New Roman" w:hAnsi="Times New Roman" w:cs="Times New Roman"/>
          <w:sz w:val="24"/>
          <w:szCs w:val="24"/>
          <w:shd w:val="clear" w:color="auto" w:fill="FCFCFC"/>
        </w:rPr>
        <w:t>(</w:t>
      </w:r>
      <w:proofErr w:type="spellStart"/>
      <w:r>
        <w:rPr>
          <w:rFonts w:ascii="Times New Roman" w:hAnsi="Times New Roman" w:cs="Times New Roman"/>
          <w:sz w:val="24"/>
          <w:szCs w:val="24"/>
          <w:shd w:val="clear" w:color="auto" w:fill="FCFCFC"/>
        </w:rPr>
        <w:t>Pietikainen</w:t>
      </w:r>
      <w:proofErr w:type="spellEnd"/>
      <w:r>
        <w:rPr>
          <w:rFonts w:ascii="Times New Roman" w:hAnsi="Times New Roman" w:cs="Times New Roman"/>
          <w:sz w:val="24"/>
          <w:szCs w:val="24"/>
          <w:shd w:val="clear" w:color="auto" w:fill="FCFCFC"/>
        </w:rPr>
        <w:t xml:space="preserve"> et al. 2000).</w:t>
      </w:r>
    </w:p>
    <w:p w14:paraId="6739CF4E" w14:textId="77777777" w:rsidR="00D879A9" w:rsidRDefault="00000000">
      <w:pPr>
        <w:jc w:val="both"/>
        <w:rPr>
          <w:rFonts w:ascii="Times New Roman" w:hAnsi="Times New Roman" w:cs="Times New Roman"/>
          <w:sz w:val="24"/>
          <w:szCs w:val="24"/>
        </w:rPr>
      </w:pPr>
      <w:r>
        <w:rPr>
          <w:rFonts w:ascii="Times New Roman" w:hAnsi="Times New Roman" w:cs="Times New Roman"/>
          <w:sz w:val="24"/>
          <w:szCs w:val="24"/>
        </w:rPr>
        <w:t xml:space="preserve">Nelissen et al. 2015 reported that the application of biochar improves the physical quality of the soil to some extent by increasing porosity, reducing soil bulk density, and enhancing soil aggregation especially one year after application. Additionally, an increase in the exchangeable cations in the biochar amended soil attributed to the high specific area and carboxylic groups of the biochar </w:t>
      </w:r>
      <w:r>
        <w:rPr>
          <w:rFonts w:ascii="Times New Roman" w:hAnsi="Times New Roman" w:cs="Times New Roman"/>
          <w:sz w:val="24"/>
          <w:szCs w:val="24"/>
          <w:shd w:val="clear" w:color="auto" w:fill="FCFCFC"/>
        </w:rPr>
        <w:t>(</w:t>
      </w:r>
      <w:r>
        <w:rPr>
          <w:rFonts w:ascii="Times New Roman" w:hAnsi="Times New Roman" w:cs="Times New Roman"/>
          <w:color w:val="222222"/>
          <w:sz w:val="24"/>
          <w:szCs w:val="24"/>
          <w:shd w:val="clear" w:color="auto" w:fill="FFFFFF"/>
        </w:rPr>
        <w:t>Hammes</w:t>
      </w:r>
      <w:r>
        <w:rPr>
          <w:rFonts w:ascii="Times New Roman" w:hAnsi="Times New Roman" w:cs="Times New Roman"/>
          <w:sz w:val="24"/>
          <w:szCs w:val="24"/>
          <w:shd w:val="clear" w:color="auto" w:fill="FCFCFC"/>
        </w:rPr>
        <w:t xml:space="preserve"> et al. 2012). </w:t>
      </w:r>
      <w:r>
        <w:rPr>
          <w:rFonts w:ascii="Times New Roman" w:hAnsi="Times New Roman" w:cs="Times New Roman"/>
          <w:sz w:val="24"/>
          <w:szCs w:val="24"/>
        </w:rPr>
        <w:t xml:space="preserve">It also enhances the conductivity of soil by </w:t>
      </w:r>
      <w:r>
        <w:rPr>
          <w:rFonts w:ascii="Times New Roman" w:hAnsi="Times New Roman" w:cs="Times New Roman"/>
          <w:sz w:val="24"/>
          <w:szCs w:val="24"/>
          <w:shd w:val="clear" w:color="auto" w:fill="FCFCFC"/>
        </w:rPr>
        <w:t>124.6 %, reduce soil acidity by 31.9 % (</w:t>
      </w:r>
      <w:proofErr w:type="spellStart"/>
      <w:r>
        <w:rPr>
          <w:rFonts w:ascii="Times New Roman" w:hAnsi="Times New Roman" w:cs="Times New Roman"/>
          <w:sz w:val="24"/>
          <w:szCs w:val="24"/>
          <w:shd w:val="clear" w:color="auto" w:fill="FCFCFC"/>
        </w:rPr>
        <w:t>Oguntunde</w:t>
      </w:r>
      <w:proofErr w:type="spellEnd"/>
      <w:r>
        <w:rPr>
          <w:rFonts w:ascii="Times New Roman" w:hAnsi="Times New Roman" w:cs="Times New Roman"/>
          <w:sz w:val="24"/>
          <w:szCs w:val="24"/>
          <w:shd w:val="clear" w:color="auto" w:fill="FCFCFC"/>
        </w:rPr>
        <w:t xml:space="preserve"> et al. 2008) and increases the extractable elements like Na, K, Ca and Mg </w:t>
      </w:r>
      <w:proofErr w:type="spellStart"/>
      <w:r>
        <w:rPr>
          <w:rFonts w:ascii="Times New Roman" w:hAnsi="Times New Roman" w:cs="Times New Roman"/>
          <w:sz w:val="24"/>
          <w:szCs w:val="24"/>
          <w:shd w:val="clear" w:color="auto" w:fill="FCFCFC"/>
        </w:rPr>
        <w:t>upto</w:t>
      </w:r>
      <w:proofErr w:type="spellEnd"/>
      <w:r>
        <w:rPr>
          <w:rFonts w:ascii="Times New Roman" w:hAnsi="Times New Roman" w:cs="Times New Roman"/>
          <w:sz w:val="24"/>
          <w:szCs w:val="24"/>
          <w:shd w:val="clear" w:color="auto" w:fill="FCFCFC"/>
        </w:rPr>
        <w:t xml:space="preserve"> 60-670% Wang et al. (2014),</w:t>
      </w:r>
      <w:r>
        <w:rPr>
          <w:rFonts w:ascii="Times New Roman" w:hAnsi="Times New Roman" w:cs="Times New Roman"/>
          <w:sz w:val="24"/>
          <w:szCs w:val="24"/>
        </w:rPr>
        <w:t xml:space="preserve"> which showed an overall improvement in the soil fertility and nutrient retention.</w:t>
      </w:r>
    </w:p>
    <w:p w14:paraId="2FD2D9E9" w14:textId="77777777" w:rsidR="00D879A9"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There are many formulations that blend biochar with various kinds of organic matter to create "terra </w:t>
      </w:r>
      <w:proofErr w:type="spellStart"/>
      <w:r>
        <w:rPr>
          <w:rFonts w:ascii="Times New Roman" w:hAnsi="Times New Roman" w:cs="Times New Roman"/>
          <w:sz w:val="24"/>
          <w:szCs w:val="24"/>
        </w:rPr>
        <w:t>pretta</w:t>
      </w:r>
      <w:proofErr w:type="spellEnd"/>
      <w:r>
        <w:rPr>
          <w:rFonts w:ascii="Times New Roman" w:hAnsi="Times New Roman" w:cs="Times New Roman"/>
          <w:sz w:val="24"/>
          <w:szCs w:val="24"/>
        </w:rPr>
        <w:t xml:space="preserve">" like planting substrates </w:t>
      </w:r>
      <w:r>
        <w:rPr>
          <w:rFonts w:ascii="Times New Roman" w:hAnsi="Times New Roman" w:cs="Times New Roman"/>
          <w:color w:val="282828"/>
          <w:sz w:val="24"/>
          <w:szCs w:val="24"/>
          <w:shd w:val="clear" w:color="auto" w:fill="F7F7F7"/>
        </w:rPr>
        <w:t>(</w:t>
      </w:r>
      <w:r>
        <w:rPr>
          <w:rFonts w:ascii="Times New Roman" w:hAnsi="Times New Roman" w:cs="Times New Roman"/>
          <w:sz w:val="24"/>
          <w:szCs w:val="24"/>
          <w:shd w:val="clear" w:color="auto" w:fill="F7F7F7"/>
        </w:rPr>
        <w:t>Wolf and Wedig., 2007</w:t>
      </w:r>
      <w:r>
        <w:rPr>
          <w:rFonts w:ascii="Times New Roman" w:hAnsi="Times New Roman" w:cs="Times New Roman"/>
          <w:sz w:val="24"/>
          <w:szCs w:val="24"/>
        </w:rPr>
        <w:t xml:space="preserve">). Terra </w:t>
      </w:r>
      <w:proofErr w:type="spellStart"/>
      <w:r>
        <w:rPr>
          <w:rFonts w:ascii="Times New Roman" w:hAnsi="Times New Roman" w:cs="Times New Roman"/>
          <w:sz w:val="24"/>
          <w:szCs w:val="24"/>
        </w:rPr>
        <w:t>pretta</w:t>
      </w:r>
      <w:proofErr w:type="spellEnd"/>
      <w:r>
        <w:rPr>
          <w:rFonts w:ascii="Times New Roman" w:hAnsi="Times New Roman" w:cs="Times New Roman"/>
          <w:sz w:val="24"/>
          <w:szCs w:val="24"/>
        </w:rPr>
        <w:t xml:space="preserve"> also known as Amazonian black soil was historically created by the charring of vegetation and the addition of organic materials like leaf litter, kitchen waste, and faeces. The pre-Columbian inhabitants of the amazon basin were aware of the advantages such soil amendments have on plant development and growth (Kammann et al. 2016).  Recent years have seen the development of scientific data to </w:t>
      </w:r>
      <w:r>
        <w:rPr>
          <w:rFonts w:ascii="Times New Roman" w:hAnsi="Times New Roman" w:cs="Times New Roman"/>
          <w:sz w:val="24"/>
          <w:szCs w:val="24"/>
        </w:rPr>
        <w:lastRenderedPageBreak/>
        <w:t xml:space="preserve">support these traditional methods (Lehmann and Joseph, 2015). The vast majority of studies revealed that applying biochar along with compost yielded superior results in terms of plant development than doing it individually. This is because of the nutrient absorption, particularly nitrate, and their subsequent gradual release into the soil (Joseph et al. </w:t>
      </w:r>
      <w:proofErr w:type="gramStart"/>
      <w:r>
        <w:rPr>
          <w:rFonts w:ascii="Times New Roman" w:hAnsi="Times New Roman" w:cs="Times New Roman"/>
          <w:sz w:val="24"/>
          <w:szCs w:val="24"/>
        </w:rPr>
        <w:t>2013 ;</w:t>
      </w:r>
      <w:proofErr w:type="gramEnd"/>
      <w:r>
        <w:rPr>
          <w:rFonts w:ascii="Times New Roman" w:hAnsi="Times New Roman" w:cs="Times New Roman"/>
          <w:sz w:val="24"/>
          <w:szCs w:val="24"/>
        </w:rPr>
        <w:t xml:space="preserve">  Schulz et al. 2013 ). Such co-composting data on biochar shows its positive effects on plant growth and soil improvement. However, there aren't many researches that recognise the direct interaction between biochar and organic amendments (Rawat et al. 2019). But because there is a dearth of knowledge, the amount and type of organic resources that should be combined with biochar are insufficient. In this background our investigation mainly aimed to understand how different organic fertiliser combinations with biochar affect plant performance and soil quality.</w:t>
      </w:r>
      <w:r>
        <w:rPr>
          <w:rFonts w:ascii="Times New Roman" w:hAnsi="Times New Roman" w:cs="Times New Roman"/>
        </w:rPr>
        <w:t xml:space="preserve"> </w:t>
      </w:r>
      <w:r>
        <w:rPr>
          <w:rFonts w:ascii="Times New Roman" w:hAnsi="Times New Roman" w:cs="Times New Roman"/>
          <w:sz w:val="24"/>
          <w:szCs w:val="24"/>
        </w:rPr>
        <w:t>This study for the first time provides a better comparison of different organic fertilizer combination with effective dosages of biochar to be used as soil supplement.</w:t>
      </w:r>
    </w:p>
    <w:p w14:paraId="46FE9776" w14:textId="77777777" w:rsidR="00D879A9" w:rsidRDefault="00000000">
      <w:pPr>
        <w:spacing w:line="480" w:lineRule="auto"/>
        <w:rPr>
          <w:rStyle w:val="Strong"/>
          <w:rFonts w:ascii="Times New Roman" w:hAnsi="Times New Roman" w:cs="Times New Roman"/>
          <w:color w:val="00313C"/>
          <w:sz w:val="23"/>
          <w:szCs w:val="23"/>
          <w:shd w:val="clear" w:color="auto" w:fill="FFFFFF"/>
        </w:rPr>
      </w:pPr>
      <w:r>
        <w:rPr>
          <w:rStyle w:val="Strong"/>
          <w:rFonts w:ascii="Times New Roman" w:hAnsi="Times New Roman" w:cs="Times New Roman"/>
          <w:color w:val="00313C"/>
          <w:sz w:val="23"/>
          <w:szCs w:val="23"/>
          <w:shd w:val="clear" w:color="auto" w:fill="FFFFFF"/>
        </w:rPr>
        <w:t>Materials and methods</w:t>
      </w:r>
    </w:p>
    <w:p w14:paraId="30055F36" w14:textId="77777777" w:rsidR="00D879A9" w:rsidRDefault="00000000">
      <w:pPr>
        <w:spacing w:line="360" w:lineRule="auto"/>
        <w:jc w:val="both"/>
        <w:rPr>
          <w:rFonts w:ascii="Times New Roman" w:hAnsi="Times New Roman" w:cs="Times New Roman"/>
          <w:b/>
          <w:bCs/>
          <w:color w:val="00313C"/>
          <w:sz w:val="23"/>
          <w:szCs w:val="23"/>
          <w:shd w:val="clear" w:color="auto" w:fill="FFFFFF"/>
        </w:rPr>
      </w:pPr>
      <w:r>
        <w:rPr>
          <w:rFonts w:ascii="Times New Roman" w:hAnsi="Times New Roman" w:cs="Times New Roman"/>
          <w:sz w:val="24"/>
          <w:szCs w:val="24"/>
        </w:rPr>
        <w:t>The experiment was conducted at Advanced Research Centre on Biofuels, University of Agricultural Sciences (13°08 'N and 77°57 'E), Bangalore, India. The region received an average rainfall of 358.2 mm during the cropping period (September to December</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maximum and minimum temperature varied from 27.2 °C to 34.5 °C and 19.0 °C to 20.5 °C, respectively. The soil used for the experiment was neutral to alkaline with a pH of 7.2 and was acquired from the Research Institute on Organic Farming, GKVK, Bangalore. Based on the textural categorization using the international pipette </w:t>
      </w:r>
      <w:proofErr w:type="gramStart"/>
      <w:r>
        <w:rPr>
          <w:rFonts w:ascii="Times New Roman" w:hAnsi="Times New Roman" w:cs="Times New Roman"/>
          <w:sz w:val="24"/>
          <w:szCs w:val="24"/>
        </w:rPr>
        <w:t>technique(</w:t>
      </w:r>
      <w:proofErr w:type="gramEnd"/>
      <w:r>
        <w:rPr>
          <w:rFonts w:ascii="Times New Roman" w:hAnsi="Times New Roman" w:cs="Times New Roman"/>
          <w:color w:val="222222"/>
          <w:sz w:val="24"/>
          <w:szCs w:val="24"/>
          <w:shd w:val="clear" w:color="auto" w:fill="FFFFFF"/>
        </w:rPr>
        <w:t xml:space="preserve">Jena </w:t>
      </w:r>
      <w:proofErr w:type="spellStart"/>
      <w:r>
        <w:rPr>
          <w:rFonts w:ascii="Times New Roman" w:hAnsi="Times New Roman" w:cs="Times New Roman"/>
          <w:color w:val="222222"/>
          <w:sz w:val="24"/>
          <w:szCs w:val="24"/>
          <w:shd w:val="clear" w:color="auto" w:fill="FFFFFF"/>
        </w:rPr>
        <w:t>etal</w:t>
      </w:r>
      <w:proofErr w:type="spellEnd"/>
      <w:r>
        <w:rPr>
          <w:rFonts w:ascii="Times New Roman" w:hAnsi="Times New Roman" w:cs="Times New Roman"/>
          <w:color w:val="222222"/>
          <w:sz w:val="24"/>
          <w:szCs w:val="24"/>
          <w:shd w:val="clear" w:color="auto" w:fill="FFFFFF"/>
        </w:rPr>
        <w:t xml:space="preserve"> 2013</w:t>
      </w:r>
      <w:r>
        <w:rPr>
          <w:rFonts w:ascii="Times New Roman" w:hAnsi="Times New Roman" w:cs="Times New Roman"/>
          <w:sz w:val="24"/>
          <w:szCs w:val="24"/>
        </w:rPr>
        <w:t xml:space="preserve">), the soil was identified as sandy loam (62.73 % sand, 20.41 % silt, and 16.86 % clay).The soil organic carbon content is 0.72%(less than 1%). </w:t>
      </w:r>
    </w:p>
    <w:p w14:paraId="5922702F" w14:textId="77777777" w:rsidR="00D879A9"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color w:val="222222"/>
          <w:sz w:val="24"/>
          <w:szCs w:val="24"/>
        </w:rPr>
        <w:t>Field beans (</w:t>
      </w:r>
      <w:r>
        <w:rPr>
          <w:rFonts w:ascii="Times New Roman" w:hAnsi="Times New Roman" w:cs="Times New Roman"/>
          <w:i/>
          <w:iCs/>
          <w:color w:val="222222"/>
          <w:sz w:val="24"/>
          <w:szCs w:val="24"/>
        </w:rPr>
        <w:t>Vicia faba</w:t>
      </w:r>
      <w:r>
        <w:rPr>
          <w:rFonts w:ascii="Times New Roman" w:hAnsi="Times New Roman" w:cs="Times New Roman"/>
          <w:color w:val="222222"/>
          <w:sz w:val="24"/>
          <w:szCs w:val="24"/>
        </w:rPr>
        <w:t xml:space="preserve">) variety, Hebbal </w:t>
      </w:r>
      <w:proofErr w:type="spellStart"/>
      <w:r>
        <w:rPr>
          <w:rFonts w:ascii="Times New Roman" w:hAnsi="Times New Roman" w:cs="Times New Roman"/>
          <w:color w:val="222222"/>
          <w:sz w:val="24"/>
          <w:szCs w:val="24"/>
        </w:rPr>
        <w:t>avare</w:t>
      </w:r>
      <w:proofErr w:type="spellEnd"/>
      <w:r>
        <w:rPr>
          <w:rFonts w:ascii="Times New Roman" w:hAnsi="Times New Roman" w:cs="Times New Roman"/>
          <w:color w:val="222222"/>
          <w:sz w:val="24"/>
          <w:szCs w:val="24"/>
        </w:rPr>
        <w:t xml:space="preserve"> from the Research institute on organic farming, University of Agricultural Sciences, Bangalore was used for this study. </w:t>
      </w:r>
      <w:r>
        <w:rPr>
          <w:rFonts w:ascii="Times New Roman" w:hAnsi="Times New Roman" w:cs="Times New Roman"/>
          <w:sz w:val="24"/>
          <w:szCs w:val="24"/>
        </w:rPr>
        <w:t xml:space="preserve">Three doses of biochar (15,20 and 25 t/ha) were amended with organic amendments like FYM, Vermicompost and </w:t>
      </w:r>
      <w:proofErr w:type="spellStart"/>
      <w:r>
        <w:rPr>
          <w:rFonts w:ascii="Times New Roman" w:hAnsi="Times New Roman" w:cs="Times New Roman"/>
          <w:sz w:val="24"/>
          <w:szCs w:val="24"/>
        </w:rPr>
        <w:t>ganajeevamruth</w:t>
      </w:r>
      <w:proofErr w:type="spellEnd"/>
      <w:r>
        <w:rPr>
          <w:rFonts w:ascii="Times New Roman" w:hAnsi="Times New Roman" w:cs="Times New Roman"/>
          <w:sz w:val="24"/>
          <w:szCs w:val="24"/>
        </w:rPr>
        <w:t xml:space="preserve">. Apart from these soils with different doses of biochar without any organic amendments were kept as control. </w:t>
      </w:r>
      <w:proofErr w:type="gramStart"/>
      <w:r>
        <w:rPr>
          <w:rFonts w:ascii="Times New Roman" w:hAnsi="Times New Roman" w:cs="Times New Roman"/>
          <w:sz w:val="24"/>
          <w:szCs w:val="24"/>
        </w:rPr>
        <w:t>Thus</w:t>
      </w:r>
      <w:proofErr w:type="gramEnd"/>
      <w:r>
        <w:rPr>
          <w:rFonts w:ascii="Times New Roman" w:hAnsi="Times New Roman" w:cs="Times New Roman"/>
          <w:sz w:val="24"/>
          <w:szCs w:val="24"/>
        </w:rPr>
        <w:t xml:space="preserve"> a total of eighteen treatments were replicated thrice in the 18 ×18 inches pot for the experiment. Following the harvest of the crop, soil samples were taken from each of the experimental treatment pots at a plough layer depth (0–15 cm). The collected samples were rendered with a pestle and mortar to grind them, and then passed through a 2 mm sieve after drying in the shade.</w:t>
      </w:r>
    </w:p>
    <w:p w14:paraId="1936A58D" w14:textId="77777777" w:rsidR="00D879A9" w:rsidRDefault="00D879A9">
      <w:pPr>
        <w:spacing w:before="240" w:after="240" w:line="360" w:lineRule="auto"/>
        <w:ind w:right="360"/>
        <w:jc w:val="both"/>
        <w:rPr>
          <w:rFonts w:ascii="Times New Roman" w:eastAsia="Times New Roman" w:hAnsi="Times New Roman" w:cs="Times New Roman"/>
          <w:b/>
          <w:i/>
          <w:iCs/>
          <w:color w:val="222222"/>
          <w:sz w:val="24"/>
          <w:szCs w:val="24"/>
          <w:lang w:eastAsia="en-IN"/>
        </w:rPr>
      </w:pPr>
    </w:p>
    <w:p w14:paraId="6079C9F8" w14:textId="77777777" w:rsidR="00D879A9" w:rsidRDefault="00D879A9">
      <w:pPr>
        <w:spacing w:before="240" w:after="240" w:line="360" w:lineRule="auto"/>
        <w:ind w:right="360"/>
        <w:jc w:val="both"/>
        <w:rPr>
          <w:rFonts w:ascii="Times New Roman" w:eastAsia="Times New Roman" w:hAnsi="Times New Roman" w:cs="Times New Roman"/>
          <w:b/>
          <w:i/>
          <w:iCs/>
          <w:color w:val="222222"/>
          <w:sz w:val="24"/>
          <w:szCs w:val="24"/>
          <w:lang w:eastAsia="en-IN"/>
        </w:rPr>
      </w:pPr>
    </w:p>
    <w:p w14:paraId="3B460E54" w14:textId="77777777" w:rsidR="00D879A9" w:rsidRDefault="00000000">
      <w:pPr>
        <w:spacing w:before="240" w:after="240" w:line="360" w:lineRule="auto"/>
        <w:ind w:right="360"/>
        <w:jc w:val="both"/>
        <w:rPr>
          <w:rFonts w:ascii="Times New Roman" w:eastAsia="Times New Roman" w:hAnsi="Times New Roman" w:cs="Times New Roman"/>
          <w:b/>
          <w:i/>
          <w:iCs/>
          <w:color w:val="222222"/>
          <w:sz w:val="24"/>
          <w:szCs w:val="24"/>
          <w:lang w:eastAsia="en-IN"/>
        </w:rPr>
      </w:pPr>
      <w:r>
        <w:rPr>
          <w:rFonts w:ascii="Times New Roman" w:eastAsia="Times New Roman" w:hAnsi="Times New Roman" w:cs="Times New Roman"/>
          <w:b/>
          <w:i/>
          <w:iCs/>
          <w:color w:val="222222"/>
          <w:sz w:val="24"/>
          <w:szCs w:val="24"/>
          <w:lang w:eastAsia="en-IN"/>
        </w:rPr>
        <w:t>Biochar preparation</w:t>
      </w:r>
    </w:p>
    <w:p w14:paraId="09A08130" w14:textId="77777777" w:rsidR="00D879A9" w:rsidRDefault="00000000">
      <w:pPr>
        <w:spacing w:before="240" w:after="240" w:line="360" w:lineRule="auto"/>
        <w:ind w:right="360"/>
        <w:jc w:val="both"/>
        <w:rPr>
          <w:rFonts w:ascii="Times New Roman" w:hAnsi="Times New Roman" w:cs="Times New Roman"/>
          <w:sz w:val="24"/>
          <w:szCs w:val="24"/>
        </w:rPr>
      </w:pPr>
      <w:r>
        <w:rPr>
          <w:rFonts w:ascii="Times New Roman" w:hAnsi="Times New Roman" w:cs="Times New Roman"/>
          <w:sz w:val="24"/>
          <w:szCs w:val="24"/>
        </w:rPr>
        <w:t>The biochar was produced by pyrolysis from paddy straw in a pilot scale pyrolysis machine with an average residence time of 4 hours and a fixed temperature of 500°C. The paddy straw was sun dried to an optimal moisture content of 10% and shredded into 8 to 12 mm pieces. To produce biochar, these paddy straws were fed into a resistively heated fixed-bed reactor where sweeping gas descends through a bundle of resistively heated samples. The resulting biochar was ground to pass through a 0.2 mm sieve for further analysis.</w:t>
      </w:r>
    </w:p>
    <w:p w14:paraId="6D88CBA7" w14:textId="77777777" w:rsidR="00D879A9" w:rsidRDefault="00000000">
      <w:pPr>
        <w:spacing w:before="240" w:after="24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Characterization of soil, biochar and other organic amendments  </w:t>
      </w:r>
    </w:p>
    <w:p w14:paraId="33F9AEDE" w14:textId="77777777" w:rsidR="00D879A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The soil and biochar were characterised in accordance with accepted procedures. Potentiometry was used to measure pH and electrical conductivity (</w:t>
      </w:r>
      <w:r>
        <w:rPr>
          <w:rFonts w:ascii="Times New Roman" w:hAnsi="Times New Roman" w:cs="Times New Roman"/>
          <w:color w:val="222222"/>
          <w:sz w:val="24"/>
          <w:szCs w:val="24"/>
          <w:shd w:val="clear" w:color="auto" w:fill="FFFFFF"/>
        </w:rPr>
        <w:t>Stitt</w:t>
      </w:r>
      <w:r>
        <w:rPr>
          <w:rFonts w:ascii="Times New Roman" w:hAnsi="Times New Roman" w:cs="Times New Roman"/>
          <w:sz w:val="24"/>
          <w:szCs w:val="24"/>
        </w:rPr>
        <w:t xml:space="preserve"> 1999). The Keen's cup method was used to calculate bulk density (g/cc) and MWHC (%) (</w:t>
      </w:r>
      <w:proofErr w:type="spellStart"/>
      <w:r>
        <w:rPr>
          <w:rFonts w:ascii="Times New Roman" w:hAnsi="Times New Roman" w:cs="Times New Roman"/>
          <w:color w:val="222222"/>
          <w:sz w:val="24"/>
          <w:szCs w:val="24"/>
          <w:shd w:val="clear" w:color="auto" w:fill="FFFFFF"/>
        </w:rPr>
        <w:t>Katkar</w:t>
      </w:r>
      <w:proofErr w:type="spellEnd"/>
      <w:r>
        <w:rPr>
          <w:rFonts w:ascii="Times New Roman" w:hAnsi="Times New Roman" w:cs="Times New Roman"/>
          <w:color w:val="222222"/>
          <w:sz w:val="24"/>
          <w:szCs w:val="24"/>
          <w:shd w:val="clear" w:color="auto" w:fill="FFFFFF"/>
        </w:rPr>
        <w:t xml:space="preserve"> et al. 2018</w:t>
      </w:r>
      <w:r>
        <w:rPr>
          <w:rFonts w:ascii="Times New Roman" w:hAnsi="Times New Roman" w:cs="Times New Roman"/>
          <w:sz w:val="24"/>
          <w:szCs w:val="24"/>
        </w:rPr>
        <w:t>). The Dry Combustion technique (CHNS, LECO) was used to calculate the % of total carbon (</w:t>
      </w:r>
      <w:r>
        <w:rPr>
          <w:rFonts w:ascii="Times New Roman" w:hAnsi="Times New Roman" w:cs="Times New Roman"/>
          <w:color w:val="222222"/>
          <w:sz w:val="24"/>
          <w:szCs w:val="24"/>
          <w:shd w:val="clear" w:color="auto" w:fill="FFFFFF"/>
        </w:rPr>
        <w:t>Sparks</w:t>
      </w:r>
      <w:r>
        <w:rPr>
          <w:rFonts w:ascii="Times New Roman" w:hAnsi="Times New Roman" w:cs="Times New Roman"/>
          <w:sz w:val="24"/>
          <w:szCs w:val="24"/>
        </w:rPr>
        <w:t xml:space="preserve"> et al. 2020). Other elements are determined by standard approach given by (</w:t>
      </w:r>
      <w:r>
        <w:rPr>
          <w:rFonts w:ascii="Times New Roman" w:hAnsi="Times New Roman" w:cs="Times New Roman"/>
          <w:color w:val="222222"/>
          <w:sz w:val="24"/>
          <w:szCs w:val="24"/>
          <w:shd w:val="clear" w:color="auto" w:fill="FFFFFF"/>
        </w:rPr>
        <w:t>Stitt</w:t>
      </w:r>
      <w:r>
        <w:rPr>
          <w:rFonts w:ascii="Times New Roman" w:hAnsi="Times New Roman" w:cs="Times New Roman"/>
          <w:sz w:val="24"/>
          <w:szCs w:val="24"/>
        </w:rPr>
        <w:t xml:space="preserve"> 1999). Total nitrogen % was calculated using the Kjeldahl digestion and distillation method, phosphorus % and potassium % by acid digestion and the </w:t>
      </w:r>
      <w:proofErr w:type="spellStart"/>
      <w:r>
        <w:rPr>
          <w:rFonts w:ascii="Times New Roman" w:hAnsi="Times New Roman" w:cs="Times New Roman"/>
          <w:sz w:val="24"/>
          <w:szCs w:val="24"/>
        </w:rPr>
        <w:t>vanadomolybdate</w:t>
      </w:r>
      <w:proofErr w:type="spellEnd"/>
      <w:r>
        <w:rPr>
          <w:rFonts w:ascii="Times New Roman" w:hAnsi="Times New Roman" w:cs="Times New Roman"/>
          <w:sz w:val="24"/>
          <w:szCs w:val="24"/>
        </w:rPr>
        <w:t xml:space="preserve"> method, calcium (%) and magnesium (%) by complexometric titration. Sulphur (ppm) was analysed by 0.15 % </w:t>
      </w:r>
      <w:proofErr w:type="spellStart"/>
      <w:r>
        <w:rPr>
          <w:rFonts w:ascii="Times New Roman" w:hAnsi="Times New Roman" w:cs="Times New Roman"/>
          <w:sz w:val="24"/>
          <w:szCs w:val="24"/>
        </w:rPr>
        <w:t>CaCl</w:t>
      </w:r>
      <w:proofErr w:type="spellEnd"/>
      <w:r>
        <w:rPr>
          <w:rFonts w:ascii="Times New Roman" w:hAnsi="Times New Roman" w:cs="Times New Roman"/>
          <w:sz w:val="24"/>
          <w:szCs w:val="24"/>
        </w:rPr>
        <w:t xml:space="preserve"> extraction and turbidity analysis (</w:t>
      </w:r>
      <w:proofErr w:type="spellStart"/>
      <w:r>
        <w:rPr>
          <w:rFonts w:ascii="Times New Roman" w:hAnsi="Times New Roman" w:cs="Times New Roman"/>
          <w:color w:val="222222"/>
          <w:sz w:val="24"/>
          <w:szCs w:val="24"/>
          <w:shd w:val="clear" w:color="auto" w:fill="FFFFFF"/>
        </w:rPr>
        <w:t>Lucheta</w:t>
      </w:r>
      <w:proofErr w:type="spellEnd"/>
      <w:r>
        <w:rPr>
          <w:rFonts w:ascii="Times New Roman" w:hAnsi="Times New Roman" w:cs="Times New Roman"/>
          <w:color w:val="222222"/>
          <w:sz w:val="24"/>
          <w:szCs w:val="24"/>
          <w:shd w:val="clear" w:color="auto" w:fill="FFFFFF"/>
        </w:rPr>
        <w:t xml:space="preserve"> and </w:t>
      </w:r>
      <w:proofErr w:type="spellStart"/>
      <w:r>
        <w:rPr>
          <w:rFonts w:ascii="Times New Roman" w:hAnsi="Times New Roman" w:cs="Times New Roman"/>
          <w:color w:val="222222"/>
          <w:sz w:val="24"/>
          <w:szCs w:val="24"/>
          <w:shd w:val="clear" w:color="auto" w:fill="FFFFFF"/>
        </w:rPr>
        <w:t>Lambais</w:t>
      </w:r>
      <w:proofErr w:type="spellEnd"/>
      <w:r>
        <w:rPr>
          <w:rFonts w:ascii="Times New Roman" w:hAnsi="Times New Roman" w:cs="Times New Roman"/>
          <w:color w:val="222222"/>
          <w:sz w:val="24"/>
          <w:szCs w:val="24"/>
          <w:shd w:val="clear" w:color="auto" w:fill="FFFFFF"/>
        </w:rPr>
        <w:t xml:space="preserve"> 2012</w:t>
      </w:r>
      <w:proofErr w:type="gramStart"/>
      <w:r>
        <w:rPr>
          <w:rFonts w:ascii="Times New Roman" w:hAnsi="Times New Roman" w:cs="Times New Roman"/>
          <w:sz w:val="24"/>
          <w:szCs w:val="24"/>
        </w:rPr>
        <w:t>).Iron</w:t>
      </w:r>
      <w:proofErr w:type="gramEnd"/>
      <w:r>
        <w:rPr>
          <w:rFonts w:ascii="Times New Roman" w:hAnsi="Times New Roman" w:cs="Times New Roman"/>
          <w:sz w:val="24"/>
          <w:szCs w:val="24"/>
        </w:rPr>
        <w:t>, copper, manganese, and zinc (ppm) were analysed by diacid digestion and atomic absorption spectroscopy (</w:t>
      </w:r>
      <w:r>
        <w:rPr>
          <w:rFonts w:ascii="Times New Roman" w:hAnsi="Times New Roman" w:cs="Times New Roman"/>
          <w:color w:val="222222"/>
          <w:sz w:val="24"/>
          <w:szCs w:val="24"/>
          <w:shd w:val="clear" w:color="auto" w:fill="FFFFFF"/>
        </w:rPr>
        <w:t>Anita</w:t>
      </w:r>
      <w:r>
        <w:rPr>
          <w:rFonts w:ascii="Times New Roman" w:hAnsi="Times New Roman" w:cs="Times New Roman"/>
          <w:sz w:val="24"/>
          <w:szCs w:val="24"/>
        </w:rPr>
        <w:t xml:space="preserve">  et al. 2018), respectively. The biochar was subjected to a proximate analysis using the guidelines outlined by ASTM, 2007. Table 1 lists the characteristics of the rice straw biochar that were used in the study. </w:t>
      </w:r>
    </w:p>
    <w:p w14:paraId="0CB65564" w14:textId="77777777" w:rsidR="00D879A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Farmyard manure (FYM), vermicompost (VC), </w:t>
      </w:r>
      <w:proofErr w:type="spellStart"/>
      <w:r>
        <w:rPr>
          <w:rFonts w:ascii="Times New Roman" w:hAnsi="Times New Roman" w:cs="Times New Roman"/>
          <w:sz w:val="24"/>
          <w:szCs w:val="24"/>
        </w:rPr>
        <w:t>ganajeevamruth</w:t>
      </w:r>
      <w:proofErr w:type="spellEnd"/>
      <w:r>
        <w:rPr>
          <w:rFonts w:ascii="Times New Roman" w:hAnsi="Times New Roman" w:cs="Times New Roman"/>
          <w:sz w:val="24"/>
          <w:szCs w:val="24"/>
        </w:rPr>
        <w:t xml:space="preserve"> (GA), and combinations of these were used in conjunction with biochar dosages. The organic amendment, </w:t>
      </w:r>
      <w:proofErr w:type="spellStart"/>
      <w:r>
        <w:rPr>
          <w:rFonts w:ascii="Times New Roman" w:hAnsi="Times New Roman" w:cs="Times New Roman"/>
          <w:sz w:val="24"/>
          <w:szCs w:val="24"/>
        </w:rPr>
        <w:t>ganajeevamruth</w:t>
      </w:r>
      <w:proofErr w:type="spellEnd"/>
      <w:r>
        <w:rPr>
          <w:rFonts w:ascii="Times New Roman" w:hAnsi="Times New Roman" w:cs="Times New Roman"/>
          <w:sz w:val="24"/>
          <w:szCs w:val="24"/>
        </w:rPr>
        <w:t>, include 10 kg of desi cow dung, 500 g of pulse flour, 500 ml of desi cow urine, 100 g of jaggery, and a handful of soil, which was then powdered and utilised in the experiment. A detailed characterization of the organic amendments utilised in the study are given in Table 2.</w:t>
      </w:r>
    </w:p>
    <w:p w14:paraId="49F68F88" w14:textId="77777777" w:rsidR="00D879A9" w:rsidRDefault="00000000">
      <w:pPr>
        <w:spacing w:before="240" w:after="240" w:line="360" w:lineRule="auto"/>
        <w:ind w:right="360"/>
        <w:jc w:val="both"/>
        <w:rPr>
          <w:rFonts w:ascii="Times New Roman" w:hAnsi="Times New Roman" w:cs="Times New Roman"/>
          <w:b/>
          <w:i/>
          <w:iCs/>
          <w:color w:val="222222"/>
          <w:sz w:val="24"/>
          <w:szCs w:val="24"/>
        </w:rPr>
      </w:pPr>
      <w:r>
        <w:rPr>
          <w:rFonts w:ascii="Times New Roman" w:hAnsi="Times New Roman" w:cs="Times New Roman"/>
          <w:b/>
          <w:i/>
          <w:iCs/>
          <w:color w:val="222222"/>
          <w:sz w:val="24"/>
          <w:szCs w:val="24"/>
        </w:rPr>
        <w:t>Determination of plant growth and nutrient uptake</w:t>
      </w:r>
    </w:p>
    <w:p w14:paraId="12ED22B6" w14:textId="77777777" w:rsidR="00D879A9" w:rsidRDefault="00000000">
      <w:pPr>
        <w:spacing w:before="240" w:after="240" w:line="360" w:lineRule="auto"/>
        <w:ind w:right="360"/>
        <w:jc w:val="both"/>
        <w:rPr>
          <w:rFonts w:ascii="Times New Roman" w:hAnsi="Times New Roman" w:cs="Times New Roman"/>
          <w:sz w:val="24"/>
          <w:szCs w:val="24"/>
        </w:rPr>
      </w:pPr>
      <w:r>
        <w:rPr>
          <w:rFonts w:ascii="Times New Roman" w:hAnsi="Times New Roman" w:cs="Times New Roman"/>
          <w:sz w:val="24"/>
          <w:szCs w:val="24"/>
        </w:rPr>
        <w:lastRenderedPageBreak/>
        <w:t>Average plant height, number of leaves and branches were measured at 30, 60 days after sowing and at harvest. Similarly, yield related parameters such as number of pods per plant and pod weight were determined after harvest. Dried, ground-up plant samples from the crop were tested for macronutrients (N, P, K, Ca, Mg, and S) and micronutrients (Fe, Zn, Mn and Cu). A vacuumed chamber at 85 ° C on a sand bath was used to digest one gram of the dried and ground samples after predigesting them for 24 hours with 10 ml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(62 %). The pre-digested samples were treated with 10 ml of a di-acid mixture reagent (10:4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 HClO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held on a sand bath until white precipitate was left at the bottom. After filtration, the digested samples were diluted with distilled water and volume formed to a </w:t>
      </w:r>
      <w:proofErr w:type="gramStart"/>
      <w:r>
        <w:rPr>
          <w:rFonts w:ascii="Times New Roman" w:hAnsi="Times New Roman" w:cs="Times New Roman"/>
          <w:sz w:val="24"/>
          <w:szCs w:val="24"/>
        </w:rPr>
        <w:t>defined concentrations</w:t>
      </w:r>
      <w:proofErr w:type="gramEnd"/>
      <w:r>
        <w:rPr>
          <w:rFonts w:ascii="Times New Roman" w:hAnsi="Times New Roman" w:cs="Times New Roman"/>
          <w:sz w:val="24"/>
          <w:szCs w:val="24"/>
        </w:rPr>
        <w:t xml:space="preserve">. This extract was used to assess P, K, Ca, Mg, and micronutrients (Fe, Cu, Mn, and Zn) using conventional methods. The amount of nitrogen, potassium, phosphorus, calcium, and magnesium was determined from the diacid digested content using the Micro </w:t>
      </w:r>
      <w:proofErr w:type="spellStart"/>
      <w:r>
        <w:rPr>
          <w:rFonts w:ascii="Times New Roman" w:hAnsi="Times New Roman" w:cs="Times New Roman"/>
          <w:sz w:val="24"/>
          <w:szCs w:val="24"/>
        </w:rPr>
        <w:t>Kjeldhal</w:t>
      </w:r>
      <w:proofErr w:type="spellEnd"/>
      <w:r>
        <w:rPr>
          <w:rFonts w:ascii="Times New Roman" w:hAnsi="Times New Roman" w:cs="Times New Roman"/>
          <w:sz w:val="24"/>
          <w:szCs w:val="24"/>
        </w:rPr>
        <w:t xml:space="preserve"> digestion and titration, flame photometric method, </w:t>
      </w:r>
      <w:proofErr w:type="spellStart"/>
      <w:r>
        <w:rPr>
          <w:rFonts w:ascii="Times New Roman" w:hAnsi="Times New Roman" w:cs="Times New Roman"/>
          <w:sz w:val="24"/>
          <w:szCs w:val="24"/>
        </w:rPr>
        <w:t>vanodo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molybdo</w:t>
      </w:r>
      <w:proofErr w:type="spellEnd"/>
      <w:r>
        <w:rPr>
          <w:rFonts w:ascii="Times New Roman" w:hAnsi="Times New Roman" w:cs="Times New Roman"/>
          <w:sz w:val="24"/>
          <w:szCs w:val="24"/>
        </w:rPr>
        <w:t xml:space="preserve"> phosphoric yellow colour method, and </w:t>
      </w:r>
      <w:proofErr w:type="spellStart"/>
      <w:r>
        <w:rPr>
          <w:rFonts w:ascii="Times New Roman" w:hAnsi="Times New Roman" w:cs="Times New Roman"/>
          <w:sz w:val="24"/>
          <w:szCs w:val="24"/>
        </w:rPr>
        <w:t>versenate</w:t>
      </w:r>
      <w:proofErr w:type="spellEnd"/>
      <w:r>
        <w:rPr>
          <w:rFonts w:ascii="Times New Roman" w:hAnsi="Times New Roman" w:cs="Times New Roman"/>
          <w:sz w:val="24"/>
          <w:szCs w:val="24"/>
        </w:rPr>
        <w:t xml:space="preserve"> titration process, respectively (Pipper 1966). Micronutrients (Zn, Cu, Mn and Fe) in plants were measured by feeding the digested extract samples after being diluted to an appropriate concentration of the Perkin Elmer atomic absorption spectrophotometer using correct hallow cathode lamps and presented as mg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plant and seed sample samples (Jackson 1973).</w:t>
      </w:r>
    </w:p>
    <w:p w14:paraId="2E594C7A" w14:textId="77777777" w:rsidR="00D879A9" w:rsidRDefault="00000000">
      <w:pPr>
        <w:spacing w:before="240" w:after="240" w:line="360" w:lineRule="auto"/>
        <w:ind w:right="360"/>
        <w:jc w:val="both"/>
        <w:rPr>
          <w:rFonts w:ascii="Times New Roman" w:hAnsi="Times New Roman" w:cs="Times New Roman"/>
          <w:b/>
          <w:i/>
          <w:iCs/>
          <w:sz w:val="24"/>
          <w:szCs w:val="24"/>
        </w:rPr>
      </w:pPr>
      <w:r>
        <w:rPr>
          <w:rFonts w:ascii="Times New Roman" w:hAnsi="Times New Roman" w:cs="Times New Roman"/>
          <w:b/>
          <w:i/>
          <w:iCs/>
          <w:sz w:val="24"/>
          <w:szCs w:val="24"/>
        </w:rPr>
        <w:t xml:space="preserve">Statistical analysis </w:t>
      </w:r>
    </w:p>
    <w:p w14:paraId="32D7AC2D" w14:textId="77777777" w:rsidR="00D879A9" w:rsidRDefault="00000000">
      <w:pPr>
        <w:spacing w:before="240" w:after="240" w:line="360" w:lineRule="auto"/>
        <w:ind w:right="36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en-IN"/>
        </w:rPr>
        <w:t xml:space="preserve">Statistical analysis and graphs were plotted by </w:t>
      </w:r>
      <w:r>
        <w:rPr>
          <w:rFonts w:ascii="Times New Roman" w:hAnsi="Times New Roman" w:cs="Times New Roman"/>
          <w:sz w:val="24"/>
          <w:szCs w:val="24"/>
          <w:shd w:val="clear" w:color="auto" w:fill="FFFFFF"/>
        </w:rPr>
        <w:t>R version 4.0.2</w:t>
      </w:r>
      <w:r>
        <w:rPr>
          <w:rFonts w:ascii="Times New Roman" w:eastAsia="Times New Roman" w:hAnsi="Times New Roman" w:cs="Times New Roman"/>
          <w:sz w:val="24"/>
          <w:szCs w:val="24"/>
          <w:lang w:eastAsia="en-IN"/>
        </w:rPr>
        <w:t xml:space="preserve"> each data point was summarized by calculating the average value and standard deviation (S.D.) </w:t>
      </w:r>
      <w:proofErr w:type="gramStart"/>
      <w:r>
        <w:rPr>
          <w:rFonts w:ascii="Times New Roman" w:eastAsia="Times New Roman" w:hAnsi="Times New Roman" w:cs="Times New Roman"/>
          <w:sz w:val="24"/>
          <w:szCs w:val="24"/>
          <w:lang w:eastAsia="en-IN"/>
        </w:rPr>
        <w:t>( Team</w:t>
      </w:r>
      <w:proofErr w:type="gramEnd"/>
      <w:r>
        <w:rPr>
          <w:rFonts w:ascii="Times New Roman" w:eastAsia="Times New Roman" w:hAnsi="Times New Roman" w:cs="Times New Roman"/>
          <w:sz w:val="24"/>
          <w:szCs w:val="24"/>
          <w:lang w:eastAsia="en-IN"/>
        </w:rPr>
        <w:t xml:space="preserve"> R).</w:t>
      </w:r>
      <w:r>
        <w:rPr>
          <w:rFonts w:ascii="Times New Roman" w:hAnsi="Times New Roman" w:cs="Times New Roman"/>
          <w:sz w:val="24"/>
          <w:szCs w:val="24"/>
        </w:rPr>
        <w:t xml:space="preserve"> Additional packages </w:t>
      </w:r>
      <w:r>
        <w:rPr>
          <w:rFonts w:ascii="Times New Roman" w:hAnsi="Times New Roman" w:cs="Times New Roman"/>
          <w:sz w:val="24"/>
          <w:szCs w:val="24"/>
          <w:shd w:val="clear" w:color="auto" w:fill="FFFFFF"/>
        </w:rPr>
        <w:t>‘ggplot2’ was used for plotting the graphs (Wickham 2016)</w:t>
      </w:r>
      <w:r>
        <w:rPr>
          <w:rFonts w:ascii="Times New Roman" w:eastAsia="Times New Roman" w:hAnsi="Times New Roman" w:cs="Times New Roman"/>
          <w:sz w:val="24"/>
          <w:szCs w:val="24"/>
          <w:lang w:eastAsia="en-IN"/>
        </w:rPr>
        <w:t xml:space="preserve"> One-way analysis of variance (ANOVA) </w:t>
      </w:r>
      <w:r>
        <w:rPr>
          <w:rFonts w:ascii="Times New Roman" w:hAnsi="Times New Roman" w:cs="Times New Roman"/>
          <w:sz w:val="24"/>
          <w:szCs w:val="24"/>
          <w:shd w:val="clear" w:color="auto" w:fill="FFFFFF"/>
        </w:rPr>
        <w:t xml:space="preserve">at the significance level of 0.05 </w:t>
      </w:r>
      <w:r>
        <w:rPr>
          <w:rFonts w:ascii="Times New Roman" w:eastAsia="Times New Roman" w:hAnsi="Times New Roman" w:cs="Times New Roman"/>
          <w:sz w:val="24"/>
          <w:szCs w:val="24"/>
          <w:lang w:eastAsia="en-IN"/>
        </w:rPr>
        <w:t xml:space="preserve">was used to test the differences between the control and biochar in combination with organic amendments </w:t>
      </w:r>
      <w:r>
        <w:rPr>
          <w:rFonts w:ascii="Times New Roman" w:hAnsi="Times New Roman" w:cs="Times New Roman"/>
          <w:sz w:val="24"/>
          <w:szCs w:val="24"/>
          <w:shd w:val="clear" w:color="auto" w:fill="FFFFFF"/>
        </w:rPr>
        <w:t>separately for each soil property</w:t>
      </w:r>
      <w:r>
        <w:rPr>
          <w:rFonts w:ascii="Times New Roman" w:eastAsia="Times New Roman" w:hAnsi="Times New Roman" w:cs="Times New Roman"/>
          <w:sz w:val="24"/>
          <w:szCs w:val="24"/>
          <w:lang w:eastAsia="en-IN"/>
        </w:rPr>
        <w:t>. Multiway ANOVA was used to understand the effects of biochar combinations with organic amendments (A), biochar dosages (B) and the interaction of A×B on plant growth parameters and soil physicochemical properties.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To detect the difference among the treatments after ANOVA, Tukey’s honestly significant difference at 0.05 confidence level was used (</w:t>
      </w:r>
      <w:proofErr w:type="spellStart"/>
      <w:r>
        <w:rPr>
          <w:rFonts w:ascii="Times New Roman" w:hAnsi="Times New Roman" w:cs="Times New Roman"/>
          <w:color w:val="222222"/>
          <w:sz w:val="24"/>
          <w:szCs w:val="24"/>
          <w:shd w:val="clear" w:color="auto" w:fill="FFFFFF"/>
        </w:rPr>
        <w:t>Mendiburu</w:t>
      </w:r>
      <w:proofErr w:type="spellEnd"/>
      <w:r>
        <w:rPr>
          <w:rFonts w:ascii="Times New Roman" w:hAnsi="Times New Roman" w:cs="Times New Roman"/>
          <w:color w:val="222222"/>
          <w:sz w:val="24"/>
          <w:szCs w:val="24"/>
          <w:shd w:val="clear" w:color="auto" w:fill="FFFFFF"/>
        </w:rPr>
        <w:t xml:space="preserve"> 2019</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Pearson correlation analysis was applied for measuring the linear </w:t>
      </w:r>
      <w:r>
        <w:rPr>
          <w:rFonts w:ascii="Times New Roman" w:hAnsi="Times New Roman" w:cs="Times New Roman"/>
          <w:sz w:val="24"/>
          <w:szCs w:val="24"/>
          <w:shd w:val="clear" w:color="auto" w:fill="FFFFFF"/>
        </w:rPr>
        <w:lastRenderedPageBreak/>
        <w:t>dependence among soil properties. The five-point scale was used for interpreting the size of the correlation coefficient (Hinkle et al. 2003).</w:t>
      </w:r>
    </w:p>
    <w:p w14:paraId="16F51B9B" w14:textId="77777777" w:rsidR="00D879A9" w:rsidRDefault="00000000">
      <w:pPr>
        <w:rPr>
          <w:rFonts w:ascii="Times New Roman" w:hAnsi="Times New Roman" w:cs="Times New Roman"/>
          <w:b/>
          <w:sz w:val="24"/>
        </w:rPr>
      </w:pPr>
      <w:r>
        <w:rPr>
          <w:rFonts w:ascii="Times New Roman" w:hAnsi="Times New Roman" w:cs="Times New Roman"/>
          <w:b/>
          <w:sz w:val="24"/>
        </w:rPr>
        <w:t xml:space="preserve">Results and Discussion </w:t>
      </w:r>
    </w:p>
    <w:p w14:paraId="5430DA4E"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study demonstrates the synergistic effects of combining biochar and organic amendments on soil properties, crop growth, and yield. The characterization of paddy straw biochar reveals its highly carbonized nature, with significant fixed carbon content (6.1%) and alkaline pH (10.29). This biochar, when combined with organic amendments like </w:t>
      </w:r>
      <w:proofErr w:type="spellStart"/>
      <w:r>
        <w:rPr>
          <w:rFonts w:ascii="Times New Roman" w:eastAsia="Times New Roman" w:hAnsi="Times New Roman" w:cs="Times New Roman"/>
          <w:sz w:val="24"/>
          <w:szCs w:val="24"/>
          <w:lang w:val="en-US" w:bidi="ar-SA"/>
        </w:rPr>
        <w:t>Ghanajeevamruth</w:t>
      </w:r>
      <w:proofErr w:type="spellEnd"/>
      <w:r>
        <w:rPr>
          <w:rFonts w:ascii="Times New Roman" w:eastAsia="Times New Roman" w:hAnsi="Times New Roman" w:cs="Times New Roman"/>
          <w:sz w:val="24"/>
          <w:szCs w:val="24"/>
          <w:lang w:val="en-US" w:bidi="ar-SA"/>
        </w:rPr>
        <w:t xml:space="preserve"> (GA), Vermicompost (VC), and Farmyard manure (FYM), significantly improves the soil's nutrient profile, pH, and other essential physical properties. The study shows that the combination of biochar with organic inputs resulted in higher soil pH, improved organic carbon levels, and better plant growth parameters like height, pod number, and pod weight in field bean (Vicia faba).</w:t>
      </w:r>
    </w:p>
    <w:p w14:paraId="7133C9BC" w14:textId="77777777" w:rsidR="00D879A9" w:rsidRDefault="00000000">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Effect on Plant Growth and Yield</w:t>
      </w:r>
    </w:p>
    <w:p w14:paraId="6ACF249C"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The combination of biochar with organic amendments consistently enhanced plant growth across different growth stages. Higher plant heights, greater pod numbers, and increased pod weights were observed with biochar-amendment combinations compared to biochar alone. Specifically, the combination of 25 t/ha biochar with GA showed the highest plant height across all stages (30, 60 days after sowing, and harvest), and biochar combined with FYM and GA resulted in the most significant improvements in pod number and weight. This can be attributed to the nutrient release dynamics facilitated by biochar's porous structure and organic amendments, which promote better nutrient availability and microbial activity. The addition of organic fertilizers in combination with biochar likely facilitated enhanced microbial mineralization, increasing the availability of essential nutrients such as nitrogen, phosphorus, and potassium (Dai et al., 2017).</w:t>
      </w:r>
    </w:p>
    <w:p w14:paraId="27BC637E" w14:textId="77777777" w:rsidR="00D879A9" w:rsidRDefault="00000000">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Soil Properties</w:t>
      </w:r>
    </w:p>
    <w:p w14:paraId="0141A521"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study highlights the significant impact of biochar-amendment combinations on soil properties. Soil pH increased by 0.60 to 13.84% across all treatments, with the maximum pH of 8.19 observed in the combination of 25 t/ha biochar with FYM and VC. The alkaline nature of biochar contributed to this rise in </w:t>
      </w:r>
      <w:proofErr w:type="spellStart"/>
      <w:r>
        <w:rPr>
          <w:rFonts w:ascii="Times New Roman" w:eastAsia="Times New Roman" w:hAnsi="Times New Roman" w:cs="Times New Roman"/>
          <w:sz w:val="24"/>
          <w:szCs w:val="24"/>
          <w:lang w:val="en-US" w:bidi="ar-SA"/>
        </w:rPr>
        <w:t>pH.</w:t>
      </w:r>
      <w:proofErr w:type="spellEnd"/>
      <w:r>
        <w:rPr>
          <w:rFonts w:ascii="Times New Roman" w:eastAsia="Times New Roman" w:hAnsi="Times New Roman" w:cs="Times New Roman"/>
          <w:sz w:val="24"/>
          <w:szCs w:val="24"/>
          <w:lang w:val="en-US" w:bidi="ar-SA"/>
        </w:rPr>
        <w:t xml:space="preserve"> This increase in pH could reduce soil acidity, improving nutrient availability and microbial activity (Haseena et al., 2022). Additionally, biochar application, especially at higher </w:t>
      </w:r>
      <w:r>
        <w:rPr>
          <w:rFonts w:ascii="Times New Roman" w:eastAsia="Times New Roman" w:hAnsi="Times New Roman" w:cs="Times New Roman"/>
          <w:sz w:val="24"/>
          <w:szCs w:val="24"/>
          <w:lang w:val="en-US" w:bidi="ar-SA"/>
        </w:rPr>
        <w:lastRenderedPageBreak/>
        <w:t xml:space="preserve">doses (25 t/ha), decreased soil bulk density (BD) and increased the maximum water holding capacity (MWHC), which are beneficial for plant growth. The decrease in BD and increase in MWHC indicate improved soil structure and porosity, leading to better root development and water retention, essential for optimal plant growth (Blanco-Canqui, 2017). Biochar combined with organic amendments such as GA and FYM also resulted in higher soil organic carbon (SOC), nitrogen, phosphorus, potassium, calcium, magnesium, and </w:t>
      </w:r>
      <w:proofErr w:type="spellStart"/>
      <w:r>
        <w:rPr>
          <w:rFonts w:ascii="Times New Roman" w:eastAsia="Times New Roman" w:hAnsi="Times New Roman" w:cs="Times New Roman"/>
          <w:sz w:val="24"/>
          <w:szCs w:val="24"/>
          <w:lang w:val="en-US" w:bidi="ar-SA"/>
        </w:rPr>
        <w:t>sulphur</w:t>
      </w:r>
      <w:proofErr w:type="spellEnd"/>
      <w:r>
        <w:rPr>
          <w:rFonts w:ascii="Times New Roman" w:eastAsia="Times New Roman" w:hAnsi="Times New Roman" w:cs="Times New Roman"/>
          <w:sz w:val="24"/>
          <w:szCs w:val="24"/>
          <w:lang w:val="en-US" w:bidi="ar-SA"/>
        </w:rPr>
        <w:t xml:space="preserve">. This enhancement in nutrient availability can be attributed to the combined effect of biochar's capacity to adsorb and retain nutrients and the nutrient-rich nature of organic amendments. Biochar's porous structure supports the formation of organo-mineral complexes, stabilizing organic carbon and reducing nutrient leaching (Ngo et al., 2013). These improvements in soil fertility contribute to better plant growth and yield. </w:t>
      </w:r>
    </w:p>
    <w:p w14:paraId="4E6899FC" w14:textId="77777777" w:rsidR="00D879A9" w:rsidRDefault="00000000">
      <w:pPr>
        <w:shd w:val="clear" w:color="auto" w:fill="FFFFFF"/>
        <w:spacing w:line="480" w:lineRule="auto"/>
        <w:jc w:val="both"/>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Characterization of Paddy Bio oil.</w:t>
      </w:r>
    </w:p>
    <w:p w14:paraId="1DE83ED4" w14:textId="77777777" w:rsidR="00D879A9" w:rsidRDefault="00000000">
      <w:pPr>
        <w:shd w:val="clear" w:color="auto" w:fill="FFFFFF"/>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Bio oil was separated from the liquid mixture using 4 ml toluene and the </w:t>
      </w:r>
      <w:proofErr w:type="gramStart"/>
      <w:r>
        <w:rPr>
          <w:rFonts w:ascii="Times New Roman" w:hAnsi="Times New Roman" w:cs="Times New Roman"/>
          <w:color w:val="000000"/>
          <w:sz w:val="24"/>
          <w:szCs w:val="24"/>
          <w:shd w:val="clear" w:color="auto" w:fill="FFFFFF"/>
        </w:rPr>
        <w:t>bio oil</w:t>
      </w:r>
      <w:proofErr w:type="gramEnd"/>
      <w:r>
        <w:rPr>
          <w:rFonts w:ascii="Times New Roman" w:hAnsi="Times New Roman" w:cs="Times New Roman"/>
          <w:color w:val="000000"/>
          <w:sz w:val="24"/>
          <w:szCs w:val="24"/>
          <w:shd w:val="clear" w:color="auto" w:fill="FFFFFF"/>
        </w:rPr>
        <w:t xml:space="preserve"> was </w:t>
      </w:r>
      <w:proofErr w:type="spellStart"/>
      <w:r>
        <w:rPr>
          <w:rFonts w:ascii="Times New Roman" w:hAnsi="Times New Roman" w:cs="Times New Roman"/>
          <w:color w:val="000000"/>
          <w:sz w:val="24"/>
          <w:szCs w:val="24"/>
          <w:shd w:val="clear" w:color="auto" w:fill="FFFFFF"/>
        </w:rPr>
        <w:t>analyzed</w:t>
      </w:r>
      <w:proofErr w:type="spellEnd"/>
      <w:r>
        <w:rPr>
          <w:rFonts w:ascii="Times New Roman" w:hAnsi="Times New Roman" w:cs="Times New Roman"/>
          <w:color w:val="000000"/>
          <w:sz w:val="24"/>
          <w:szCs w:val="24"/>
          <w:shd w:val="clear" w:color="auto" w:fill="FFFFFF"/>
        </w:rPr>
        <w:t xml:space="preserve"> using GCMS and the result is represented in the Table 3</w:t>
      </w:r>
    </w:p>
    <w:p w14:paraId="71BF07A1" w14:textId="77777777" w:rsidR="00D879A9" w:rsidRDefault="00000000">
      <w:pPr>
        <w:shd w:val="clear" w:color="auto" w:fill="FFFFFF"/>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components identified were phenol with the ketone and aldehyde groups attached, and almost all of the functional groups showed the widespread presence of oxygen. On the other hand, the analysis showed that the abundant aldehydes and ketones make the substance particularly hydrophilic, which makes it difficult to remove water. Luo et al. (2004) showed that the relevant information on rice straw </w:t>
      </w:r>
      <w:proofErr w:type="gramStart"/>
      <w:r>
        <w:rPr>
          <w:rFonts w:ascii="Times New Roman" w:hAnsi="Times New Roman" w:cs="Times New Roman"/>
          <w:color w:val="000000"/>
          <w:sz w:val="24"/>
          <w:szCs w:val="24"/>
          <w:shd w:val="clear" w:color="auto" w:fill="FFFFFF"/>
        </w:rPr>
        <w:t>bio oil</w:t>
      </w:r>
      <w:proofErr w:type="gramEnd"/>
      <w:r>
        <w:rPr>
          <w:rFonts w:ascii="Times New Roman" w:hAnsi="Times New Roman" w:cs="Times New Roman"/>
          <w:color w:val="000000"/>
          <w:sz w:val="24"/>
          <w:szCs w:val="24"/>
          <w:shd w:val="clear" w:color="auto" w:fill="FFFFFF"/>
        </w:rPr>
        <w:t xml:space="preserve"> was not available, the bio-oil from Prunus indicus comprised of </w:t>
      </w:r>
      <w:proofErr w:type="spellStart"/>
      <w:r>
        <w:rPr>
          <w:rFonts w:ascii="Times New Roman" w:hAnsi="Times New Roman" w:cs="Times New Roman"/>
          <w:color w:val="000000"/>
          <w:sz w:val="24"/>
          <w:szCs w:val="24"/>
          <w:shd w:val="clear" w:color="auto" w:fill="FFFFFF"/>
        </w:rPr>
        <w:t>laevoglucose</w:t>
      </w:r>
      <w:proofErr w:type="spellEnd"/>
      <w:r>
        <w:rPr>
          <w:rFonts w:ascii="Times New Roman" w:hAnsi="Times New Roman" w:cs="Times New Roman"/>
          <w:color w:val="000000"/>
          <w:sz w:val="24"/>
          <w:szCs w:val="24"/>
          <w:shd w:val="clear" w:color="auto" w:fill="FFFFFF"/>
        </w:rPr>
        <w:t>, furfural, phenols (with methyl, methoxy and/or propenyl groups), aldehydes (including benzaldehyde with methyl and/or hydroxyl) and vanillin according to the GC–MS analysis. The bio oil indicates that the bio-oil is a complicated organic compound that mainly consists of water, acids and heterocyclic substances and found to be rich in phenol with 27.23% by weight followed by p-cresol 16.95% on par with 4-ethyl- Phenol having 8.99%, and the lowest amount of L</w:t>
      </w:r>
      <w:proofErr w:type="gramStart"/>
      <w:r>
        <w:rPr>
          <w:rFonts w:ascii="Times New Roman" w:hAnsi="Times New Roman" w:cs="Times New Roman"/>
          <w:color w:val="000000"/>
          <w:sz w:val="24"/>
          <w:szCs w:val="24"/>
          <w:shd w:val="clear" w:color="auto" w:fill="FFFFFF"/>
        </w:rPr>
        <w:t>-.alpha</w:t>
      </w:r>
      <w:proofErr w:type="gramEnd"/>
      <w:r>
        <w:rPr>
          <w:rFonts w:ascii="Times New Roman" w:hAnsi="Times New Roman" w:cs="Times New Roman"/>
          <w:color w:val="000000"/>
          <w:sz w:val="24"/>
          <w:szCs w:val="24"/>
          <w:shd w:val="clear" w:color="auto" w:fill="FFFFFF"/>
        </w:rPr>
        <w:t xml:space="preserve">.-Terpineol (1.52%) was recorded. Bio-oils have received extensive recognition from international energy organizations around the world for their characteristics as fuels used in combustors, engines or gas turbines and resources in chemical industries. Many substances can be extracted from biooil, such as phenol used in the plastics industry, volatile organic acid to form a film forming agent, </w:t>
      </w:r>
      <w:proofErr w:type="spellStart"/>
      <w:r>
        <w:rPr>
          <w:rFonts w:ascii="Times New Roman" w:hAnsi="Times New Roman" w:cs="Times New Roman"/>
          <w:color w:val="000000"/>
          <w:sz w:val="24"/>
          <w:szCs w:val="24"/>
          <w:shd w:val="clear" w:color="auto" w:fill="FFFFFF"/>
        </w:rPr>
        <w:t>laevoglucose</w:t>
      </w:r>
      <w:proofErr w:type="spellEnd"/>
      <w:r>
        <w:rPr>
          <w:rFonts w:ascii="Times New Roman" w:hAnsi="Times New Roman" w:cs="Times New Roman"/>
          <w:color w:val="000000"/>
          <w:sz w:val="24"/>
          <w:szCs w:val="24"/>
          <w:shd w:val="clear" w:color="auto" w:fill="FFFFFF"/>
        </w:rPr>
        <w:t xml:space="preserve">, hydroxyl acetaldehyde and some additives are applications in </w:t>
      </w:r>
      <w:r>
        <w:rPr>
          <w:rFonts w:ascii="Times New Roman" w:hAnsi="Times New Roman" w:cs="Times New Roman"/>
          <w:color w:val="000000"/>
          <w:sz w:val="24"/>
          <w:szCs w:val="24"/>
          <w:shd w:val="clear" w:color="auto" w:fill="FFFFFF"/>
        </w:rPr>
        <w:lastRenderedPageBreak/>
        <w:t xml:space="preserve">the pharmaceutical industry, synthetic fibres or fertilizers and flavouring agents in food products. Yan et al., (2001) The 99.7% of bio-oil, a complex mixture containing carbon, hydrogen and oxygen, is composed of acids, alcohols, aldehydes, esters, ketones, sugars, phenols, guaiacols, </w:t>
      </w:r>
      <w:proofErr w:type="spellStart"/>
      <w:r>
        <w:rPr>
          <w:rFonts w:ascii="Times New Roman" w:hAnsi="Times New Roman" w:cs="Times New Roman"/>
          <w:color w:val="000000"/>
          <w:sz w:val="24"/>
          <w:szCs w:val="24"/>
          <w:shd w:val="clear" w:color="auto" w:fill="FFFFFF"/>
        </w:rPr>
        <w:t>syringols</w:t>
      </w:r>
      <w:proofErr w:type="spellEnd"/>
      <w:r>
        <w:rPr>
          <w:rFonts w:ascii="Times New Roman" w:hAnsi="Times New Roman" w:cs="Times New Roman"/>
          <w:color w:val="000000"/>
          <w:sz w:val="24"/>
          <w:szCs w:val="24"/>
          <w:shd w:val="clear" w:color="auto" w:fill="FFFFFF"/>
        </w:rPr>
        <w:t>, furans, lignin derived phenols and extractible terpene with multi-functional groups.</w:t>
      </w:r>
    </w:p>
    <w:p w14:paraId="4894A9AB"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The findings from this study align with the growing body of research highlighting the benefits of biochar and organic amendments for improving soil health and promoting sustainable agricultural practices. Biochar's role in enhancing soil structure, increasing nutrient retention, and raising pH is well-documented (Steiner et al., 2007; Lehmann et al., 2011). When combined with organic amendments like GA, VC, and FYM, biochar helps improve soil fertility by increasing nutrient availability and promoting microbial activity, which further supports plant growth and yields. These interactions likely occur due to the high surface area and porous structure of biochar, which supports nutrient adsorption and microbial colonization.</w:t>
      </w:r>
    </w:p>
    <w:p w14:paraId="0A3DDA78"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The study also highlights the long-term benefits of biochar in combination with organic amendments, such as improved soil organic carbon content and nutrient stability, which can contribute to carbon sequestration and sustainable soil management practices. These effects are crucial for addressing the challenges of soil degradation and nutrient depletion in agriculture, as seen in the decreasing Soil Organic Carbon (SOC) content in India (National Rain-fed Area Authority, 2022).</w:t>
      </w:r>
    </w:p>
    <w:p w14:paraId="01F2DCCD" w14:textId="77777777" w:rsidR="00D879A9" w:rsidRDefault="00000000">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Correlation Analysis</w:t>
      </w:r>
    </w:p>
    <w:p w14:paraId="5D0D6895"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correlation analysis reinforced the positive relationship between soil organic matter and nutrient content, showing that higher organic matter increases the availability of key nutrients like nitrogen, phosphorus, potassium, calcium, magnesium, and </w:t>
      </w:r>
      <w:proofErr w:type="spellStart"/>
      <w:r>
        <w:rPr>
          <w:rFonts w:ascii="Times New Roman" w:eastAsia="Times New Roman" w:hAnsi="Times New Roman" w:cs="Times New Roman"/>
          <w:sz w:val="24"/>
          <w:szCs w:val="24"/>
          <w:lang w:val="en-US" w:bidi="ar-SA"/>
        </w:rPr>
        <w:t>sulphur</w:t>
      </w:r>
      <w:proofErr w:type="spellEnd"/>
      <w:r>
        <w:rPr>
          <w:rFonts w:ascii="Times New Roman" w:eastAsia="Times New Roman" w:hAnsi="Times New Roman" w:cs="Times New Roman"/>
          <w:sz w:val="24"/>
          <w:szCs w:val="24"/>
          <w:lang w:val="en-US" w:bidi="ar-SA"/>
        </w:rPr>
        <w:t>. A negative correlation between bulk density (BD) and electrical conductivity (EC) was also observed, with lower BD enhancing nutrient availability and improving soil structure. Furthermore, the study showed that MWHC negatively correlated with BD, suggesting that as bulk density decreases, soil's capacity to retain water improves, enhancing plant growth conditions (Singh et al., 2020).</w:t>
      </w:r>
    </w:p>
    <w:p w14:paraId="6671FA3D" w14:textId="77777777" w:rsidR="00D879A9" w:rsidRDefault="00000000">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Conclusion</w:t>
      </w:r>
    </w:p>
    <w:p w14:paraId="3D99EC66" w14:textId="77777777" w:rsidR="00D879A9" w:rsidRDefault="00000000">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lastRenderedPageBreak/>
        <w:t>The combination of biochar with organic amendments significantly enhances soil fertility, improves physical properties of the soil, and supports better plant growth and yield. This approach offers a promising strategy for sustainable agriculture, addressing issues such as soil degradation, nutrient depletion, and low crop productivity. Future studies should focus on the long-term impacts of these combinations, particularly in terms of soil carbon sequestration, microbial diversity, and nutrient cycling, to further optimize agricultural practices for environmental sustainability.</w:t>
      </w:r>
    </w:p>
    <w:p w14:paraId="06A90874" w14:textId="77777777" w:rsidR="00D879A9" w:rsidRDefault="00000000">
      <w:pPr>
        <w:shd w:val="clear" w:color="auto" w:fill="FFFFFF"/>
        <w:spacing w:line="36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Data availability</w:t>
      </w:r>
      <w:r>
        <w:rPr>
          <w:rFonts w:ascii="Times New Roman" w:hAnsi="Times New Roman" w:cs="Times New Roman"/>
          <w:sz w:val="24"/>
          <w:szCs w:val="24"/>
          <w:lang w:eastAsia="zh-CN"/>
        </w:rPr>
        <w:t>: The datasets used or analysed during the current study are available from the corresponding author on reasonable request.</w:t>
      </w:r>
    </w:p>
    <w:p w14:paraId="1DB5F78D" w14:textId="77777777" w:rsidR="00D879A9" w:rsidRDefault="00D879A9">
      <w:pPr>
        <w:shd w:val="clear" w:color="auto" w:fill="FFFFFF"/>
        <w:spacing w:line="360" w:lineRule="auto"/>
        <w:jc w:val="both"/>
        <w:rPr>
          <w:rFonts w:ascii="Times New Roman" w:hAnsi="Times New Roman" w:cs="Times New Roman"/>
          <w:b/>
          <w:bCs/>
          <w:sz w:val="24"/>
          <w:szCs w:val="24"/>
        </w:rPr>
      </w:pPr>
    </w:p>
    <w:p w14:paraId="68E6928B" w14:textId="77777777" w:rsidR="00D879A9" w:rsidRDefault="00D879A9">
      <w:pPr>
        <w:shd w:val="clear" w:color="auto" w:fill="FFFFFF"/>
        <w:spacing w:line="360" w:lineRule="auto"/>
        <w:jc w:val="both"/>
        <w:rPr>
          <w:rFonts w:ascii="Times New Roman" w:hAnsi="Times New Roman" w:cs="Times New Roman"/>
          <w:b/>
          <w:bCs/>
          <w:sz w:val="24"/>
          <w:szCs w:val="24"/>
        </w:rPr>
      </w:pPr>
    </w:p>
    <w:p w14:paraId="7090D2C8" w14:textId="77777777" w:rsidR="00D879A9" w:rsidRDefault="00D879A9">
      <w:pPr>
        <w:shd w:val="clear" w:color="auto" w:fill="FFFFFF"/>
        <w:spacing w:line="360" w:lineRule="auto"/>
        <w:jc w:val="both"/>
        <w:rPr>
          <w:rFonts w:ascii="Times New Roman" w:hAnsi="Times New Roman" w:cs="Times New Roman"/>
          <w:b/>
          <w:bCs/>
          <w:sz w:val="24"/>
          <w:szCs w:val="24"/>
        </w:rPr>
      </w:pPr>
    </w:p>
    <w:p w14:paraId="7EF33F42" w14:textId="77777777" w:rsidR="00D879A9" w:rsidRDefault="00D879A9">
      <w:pPr>
        <w:shd w:val="clear" w:color="auto" w:fill="FFFFFF"/>
        <w:spacing w:line="360" w:lineRule="auto"/>
        <w:jc w:val="both"/>
        <w:rPr>
          <w:rFonts w:ascii="Times New Roman" w:hAnsi="Times New Roman" w:cs="Times New Roman"/>
          <w:b/>
          <w:bCs/>
          <w:sz w:val="24"/>
          <w:szCs w:val="24"/>
        </w:rPr>
      </w:pPr>
    </w:p>
    <w:p w14:paraId="54CEC9E0" w14:textId="77777777" w:rsidR="00D879A9" w:rsidRDefault="00D879A9">
      <w:pPr>
        <w:shd w:val="clear" w:color="auto" w:fill="FFFFFF"/>
        <w:spacing w:line="360" w:lineRule="auto"/>
        <w:jc w:val="both"/>
        <w:rPr>
          <w:rFonts w:ascii="Times New Roman" w:hAnsi="Times New Roman" w:cs="Times New Roman"/>
          <w:b/>
          <w:bCs/>
          <w:sz w:val="24"/>
          <w:szCs w:val="24"/>
        </w:rPr>
      </w:pPr>
    </w:p>
    <w:p w14:paraId="1C237CCE" w14:textId="77777777" w:rsidR="00D879A9" w:rsidRDefault="00D879A9">
      <w:pPr>
        <w:shd w:val="clear" w:color="auto" w:fill="FFFFFF"/>
        <w:spacing w:line="360" w:lineRule="auto"/>
        <w:jc w:val="both"/>
        <w:rPr>
          <w:rFonts w:ascii="Times New Roman" w:hAnsi="Times New Roman" w:cs="Times New Roman"/>
          <w:b/>
          <w:bCs/>
          <w:sz w:val="24"/>
          <w:szCs w:val="24"/>
        </w:rPr>
      </w:pPr>
    </w:p>
    <w:p w14:paraId="1877A9EE" w14:textId="77777777" w:rsidR="00D879A9" w:rsidRDefault="00D879A9">
      <w:pPr>
        <w:shd w:val="clear" w:color="auto" w:fill="FFFFFF"/>
        <w:spacing w:line="360" w:lineRule="auto"/>
        <w:jc w:val="both"/>
        <w:rPr>
          <w:rFonts w:ascii="Times New Roman" w:hAnsi="Times New Roman" w:cs="Times New Roman"/>
          <w:b/>
          <w:bCs/>
          <w:sz w:val="24"/>
          <w:szCs w:val="24"/>
        </w:rPr>
      </w:pPr>
    </w:p>
    <w:p w14:paraId="41BEC0B0" w14:textId="77777777" w:rsidR="00D879A9" w:rsidRDefault="00D879A9">
      <w:pPr>
        <w:shd w:val="clear" w:color="auto" w:fill="FFFFFF"/>
        <w:spacing w:line="360" w:lineRule="auto"/>
        <w:jc w:val="both"/>
        <w:rPr>
          <w:rFonts w:ascii="Times New Roman" w:hAnsi="Times New Roman" w:cs="Times New Roman"/>
          <w:b/>
          <w:bCs/>
          <w:sz w:val="24"/>
          <w:szCs w:val="24"/>
        </w:rPr>
      </w:pPr>
    </w:p>
    <w:p w14:paraId="4DF306BD" w14:textId="77777777" w:rsidR="00D879A9" w:rsidRDefault="00D879A9">
      <w:pPr>
        <w:shd w:val="clear" w:color="auto" w:fill="FFFFFF"/>
        <w:spacing w:line="360" w:lineRule="auto"/>
        <w:jc w:val="both"/>
        <w:rPr>
          <w:rFonts w:ascii="Times New Roman" w:hAnsi="Times New Roman" w:cs="Times New Roman"/>
          <w:b/>
          <w:bCs/>
          <w:sz w:val="24"/>
          <w:szCs w:val="24"/>
        </w:rPr>
      </w:pPr>
    </w:p>
    <w:p w14:paraId="7F566297" w14:textId="77777777" w:rsidR="00D879A9" w:rsidRDefault="00D879A9">
      <w:pPr>
        <w:shd w:val="clear" w:color="auto" w:fill="FFFFFF"/>
        <w:spacing w:line="360" w:lineRule="auto"/>
        <w:jc w:val="both"/>
        <w:rPr>
          <w:rFonts w:ascii="Times New Roman" w:hAnsi="Times New Roman" w:cs="Times New Roman"/>
          <w:b/>
          <w:bCs/>
          <w:sz w:val="24"/>
          <w:szCs w:val="24"/>
        </w:rPr>
      </w:pPr>
    </w:p>
    <w:p w14:paraId="30112435" w14:textId="77777777" w:rsidR="00D879A9" w:rsidRDefault="00D879A9">
      <w:pPr>
        <w:shd w:val="clear" w:color="auto" w:fill="FFFFFF"/>
        <w:spacing w:line="360" w:lineRule="auto"/>
        <w:jc w:val="both"/>
        <w:rPr>
          <w:rFonts w:ascii="Times New Roman" w:hAnsi="Times New Roman" w:cs="Times New Roman"/>
          <w:b/>
          <w:bCs/>
          <w:sz w:val="24"/>
          <w:szCs w:val="24"/>
        </w:rPr>
      </w:pPr>
    </w:p>
    <w:p w14:paraId="1CA6C7B8" w14:textId="77777777" w:rsidR="00D879A9" w:rsidRDefault="00D879A9">
      <w:pPr>
        <w:shd w:val="clear" w:color="auto" w:fill="FFFFFF"/>
        <w:spacing w:line="360" w:lineRule="auto"/>
        <w:jc w:val="both"/>
        <w:rPr>
          <w:rFonts w:ascii="Times New Roman" w:hAnsi="Times New Roman" w:cs="Times New Roman"/>
          <w:b/>
          <w:bCs/>
          <w:sz w:val="24"/>
          <w:szCs w:val="24"/>
        </w:rPr>
      </w:pPr>
    </w:p>
    <w:p w14:paraId="454895BE" w14:textId="77777777" w:rsidR="00D879A9" w:rsidRDefault="00D879A9">
      <w:pPr>
        <w:shd w:val="clear" w:color="auto" w:fill="FFFFFF"/>
        <w:spacing w:line="360" w:lineRule="auto"/>
        <w:jc w:val="both"/>
        <w:rPr>
          <w:rFonts w:ascii="Times New Roman" w:hAnsi="Times New Roman" w:cs="Times New Roman"/>
          <w:b/>
          <w:bCs/>
          <w:sz w:val="24"/>
          <w:szCs w:val="24"/>
        </w:rPr>
      </w:pPr>
    </w:p>
    <w:p w14:paraId="0CA560D6" w14:textId="77777777" w:rsidR="00D879A9" w:rsidRDefault="00D879A9">
      <w:pPr>
        <w:shd w:val="clear" w:color="auto" w:fill="FFFFFF"/>
        <w:spacing w:line="360" w:lineRule="auto"/>
        <w:jc w:val="both"/>
        <w:rPr>
          <w:rFonts w:ascii="Times New Roman" w:hAnsi="Times New Roman" w:cs="Times New Roman"/>
          <w:b/>
          <w:bCs/>
          <w:sz w:val="24"/>
          <w:szCs w:val="24"/>
        </w:rPr>
      </w:pPr>
    </w:p>
    <w:p w14:paraId="3F8097CE" w14:textId="77777777" w:rsidR="00D879A9" w:rsidRDefault="00D879A9">
      <w:pPr>
        <w:shd w:val="clear" w:color="auto" w:fill="FFFFFF"/>
        <w:spacing w:line="360" w:lineRule="auto"/>
        <w:jc w:val="both"/>
        <w:rPr>
          <w:rFonts w:ascii="Times New Roman" w:hAnsi="Times New Roman" w:cs="Times New Roman"/>
          <w:b/>
          <w:bCs/>
          <w:sz w:val="24"/>
          <w:szCs w:val="24"/>
        </w:rPr>
      </w:pPr>
    </w:p>
    <w:tbl>
      <w:tblPr>
        <w:tblpPr w:leftFromText="180" w:rightFromText="180" w:vertAnchor="text" w:horzAnchor="margin" w:tblpY="4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614"/>
        <w:gridCol w:w="3106"/>
      </w:tblGrid>
      <w:tr w:rsidR="00D879A9" w14:paraId="6D5C9369" w14:textId="77777777">
        <w:trPr>
          <w:trHeight w:val="524"/>
        </w:trPr>
        <w:tc>
          <w:tcPr>
            <w:tcW w:w="7720" w:type="dxa"/>
            <w:gridSpan w:val="2"/>
          </w:tcPr>
          <w:p w14:paraId="434C9E2A" w14:textId="77777777" w:rsidR="00D879A9" w:rsidRDefault="000000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Proximate analysis of biochar (%)</w:t>
            </w:r>
          </w:p>
        </w:tc>
      </w:tr>
      <w:tr w:rsidR="00D879A9" w14:paraId="055C2178" w14:textId="77777777">
        <w:trPr>
          <w:trHeight w:val="511"/>
        </w:trPr>
        <w:tc>
          <w:tcPr>
            <w:tcW w:w="4614" w:type="dxa"/>
          </w:tcPr>
          <w:p w14:paraId="13902167"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Ash</w:t>
            </w:r>
          </w:p>
        </w:tc>
        <w:tc>
          <w:tcPr>
            <w:tcW w:w="3106" w:type="dxa"/>
          </w:tcPr>
          <w:p w14:paraId="1B5E2272"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r>
      <w:tr w:rsidR="00D879A9" w14:paraId="1F7E1634" w14:textId="77777777">
        <w:trPr>
          <w:trHeight w:val="524"/>
        </w:trPr>
        <w:tc>
          <w:tcPr>
            <w:tcW w:w="4614" w:type="dxa"/>
          </w:tcPr>
          <w:p w14:paraId="3A7CB8F5"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Fixed carbon</w:t>
            </w:r>
          </w:p>
        </w:tc>
        <w:tc>
          <w:tcPr>
            <w:tcW w:w="3106" w:type="dxa"/>
          </w:tcPr>
          <w:p w14:paraId="5DD069F7"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r>
      <w:tr w:rsidR="00D879A9" w14:paraId="3C156D94" w14:textId="77777777">
        <w:trPr>
          <w:trHeight w:val="511"/>
        </w:trPr>
        <w:tc>
          <w:tcPr>
            <w:tcW w:w="4614" w:type="dxa"/>
          </w:tcPr>
          <w:p w14:paraId="43268AD4"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Moisture content</w:t>
            </w:r>
          </w:p>
        </w:tc>
        <w:tc>
          <w:tcPr>
            <w:tcW w:w="3106" w:type="dxa"/>
          </w:tcPr>
          <w:p w14:paraId="38A8BADC"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r>
      <w:tr w:rsidR="00D879A9" w14:paraId="464E90F9" w14:textId="77777777">
        <w:trPr>
          <w:trHeight w:val="524"/>
        </w:trPr>
        <w:tc>
          <w:tcPr>
            <w:tcW w:w="4614" w:type="dxa"/>
          </w:tcPr>
          <w:p w14:paraId="1D199093"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Volatile matter</w:t>
            </w:r>
          </w:p>
        </w:tc>
        <w:tc>
          <w:tcPr>
            <w:tcW w:w="3106" w:type="dxa"/>
          </w:tcPr>
          <w:p w14:paraId="78CC07A7"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71.4</w:t>
            </w:r>
          </w:p>
        </w:tc>
      </w:tr>
      <w:tr w:rsidR="00D879A9" w14:paraId="104DA126" w14:textId="77777777">
        <w:trPr>
          <w:trHeight w:val="524"/>
        </w:trPr>
        <w:tc>
          <w:tcPr>
            <w:tcW w:w="7720" w:type="dxa"/>
            <w:gridSpan w:val="2"/>
          </w:tcPr>
          <w:p w14:paraId="4F1C6B4F" w14:textId="77777777" w:rsidR="00D879A9" w:rsidRDefault="000000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Ultimate analysis of biochar </w:t>
            </w:r>
            <w:r>
              <w:rPr>
                <w:rFonts w:ascii="Times New Roman" w:hAnsi="Times New Roman" w:cs="Times New Roman"/>
                <w:sz w:val="24"/>
                <w:szCs w:val="24"/>
              </w:rPr>
              <w:t>(%)</w:t>
            </w:r>
          </w:p>
        </w:tc>
      </w:tr>
      <w:tr w:rsidR="00D879A9" w14:paraId="0DA078F3" w14:textId="77777777">
        <w:trPr>
          <w:trHeight w:val="511"/>
        </w:trPr>
        <w:tc>
          <w:tcPr>
            <w:tcW w:w="4614" w:type="dxa"/>
          </w:tcPr>
          <w:p w14:paraId="0D2BF46B"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Carbon </w:t>
            </w:r>
          </w:p>
        </w:tc>
        <w:tc>
          <w:tcPr>
            <w:tcW w:w="3106" w:type="dxa"/>
          </w:tcPr>
          <w:p w14:paraId="6A4C5687"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35.15 %</w:t>
            </w:r>
          </w:p>
        </w:tc>
      </w:tr>
      <w:tr w:rsidR="00D879A9" w14:paraId="4EC49105" w14:textId="77777777">
        <w:trPr>
          <w:trHeight w:val="524"/>
        </w:trPr>
        <w:tc>
          <w:tcPr>
            <w:tcW w:w="4614" w:type="dxa"/>
          </w:tcPr>
          <w:p w14:paraId="604CB813"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Nitrogen</w:t>
            </w:r>
          </w:p>
        </w:tc>
        <w:tc>
          <w:tcPr>
            <w:tcW w:w="3106" w:type="dxa"/>
          </w:tcPr>
          <w:p w14:paraId="7A3E9AC6" w14:textId="77777777" w:rsidR="00D879A9" w:rsidRDefault="00000000">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0.41 </w:t>
            </w:r>
            <w:r>
              <w:rPr>
                <w:rFonts w:ascii="Times New Roman" w:hAnsi="Times New Roman" w:cs="Times New Roman"/>
                <w:sz w:val="24"/>
                <w:szCs w:val="24"/>
              </w:rPr>
              <w:t>%</w:t>
            </w:r>
          </w:p>
        </w:tc>
      </w:tr>
      <w:tr w:rsidR="00D879A9" w14:paraId="286A0EC8" w14:textId="77777777">
        <w:trPr>
          <w:trHeight w:val="511"/>
        </w:trPr>
        <w:tc>
          <w:tcPr>
            <w:tcW w:w="4614" w:type="dxa"/>
          </w:tcPr>
          <w:p w14:paraId="65FC46A7"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Phosphorous</w:t>
            </w:r>
          </w:p>
        </w:tc>
        <w:tc>
          <w:tcPr>
            <w:tcW w:w="3106" w:type="dxa"/>
          </w:tcPr>
          <w:p w14:paraId="1A2F6CB5" w14:textId="77777777" w:rsidR="00D879A9" w:rsidRDefault="00000000">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0.04 </w:t>
            </w:r>
            <w:r>
              <w:rPr>
                <w:rFonts w:ascii="Times New Roman" w:hAnsi="Times New Roman" w:cs="Times New Roman"/>
                <w:sz w:val="24"/>
                <w:szCs w:val="24"/>
              </w:rPr>
              <w:t>%</w:t>
            </w:r>
          </w:p>
        </w:tc>
      </w:tr>
      <w:tr w:rsidR="00D879A9" w14:paraId="39FCBE89" w14:textId="77777777">
        <w:trPr>
          <w:trHeight w:val="524"/>
        </w:trPr>
        <w:tc>
          <w:tcPr>
            <w:tcW w:w="4614" w:type="dxa"/>
          </w:tcPr>
          <w:p w14:paraId="07C5DCE3"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Potassium</w:t>
            </w:r>
          </w:p>
        </w:tc>
        <w:tc>
          <w:tcPr>
            <w:tcW w:w="3106" w:type="dxa"/>
          </w:tcPr>
          <w:p w14:paraId="4CB795DB" w14:textId="77777777" w:rsidR="00D879A9" w:rsidRDefault="00000000">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3.83 </w:t>
            </w:r>
            <w:r>
              <w:rPr>
                <w:rFonts w:ascii="Times New Roman" w:hAnsi="Times New Roman" w:cs="Times New Roman"/>
                <w:sz w:val="24"/>
                <w:szCs w:val="24"/>
              </w:rPr>
              <w:t>%</w:t>
            </w:r>
          </w:p>
        </w:tc>
      </w:tr>
      <w:tr w:rsidR="00D879A9" w14:paraId="55B8F414" w14:textId="77777777">
        <w:trPr>
          <w:trHeight w:val="524"/>
        </w:trPr>
        <w:tc>
          <w:tcPr>
            <w:tcW w:w="4614" w:type="dxa"/>
          </w:tcPr>
          <w:p w14:paraId="30266EA7"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Oxygen </w:t>
            </w:r>
          </w:p>
        </w:tc>
        <w:tc>
          <w:tcPr>
            <w:tcW w:w="3106" w:type="dxa"/>
          </w:tcPr>
          <w:p w14:paraId="4D6FD130"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46.21 %</w:t>
            </w:r>
          </w:p>
        </w:tc>
      </w:tr>
      <w:tr w:rsidR="00D879A9" w14:paraId="429501A2" w14:textId="77777777">
        <w:trPr>
          <w:trHeight w:val="511"/>
        </w:trPr>
        <w:tc>
          <w:tcPr>
            <w:tcW w:w="4614" w:type="dxa"/>
          </w:tcPr>
          <w:p w14:paraId="337894B5"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Calcium</w:t>
            </w:r>
          </w:p>
        </w:tc>
        <w:tc>
          <w:tcPr>
            <w:tcW w:w="3106" w:type="dxa"/>
          </w:tcPr>
          <w:p w14:paraId="33EDBDBE"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2.39 %</w:t>
            </w:r>
          </w:p>
        </w:tc>
      </w:tr>
      <w:tr w:rsidR="00D879A9" w14:paraId="78F5EE87" w14:textId="77777777">
        <w:trPr>
          <w:trHeight w:val="524"/>
        </w:trPr>
        <w:tc>
          <w:tcPr>
            <w:tcW w:w="4614" w:type="dxa"/>
          </w:tcPr>
          <w:p w14:paraId="696C74FF"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Magnesium</w:t>
            </w:r>
          </w:p>
        </w:tc>
        <w:tc>
          <w:tcPr>
            <w:tcW w:w="3106" w:type="dxa"/>
          </w:tcPr>
          <w:p w14:paraId="00D14FFB"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0.24 %</w:t>
            </w:r>
          </w:p>
        </w:tc>
      </w:tr>
      <w:tr w:rsidR="00D879A9" w14:paraId="35CCA8CE" w14:textId="77777777">
        <w:trPr>
          <w:trHeight w:val="511"/>
        </w:trPr>
        <w:tc>
          <w:tcPr>
            <w:tcW w:w="4614" w:type="dxa"/>
          </w:tcPr>
          <w:p w14:paraId="0DCCA08A"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Sulphur</w:t>
            </w:r>
          </w:p>
        </w:tc>
        <w:tc>
          <w:tcPr>
            <w:tcW w:w="3106" w:type="dxa"/>
          </w:tcPr>
          <w:p w14:paraId="7E3797EF"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0.07 %</w:t>
            </w:r>
          </w:p>
        </w:tc>
      </w:tr>
      <w:tr w:rsidR="00D879A9" w14:paraId="59859704" w14:textId="77777777">
        <w:trPr>
          <w:trHeight w:val="524"/>
        </w:trPr>
        <w:tc>
          <w:tcPr>
            <w:tcW w:w="4614" w:type="dxa"/>
          </w:tcPr>
          <w:p w14:paraId="0774BFC8"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Hydrogen</w:t>
            </w:r>
          </w:p>
        </w:tc>
        <w:tc>
          <w:tcPr>
            <w:tcW w:w="3106" w:type="dxa"/>
          </w:tcPr>
          <w:p w14:paraId="24EE0013"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4.16 %</w:t>
            </w:r>
          </w:p>
        </w:tc>
      </w:tr>
      <w:tr w:rsidR="00D879A9" w14:paraId="7FBC3E5C" w14:textId="77777777">
        <w:trPr>
          <w:trHeight w:val="524"/>
        </w:trPr>
        <w:tc>
          <w:tcPr>
            <w:tcW w:w="4614" w:type="dxa"/>
          </w:tcPr>
          <w:p w14:paraId="74FF648B" w14:textId="77777777" w:rsidR="00D879A9" w:rsidRDefault="0000000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C:N</w:t>
            </w:r>
            <w:proofErr w:type="gramEnd"/>
          </w:p>
        </w:tc>
        <w:tc>
          <w:tcPr>
            <w:tcW w:w="3106" w:type="dxa"/>
          </w:tcPr>
          <w:p w14:paraId="04C11E83"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85.7 </w:t>
            </w:r>
          </w:p>
        </w:tc>
      </w:tr>
      <w:tr w:rsidR="00D879A9" w14:paraId="6F2633AB" w14:textId="77777777">
        <w:trPr>
          <w:trHeight w:val="511"/>
        </w:trPr>
        <w:tc>
          <w:tcPr>
            <w:tcW w:w="4614" w:type="dxa"/>
          </w:tcPr>
          <w:p w14:paraId="73B14728"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O:C</w:t>
            </w:r>
          </w:p>
        </w:tc>
        <w:tc>
          <w:tcPr>
            <w:tcW w:w="3106" w:type="dxa"/>
          </w:tcPr>
          <w:p w14:paraId="7303AD8F"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1.31 </w:t>
            </w:r>
          </w:p>
        </w:tc>
      </w:tr>
      <w:tr w:rsidR="00D879A9" w14:paraId="776FEC67" w14:textId="77777777">
        <w:trPr>
          <w:trHeight w:val="524"/>
        </w:trPr>
        <w:tc>
          <w:tcPr>
            <w:tcW w:w="4614" w:type="dxa"/>
          </w:tcPr>
          <w:p w14:paraId="2799168B"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H:C</w:t>
            </w:r>
          </w:p>
        </w:tc>
        <w:tc>
          <w:tcPr>
            <w:tcW w:w="3106" w:type="dxa"/>
          </w:tcPr>
          <w:p w14:paraId="370289DE"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0.12 </w:t>
            </w:r>
          </w:p>
        </w:tc>
      </w:tr>
      <w:tr w:rsidR="00D879A9" w14:paraId="259FAC16" w14:textId="77777777">
        <w:trPr>
          <w:trHeight w:val="511"/>
        </w:trPr>
        <w:tc>
          <w:tcPr>
            <w:tcW w:w="7720" w:type="dxa"/>
            <w:gridSpan w:val="2"/>
          </w:tcPr>
          <w:p w14:paraId="1BCD14B2" w14:textId="77777777" w:rsidR="00D879A9" w:rsidRDefault="000000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Other properties</w:t>
            </w:r>
          </w:p>
        </w:tc>
      </w:tr>
      <w:tr w:rsidR="00D879A9" w14:paraId="21CCC5E0" w14:textId="77777777">
        <w:trPr>
          <w:trHeight w:val="524"/>
        </w:trPr>
        <w:tc>
          <w:tcPr>
            <w:tcW w:w="4614" w:type="dxa"/>
          </w:tcPr>
          <w:p w14:paraId="79997D0A"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pH</w:t>
            </w:r>
          </w:p>
        </w:tc>
        <w:tc>
          <w:tcPr>
            <w:tcW w:w="3106" w:type="dxa"/>
          </w:tcPr>
          <w:p w14:paraId="105ED98E"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10.29</w:t>
            </w:r>
          </w:p>
        </w:tc>
      </w:tr>
      <w:tr w:rsidR="00D879A9" w14:paraId="7E5F3055" w14:textId="77777777">
        <w:trPr>
          <w:trHeight w:val="511"/>
        </w:trPr>
        <w:tc>
          <w:tcPr>
            <w:tcW w:w="4614" w:type="dxa"/>
          </w:tcPr>
          <w:p w14:paraId="47CFD913"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EC</w:t>
            </w:r>
          </w:p>
        </w:tc>
        <w:tc>
          <w:tcPr>
            <w:tcW w:w="3106" w:type="dxa"/>
          </w:tcPr>
          <w:p w14:paraId="0BC7784F"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3.287 d Sm</w:t>
            </w:r>
            <w:r>
              <w:rPr>
                <w:rFonts w:ascii="Times New Roman" w:hAnsi="Times New Roman" w:cs="Times New Roman"/>
                <w:sz w:val="24"/>
                <w:szCs w:val="24"/>
                <w:vertAlign w:val="superscript"/>
              </w:rPr>
              <w:t>-1</w:t>
            </w:r>
          </w:p>
        </w:tc>
      </w:tr>
      <w:tr w:rsidR="00D879A9" w14:paraId="572D24AC" w14:textId="77777777">
        <w:trPr>
          <w:trHeight w:val="524"/>
        </w:trPr>
        <w:tc>
          <w:tcPr>
            <w:tcW w:w="4614" w:type="dxa"/>
          </w:tcPr>
          <w:p w14:paraId="24CE3194"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Bulk density</w:t>
            </w:r>
          </w:p>
        </w:tc>
        <w:tc>
          <w:tcPr>
            <w:tcW w:w="3106" w:type="dxa"/>
          </w:tcPr>
          <w:p w14:paraId="1550C89E"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0.56 </w:t>
            </w:r>
            <w:r>
              <w:rPr>
                <w:rFonts w:ascii="Times New Roman" w:hAnsi="Times New Roman" w:cs="Times New Roman"/>
                <w:color w:val="000000"/>
                <w:sz w:val="24"/>
                <w:szCs w:val="24"/>
              </w:rPr>
              <w:t>Mg m</w:t>
            </w:r>
            <w:r>
              <w:rPr>
                <w:rFonts w:ascii="Times New Roman" w:hAnsi="Times New Roman" w:cs="Times New Roman"/>
                <w:color w:val="000000"/>
                <w:sz w:val="24"/>
                <w:szCs w:val="24"/>
                <w:vertAlign w:val="superscript"/>
              </w:rPr>
              <w:t>-3</w:t>
            </w:r>
          </w:p>
        </w:tc>
      </w:tr>
      <w:tr w:rsidR="00D879A9" w14:paraId="5135A333" w14:textId="77777777">
        <w:trPr>
          <w:trHeight w:val="869"/>
        </w:trPr>
        <w:tc>
          <w:tcPr>
            <w:tcW w:w="4614" w:type="dxa"/>
          </w:tcPr>
          <w:p w14:paraId="79E4BB10"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Maximum Water holding capacity</w:t>
            </w:r>
          </w:p>
        </w:tc>
        <w:tc>
          <w:tcPr>
            <w:tcW w:w="3106" w:type="dxa"/>
          </w:tcPr>
          <w:p w14:paraId="56E95A2F" w14:textId="77777777" w:rsidR="00D879A9"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64.35 %</w:t>
            </w:r>
          </w:p>
        </w:tc>
      </w:tr>
    </w:tbl>
    <w:p w14:paraId="11C2CB79" w14:textId="77777777" w:rsidR="00D879A9" w:rsidRDefault="00000000">
      <w:pPr>
        <w:shd w:val="clear" w:color="auto" w:fill="FFFFFF"/>
        <w:spacing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Table  1</w:t>
      </w:r>
      <w:proofErr w:type="gramEnd"/>
      <w:r>
        <w:rPr>
          <w:rFonts w:ascii="Times New Roman" w:hAnsi="Times New Roman" w:cs="Times New Roman"/>
          <w:b/>
          <w:bCs/>
          <w:sz w:val="24"/>
          <w:szCs w:val="24"/>
        </w:rPr>
        <w:t xml:space="preserve">. Characterisation of rice straw biochar used in </w:t>
      </w:r>
      <w:proofErr w:type="gramStart"/>
      <w:r>
        <w:rPr>
          <w:rFonts w:ascii="Times New Roman" w:hAnsi="Times New Roman" w:cs="Times New Roman"/>
          <w:b/>
          <w:bCs/>
          <w:sz w:val="24"/>
          <w:szCs w:val="24"/>
        </w:rPr>
        <w:t>the  study</w:t>
      </w:r>
      <w:proofErr w:type="gramEnd"/>
      <w:r>
        <w:rPr>
          <w:rFonts w:ascii="Times New Roman" w:hAnsi="Times New Roman" w:cs="Times New Roman"/>
          <w:b/>
          <w:bCs/>
          <w:sz w:val="24"/>
          <w:szCs w:val="24"/>
        </w:rPr>
        <w:t>.</w:t>
      </w:r>
    </w:p>
    <w:p w14:paraId="7904A2AA" w14:textId="77777777" w:rsidR="00D879A9" w:rsidRDefault="00D879A9">
      <w:pPr>
        <w:shd w:val="clear" w:color="auto" w:fill="FFFFFF"/>
        <w:spacing w:line="360" w:lineRule="auto"/>
        <w:jc w:val="both"/>
        <w:rPr>
          <w:rFonts w:ascii="Times New Roman" w:hAnsi="Times New Roman" w:cs="Times New Roman"/>
          <w:b/>
          <w:bCs/>
          <w:sz w:val="24"/>
          <w:szCs w:val="24"/>
        </w:rPr>
      </w:pPr>
    </w:p>
    <w:p w14:paraId="41E15F6D" w14:textId="77777777" w:rsidR="00D879A9" w:rsidRDefault="00D879A9">
      <w:pPr>
        <w:shd w:val="clear" w:color="auto" w:fill="FFFFFF"/>
        <w:spacing w:line="360" w:lineRule="auto"/>
        <w:jc w:val="both"/>
        <w:rPr>
          <w:rFonts w:ascii="Times New Roman" w:hAnsi="Times New Roman" w:cs="Times New Roman"/>
          <w:b/>
          <w:bCs/>
          <w:sz w:val="24"/>
          <w:szCs w:val="24"/>
        </w:rPr>
      </w:pPr>
    </w:p>
    <w:p w14:paraId="7E16A240" w14:textId="77777777" w:rsidR="00D879A9" w:rsidRDefault="00D879A9">
      <w:pPr>
        <w:shd w:val="clear" w:color="auto" w:fill="FFFFFF"/>
        <w:spacing w:line="360" w:lineRule="auto"/>
        <w:jc w:val="both"/>
        <w:rPr>
          <w:rFonts w:ascii="Times New Roman" w:hAnsi="Times New Roman" w:cs="Times New Roman"/>
          <w:b/>
          <w:bCs/>
          <w:sz w:val="24"/>
          <w:szCs w:val="24"/>
        </w:rPr>
      </w:pPr>
    </w:p>
    <w:p w14:paraId="455B604B" w14:textId="77777777" w:rsidR="00D879A9" w:rsidRDefault="00D879A9">
      <w:pPr>
        <w:shd w:val="clear" w:color="auto" w:fill="FFFFFF"/>
        <w:spacing w:line="360" w:lineRule="auto"/>
        <w:jc w:val="both"/>
        <w:rPr>
          <w:rFonts w:ascii="Times New Roman" w:hAnsi="Times New Roman" w:cs="Times New Roman"/>
          <w:b/>
          <w:bCs/>
          <w:sz w:val="24"/>
          <w:szCs w:val="24"/>
        </w:rPr>
      </w:pPr>
    </w:p>
    <w:p w14:paraId="5D89FE94" w14:textId="77777777" w:rsidR="00D879A9" w:rsidRDefault="00D879A9">
      <w:pPr>
        <w:shd w:val="clear" w:color="auto" w:fill="FFFFFF"/>
        <w:spacing w:line="360" w:lineRule="auto"/>
        <w:jc w:val="both"/>
        <w:rPr>
          <w:rFonts w:ascii="Times New Roman" w:hAnsi="Times New Roman" w:cs="Times New Roman"/>
          <w:b/>
          <w:bCs/>
          <w:sz w:val="24"/>
          <w:szCs w:val="24"/>
        </w:rPr>
      </w:pPr>
    </w:p>
    <w:p w14:paraId="11F84BBC" w14:textId="77777777" w:rsidR="00D879A9" w:rsidRDefault="00000000">
      <w:pPr>
        <w:shd w:val="clear" w:color="auto" w:fill="FFFFFF"/>
        <w:spacing w:line="360" w:lineRule="auto"/>
        <w:jc w:val="both"/>
        <w:rPr>
          <w:rFonts w:ascii="Times New Roman" w:hAnsi="Times New Roman" w:cs="Times New Roman"/>
          <w:b/>
          <w:sz w:val="24"/>
          <w:szCs w:val="24"/>
        </w:rPr>
      </w:pPr>
      <w:r>
        <w:rPr>
          <w:rFonts w:ascii="Times New Roman" w:hAnsi="Times New Roman" w:cs="Times New Roman"/>
          <w:b/>
          <w:bCs/>
          <w:sz w:val="24"/>
          <w:szCs w:val="24"/>
        </w:rPr>
        <w:lastRenderedPageBreak/>
        <w:t>Table 2.</w:t>
      </w:r>
      <w:r>
        <w:rPr>
          <w:rFonts w:ascii="Times New Roman" w:hAnsi="Times New Roman" w:cs="Times New Roman"/>
          <w:b/>
          <w:sz w:val="24"/>
          <w:szCs w:val="24"/>
        </w:rPr>
        <w:t xml:space="preserve"> Characterization of Organic amendments used in the study.</w:t>
      </w:r>
    </w:p>
    <w:tbl>
      <w:tblPr>
        <w:tblpPr w:leftFromText="180" w:rightFromText="180" w:vertAnchor="page" w:horzAnchor="margin" w:tblpY="2439"/>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618"/>
        <w:gridCol w:w="2160"/>
        <w:gridCol w:w="1843"/>
        <w:gridCol w:w="1559"/>
      </w:tblGrid>
      <w:tr w:rsidR="00D879A9" w14:paraId="6199F8B5" w14:textId="77777777">
        <w:trPr>
          <w:trHeight w:val="423"/>
        </w:trPr>
        <w:tc>
          <w:tcPr>
            <w:tcW w:w="3618" w:type="dxa"/>
          </w:tcPr>
          <w:p w14:paraId="7D7E2836" w14:textId="77777777" w:rsidR="00D879A9"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Particulars </w:t>
            </w:r>
          </w:p>
        </w:tc>
        <w:tc>
          <w:tcPr>
            <w:tcW w:w="2160" w:type="dxa"/>
          </w:tcPr>
          <w:p w14:paraId="6BD9934E" w14:textId="77777777" w:rsidR="00D879A9" w:rsidRDefault="00000000">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Ganajeevamruth</w:t>
            </w:r>
            <w:proofErr w:type="spellEnd"/>
          </w:p>
        </w:tc>
        <w:tc>
          <w:tcPr>
            <w:tcW w:w="1843" w:type="dxa"/>
          </w:tcPr>
          <w:p w14:paraId="14F50290" w14:textId="77777777" w:rsidR="00D879A9" w:rsidRDefault="00000000">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t>Vermicompost</w:t>
            </w:r>
          </w:p>
        </w:tc>
        <w:tc>
          <w:tcPr>
            <w:tcW w:w="1559" w:type="dxa"/>
          </w:tcPr>
          <w:p w14:paraId="166FFF18" w14:textId="77777777" w:rsidR="00D879A9"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FYM</w:t>
            </w:r>
          </w:p>
        </w:tc>
      </w:tr>
      <w:tr w:rsidR="00D879A9" w14:paraId="753E4F69" w14:textId="77777777">
        <w:trPr>
          <w:trHeight w:val="461"/>
        </w:trPr>
        <w:tc>
          <w:tcPr>
            <w:tcW w:w="3618" w:type="dxa"/>
          </w:tcPr>
          <w:p w14:paraId="6AE73269"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pH</w:t>
            </w:r>
          </w:p>
        </w:tc>
        <w:tc>
          <w:tcPr>
            <w:tcW w:w="2160" w:type="dxa"/>
          </w:tcPr>
          <w:p w14:paraId="4285CD3F"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843" w:type="dxa"/>
          </w:tcPr>
          <w:p w14:paraId="221FC155"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7.06</w:t>
            </w:r>
          </w:p>
        </w:tc>
        <w:tc>
          <w:tcPr>
            <w:tcW w:w="1559" w:type="dxa"/>
          </w:tcPr>
          <w:p w14:paraId="37488C62"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6.6</w:t>
            </w:r>
          </w:p>
        </w:tc>
      </w:tr>
      <w:tr w:rsidR="00D879A9" w14:paraId="27426E2B" w14:textId="77777777">
        <w:trPr>
          <w:trHeight w:val="333"/>
        </w:trPr>
        <w:tc>
          <w:tcPr>
            <w:tcW w:w="3618" w:type="dxa"/>
          </w:tcPr>
          <w:p w14:paraId="727957BE"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Electrical conductivity (</w:t>
            </w:r>
            <w:proofErr w:type="spellStart"/>
            <w:r>
              <w:rPr>
                <w:rFonts w:ascii="Times New Roman" w:hAnsi="Times New Roman" w:cs="Times New Roman"/>
                <w:sz w:val="24"/>
                <w:szCs w:val="24"/>
              </w:rPr>
              <w:t>dS</w:t>
            </w:r>
            <w:proofErr w:type="spellEnd"/>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2160" w:type="dxa"/>
          </w:tcPr>
          <w:p w14:paraId="342803BE"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7.03</w:t>
            </w:r>
          </w:p>
        </w:tc>
        <w:tc>
          <w:tcPr>
            <w:tcW w:w="1843" w:type="dxa"/>
          </w:tcPr>
          <w:p w14:paraId="7E246344"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3.26</w:t>
            </w:r>
          </w:p>
        </w:tc>
        <w:tc>
          <w:tcPr>
            <w:tcW w:w="1559" w:type="dxa"/>
          </w:tcPr>
          <w:p w14:paraId="55012056"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3.17</w:t>
            </w:r>
          </w:p>
        </w:tc>
      </w:tr>
      <w:tr w:rsidR="00D879A9" w14:paraId="0681241E" w14:textId="77777777">
        <w:trPr>
          <w:trHeight w:val="414"/>
        </w:trPr>
        <w:tc>
          <w:tcPr>
            <w:tcW w:w="3618" w:type="dxa"/>
          </w:tcPr>
          <w:p w14:paraId="3A8922D1"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Organic carbon (%)</w:t>
            </w:r>
          </w:p>
        </w:tc>
        <w:tc>
          <w:tcPr>
            <w:tcW w:w="2160" w:type="dxa"/>
          </w:tcPr>
          <w:p w14:paraId="3A09726F"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1843" w:type="dxa"/>
          </w:tcPr>
          <w:p w14:paraId="1777E33E"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1559" w:type="dxa"/>
          </w:tcPr>
          <w:p w14:paraId="6D558FF9"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11.8</w:t>
            </w:r>
          </w:p>
        </w:tc>
      </w:tr>
      <w:tr w:rsidR="00D879A9" w14:paraId="33AB5B97" w14:textId="77777777">
        <w:trPr>
          <w:trHeight w:val="342"/>
        </w:trPr>
        <w:tc>
          <w:tcPr>
            <w:tcW w:w="3618" w:type="dxa"/>
          </w:tcPr>
          <w:p w14:paraId="235352AA"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Nitrogen (%)</w:t>
            </w:r>
          </w:p>
        </w:tc>
        <w:tc>
          <w:tcPr>
            <w:tcW w:w="2160" w:type="dxa"/>
          </w:tcPr>
          <w:p w14:paraId="4E970D56"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3.81</w:t>
            </w:r>
          </w:p>
        </w:tc>
        <w:tc>
          <w:tcPr>
            <w:tcW w:w="1843" w:type="dxa"/>
          </w:tcPr>
          <w:p w14:paraId="13E78452"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2.63</w:t>
            </w:r>
          </w:p>
        </w:tc>
        <w:tc>
          <w:tcPr>
            <w:tcW w:w="1559" w:type="dxa"/>
          </w:tcPr>
          <w:p w14:paraId="33CBFCBB"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1.03</w:t>
            </w:r>
          </w:p>
        </w:tc>
      </w:tr>
      <w:tr w:rsidR="00D879A9" w14:paraId="067FAF86" w14:textId="77777777">
        <w:trPr>
          <w:trHeight w:val="396"/>
        </w:trPr>
        <w:tc>
          <w:tcPr>
            <w:tcW w:w="3618" w:type="dxa"/>
          </w:tcPr>
          <w:p w14:paraId="4FE57889"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Phosphorus (%)</w:t>
            </w:r>
          </w:p>
        </w:tc>
        <w:tc>
          <w:tcPr>
            <w:tcW w:w="2160" w:type="dxa"/>
          </w:tcPr>
          <w:p w14:paraId="314E00F4"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843" w:type="dxa"/>
          </w:tcPr>
          <w:p w14:paraId="18875AAC"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9.17</w:t>
            </w:r>
          </w:p>
        </w:tc>
        <w:tc>
          <w:tcPr>
            <w:tcW w:w="1559" w:type="dxa"/>
          </w:tcPr>
          <w:p w14:paraId="1BAE3DA5"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6.59</w:t>
            </w:r>
          </w:p>
        </w:tc>
      </w:tr>
      <w:tr w:rsidR="00D879A9" w14:paraId="397C57DF" w14:textId="77777777">
        <w:trPr>
          <w:trHeight w:val="360"/>
        </w:trPr>
        <w:tc>
          <w:tcPr>
            <w:tcW w:w="3618" w:type="dxa"/>
          </w:tcPr>
          <w:p w14:paraId="6B7D4D37"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Potassium (%)</w:t>
            </w:r>
          </w:p>
        </w:tc>
        <w:tc>
          <w:tcPr>
            <w:tcW w:w="2160" w:type="dxa"/>
          </w:tcPr>
          <w:p w14:paraId="41083742"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3.48</w:t>
            </w:r>
          </w:p>
        </w:tc>
        <w:tc>
          <w:tcPr>
            <w:tcW w:w="1843" w:type="dxa"/>
          </w:tcPr>
          <w:p w14:paraId="733CB79D"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2.95</w:t>
            </w:r>
          </w:p>
        </w:tc>
        <w:tc>
          <w:tcPr>
            <w:tcW w:w="1559" w:type="dxa"/>
          </w:tcPr>
          <w:p w14:paraId="7B5CFDAA"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1.55</w:t>
            </w:r>
          </w:p>
        </w:tc>
      </w:tr>
      <w:tr w:rsidR="00D879A9" w14:paraId="2F7337BF" w14:textId="77777777">
        <w:trPr>
          <w:trHeight w:val="378"/>
        </w:trPr>
        <w:tc>
          <w:tcPr>
            <w:tcW w:w="3618" w:type="dxa"/>
          </w:tcPr>
          <w:p w14:paraId="7243DC40"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Exchangeable Calcium (ppm)</w:t>
            </w:r>
          </w:p>
        </w:tc>
        <w:tc>
          <w:tcPr>
            <w:tcW w:w="2160" w:type="dxa"/>
          </w:tcPr>
          <w:p w14:paraId="30658613"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1843" w:type="dxa"/>
          </w:tcPr>
          <w:p w14:paraId="41D56670"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1559" w:type="dxa"/>
          </w:tcPr>
          <w:p w14:paraId="32C7A0DE"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38.6</w:t>
            </w:r>
          </w:p>
        </w:tc>
      </w:tr>
      <w:tr w:rsidR="00D879A9" w14:paraId="1D3C5EEA" w14:textId="77777777">
        <w:trPr>
          <w:trHeight w:val="432"/>
        </w:trPr>
        <w:tc>
          <w:tcPr>
            <w:tcW w:w="3618" w:type="dxa"/>
          </w:tcPr>
          <w:p w14:paraId="722E5EB8"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Exchangeable Magnesium (ppm)</w:t>
            </w:r>
          </w:p>
        </w:tc>
        <w:tc>
          <w:tcPr>
            <w:tcW w:w="2160" w:type="dxa"/>
          </w:tcPr>
          <w:p w14:paraId="77F4ABDB"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1843" w:type="dxa"/>
          </w:tcPr>
          <w:p w14:paraId="0071E9DF"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1559" w:type="dxa"/>
          </w:tcPr>
          <w:p w14:paraId="2D25C67C"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11.6</w:t>
            </w:r>
          </w:p>
        </w:tc>
      </w:tr>
      <w:tr w:rsidR="00D879A9" w14:paraId="23FA48B6" w14:textId="77777777">
        <w:trPr>
          <w:trHeight w:val="450"/>
        </w:trPr>
        <w:tc>
          <w:tcPr>
            <w:tcW w:w="3618" w:type="dxa"/>
          </w:tcPr>
          <w:p w14:paraId="3011EA26" w14:textId="77777777" w:rsidR="00D879A9" w:rsidRDefault="00000000">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Sulphur (ppm)</w:t>
            </w:r>
          </w:p>
        </w:tc>
        <w:tc>
          <w:tcPr>
            <w:tcW w:w="2160" w:type="dxa"/>
          </w:tcPr>
          <w:p w14:paraId="3A50794D"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1843" w:type="dxa"/>
          </w:tcPr>
          <w:p w14:paraId="3C4A57BA"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0.13</w:t>
            </w:r>
          </w:p>
        </w:tc>
        <w:tc>
          <w:tcPr>
            <w:tcW w:w="1559" w:type="dxa"/>
          </w:tcPr>
          <w:p w14:paraId="0B144727" w14:textId="77777777" w:rsidR="00D879A9"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0.11</w:t>
            </w:r>
          </w:p>
        </w:tc>
      </w:tr>
    </w:tbl>
    <w:p w14:paraId="53C421AB" w14:textId="77777777" w:rsidR="00D879A9" w:rsidRDefault="00D879A9">
      <w:pPr>
        <w:rPr>
          <w:rFonts w:ascii="Times New Roman" w:hAnsi="Times New Roman" w:cs="Times New Roman"/>
          <w:sz w:val="24"/>
          <w:szCs w:val="24"/>
        </w:rPr>
      </w:pPr>
    </w:p>
    <w:p w14:paraId="264C75C3" w14:textId="77777777" w:rsidR="00D879A9" w:rsidRDefault="00D879A9">
      <w:pPr>
        <w:rPr>
          <w:rFonts w:ascii="Times New Roman" w:hAnsi="Times New Roman" w:cs="Times New Roman"/>
          <w:sz w:val="24"/>
          <w:szCs w:val="24"/>
        </w:rPr>
      </w:pPr>
    </w:p>
    <w:p w14:paraId="5E4E8F1B" w14:textId="77777777" w:rsidR="00D879A9" w:rsidRDefault="00D879A9">
      <w:pPr>
        <w:rPr>
          <w:rFonts w:ascii="Times New Roman" w:hAnsi="Times New Roman" w:cs="Times New Roman"/>
          <w:sz w:val="24"/>
          <w:szCs w:val="24"/>
        </w:rPr>
      </w:pPr>
    </w:p>
    <w:p w14:paraId="06D4F3C7" w14:textId="77777777" w:rsidR="00D879A9" w:rsidRDefault="00D879A9">
      <w:pPr>
        <w:rPr>
          <w:rFonts w:ascii="Times New Roman" w:hAnsi="Times New Roman" w:cs="Times New Roman"/>
          <w:sz w:val="24"/>
          <w:szCs w:val="24"/>
        </w:rPr>
      </w:pPr>
    </w:p>
    <w:p w14:paraId="3298BB29" w14:textId="77777777" w:rsidR="00D879A9" w:rsidRDefault="00D879A9">
      <w:pPr>
        <w:rPr>
          <w:rFonts w:ascii="Times New Roman" w:hAnsi="Times New Roman" w:cs="Times New Roman"/>
          <w:sz w:val="24"/>
          <w:szCs w:val="24"/>
        </w:rPr>
      </w:pPr>
    </w:p>
    <w:p w14:paraId="2850F1A2" w14:textId="77777777" w:rsidR="00D879A9" w:rsidRDefault="00D879A9">
      <w:pPr>
        <w:rPr>
          <w:rFonts w:ascii="Times New Roman" w:hAnsi="Times New Roman" w:cs="Times New Roman"/>
          <w:sz w:val="24"/>
          <w:szCs w:val="24"/>
        </w:rPr>
      </w:pPr>
    </w:p>
    <w:p w14:paraId="4452903E" w14:textId="77777777" w:rsidR="00D879A9" w:rsidRDefault="00D879A9">
      <w:pPr>
        <w:rPr>
          <w:rFonts w:ascii="Times New Roman" w:hAnsi="Times New Roman" w:cs="Times New Roman"/>
          <w:sz w:val="24"/>
          <w:szCs w:val="24"/>
        </w:rPr>
      </w:pPr>
    </w:p>
    <w:p w14:paraId="2E7483CD" w14:textId="77777777" w:rsidR="00D879A9" w:rsidRDefault="00D879A9">
      <w:pPr>
        <w:rPr>
          <w:rFonts w:ascii="Times New Roman" w:hAnsi="Times New Roman" w:cs="Times New Roman"/>
          <w:sz w:val="24"/>
          <w:szCs w:val="24"/>
        </w:rPr>
      </w:pPr>
    </w:p>
    <w:p w14:paraId="46F10AD1" w14:textId="77777777" w:rsidR="00D879A9" w:rsidRDefault="00D879A9">
      <w:pPr>
        <w:rPr>
          <w:rFonts w:ascii="Times New Roman" w:hAnsi="Times New Roman" w:cs="Times New Roman"/>
          <w:sz w:val="24"/>
          <w:szCs w:val="24"/>
        </w:rPr>
      </w:pPr>
    </w:p>
    <w:p w14:paraId="2838C85F" w14:textId="77777777" w:rsidR="00D879A9" w:rsidRDefault="00D879A9">
      <w:pPr>
        <w:rPr>
          <w:rFonts w:ascii="Times New Roman" w:hAnsi="Times New Roman" w:cs="Times New Roman"/>
          <w:sz w:val="24"/>
          <w:szCs w:val="24"/>
        </w:rPr>
      </w:pPr>
    </w:p>
    <w:p w14:paraId="256BB330" w14:textId="77777777" w:rsidR="00D879A9" w:rsidRDefault="00D879A9">
      <w:pPr>
        <w:rPr>
          <w:rFonts w:ascii="Times New Roman" w:hAnsi="Times New Roman" w:cs="Times New Roman"/>
          <w:sz w:val="24"/>
          <w:szCs w:val="24"/>
        </w:rPr>
      </w:pPr>
    </w:p>
    <w:p w14:paraId="2FC607A3" w14:textId="77777777" w:rsidR="00D879A9" w:rsidRDefault="00000000">
      <w:pPr>
        <w:autoSpaceDE w:val="0"/>
        <w:autoSpaceDN w:val="0"/>
        <w:adjustRightInd w:val="0"/>
        <w:spacing w:after="0" w:line="240" w:lineRule="auto"/>
        <w:rPr>
          <w:rFonts w:ascii="Times New Roman" w:hAnsi="Times New Roman" w:cs="Times New Roman"/>
          <w:b/>
          <w:bCs/>
          <w:sz w:val="24"/>
          <w:szCs w:val="24"/>
          <w:lang w:val="en-US" w:bidi="ar-SA"/>
        </w:rPr>
      </w:pPr>
      <w:r>
        <w:rPr>
          <w:rFonts w:ascii="Times New Roman" w:hAnsi="Times New Roman" w:cs="Times New Roman"/>
          <w:b/>
          <w:bCs/>
          <w:sz w:val="24"/>
          <w:szCs w:val="24"/>
          <w:lang w:val="en-US" w:bidi="ar-SA"/>
        </w:rPr>
        <w:t>Table 3. Relative content of main compounds in organic composition of bio-oil</w:t>
      </w:r>
    </w:p>
    <w:p w14:paraId="5B1FD1D4" w14:textId="77777777" w:rsidR="00D879A9" w:rsidRDefault="00000000">
      <w:pPr>
        <w:rPr>
          <w:rFonts w:ascii="Times New Roman" w:hAnsi="Times New Roman" w:cs="Times New Roman"/>
          <w:b/>
          <w:bCs/>
          <w:sz w:val="24"/>
          <w:szCs w:val="24"/>
          <w:lang w:val="en-US" w:bidi="ar-SA"/>
        </w:rPr>
      </w:pPr>
      <w:r>
        <w:rPr>
          <w:rFonts w:ascii="Times New Roman" w:hAnsi="Times New Roman" w:cs="Times New Roman"/>
          <w:b/>
          <w:bCs/>
          <w:sz w:val="24"/>
          <w:szCs w:val="24"/>
          <w:lang w:val="en-US" w:bidi="ar-SA"/>
        </w:rPr>
        <w:t>produced from Paddy straw by GC-MS.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94"/>
        <w:gridCol w:w="2074"/>
        <w:gridCol w:w="5089"/>
      </w:tblGrid>
      <w:tr w:rsidR="00D879A9" w14:paraId="4B3A4B8E" w14:textId="77777777">
        <w:trPr>
          <w:trHeight w:val="911"/>
        </w:trPr>
        <w:tc>
          <w:tcPr>
            <w:tcW w:w="1694" w:type="dxa"/>
          </w:tcPr>
          <w:p w14:paraId="6EC19525" w14:textId="77777777" w:rsidR="00D879A9" w:rsidRDefault="00000000">
            <w:pPr>
              <w:pStyle w:val="TableParagraph"/>
              <w:spacing w:before="318"/>
              <w:ind w:left="366" w:right="358"/>
              <w:rPr>
                <w:b/>
                <w:sz w:val="24"/>
              </w:rPr>
            </w:pPr>
            <w:r>
              <w:rPr>
                <w:b/>
                <w:sz w:val="24"/>
              </w:rPr>
              <w:lastRenderedPageBreak/>
              <w:t>Peak</w:t>
            </w:r>
            <w:r>
              <w:rPr>
                <w:b/>
                <w:spacing w:val="-1"/>
                <w:sz w:val="24"/>
              </w:rPr>
              <w:t xml:space="preserve"> </w:t>
            </w:r>
            <w:r>
              <w:rPr>
                <w:b/>
                <w:sz w:val="24"/>
              </w:rPr>
              <w:t>No.</w:t>
            </w:r>
          </w:p>
        </w:tc>
        <w:tc>
          <w:tcPr>
            <w:tcW w:w="2074" w:type="dxa"/>
          </w:tcPr>
          <w:p w14:paraId="13839232" w14:textId="77777777" w:rsidR="00D879A9" w:rsidRDefault="00000000">
            <w:pPr>
              <w:pStyle w:val="TableParagraph"/>
              <w:spacing w:before="119"/>
              <w:ind w:left="746" w:right="737"/>
              <w:rPr>
                <w:b/>
                <w:sz w:val="24"/>
              </w:rPr>
            </w:pPr>
            <w:proofErr w:type="spellStart"/>
            <w:r>
              <w:rPr>
                <w:b/>
                <w:sz w:val="24"/>
              </w:rPr>
              <w:t>Wt</w:t>
            </w:r>
            <w:proofErr w:type="spellEnd"/>
          </w:p>
          <w:p w14:paraId="398C556A" w14:textId="77777777" w:rsidR="00D879A9" w:rsidRDefault="00000000">
            <w:pPr>
              <w:pStyle w:val="TableParagraph"/>
              <w:spacing w:before="120"/>
              <w:ind w:left="6"/>
              <w:rPr>
                <w:b/>
                <w:sz w:val="24"/>
              </w:rPr>
            </w:pPr>
            <w:r>
              <w:rPr>
                <w:b/>
                <w:sz w:val="24"/>
              </w:rPr>
              <w:t>%</w:t>
            </w:r>
          </w:p>
        </w:tc>
        <w:tc>
          <w:tcPr>
            <w:tcW w:w="5089" w:type="dxa"/>
          </w:tcPr>
          <w:p w14:paraId="57B5A7C3" w14:textId="77777777" w:rsidR="00D879A9" w:rsidRDefault="00D879A9">
            <w:pPr>
              <w:pStyle w:val="TableParagraph"/>
              <w:spacing w:before="7"/>
              <w:ind w:left="0"/>
              <w:jc w:val="left"/>
              <w:rPr>
                <w:b/>
                <w:sz w:val="27"/>
              </w:rPr>
            </w:pPr>
          </w:p>
          <w:p w14:paraId="6EF1BF06" w14:textId="77777777" w:rsidR="00D879A9" w:rsidRDefault="00000000">
            <w:pPr>
              <w:pStyle w:val="TableParagraph"/>
              <w:spacing w:before="0"/>
              <w:ind w:left="2225" w:right="2214"/>
              <w:rPr>
                <w:b/>
                <w:sz w:val="24"/>
              </w:rPr>
            </w:pPr>
            <w:r>
              <w:rPr>
                <w:b/>
                <w:sz w:val="24"/>
              </w:rPr>
              <w:t>Name</w:t>
            </w:r>
          </w:p>
        </w:tc>
      </w:tr>
      <w:tr w:rsidR="00D879A9" w14:paraId="4BE90B68" w14:textId="77777777">
        <w:trPr>
          <w:trHeight w:val="515"/>
        </w:trPr>
        <w:tc>
          <w:tcPr>
            <w:tcW w:w="1694" w:type="dxa"/>
          </w:tcPr>
          <w:p w14:paraId="16716287" w14:textId="77777777" w:rsidR="00D879A9" w:rsidRDefault="00000000">
            <w:pPr>
              <w:pStyle w:val="TableParagraph"/>
              <w:spacing w:before="119"/>
              <w:ind w:left="9"/>
              <w:rPr>
                <w:sz w:val="24"/>
              </w:rPr>
            </w:pPr>
            <w:r>
              <w:rPr>
                <w:sz w:val="24"/>
              </w:rPr>
              <w:t>1</w:t>
            </w:r>
          </w:p>
        </w:tc>
        <w:tc>
          <w:tcPr>
            <w:tcW w:w="2074" w:type="dxa"/>
          </w:tcPr>
          <w:p w14:paraId="16DD83A7" w14:textId="77777777" w:rsidR="00D879A9" w:rsidRDefault="00000000">
            <w:pPr>
              <w:pStyle w:val="TableParagraph"/>
              <w:spacing w:before="119"/>
              <w:ind w:left="746" w:right="738"/>
              <w:rPr>
                <w:sz w:val="24"/>
              </w:rPr>
            </w:pPr>
            <w:r>
              <w:rPr>
                <w:sz w:val="24"/>
              </w:rPr>
              <w:t>2.24</w:t>
            </w:r>
          </w:p>
        </w:tc>
        <w:tc>
          <w:tcPr>
            <w:tcW w:w="5089" w:type="dxa"/>
          </w:tcPr>
          <w:p w14:paraId="4B105065" w14:textId="77777777" w:rsidR="00D879A9" w:rsidRDefault="00000000">
            <w:pPr>
              <w:pStyle w:val="TableParagraph"/>
              <w:spacing w:before="119"/>
              <w:ind w:left="108"/>
              <w:jc w:val="left"/>
              <w:rPr>
                <w:sz w:val="24"/>
              </w:rPr>
            </w:pPr>
            <w:r>
              <w:rPr>
                <w:sz w:val="24"/>
              </w:rPr>
              <w:t>2-Cyclopenten-1-one,</w:t>
            </w:r>
            <w:r>
              <w:rPr>
                <w:spacing w:val="-2"/>
                <w:sz w:val="24"/>
              </w:rPr>
              <w:t xml:space="preserve"> </w:t>
            </w:r>
            <w:r>
              <w:rPr>
                <w:sz w:val="24"/>
              </w:rPr>
              <w:t>2-methyl-</w:t>
            </w:r>
          </w:p>
        </w:tc>
      </w:tr>
      <w:tr w:rsidR="00D879A9" w14:paraId="0F35A333" w14:textId="77777777">
        <w:trPr>
          <w:trHeight w:val="515"/>
        </w:trPr>
        <w:tc>
          <w:tcPr>
            <w:tcW w:w="1694" w:type="dxa"/>
          </w:tcPr>
          <w:p w14:paraId="46677105" w14:textId="77777777" w:rsidR="00D879A9" w:rsidRDefault="00000000">
            <w:pPr>
              <w:pStyle w:val="TableParagraph"/>
              <w:spacing w:before="119"/>
              <w:ind w:left="9"/>
              <w:rPr>
                <w:sz w:val="24"/>
              </w:rPr>
            </w:pPr>
            <w:r>
              <w:rPr>
                <w:sz w:val="24"/>
              </w:rPr>
              <w:t>2</w:t>
            </w:r>
          </w:p>
        </w:tc>
        <w:tc>
          <w:tcPr>
            <w:tcW w:w="2074" w:type="dxa"/>
          </w:tcPr>
          <w:p w14:paraId="0967974C" w14:textId="77777777" w:rsidR="00D879A9" w:rsidRDefault="00000000">
            <w:pPr>
              <w:pStyle w:val="TableParagraph"/>
              <w:spacing w:before="119"/>
              <w:ind w:left="746" w:right="738"/>
              <w:rPr>
                <w:sz w:val="24"/>
              </w:rPr>
            </w:pPr>
            <w:r>
              <w:rPr>
                <w:sz w:val="24"/>
              </w:rPr>
              <w:t>2.85</w:t>
            </w:r>
          </w:p>
        </w:tc>
        <w:tc>
          <w:tcPr>
            <w:tcW w:w="5089" w:type="dxa"/>
          </w:tcPr>
          <w:p w14:paraId="66240736" w14:textId="77777777" w:rsidR="00D879A9" w:rsidRDefault="00000000">
            <w:pPr>
              <w:pStyle w:val="TableParagraph"/>
              <w:spacing w:before="119"/>
              <w:ind w:left="108"/>
              <w:jc w:val="left"/>
              <w:rPr>
                <w:sz w:val="24"/>
              </w:rPr>
            </w:pPr>
            <w:r>
              <w:rPr>
                <w:sz w:val="24"/>
              </w:rPr>
              <w:t>Butanoic</w:t>
            </w:r>
            <w:r>
              <w:rPr>
                <w:spacing w:val="-2"/>
                <w:sz w:val="24"/>
              </w:rPr>
              <w:t xml:space="preserve"> </w:t>
            </w:r>
            <w:r>
              <w:rPr>
                <w:sz w:val="24"/>
              </w:rPr>
              <w:t>acid,</w:t>
            </w:r>
            <w:r>
              <w:rPr>
                <w:spacing w:val="-1"/>
                <w:sz w:val="24"/>
              </w:rPr>
              <w:t xml:space="preserve"> </w:t>
            </w:r>
            <w:r>
              <w:rPr>
                <w:sz w:val="24"/>
              </w:rPr>
              <w:t>4-hydroxy-</w:t>
            </w:r>
          </w:p>
        </w:tc>
      </w:tr>
      <w:tr w:rsidR="00D879A9" w14:paraId="3404EEFD" w14:textId="77777777">
        <w:trPr>
          <w:trHeight w:val="518"/>
        </w:trPr>
        <w:tc>
          <w:tcPr>
            <w:tcW w:w="1694" w:type="dxa"/>
          </w:tcPr>
          <w:p w14:paraId="17C28351" w14:textId="77777777" w:rsidR="00D879A9" w:rsidRDefault="00000000">
            <w:pPr>
              <w:pStyle w:val="TableParagraph"/>
              <w:spacing w:before="121"/>
              <w:ind w:left="9"/>
              <w:rPr>
                <w:sz w:val="24"/>
              </w:rPr>
            </w:pPr>
            <w:r>
              <w:rPr>
                <w:sz w:val="24"/>
              </w:rPr>
              <w:t>3</w:t>
            </w:r>
          </w:p>
        </w:tc>
        <w:tc>
          <w:tcPr>
            <w:tcW w:w="2074" w:type="dxa"/>
          </w:tcPr>
          <w:p w14:paraId="1C347F36" w14:textId="77777777" w:rsidR="00D879A9" w:rsidRDefault="00000000">
            <w:pPr>
              <w:pStyle w:val="TableParagraph"/>
              <w:spacing w:before="121"/>
              <w:ind w:left="746" w:right="738"/>
              <w:rPr>
                <w:sz w:val="24"/>
              </w:rPr>
            </w:pPr>
            <w:r>
              <w:rPr>
                <w:sz w:val="24"/>
              </w:rPr>
              <w:t>4.50</w:t>
            </w:r>
          </w:p>
        </w:tc>
        <w:tc>
          <w:tcPr>
            <w:tcW w:w="5089" w:type="dxa"/>
          </w:tcPr>
          <w:p w14:paraId="25010AB8" w14:textId="77777777" w:rsidR="00D879A9" w:rsidRDefault="00000000">
            <w:pPr>
              <w:pStyle w:val="TableParagraph"/>
              <w:spacing w:before="121"/>
              <w:ind w:left="108"/>
              <w:jc w:val="left"/>
              <w:rPr>
                <w:sz w:val="24"/>
              </w:rPr>
            </w:pPr>
            <w:r>
              <w:rPr>
                <w:sz w:val="24"/>
              </w:rPr>
              <w:t>2-Cyclopenten-1-one,</w:t>
            </w:r>
            <w:r>
              <w:rPr>
                <w:spacing w:val="-2"/>
                <w:sz w:val="24"/>
              </w:rPr>
              <w:t xml:space="preserve"> </w:t>
            </w:r>
            <w:r>
              <w:rPr>
                <w:sz w:val="24"/>
              </w:rPr>
              <w:t>3-methyl-</w:t>
            </w:r>
          </w:p>
        </w:tc>
      </w:tr>
      <w:tr w:rsidR="00D879A9" w14:paraId="42F9D77C" w14:textId="77777777">
        <w:trPr>
          <w:trHeight w:val="516"/>
        </w:trPr>
        <w:tc>
          <w:tcPr>
            <w:tcW w:w="1694" w:type="dxa"/>
          </w:tcPr>
          <w:p w14:paraId="3C5137F4" w14:textId="77777777" w:rsidR="00D879A9" w:rsidRDefault="00000000">
            <w:pPr>
              <w:pStyle w:val="TableParagraph"/>
              <w:spacing w:before="119"/>
              <w:ind w:left="9"/>
              <w:rPr>
                <w:sz w:val="24"/>
              </w:rPr>
            </w:pPr>
            <w:r>
              <w:rPr>
                <w:sz w:val="24"/>
              </w:rPr>
              <w:t>4</w:t>
            </w:r>
          </w:p>
        </w:tc>
        <w:tc>
          <w:tcPr>
            <w:tcW w:w="2074" w:type="dxa"/>
          </w:tcPr>
          <w:p w14:paraId="12DC4F87" w14:textId="77777777" w:rsidR="00D879A9" w:rsidRDefault="00000000">
            <w:pPr>
              <w:pStyle w:val="TableParagraph"/>
              <w:spacing w:before="119"/>
              <w:ind w:left="746" w:right="738"/>
              <w:rPr>
                <w:sz w:val="24"/>
              </w:rPr>
            </w:pPr>
            <w:r>
              <w:rPr>
                <w:sz w:val="24"/>
              </w:rPr>
              <w:t>27.23</w:t>
            </w:r>
          </w:p>
        </w:tc>
        <w:tc>
          <w:tcPr>
            <w:tcW w:w="5089" w:type="dxa"/>
          </w:tcPr>
          <w:p w14:paraId="28E3B740" w14:textId="77777777" w:rsidR="00D879A9" w:rsidRDefault="00000000">
            <w:pPr>
              <w:pStyle w:val="TableParagraph"/>
              <w:spacing w:before="119"/>
              <w:ind w:left="108"/>
              <w:jc w:val="left"/>
              <w:rPr>
                <w:sz w:val="24"/>
              </w:rPr>
            </w:pPr>
            <w:r>
              <w:rPr>
                <w:sz w:val="24"/>
              </w:rPr>
              <w:t>Phenol</w:t>
            </w:r>
          </w:p>
        </w:tc>
      </w:tr>
      <w:tr w:rsidR="00D879A9" w14:paraId="73F3F400" w14:textId="77777777">
        <w:trPr>
          <w:trHeight w:val="515"/>
        </w:trPr>
        <w:tc>
          <w:tcPr>
            <w:tcW w:w="1694" w:type="dxa"/>
          </w:tcPr>
          <w:p w14:paraId="05CC8399" w14:textId="77777777" w:rsidR="00D879A9" w:rsidRDefault="00000000">
            <w:pPr>
              <w:pStyle w:val="TableParagraph"/>
              <w:spacing w:before="119"/>
              <w:ind w:left="9"/>
              <w:rPr>
                <w:sz w:val="24"/>
              </w:rPr>
            </w:pPr>
            <w:r>
              <w:rPr>
                <w:sz w:val="24"/>
              </w:rPr>
              <w:t>5</w:t>
            </w:r>
          </w:p>
        </w:tc>
        <w:tc>
          <w:tcPr>
            <w:tcW w:w="2074" w:type="dxa"/>
          </w:tcPr>
          <w:p w14:paraId="11E12601" w14:textId="77777777" w:rsidR="00D879A9" w:rsidRDefault="00000000">
            <w:pPr>
              <w:pStyle w:val="TableParagraph"/>
              <w:spacing w:before="119"/>
              <w:ind w:left="746" w:right="738"/>
              <w:rPr>
                <w:sz w:val="24"/>
              </w:rPr>
            </w:pPr>
            <w:r>
              <w:rPr>
                <w:sz w:val="24"/>
              </w:rPr>
              <w:t>1.77</w:t>
            </w:r>
          </w:p>
        </w:tc>
        <w:tc>
          <w:tcPr>
            <w:tcW w:w="5089" w:type="dxa"/>
          </w:tcPr>
          <w:p w14:paraId="057BA84B" w14:textId="77777777" w:rsidR="00D879A9" w:rsidRDefault="00000000">
            <w:pPr>
              <w:pStyle w:val="TableParagraph"/>
              <w:spacing w:before="119"/>
              <w:ind w:left="108"/>
              <w:jc w:val="left"/>
              <w:rPr>
                <w:sz w:val="24"/>
              </w:rPr>
            </w:pPr>
            <w:r>
              <w:rPr>
                <w:sz w:val="24"/>
              </w:rPr>
              <w:t>2-Furanone,</w:t>
            </w:r>
            <w:r>
              <w:rPr>
                <w:spacing w:val="-2"/>
                <w:sz w:val="24"/>
              </w:rPr>
              <w:t xml:space="preserve"> </w:t>
            </w:r>
            <w:r>
              <w:rPr>
                <w:sz w:val="24"/>
              </w:rPr>
              <w:t>2,5-dihydro-3,5-dimethyl-</w:t>
            </w:r>
          </w:p>
        </w:tc>
      </w:tr>
      <w:tr w:rsidR="00D879A9" w14:paraId="0BE91640" w14:textId="77777777">
        <w:trPr>
          <w:trHeight w:val="515"/>
        </w:trPr>
        <w:tc>
          <w:tcPr>
            <w:tcW w:w="1694" w:type="dxa"/>
          </w:tcPr>
          <w:p w14:paraId="70E48B06" w14:textId="77777777" w:rsidR="00D879A9" w:rsidRDefault="00000000">
            <w:pPr>
              <w:pStyle w:val="TableParagraph"/>
              <w:spacing w:before="119"/>
              <w:ind w:left="9"/>
              <w:rPr>
                <w:sz w:val="24"/>
              </w:rPr>
            </w:pPr>
            <w:r>
              <w:rPr>
                <w:sz w:val="24"/>
              </w:rPr>
              <w:t>6</w:t>
            </w:r>
          </w:p>
        </w:tc>
        <w:tc>
          <w:tcPr>
            <w:tcW w:w="2074" w:type="dxa"/>
          </w:tcPr>
          <w:p w14:paraId="0AB65C18" w14:textId="77777777" w:rsidR="00D879A9" w:rsidRDefault="00000000">
            <w:pPr>
              <w:pStyle w:val="TableParagraph"/>
              <w:spacing w:before="119"/>
              <w:ind w:left="746" w:right="738"/>
              <w:rPr>
                <w:sz w:val="24"/>
              </w:rPr>
            </w:pPr>
            <w:r>
              <w:rPr>
                <w:sz w:val="24"/>
              </w:rPr>
              <w:t>4.76</w:t>
            </w:r>
          </w:p>
        </w:tc>
        <w:tc>
          <w:tcPr>
            <w:tcW w:w="5089" w:type="dxa"/>
          </w:tcPr>
          <w:p w14:paraId="10F7C263" w14:textId="77777777" w:rsidR="00D879A9" w:rsidRDefault="00000000">
            <w:pPr>
              <w:pStyle w:val="TableParagraph"/>
              <w:spacing w:before="119"/>
              <w:ind w:left="108"/>
              <w:jc w:val="left"/>
              <w:rPr>
                <w:sz w:val="24"/>
              </w:rPr>
            </w:pPr>
            <w:r>
              <w:rPr>
                <w:sz w:val="24"/>
              </w:rPr>
              <w:t>2-Cyclopenten-1-one,</w:t>
            </w:r>
            <w:r>
              <w:rPr>
                <w:spacing w:val="-2"/>
                <w:sz w:val="24"/>
              </w:rPr>
              <w:t xml:space="preserve"> </w:t>
            </w:r>
            <w:r>
              <w:rPr>
                <w:sz w:val="24"/>
              </w:rPr>
              <w:t>2,3-dimethyl-</w:t>
            </w:r>
          </w:p>
        </w:tc>
      </w:tr>
      <w:tr w:rsidR="00D879A9" w14:paraId="5845BE92" w14:textId="77777777">
        <w:trPr>
          <w:trHeight w:val="515"/>
        </w:trPr>
        <w:tc>
          <w:tcPr>
            <w:tcW w:w="1694" w:type="dxa"/>
          </w:tcPr>
          <w:p w14:paraId="08075744" w14:textId="77777777" w:rsidR="00D879A9" w:rsidRDefault="00000000">
            <w:pPr>
              <w:pStyle w:val="TableParagraph"/>
              <w:spacing w:before="119"/>
              <w:ind w:left="9"/>
              <w:rPr>
                <w:sz w:val="24"/>
              </w:rPr>
            </w:pPr>
            <w:r>
              <w:rPr>
                <w:sz w:val="24"/>
              </w:rPr>
              <w:t>7</w:t>
            </w:r>
          </w:p>
        </w:tc>
        <w:tc>
          <w:tcPr>
            <w:tcW w:w="2074" w:type="dxa"/>
          </w:tcPr>
          <w:p w14:paraId="1CAB8028" w14:textId="77777777" w:rsidR="00D879A9" w:rsidRDefault="00000000">
            <w:pPr>
              <w:pStyle w:val="TableParagraph"/>
              <w:spacing w:before="119"/>
              <w:ind w:left="746" w:right="738"/>
              <w:rPr>
                <w:sz w:val="24"/>
              </w:rPr>
            </w:pPr>
            <w:r>
              <w:rPr>
                <w:sz w:val="24"/>
              </w:rPr>
              <w:t>6.50</w:t>
            </w:r>
          </w:p>
        </w:tc>
        <w:tc>
          <w:tcPr>
            <w:tcW w:w="5089" w:type="dxa"/>
          </w:tcPr>
          <w:p w14:paraId="7A6037B3" w14:textId="77777777" w:rsidR="00D879A9" w:rsidRDefault="00000000">
            <w:pPr>
              <w:pStyle w:val="TableParagraph"/>
              <w:spacing w:before="119"/>
              <w:ind w:left="108"/>
              <w:jc w:val="left"/>
              <w:rPr>
                <w:sz w:val="24"/>
              </w:rPr>
            </w:pPr>
            <w:r>
              <w:rPr>
                <w:sz w:val="24"/>
              </w:rPr>
              <w:t>2-methyl-</w:t>
            </w:r>
            <w:r>
              <w:rPr>
                <w:spacing w:val="-2"/>
                <w:sz w:val="24"/>
              </w:rPr>
              <w:t xml:space="preserve"> </w:t>
            </w:r>
            <w:r>
              <w:rPr>
                <w:sz w:val="24"/>
              </w:rPr>
              <w:t>Phenol</w:t>
            </w:r>
          </w:p>
        </w:tc>
      </w:tr>
      <w:tr w:rsidR="00D879A9" w14:paraId="51743627" w14:textId="77777777">
        <w:trPr>
          <w:trHeight w:val="515"/>
        </w:trPr>
        <w:tc>
          <w:tcPr>
            <w:tcW w:w="1694" w:type="dxa"/>
          </w:tcPr>
          <w:p w14:paraId="06ACBA4A" w14:textId="77777777" w:rsidR="00D879A9" w:rsidRDefault="00000000">
            <w:pPr>
              <w:pStyle w:val="TableParagraph"/>
              <w:spacing w:before="119"/>
              <w:ind w:left="9"/>
              <w:rPr>
                <w:sz w:val="24"/>
              </w:rPr>
            </w:pPr>
            <w:r>
              <w:rPr>
                <w:sz w:val="24"/>
              </w:rPr>
              <w:t>8</w:t>
            </w:r>
          </w:p>
        </w:tc>
        <w:tc>
          <w:tcPr>
            <w:tcW w:w="2074" w:type="dxa"/>
          </w:tcPr>
          <w:p w14:paraId="2B7354CB" w14:textId="77777777" w:rsidR="00D879A9" w:rsidRDefault="00000000">
            <w:pPr>
              <w:pStyle w:val="TableParagraph"/>
              <w:spacing w:before="119"/>
              <w:ind w:left="746" w:right="738"/>
              <w:rPr>
                <w:sz w:val="24"/>
              </w:rPr>
            </w:pPr>
            <w:r>
              <w:rPr>
                <w:sz w:val="24"/>
              </w:rPr>
              <w:t>16.95</w:t>
            </w:r>
          </w:p>
        </w:tc>
        <w:tc>
          <w:tcPr>
            <w:tcW w:w="5089" w:type="dxa"/>
          </w:tcPr>
          <w:p w14:paraId="0288B429" w14:textId="77777777" w:rsidR="00D879A9" w:rsidRDefault="00000000">
            <w:pPr>
              <w:pStyle w:val="TableParagraph"/>
              <w:spacing w:before="119"/>
              <w:ind w:left="108"/>
              <w:jc w:val="left"/>
              <w:rPr>
                <w:sz w:val="24"/>
              </w:rPr>
            </w:pPr>
            <w:r>
              <w:rPr>
                <w:sz w:val="24"/>
              </w:rPr>
              <w:t>p-Cresol</w:t>
            </w:r>
          </w:p>
        </w:tc>
      </w:tr>
      <w:tr w:rsidR="00D879A9" w14:paraId="2031D9F0" w14:textId="77777777">
        <w:trPr>
          <w:trHeight w:val="517"/>
        </w:trPr>
        <w:tc>
          <w:tcPr>
            <w:tcW w:w="1694" w:type="dxa"/>
          </w:tcPr>
          <w:p w14:paraId="724E44EB" w14:textId="77777777" w:rsidR="00D879A9" w:rsidRDefault="00000000">
            <w:pPr>
              <w:pStyle w:val="TableParagraph"/>
              <w:spacing w:before="121"/>
              <w:ind w:left="9"/>
              <w:rPr>
                <w:sz w:val="24"/>
              </w:rPr>
            </w:pPr>
            <w:r>
              <w:rPr>
                <w:sz w:val="24"/>
              </w:rPr>
              <w:t>9</w:t>
            </w:r>
          </w:p>
        </w:tc>
        <w:tc>
          <w:tcPr>
            <w:tcW w:w="2074" w:type="dxa"/>
          </w:tcPr>
          <w:p w14:paraId="3FB6D88B" w14:textId="77777777" w:rsidR="00D879A9" w:rsidRDefault="00000000">
            <w:pPr>
              <w:pStyle w:val="TableParagraph"/>
              <w:spacing w:before="121"/>
              <w:ind w:left="746" w:right="738"/>
              <w:rPr>
                <w:sz w:val="24"/>
              </w:rPr>
            </w:pPr>
            <w:r>
              <w:rPr>
                <w:sz w:val="24"/>
              </w:rPr>
              <w:t>8.41</w:t>
            </w:r>
          </w:p>
        </w:tc>
        <w:tc>
          <w:tcPr>
            <w:tcW w:w="5089" w:type="dxa"/>
          </w:tcPr>
          <w:p w14:paraId="649E18FF" w14:textId="77777777" w:rsidR="00D879A9" w:rsidRDefault="00000000">
            <w:pPr>
              <w:pStyle w:val="TableParagraph"/>
              <w:spacing w:before="121"/>
              <w:ind w:left="108"/>
              <w:jc w:val="left"/>
              <w:rPr>
                <w:sz w:val="24"/>
              </w:rPr>
            </w:pPr>
            <w:r>
              <w:rPr>
                <w:sz w:val="24"/>
              </w:rPr>
              <w:t>Phenol, 2-methoxy-</w:t>
            </w:r>
          </w:p>
        </w:tc>
      </w:tr>
      <w:tr w:rsidR="00D879A9" w14:paraId="35461547" w14:textId="77777777">
        <w:trPr>
          <w:trHeight w:val="516"/>
        </w:trPr>
        <w:tc>
          <w:tcPr>
            <w:tcW w:w="1694" w:type="dxa"/>
          </w:tcPr>
          <w:p w14:paraId="338283DC" w14:textId="77777777" w:rsidR="00D879A9" w:rsidRDefault="00000000">
            <w:pPr>
              <w:pStyle w:val="TableParagraph"/>
              <w:spacing w:before="119"/>
              <w:ind w:left="366" w:right="357"/>
              <w:rPr>
                <w:sz w:val="24"/>
              </w:rPr>
            </w:pPr>
            <w:r>
              <w:rPr>
                <w:sz w:val="24"/>
              </w:rPr>
              <w:t>10</w:t>
            </w:r>
          </w:p>
        </w:tc>
        <w:tc>
          <w:tcPr>
            <w:tcW w:w="2074" w:type="dxa"/>
          </w:tcPr>
          <w:p w14:paraId="31096730" w14:textId="77777777" w:rsidR="00D879A9" w:rsidRDefault="00000000">
            <w:pPr>
              <w:pStyle w:val="TableParagraph"/>
              <w:spacing w:before="119"/>
              <w:ind w:left="746" w:right="738"/>
              <w:rPr>
                <w:sz w:val="24"/>
              </w:rPr>
            </w:pPr>
            <w:r>
              <w:rPr>
                <w:sz w:val="24"/>
              </w:rPr>
              <w:t>1.93</w:t>
            </w:r>
          </w:p>
        </w:tc>
        <w:tc>
          <w:tcPr>
            <w:tcW w:w="5089" w:type="dxa"/>
          </w:tcPr>
          <w:p w14:paraId="50C8753A" w14:textId="77777777" w:rsidR="00D879A9" w:rsidRDefault="00000000">
            <w:pPr>
              <w:pStyle w:val="TableParagraph"/>
              <w:spacing w:before="119"/>
              <w:ind w:left="108"/>
              <w:jc w:val="left"/>
              <w:rPr>
                <w:sz w:val="24"/>
              </w:rPr>
            </w:pPr>
            <w:r>
              <w:rPr>
                <w:sz w:val="24"/>
              </w:rPr>
              <w:t>4-Hexen-3-one,</w:t>
            </w:r>
            <w:r>
              <w:rPr>
                <w:spacing w:val="-1"/>
                <w:sz w:val="24"/>
              </w:rPr>
              <w:t xml:space="preserve"> </w:t>
            </w:r>
            <w:r>
              <w:rPr>
                <w:sz w:val="24"/>
              </w:rPr>
              <w:t>4,5-dimethyl-</w:t>
            </w:r>
          </w:p>
        </w:tc>
      </w:tr>
      <w:tr w:rsidR="00D879A9" w14:paraId="5377F00B" w14:textId="77777777">
        <w:trPr>
          <w:trHeight w:val="515"/>
        </w:trPr>
        <w:tc>
          <w:tcPr>
            <w:tcW w:w="1694" w:type="dxa"/>
          </w:tcPr>
          <w:p w14:paraId="5CAB0B26" w14:textId="77777777" w:rsidR="00D879A9" w:rsidRDefault="00000000">
            <w:pPr>
              <w:pStyle w:val="TableParagraph"/>
              <w:spacing w:before="119"/>
              <w:ind w:left="366" w:right="357"/>
              <w:rPr>
                <w:sz w:val="24"/>
              </w:rPr>
            </w:pPr>
            <w:r>
              <w:rPr>
                <w:sz w:val="24"/>
              </w:rPr>
              <w:t>11</w:t>
            </w:r>
          </w:p>
        </w:tc>
        <w:tc>
          <w:tcPr>
            <w:tcW w:w="2074" w:type="dxa"/>
          </w:tcPr>
          <w:p w14:paraId="28D7A026" w14:textId="77777777" w:rsidR="00D879A9" w:rsidRDefault="00000000">
            <w:pPr>
              <w:pStyle w:val="TableParagraph"/>
              <w:spacing w:before="119"/>
              <w:ind w:left="746" w:right="738"/>
              <w:rPr>
                <w:sz w:val="24"/>
              </w:rPr>
            </w:pPr>
            <w:r>
              <w:rPr>
                <w:sz w:val="24"/>
              </w:rPr>
              <w:t>1.64</w:t>
            </w:r>
          </w:p>
        </w:tc>
        <w:tc>
          <w:tcPr>
            <w:tcW w:w="5089" w:type="dxa"/>
          </w:tcPr>
          <w:p w14:paraId="7327A87E" w14:textId="77777777" w:rsidR="00D879A9" w:rsidRDefault="00000000">
            <w:pPr>
              <w:pStyle w:val="TableParagraph"/>
              <w:spacing w:before="119"/>
              <w:ind w:left="108"/>
              <w:jc w:val="left"/>
              <w:rPr>
                <w:sz w:val="24"/>
              </w:rPr>
            </w:pPr>
            <w:r>
              <w:rPr>
                <w:sz w:val="24"/>
              </w:rPr>
              <w:t>2,3-dimethyl-</w:t>
            </w:r>
            <w:r>
              <w:rPr>
                <w:spacing w:val="-2"/>
                <w:sz w:val="24"/>
              </w:rPr>
              <w:t xml:space="preserve"> </w:t>
            </w:r>
            <w:r>
              <w:rPr>
                <w:sz w:val="24"/>
              </w:rPr>
              <w:t>Phenol</w:t>
            </w:r>
          </w:p>
        </w:tc>
      </w:tr>
      <w:tr w:rsidR="00D879A9" w14:paraId="49820EB0" w14:textId="77777777">
        <w:trPr>
          <w:trHeight w:val="515"/>
        </w:trPr>
        <w:tc>
          <w:tcPr>
            <w:tcW w:w="1694" w:type="dxa"/>
          </w:tcPr>
          <w:p w14:paraId="3B40C304" w14:textId="77777777" w:rsidR="00D879A9" w:rsidRDefault="00000000">
            <w:pPr>
              <w:pStyle w:val="TableParagraph"/>
              <w:spacing w:before="119"/>
              <w:ind w:left="366" w:right="357"/>
              <w:rPr>
                <w:sz w:val="24"/>
              </w:rPr>
            </w:pPr>
            <w:r>
              <w:rPr>
                <w:sz w:val="24"/>
              </w:rPr>
              <w:t>12</w:t>
            </w:r>
          </w:p>
        </w:tc>
        <w:tc>
          <w:tcPr>
            <w:tcW w:w="2074" w:type="dxa"/>
          </w:tcPr>
          <w:p w14:paraId="3E86554F" w14:textId="77777777" w:rsidR="00D879A9" w:rsidRDefault="00000000">
            <w:pPr>
              <w:pStyle w:val="TableParagraph"/>
              <w:spacing w:before="119"/>
              <w:ind w:left="746" w:right="738"/>
              <w:rPr>
                <w:sz w:val="24"/>
              </w:rPr>
            </w:pPr>
            <w:r>
              <w:rPr>
                <w:sz w:val="24"/>
              </w:rPr>
              <w:t>8.99</w:t>
            </w:r>
          </w:p>
        </w:tc>
        <w:tc>
          <w:tcPr>
            <w:tcW w:w="5089" w:type="dxa"/>
          </w:tcPr>
          <w:p w14:paraId="42837DE8" w14:textId="77777777" w:rsidR="00D879A9" w:rsidRDefault="00000000">
            <w:pPr>
              <w:pStyle w:val="TableParagraph"/>
              <w:spacing w:before="119"/>
              <w:ind w:left="108"/>
              <w:jc w:val="left"/>
              <w:rPr>
                <w:sz w:val="24"/>
              </w:rPr>
            </w:pPr>
            <w:r>
              <w:rPr>
                <w:sz w:val="24"/>
              </w:rPr>
              <w:t>4-ethyl-</w:t>
            </w:r>
            <w:r>
              <w:rPr>
                <w:spacing w:val="-2"/>
                <w:sz w:val="24"/>
              </w:rPr>
              <w:t xml:space="preserve"> </w:t>
            </w:r>
            <w:r>
              <w:rPr>
                <w:sz w:val="24"/>
              </w:rPr>
              <w:t>Phenol</w:t>
            </w:r>
          </w:p>
        </w:tc>
      </w:tr>
      <w:tr w:rsidR="00D879A9" w14:paraId="6D2E9059" w14:textId="77777777">
        <w:trPr>
          <w:trHeight w:val="515"/>
        </w:trPr>
        <w:tc>
          <w:tcPr>
            <w:tcW w:w="1694" w:type="dxa"/>
          </w:tcPr>
          <w:p w14:paraId="1D7A54E0" w14:textId="77777777" w:rsidR="00D879A9" w:rsidRDefault="00000000">
            <w:pPr>
              <w:pStyle w:val="TableParagraph"/>
              <w:spacing w:before="119"/>
              <w:ind w:left="366" w:right="357"/>
              <w:rPr>
                <w:sz w:val="24"/>
              </w:rPr>
            </w:pPr>
            <w:r>
              <w:rPr>
                <w:sz w:val="24"/>
              </w:rPr>
              <w:t>13</w:t>
            </w:r>
          </w:p>
        </w:tc>
        <w:tc>
          <w:tcPr>
            <w:tcW w:w="2074" w:type="dxa"/>
          </w:tcPr>
          <w:p w14:paraId="7916CE2B" w14:textId="77777777" w:rsidR="00D879A9" w:rsidRDefault="00000000">
            <w:pPr>
              <w:pStyle w:val="TableParagraph"/>
              <w:spacing w:before="119"/>
              <w:ind w:left="746" w:right="738"/>
              <w:rPr>
                <w:sz w:val="24"/>
              </w:rPr>
            </w:pPr>
            <w:r>
              <w:rPr>
                <w:sz w:val="24"/>
              </w:rPr>
              <w:t>2.12</w:t>
            </w:r>
          </w:p>
        </w:tc>
        <w:tc>
          <w:tcPr>
            <w:tcW w:w="5089" w:type="dxa"/>
          </w:tcPr>
          <w:p w14:paraId="7AF03BAF" w14:textId="77777777" w:rsidR="00D879A9" w:rsidRDefault="00000000">
            <w:pPr>
              <w:pStyle w:val="TableParagraph"/>
              <w:spacing w:before="119"/>
              <w:ind w:left="108"/>
              <w:jc w:val="left"/>
              <w:rPr>
                <w:sz w:val="24"/>
              </w:rPr>
            </w:pPr>
            <w:r>
              <w:rPr>
                <w:sz w:val="24"/>
              </w:rPr>
              <w:t>Phenol,3,5-dimethyl-</w:t>
            </w:r>
          </w:p>
        </w:tc>
      </w:tr>
      <w:tr w:rsidR="00D879A9" w14:paraId="2E74A1F7" w14:textId="77777777">
        <w:trPr>
          <w:trHeight w:val="515"/>
        </w:trPr>
        <w:tc>
          <w:tcPr>
            <w:tcW w:w="1694" w:type="dxa"/>
          </w:tcPr>
          <w:p w14:paraId="2E649634" w14:textId="77777777" w:rsidR="00D879A9" w:rsidRDefault="00000000">
            <w:pPr>
              <w:pStyle w:val="TableParagraph"/>
              <w:spacing w:before="119"/>
              <w:ind w:left="366" w:right="357"/>
              <w:rPr>
                <w:sz w:val="24"/>
              </w:rPr>
            </w:pPr>
            <w:r>
              <w:rPr>
                <w:sz w:val="24"/>
              </w:rPr>
              <w:t>14</w:t>
            </w:r>
          </w:p>
        </w:tc>
        <w:tc>
          <w:tcPr>
            <w:tcW w:w="2074" w:type="dxa"/>
          </w:tcPr>
          <w:p w14:paraId="63E303B5" w14:textId="77777777" w:rsidR="00D879A9" w:rsidRDefault="00000000">
            <w:pPr>
              <w:pStyle w:val="TableParagraph"/>
              <w:spacing w:before="119"/>
              <w:ind w:left="746" w:right="738"/>
              <w:rPr>
                <w:sz w:val="24"/>
              </w:rPr>
            </w:pPr>
            <w:r>
              <w:rPr>
                <w:sz w:val="24"/>
              </w:rPr>
              <w:t>1.79</w:t>
            </w:r>
          </w:p>
        </w:tc>
        <w:tc>
          <w:tcPr>
            <w:tcW w:w="5089" w:type="dxa"/>
          </w:tcPr>
          <w:p w14:paraId="17122726" w14:textId="77777777" w:rsidR="00D879A9" w:rsidRDefault="00000000">
            <w:pPr>
              <w:pStyle w:val="TableParagraph"/>
              <w:spacing w:before="119"/>
              <w:ind w:left="108"/>
              <w:jc w:val="left"/>
              <w:rPr>
                <w:sz w:val="24"/>
              </w:rPr>
            </w:pPr>
            <w:r>
              <w:rPr>
                <w:sz w:val="24"/>
              </w:rPr>
              <w:t>2-Methoxy-5-methylphenol</w:t>
            </w:r>
          </w:p>
        </w:tc>
      </w:tr>
      <w:tr w:rsidR="00D879A9" w14:paraId="7CD19C8F" w14:textId="77777777">
        <w:trPr>
          <w:trHeight w:val="515"/>
        </w:trPr>
        <w:tc>
          <w:tcPr>
            <w:tcW w:w="1694" w:type="dxa"/>
          </w:tcPr>
          <w:p w14:paraId="4B764D4F" w14:textId="77777777" w:rsidR="00D879A9" w:rsidRDefault="00000000">
            <w:pPr>
              <w:pStyle w:val="TableParagraph"/>
              <w:spacing w:before="119"/>
              <w:ind w:left="366" w:right="357"/>
              <w:rPr>
                <w:sz w:val="24"/>
              </w:rPr>
            </w:pPr>
            <w:r>
              <w:rPr>
                <w:sz w:val="24"/>
              </w:rPr>
              <w:t>15</w:t>
            </w:r>
          </w:p>
        </w:tc>
        <w:tc>
          <w:tcPr>
            <w:tcW w:w="2074" w:type="dxa"/>
          </w:tcPr>
          <w:p w14:paraId="14809B9B" w14:textId="77777777" w:rsidR="00D879A9" w:rsidRDefault="00000000">
            <w:pPr>
              <w:pStyle w:val="TableParagraph"/>
              <w:spacing w:before="119"/>
              <w:ind w:left="746" w:right="738"/>
              <w:rPr>
                <w:sz w:val="24"/>
              </w:rPr>
            </w:pPr>
            <w:r>
              <w:rPr>
                <w:sz w:val="24"/>
              </w:rPr>
              <w:t>1.52</w:t>
            </w:r>
          </w:p>
        </w:tc>
        <w:tc>
          <w:tcPr>
            <w:tcW w:w="5089" w:type="dxa"/>
          </w:tcPr>
          <w:p w14:paraId="24DE3CDC" w14:textId="77777777" w:rsidR="00D879A9" w:rsidRDefault="00000000">
            <w:pPr>
              <w:pStyle w:val="TableParagraph"/>
              <w:spacing w:before="119"/>
              <w:ind w:left="108"/>
              <w:jc w:val="left"/>
              <w:rPr>
                <w:sz w:val="24"/>
              </w:rPr>
            </w:pPr>
            <w:r>
              <w:rPr>
                <w:sz w:val="24"/>
              </w:rPr>
              <w:t>L</w:t>
            </w:r>
            <w:proofErr w:type="gramStart"/>
            <w:r>
              <w:rPr>
                <w:sz w:val="24"/>
              </w:rPr>
              <w:t>-.alpha</w:t>
            </w:r>
            <w:proofErr w:type="gramEnd"/>
            <w:r>
              <w:rPr>
                <w:sz w:val="24"/>
              </w:rPr>
              <w:t>.-Terpineol</w:t>
            </w:r>
          </w:p>
        </w:tc>
      </w:tr>
      <w:tr w:rsidR="00D879A9" w14:paraId="324EEDC7" w14:textId="77777777">
        <w:trPr>
          <w:trHeight w:val="518"/>
        </w:trPr>
        <w:tc>
          <w:tcPr>
            <w:tcW w:w="1694" w:type="dxa"/>
          </w:tcPr>
          <w:p w14:paraId="10701596" w14:textId="77777777" w:rsidR="00D879A9" w:rsidRDefault="00000000">
            <w:pPr>
              <w:pStyle w:val="TableParagraph"/>
              <w:spacing w:before="121"/>
              <w:ind w:left="366" w:right="357"/>
              <w:rPr>
                <w:sz w:val="24"/>
              </w:rPr>
            </w:pPr>
            <w:r>
              <w:rPr>
                <w:sz w:val="24"/>
              </w:rPr>
              <w:t>16</w:t>
            </w:r>
          </w:p>
        </w:tc>
        <w:tc>
          <w:tcPr>
            <w:tcW w:w="2074" w:type="dxa"/>
          </w:tcPr>
          <w:p w14:paraId="36F8C3E1" w14:textId="77777777" w:rsidR="00D879A9" w:rsidRDefault="00000000">
            <w:pPr>
              <w:pStyle w:val="TableParagraph"/>
              <w:spacing w:before="121"/>
              <w:ind w:left="746" w:right="738"/>
              <w:rPr>
                <w:sz w:val="24"/>
              </w:rPr>
            </w:pPr>
            <w:r>
              <w:rPr>
                <w:sz w:val="24"/>
              </w:rPr>
              <w:t>1.97</w:t>
            </w:r>
          </w:p>
        </w:tc>
        <w:tc>
          <w:tcPr>
            <w:tcW w:w="5089" w:type="dxa"/>
          </w:tcPr>
          <w:p w14:paraId="007F64E9" w14:textId="77777777" w:rsidR="00D879A9" w:rsidRDefault="00000000">
            <w:pPr>
              <w:pStyle w:val="TableParagraph"/>
              <w:spacing w:before="121"/>
              <w:ind w:left="108"/>
              <w:jc w:val="left"/>
              <w:rPr>
                <w:sz w:val="24"/>
              </w:rPr>
            </w:pPr>
            <w:r>
              <w:rPr>
                <w:sz w:val="24"/>
              </w:rPr>
              <w:t>4-ethyl-2-methoxy-</w:t>
            </w:r>
            <w:r>
              <w:rPr>
                <w:spacing w:val="-2"/>
                <w:sz w:val="24"/>
              </w:rPr>
              <w:t xml:space="preserve"> </w:t>
            </w:r>
            <w:r>
              <w:rPr>
                <w:sz w:val="24"/>
              </w:rPr>
              <w:t>Phenol</w:t>
            </w:r>
          </w:p>
        </w:tc>
      </w:tr>
      <w:tr w:rsidR="00D879A9" w14:paraId="505A25C9" w14:textId="77777777">
        <w:trPr>
          <w:trHeight w:val="516"/>
        </w:trPr>
        <w:tc>
          <w:tcPr>
            <w:tcW w:w="1694" w:type="dxa"/>
          </w:tcPr>
          <w:p w14:paraId="1904A870" w14:textId="77777777" w:rsidR="00D879A9" w:rsidRDefault="00000000">
            <w:pPr>
              <w:pStyle w:val="TableParagraph"/>
              <w:spacing w:before="119"/>
              <w:ind w:left="366" w:right="357"/>
              <w:rPr>
                <w:sz w:val="24"/>
              </w:rPr>
            </w:pPr>
            <w:r>
              <w:rPr>
                <w:sz w:val="24"/>
              </w:rPr>
              <w:t>17</w:t>
            </w:r>
          </w:p>
        </w:tc>
        <w:tc>
          <w:tcPr>
            <w:tcW w:w="2074" w:type="dxa"/>
          </w:tcPr>
          <w:p w14:paraId="62BE980E" w14:textId="77777777" w:rsidR="00D879A9" w:rsidRDefault="00000000">
            <w:pPr>
              <w:pStyle w:val="TableParagraph"/>
              <w:spacing w:before="119"/>
              <w:ind w:left="746" w:right="738"/>
              <w:rPr>
                <w:sz w:val="24"/>
              </w:rPr>
            </w:pPr>
            <w:r>
              <w:rPr>
                <w:sz w:val="24"/>
              </w:rPr>
              <w:t>3.25</w:t>
            </w:r>
          </w:p>
        </w:tc>
        <w:tc>
          <w:tcPr>
            <w:tcW w:w="5089" w:type="dxa"/>
          </w:tcPr>
          <w:p w14:paraId="44DC3E98" w14:textId="77777777" w:rsidR="00D879A9" w:rsidRDefault="00000000">
            <w:pPr>
              <w:pStyle w:val="TableParagraph"/>
              <w:spacing w:before="119"/>
              <w:ind w:left="108"/>
              <w:jc w:val="left"/>
              <w:rPr>
                <w:sz w:val="24"/>
              </w:rPr>
            </w:pPr>
            <w:r>
              <w:rPr>
                <w:sz w:val="24"/>
              </w:rPr>
              <w:t>2,6-dimethoxy-</w:t>
            </w:r>
            <w:r>
              <w:rPr>
                <w:spacing w:val="-2"/>
                <w:sz w:val="24"/>
              </w:rPr>
              <w:t xml:space="preserve"> </w:t>
            </w:r>
            <w:r>
              <w:rPr>
                <w:sz w:val="24"/>
              </w:rPr>
              <w:t>Phenol</w:t>
            </w:r>
          </w:p>
        </w:tc>
      </w:tr>
      <w:tr w:rsidR="00D879A9" w14:paraId="6056EDAB" w14:textId="77777777">
        <w:trPr>
          <w:trHeight w:val="515"/>
        </w:trPr>
        <w:tc>
          <w:tcPr>
            <w:tcW w:w="1694" w:type="dxa"/>
          </w:tcPr>
          <w:p w14:paraId="2D685E52" w14:textId="77777777" w:rsidR="00D879A9" w:rsidRDefault="00000000">
            <w:pPr>
              <w:pStyle w:val="TableParagraph"/>
              <w:spacing w:before="119"/>
              <w:ind w:left="366" w:right="357"/>
              <w:rPr>
                <w:sz w:val="24"/>
              </w:rPr>
            </w:pPr>
            <w:r>
              <w:rPr>
                <w:sz w:val="24"/>
              </w:rPr>
              <w:t>18</w:t>
            </w:r>
          </w:p>
        </w:tc>
        <w:tc>
          <w:tcPr>
            <w:tcW w:w="2074" w:type="dxa"/>
          </w:tcPr>
          <w:p w14:paraId="17F74283" w14:textId="77777777" w:rsidR="00D879A9" w:rsidRDefault="00000000">
            <w:pPr>
              <w:pStyle w:val="TableParagraph"/>
              <w:spacing w:before="119"/>
              <w:ind w:left="746" w:right="738"/>
              <w:rPr>
                <w:sz w:val="24"/>
              </w:rPr>
            </w:pPr>
            <w:r>
              <w:rPr>
                <w:sz w:val="24"/>
              </w:rPr>
              <w:t>1.59</w:t>
            </w:r>
          </w:p>
        </w:tc>
        <w:tc>
          <w:tcPr>
            <w:tcW w:w="5089" w:type="dxa"/>
          </w:tcPr>
          <w:p w14:paraId="03BF6373" w14:textId="77777777" w:rsidR="00D879A9" w:rsidRDefault="00000000">
            <w:pPr>
              <w:pStyle w:val="TableParagraph"/>
              <w:spacing w:before="119"/>
              <w:ind w:left="108"/>
              <w:jc w:val="left"/>
              <w:rPr>
                <w:sz w:val="24"/>
              </w:rPr>
            </w:pPr>
            <w:r>
              <w:rPr>
                <w:sz w:val="24"/>
              </w:rPr>
              <w:t>Apiol</w:t>
            </w:r>
          </w:p>
        </w:tc>
      </w:tr>
    </w:tbl>
    <w:p w14:paraId="01E8B07C" w14:textId="77777777" w:rsidR="00D879A9" w:rsidRDefault="00D879A9">
      <w:pPr>
        <w:rPr>
          <w:rFonts w:ascii="Times New Roman" w:hAnsi="Times New Roman" w:cs="Times New Roman"/>
          <w:sz w:val="24"/>
          <w:szCs w:val="24"/>
        </w:rPr>
      </w:pPr>
    </w:p>
    <w:p w14:paraId="56C74615" w14:textId="77777777" w:rsidR="00D879A9" w:rsidRDefault="00D879A9">
      <w:pPr>
        <w:rPr>
          <w:rFonts w:ascii="Times New Roman" w:hAnsi="Times New Roman" w:cs="Times New Roman"/>
          <w:sz w:val="24"/>
          <w:szCs w:val="24"/>
        </w:rPr>
      </w:pPr>
    </w:p>
    <w:p w14:paraId="35D886F2" w14:textId="77777777" w:rsidR="00D879A9" w:rsidRDefault="00D879A9">
      <w:pPr>
        <w:rPr>
          <w:rFonts w:ascii="Times New Roman" w:hAnsi="Times New Roman" w:cs="Times New Roman"/>
        </w:rPr>
      </w:pPr>
    </w:p>
    <w:p w14:paraId="4EBDD14C" w14:textId="77777777" w:rsidR="00D879A9" w:rsidRDefault="00000000">
      <w:pPr>
        <w:spacing w:line="360" w:lineRule="auto"/>
      </w:pPr>
      <w:r>
        <w:rPr>
          <w:rFonts w:ascii="Times New Roman" w:hAnsi="Times New Roman" w:cs="Times New Roman"/>
          <w:b/>
          <w:bCs/>
          <w:noProof/>
          <w:sz w:val="24"/>
          <w:szCs w:val="24"/>
          <w:lang w:val="en-US" w:bidi="ar-SA"/>
        </w:rPr>
        <w:lastRenderedPageBreak/>
        <mc:AlternateContent>
          <mc:Choice Requires="wps">
            <w:drawing>
              <wp:anchor distT="0" distB="0" distL="114300" distR="114300" simplePos="0" relativeHeight="51" behindDoc="0" locked="0" layoutInCell="1" hidden="0" allowOverlap="1" wp14:anchorId="30D4D102" wp14:editId="6F6318A8">
                <wp:simplePos x="0" y="0"/>
                <wp:positionH relativeFrom="column">
                  <wp:posOffset>-10795</wp:posOffset>
                </wp:positionH>
                <wp:positionV relativeFrom="paragraph">
                  <wp:posOffset>2964180</wp:posOffset>
                </wp:positionV>
                <wp:extent cx="6012180" cy="4838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483870"/>
                        </a:xfrm>
                        <a:prstGeom prst="rect">
                          <a:avLst/>
                        </a:prstGeom>
                        <a:solidFill>
                          <a:srgbClr val="FFFFFF"/>
                        </a:solidFill>
                        <a:ln w="9525" cap="flat" cmpd="sng">
                          <a:solidFill>
                            <a:srgbClr val="000000"/>
                          </a:solidFill>
                          <a:prstDash val="solid"/>
                          <a:miter/>
                        </a:ln>
                      </wps:spPr>
                      <wps:txbx>
                        <w:txbxContent>
                          <w:p w14:paraId="794345CB"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 1: Plant height of field bean at different intervals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30 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0.498:</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1.171</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60DAS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0.906:</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1.579) at time of harvest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2.999:</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2.873)</w:t>
                            </w:r>
                          </w:p>
                        </w:txbxContent>
                      </wps:txbx>
                      <wps:bodyPr vert="horz" wrap="square" lIns="91440" tIns="45720" rIns="91440" bIns="45720" anchor="t" anchorCtr="0">
                        <a:noAutofit/>
                      </wps:bodyPr>
                    </wps:wsp>
                  </a:graphicData>
                </a:graphic>
              </wp:anchor>
            </w:drawing>
          </mc:Choice>
          <mc:Fallback>
            <w:pict>
              <v:rect w14:anchorId="30D4D102" id="文本框 1" o:spid="_x0000_s1026" style="position:absolute;margin-left:-.85pt;margin-top:233.4pt;width:473.4pt;height:38.1pt;z-index: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">
                <v:path arrowok="t"/>
                <v:textbox>
                  <w:txbxContent>
                    <w:p w14:paraId="794345CB"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 1: Plant height of field bean at different intervals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30 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0.498:</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1.171</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60DAS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0.906:</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1.579) at time of harvest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2.999:</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2.873)</w:t>
                      </w:r>
                    </w:p>
                  </w:txbxContent>
                </v:textbox>
              </v:rect>
            </w:pict>
          </mc:Fallback>
        </mc:AlternateContent>
      </w:r>
      <w:r>
        <w:rPr>
          <w:noProof/>
          <w:lang w:val="en-US" w:bidi="ar-SA"/>
        </w:rPr>
        <w:drawing>
          <wp:inline distT="0" distB="0" distL="0" distR="0" wp14:anchorId="47B5EA8E" wp14:editId="28F41770">
            <wp:extent cx="5731510" cy="2729865"/>
            <wp:effectExtent l="0" t="0" r="0" b="0"/>
            <wp:docPr id="4" name="图表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133337" w14:textId="77777777" w:rsidR="00D879A9" w:rsidRDefault="00D879A9">
      <w:pPr>
        <w:spacing w:line="360" w:lineRule="auto"/>
      </w:pPr>
    </w:p>
    <w:tbl>
      <w:tblPr>
        <w:tblpPr w:leftFromText="180" w:rightFromText="180" w:vertAnchor="text" w:horzAnchor="margin" w:tblpY="992"/>
        <w:tblW w:w="0" w:type="auto"/>
        <w:tblCellMar>
          <w:left w:w="0" w:type="dxa"/>
          <w:right w:w="0" w:type="dxa"/>
        </w:tblCellMar>
        <w:tblLook w:val="0000" w:firstRow="0" w:lastRow="0" w:firstColumn="0" w:lastColumn="0" w:noHBand="0" w:noVBand="0"/>
      </w:tblPr>
      <w:tblGrid>
        <w:gridCol w:w="4616"/>
        <w:gridCol w:w="4626"/>
      </w:tblGrid>
      <w:tr w:rsidR="00D879A9" w14:paraId="29BA1D4E" w14:textId="77777777">
        <w:trPr>
          <w:trHeight w:val="2967"/>
        </w:trPr>
        <w:tc>
          <w:tcPr>
            <w:tcW w:w="4616" w:type="dxa"/>
          </w:tcPr>
          <w:p w14:paraId="72A0A051" w14:textId="77777777" w:rsidR="00D879A9" w:rsidRDefault="0000000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w:t>
            </w:r>
          </w:p>
          <w:p w14:paraId="17332D61" w14:textId="77777777" w:rsidR="00D879A9" w:rsidRDefault="00000000">
            <w:pPr>
              <w:spacing w:after="0" w:line="360" w:lineRule="auto"/>
              <w:rPr>
                <w:rFonts w:ascii="Times New Roman" w:hAnsi="Times New Roman" w:cs="Times New Roman"/>
                <w:b/>
                <w:bCs/>
                <w:sz w:val="24"/>
                <w:szCs w:val="24"/>
              </w:rPr>
            </w:pPr>
            <w:r>
              <w:rPr>
                <w:noProof/>
                <w:lang w:val="en-US" w:bidi="ar-SA"/>
              </w:rPr>
              <w:drawing>
                <wp:inline distT="0" distB="0" distL="0" distR="0" wp14:anchorId="3733F2F6" wp14:editId="5EFCA7F3">
                  <wp:extent cx="2735516" cy="1559859"/>
                  <wp:effectExtent l="0" t="0" r="0" b="0"/>
                  <wp:docPr id="5" name="图表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626" w:type="dxa"/>
          </w:tcPr>
          <w:p w14:paraId="21608FB9" w14:textId="77777777" w:rsidR="00D879A9" w:rsidRDefault="0000000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b)</w:t>
            </w:r>
          </w:p>
          <w:p w14:paraId="10766980" w14:textId="77777777" w:rsidR="00D879A9" w:rsidRDefault="00000000">
            <w:pPr>
              <w:spacing w:after="0" w:line="360" w:lineRule="auto"/>
              <w:rPr>
                <w:rFonts w:ascii="Times New Roman" w:hAnsi="Times New Roman" w:cs="Times New Roman"/>
                <w:b/>
                <w:bCs/>
                <w:sz w:val="24"/>
                <w:szCs w:val="24"/>
              </w:rPr>
            </w:pPr>
            <w:r>
              <w:rPr>
                <w:noProof/>
                <w:lang w:val="en-US" w:bidi="ar-SA"/>
              </w:rPr>
              <w:drawing>
                <wp:inline distT="0" distB="0" distL="0" distR="0" wp14:anchorId="1DC3F44A" wp14:editId="017F7AA7">
                  <wp:extent cx="2781620" cy="1559859"/>
                  <wp:effectExtent l="0" t="0" r="0" b="0"/>
                  <wp:docPr id="6"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64030FF3" w14:textId="77777777" w:rsidR="00D879A9" w:rsidRDefault="00D879A9">
      <w:pPr>
        <w:spacing w:line="360" w:lineRule="auto"/>
        <w:rPr>
          <w:rFonts w:ascii="Times New Roman" w:hAnsi="Times New Roman" w:cs="Times New Roman"/>
          <w:sz w:val="24"/>
          <w:szCs w:val="24"/>
        </w:rPr>
      </w:pPr>
    </w:p>
    <w:p w14:paraId="6487DC94" w14:textId="77777777" w:rsidR="00D879A9" w:rsidRDefault="00000000">
      <w:pPr>
        <w:spacing w:line="360" w:lineRule="auto"/>
      </w:pPr>
      <w:r>
        <w:rPr>
          <w:rFonts w:ascii="Times New Roman" w:hAnsi="Times New Roman" w:cs="Times New Roman"/>
          <w:b/>
          <w:bCs/>
          <w:noProof/>
          <w:sz w:val="24"/>
          <w:szCs w:val="24"/>
          <w:lang w:val="en-US" w:bidi="ar-SA"/>
        </w:rPr>
        <mc:AlternateContent>
          <mc:Choice Requires="wps">
            <w:drawing>
              <wp:anchor distT="0" distB="0" distL="114300" distR="114300" simplePos="0" relativeHeight="60" behindDoc="0" locked="0" layoutInCell="1" hidden="0" allowOverlap="1" wp14:anchorId="1290FBE3" wp14:editId="5F1BF52D">
                <wp:simplePos x="0" y="0"/>
                <wp:positionH relativeFrom="column">
                  <wp:posOffset>-8890</wp:posOffset>
                </wp:positionH>
                <wp:positionV relativeFrom="paragraph">
                  <wp:posOffset>2345690</wp:posOffset>
                </wp:positionV>
                <wp:extent cx="5739765" cy="506729"/>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765" cy="506729"/>
                        </a:xfrm>
                        <a:prstGeom prst="rect">
                          <a:avLst/>
                        </a:prstGeom>
                        <a:solidFill>
                          <a:srgbClr val="FFFFFF"/>
                        </a:solidFill>
                        <a:ln w="9525" cap="flat" cmpd="sng">
                          <a:solidFill>
                            <a:srgbClr val="000000"/>
                          </a:solidFill>
                          <a:prstDash val="solid"/>
                          <a:miter/>
                        </a:ln>
                      </wps:spPr>
                      <wps:txbx>
                        <w:txbxContent>
                          <w:p w14:paraId="4467E15F"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Fig 2: a) Average pod number of the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1.796</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2.223) b)Average pod weight of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0.498</w:t>
                            </w:r>
                            <w:r>
                              <w:rPr>
                                <w:rFonts w:ascii="Times New Roman" w:hAnsi="Times New Roman" w:cs="Times New Roman"/>
                                <w:color w:val="000000"/>
                                <w:sz w:val="24"/>
                                <w:szCs w:val="24"/>
                              </w:rPr>
                              <w:t>: LSD;</w:t>
                            </w:r>
                            <w:r>
                              <w:rPr>
                                <w:rFonts w:ascii="Times New Roman" w:hAnsi="Times New Roman" w:cs="Times New Roman"/>
                                <w:sz w:val="24"/>
                                <w:szCs w:val="24"/>
                              </w:rPr>
                              <w:t xml:space="preserve"> 1.171).</w:t>
                            </w:r>
                          </w:p>
                        </w:txbxContent>
                      </wps:txbx>
                      <wps:bodyPr vert="horz" wrap="square" lIns="91440" tIns="45720" rIns="91440" bIns="45720" anchor="t" anchorCtr="0">
                        <a:noAutofit/>
                      </wps:bodyPr>
                    </wps:wsp>
                  </a:graphicData>
                </a:graphic>
              </wp:anchor>
            </w:drawing>
          </mc:Choice>
          <mc:Fallback>
            <w:pict>
              <v:rect w14:anchorId="1290FBE3" id="文本框 7" o:spid="_x0000_s1027" style="position:absolute;margin-left:-.7pt;margin-top:184.7pt;width:451.95pt;height:39.9pt;z-index: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">
                <v:path arrowok="t"/>
                <v:textbox>
                  <w:txbxContent>
                    <w:p w14:paraId="4467E15F"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Fig 2: a) Average pod number of the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1.796</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2.223) b)Average pod weight of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0.498</w:t>
                      </w:r>
                      <w:r>
                        <w:rPr>
                          <w:rFonts w:ascii="Times New Roman" w:hAnsi="Times New Roman" w:cs="Times New Roman"/>
                          <w:color w:val="000000"/>
                          <w:sz w:val="24"/>
                          <w:szCs w:val="24"/>
                        </w:rPr>
                        <w:t>: LSD;</w:t>
                      </w:r>
                      <w:r>
                        <w:rPr>
                          <w:rFonts w:ascii="Times New Roman" w:hAnsi="Times New Roman" w:cs="Times New Roman"/>
                          <w:sz w:val="24"/>
                          <w:szCs w:val="24"/>
                        </w:rPr>
                        <w:t xml:space="preserve"> 1.171).</w:t>
                      </w:r>
                    </w:p>
                  </w:txbxContent>
                </v:textbox>
              </v:rect>
            </w:pict>
          </mc:Fallback>
        </mc:AlternateContent>
      </w:r>
    </w:p>
    <w:p w14:paraId="4B260AE8" w14:textId="77777777" w:rsidR="00D879A9" w:rsidRDefault="00D879A9">
      <w:pPr>
        <w:spacing w:line="360" w:lineRule="auto"/>
      </w:pPr>
    </w:p>
    <w:p w14:paraId="0D7D4AC3" w14:textId="77777777" w:rsidR="00D879A9" w:rsidRDefault="00D879A9">
      <w:pPr>
        <w:spacing w:line="360" w:lineRule="auto"/>
      </w:pPr>
    </w:p>
    <w:p w14:paraId="1AA9E492" w14:textId="77777777" w:rsidR="00D879A9" w:rsidRDefault="00D879A9">
      <w:pPr>
        <w:spacing w:line="360" w:lineRule="auto"/>
      </w:pPr>
    </w:p>
    <w:p w14:paraId="02B284B1" w14:textId="77777777" w:rsidR="00D879A9" w:rsidRDefault="00D879A9">
      <w:pPr>
        <w:spacing w:line="360" w:lineRule="auto"/>
      </w:pPr>
    </w:p>
    <w:p w14:paraId="15993100" w14:textId="77777777" w:rsidR="00D879A9" w:rsidRDefault="00D879A9">
      <w:pPr>
        <w:spacing w:line="360" w:lineRule="auto"/>
      </w:pPr>
    </w:p>
    <w:p w14:paraId="30F99768" w14:textId="77777777" w:rsidR="00D879A9" w:rsidRDefault="00000000">
      <w:pPr>
        <w:spacing w:line="360" w:lineRule="auto"/>
      </w:pPr>
      <w:r>
        <w:rPr>
          <w:noProof/>
          <w:lang w:val="en-US" w:bidi="ar-SA"/>
        </w:rPr>
        <w:lastRenderedPageBreak/>
        <mc:AlternateContent>
          <mc:Choice Requires="wps">
            <w:drawing>
              <wp:anchor distT="0" distB="0" distL="114300" distR="114300" simplePos="0" relativeHeight="57" behindDoc="0" locked="0" layoutInCell="1" hidden="0" allowOverlap="1" wp14:anchorId="4E99B027" wp14:editId="7907A06E">
                <wp:simplePos x="0" y="0"/>
                <wp:positionH relativeFrom="column">
                  <wp:posOffset>0</wp:posOffset>
                </wp:positionH>
                <wp:positionV relativeFrom="paragraph">
                  <wp:posOffset>3711575</wp:posOffset>
                </wp:positionV>
                <wp:extent cx="5626100" cy="535939"/>
                <wp:effectExtent l="0" t="0" r="0" b="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535939"/>
                        </a:xfrm>
                        <a:prstGeom prst="rect">
                          <a:avLst/>
                        </a:prstGeom>
                        <a:solidFill>
                          <a:srgbClr val="FFFFFF"/>
                        </a:solidFill>
                        <a:ln w="9525" cap="flat" cmpd="sng">
                          <a:solidFill>
                            <a:srgbClr val="000000"/>
                          </a:solidFill>
                          <a:prstDash val="solid"/>
                          <a:miter/>
                        </a:ln>
                      </wps:spPr>
                      <wps:txbx>
                        <w:txbxContent>
                          <w:p w14:paraId="402C867F"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Fig 3: A bar graph demonstrating the percentage rise in pH of soil amended with biochar both on its own and in conjunction with other organic amendments</w:t>
                            </w:r>
                          </w:p>
                        </w:txbxContent>
                      </wps:txbx>
                      <wps:bodyPr vert="horz" wrap="square" lIns="91440" tIns="45720" rIns="91440" bIns="45720" anchor="t" anchorCtr="0">
                        <a:noAutofit/>
                      </wps:bodyPr>
                    </wps:wsp>
                  </a:graphicData>
                </a:graphic>
              </wp:anchor>
            </w:drawing>
          </mc:Choice>
          <mc:Fallback>
            <w:pict>
              <v:rect w14:anchorId="4E99B027" id="文本框 10" o:spid="_x0000_s1028" style="position:absolute;margin-left:0;margin-top:292.25pt;width:443pt;height:42.2pt;z-index: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">
                <v:path arrowok="t"/>
                <v:textbox>
                  <w:txbxContent>
                    <w:p w14:paraId="402C867F"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Fig 3: A bar graph demonstrating the percentage rise in pH of soil amended with biochar both on its own and in conjunction with other organic amendments</w:t>
                      </w:r>
                    </w:p>
                  </w:txbxContent>
                </v:textbox>
              </v:rect>
            </w:pict>
          </mc:Fallback>
        </mc:AlternateContent>
      </w:r>
      <w:r>
        <w:rPr>
          <w:noProof/>
          <w:lang w:val="en-US" w:bidi="ar-SA"/>
        </w:rPr>
        <mc:AlternateContent>
          <mc:Choice Requires="wps">
            <w:drawing>
              <wp:anchor distT="0" distB="0" distL="114300" distR="114300" simplePos="0" relativeHeight="61" behindDoc="0" locked="0" layoutInCell="1" hidden="0" allowOverlap="1" wp14:anchorId="34A29B1E" wp14:editId="5D258AD0">
                <wp:simplePos x="0" y="0"/>
                <wp:positionH relativeFrom="column">
                  <wp:posOffset>4271010</wp:posOffset>
                </wp:positionH>
                <wp:positionV relativeFrom="paragraph">
                  <wp:posOffset>0</wp:posOffset>
                </wp:positionV>
                <wp:extent cx="1355725" cy="3561080"/>
                <wp:effectExtent l="0" t="0" r="0" b="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3561080"/>
                        </a:xfrm>
                        <a:prstGeom prst="rect">
                          <a:avLst/>
                        </a:prstGeom>
                        <a:solidFill>
                          <a:srgbClr val="FFFFFF"/>
                        </a:solidFill>
                        <a:ln w="6350" cap="flat" cmpd="sng">
                          <a:solidFill>
                            <a:srgbClr val="000000"/>
                          </a:solidFill>
                          <a:prstDash val="solid"/>
                          <a:round/>
                        </a:ln>
                      </wps:spPr>
                      <wps:txbx>
                        <w:txbxContent>
                          <w:tbl>
                            <w:tblPr>
                              <w:tblW w:w="2300" w:type="dxa"/>
                              <w:tblInd w:w="93" w:type="dxa"/>
                              <w:tblLook w:val="0000" w:firstRow="0" w:lastRow="0" w:firstColumn="0" w:lastColumn="0" w:noHBand="0" w:noVBand="0"/>
                            </w:tblPr>
                            <w:tblGrid>
                              <w:gridCol w:w="2300"/>
                            </w:tblGrid>
                            <w:tr w:rsidR="00D879A9" w14:paraId="1557D09D" w14:textId="77777777">
                              <w:trPr>
                                <w:trHeight w:val="300"/>
                              </w:trPr>
                              <w:tc>
                                <w:tcPr>
                                  <w:tcW w:w="2300" w:type="dxa"/>
                                  <w:tcBorders>
                                    <w:top w:val="nil"/>
                                    <w:left w:val="nil"/>
                                    <w:bottom w:val="nil"/>
                                    <w:right w:val="nil"/>
                                  </w:tcBorders>
                                  <w:shd w:val="clear" w:color="auto" w:fill="auto"/>
                                  <w:noWrap/>
                                  <w:vAlign w:val="bottom"/>
                                </w:tcPr>
                                <w:p w14:paraId="6AF6B3AC"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T1-15T/Ha BC</w:t>
                                  </w:r>
                                </w:p>
                              </w:tc>
                            </w:tr>
                            <w:tr w:rsidR="00D879A9" w14:paraId="1DAFDD8A" w14:textId="77777777">
                              <w:trPr>
                                <w:trHeight w:val="300"/>
                              </w:trPr>
                              <w:tc>
                                <w:tcPr>
                                  <w:tcW w:w="2300" w:type="dxa"/>
                                  <w:tcBorders>
                                    <w:top w:val="nil"/>
                                    <w:left w:val="nil"/>
                                    <w:bottom w:val="nil"/>
                                    <w:right w:val="nil"/>
                                  </w:tcBorders>
                                  <w:shd w:val="clear" w:color="auto" w:fill="auto"/>
                                  <w:noWrap/>
                                  <w:vAlign w:val="bottom"/>
                                </w:tcPr>
                                <w:p w14:paraId="64EAC5B7"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T2-15T/Ha BC + FYM</w:t>
                                  </w:r>
                                </w:p>
                              </w:tc>
                            </w:tr>
                            <w:tr w:rsidR="00D879A9" w14:paraId="77DE7B2E" w14:textId="77777777">
                              <w:trPr>
                                <w:trHeight w:val="300"/>
                              </w:trPr>
                              <w:tc>
                                <w:tcPr>
                                  <w:tcW w:w="2300" w:type="dxa"/>
                                  <w:tcBorders>
                                    <w:top w:val="nil"/>
                                    <w:left w:val="nil"/>
                                    <w:bottom w:val="nil"/>
                                    <w:right w:val="nil"/>
                                  </w:tcBorders>
                                  <w:shd w:val="clear" w:color="auto" w:fill="auto"/>
                                  <w:noWrap/>
                                  <w:vAlign w:val="bottom"/>
                                </w:tcPr>
                                <w:p w14:paraId="7ED2CBB9"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T3-15T/Ha BC +VC</w:t>
                                  </w:r>
                                </w:p>
                              </w:tc>
                            </w:tr>
                            <w:tr w:rsidR="00D879A9" w14:paraId="05EAEA59" w14:textId="77777777">
                              <w:trPr>
                                <w:trHeight w:val="300"/>
                              </w:trPr>
                              <w:tc>
                                <w:tcPr>
                                  <w:tcW w:w="2300" w:type="dxa"/>
                                  <w:tcBorders>
                                    <w:top w:val="nil"/>
                                    <w:left w:val="nil"/>
                                    <w:bottom w:val="nil"/>
                                    <w:right w:val="nil"/>
                                  </w:tcBorders>
                                  <w:shd w:val="clear" w:color="auto" w:fill="auto"/>
                                  <w:noWrap/>
                                  <w:vAlign w:val="bottom"/>
                                </w:tcPr>
                                <w:p w14:paraId="2D288108"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T4-15T/Ha BC+GA</w:t>
                                  </w:r>
                                </w:p>
                              </w:tc>
                            </w:tr>
                            <w:tr w:rsidR="00D879A9" w:rsidRPr="00F150EC" w14:paraId="7C8C65F6" w14:textId="77777777">
                              <w:trPr>
                                <w:trHeight w:val="300"/>
                              </w:trPr>
                              <w:tc>
                                <w:tcPr>
                                  <w:tcW w:w="2300" w:type="dxa"/>
                                  <w:tcBorders>
                                    <w:top w:val="nil"/>
                                    <w:left w:val="nil"/>
                                    <w:bottom w:val="nil"/>
                                    <w:right w:val="nil"/>
                                  </w:tcBorders>
                                  <w:shd w:val="clear" w:color="auto" w:fill="auto"/>
                                  <w:noWrap/>
                                  <w:vAlign w:val="bottom"/>
                                </w:tcPr>
                                <w:p w14:paraId="202D1507"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T5-15T/Ha BC+FYM+VC</w:t>
                                  </w:r>
                                </w:p>
                              </w:tc>
                            </w:tr>
                            <w:tr w:rsidR="00D879A9" w:rsidRPr="00F150EC" w14:paraId="2D8FB796" w14:textId="77777777">
                              <w:trPr>
                                <w:trHeight w:val="300"/>
                              </w:trPr>
                              <w:tc>
                                <w:tcPr>
                                  <w:tcW w:w="2300" w:type="dxa"/>
                                  <w:tcBorders>
                                    <w:top w:val="nil"/>
                                    <w:left w:val="nil"/>
                                    <w:bottom w:val="nil"/>
                                    <w:right w:val="nil"/>
                                  </w:tcBorders>
                                  <w:shd w:val="clear" w:color="auto" w:fill="auto"/>
                                  <w:noWrap/>
                                  <w:vAlign w:val="bottom"/>
                                </w:tcPr>
                                <w:p w14:paraId="313085F4"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T6-15T/Ha BC+FYM+GA</w:t>
                                  </w:r>
                                </w:p>
                              </w:tc>
                            </w:tr>
                            <w:tr w:rsidR="00D879A9" w14:paraId="1A900D23" w14:textId="77777777">
                              <w:trPr>
                                <w:trHeight w:val="300"/>
                              </w:trPr>
                              <w:tc>
                                <w:tcPr>
                                  <w:tcW w:w="2300" w:type="dxa"/>
                                  <w:tcBorders>
                                    <w:top w:val="nil"/>
                                    <w:left w:val="nil"/>
                                    <w:bottom w:val="nil"/>
                                    <w:right w:val="nil"/>
                                  </w:tcBorders>
                                  <w:shd w:val="clear" w:color="auto" w:fill="auto"/>
                                  <w:noWrap/>
                                  <w:vAlign w:val="bottom"/>
                                </w:tcPr>
                                <w:p w14:paraId="7D82B614"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T7-20T/Ha BC</w:t>
                                  </w:r>
                                </w:p>
                              </w:tc>
                            </w:tr>
                            <w:tr w:rsidR="00D879A9" w14:paraId="0351FBCD" w14:textId="77777777">
                              <w:trPr>
                                <w:trHeight w:val="300"/>
                              </w:trPr>
                              <w:tc>
                                <w:tcPr>
                                  <w:tcW w:w="2300" w:type="dxa"/>
                                  <w:tcBorders>
                                    <w:top w:val="nil"/>
                                    <w:left w:val="nil"/>
                                    <w:bottom w:val="nil"/>
                                    <w:right w:val="nil"/>
                                  </w:tcBorders>
                                  <w:shd w:val="clear" w:color="auto" w:fill="auto"/>
                                  <w:noWrap/>
                                  <w:vAlign w:val="bottom"/>
                                </w:tcPr>
                                <w:p w14:paraId="2354B289"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T8-20T/Ha BC + FYM</w:t>
                                  </w:r>
                                </w:p>
                              </w:tc>
                            </w:tr>
                            <w:tr w:rsidR="00D879A9" w14:paraId="552C8F6E" w14:textId="77777777">
                              <w:trPr>
                                <w:trHeight w:val="300"/>
                              </w:trPr>
                              <w:tc>
                                <w:tcPr>
                                  <w:tcW w:w="2300" w:type="dxa"/>
                                  <w:tcBorders>
                                    <w:top w:val="nil"/>
                                    <w:left w:val="nil"/>
                                    <w:bottom w:val="nil"/>
                                    <w:right w:val="nil"/>
                                  </w:tcBorders>
                                  <w:shd w:val="clear" w:color="auto" w:fill="auto"/>
                                  <w:noWrap/>
                                  <w:vAlign w:val="bottom"/>
                                </w:tcPr>
                                <w:p w14:paraId="7B35ACA1"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T9-20T/Ha BC +VC</w:t>
                                  </w:r>
                                </w:p>
                              </w:tc>
                            </w:tr>
                            <w:tr w:rsidR="00D879A9" w14:paraId="475F625E" w14:textId="77777777">
                              <w:trPr>
                                <w:trHeight w:val="300"/>
                              </w:trPr>
                              <w:tc>
                                <w:tcPr>
                                  <w:tcW w:w="2300" w:type="dxa"/>
                                  <w:tcBorders>
                                    <w:top w:val="nil"/>
                                    <w:left w:val="nil"/>
                                    <w:bottom w:val="nil"/>
                                    <w:right w:val="nil"/>
                                  </w:tcBorders>
                                  <w:shd w:val="clear" w:color="auto" w:fill="auto"/>
                                  <w:noWrap/>
                                  <w:vAlign w:val="bottom"/>
                                </w:tcPr>
                                <w:p w14:paraId="298751F1"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T10-20T/Ha BC+GA</w:t>
                                  </w:r>
                                </w:p>
                              </w:tc>
                            </w:tr>
                            <w:tr w:rsidR="00D879A9" w:rsidRPr="00F150EC" w14:paraId="06070858" w14:textId="77777777">
                              <w:trPr>
                                <w:trHeight w:val="300"/>
                              </w:trPr>
                              <w:tc>
                                <w:tcPr>
                                  <w:tcW w:w="2300" w:type="dxa"/>
                                  <w:tcBorders>
                                    <w:top w:val="nil"/>
                                    <w:left w:val="nil"/>
                                    <w:bottom w:val="nil"/>
                                    <w:right w:val="nil"/>
                                  </w:tcBorders>
                                  <w:shd w:val="clear" w:color="auto" w:fill="auto"/>
                                  <w:noWrap/>
                                  <w:vAlign w:val="bottom"/>
                                </w:tcPr>
                                <w:p w14:paraId="314D857E"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T11-20T/Ha BC+FYM+VC</w:t>
                                  </w:r>
                                </w:p>
                              </w:tc>
                            </w:tr>
                            <w:tr w:rsidR="00D879A9" w:rsidRPr="00F150EC" w14:paraId="3222C960" w14:textId="77777777">
                              <w:trPr>
                                <w:trHeight w:val="300"/>
                              </w:trPr>
                              <w:tc>
                                <w:tcPr>
                                  <w:tcW w:w="2300" w:type="dxa"/>
                                  <w:tcBorders>
                                    <w:top w:val="nil"/>
                                    <w:left w:val="nil"/>
                                    <w:bottom w:val="nil"/>
                                    <w:right w:val="nil"/>
                                  </w:tcBorders>
                                  <w:shd w:val="clear" w:color="auto" w:fill="auto"/>
                                  <w:noWrap/>
                                  <w:vAlign w:val="bottom"/>
                                </w:tcPr>
                                <w:p w14:paraId="56D7DC14"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T12-20T/Ha BC+FYM+GA</w:t>
                                  </w:r>
                                </w:p>
                              </w:tc>
                            </w:tr>
                            <w:tr w:rsidR="00D879A9" w14:paraId="0278D1D8" w14:textId="77777777">
                              <w:trPr>
                                <w:trHeight w:val="300"/>
                              </w:trPr>
                              <w:tc>
                                <w:tcPr>
                                  <w:tcW w:w="2300" w:type="dxa"/>
                                  <w:tcBorders>
                                    <w:top w:val="nil"/>
                                    <w:left w:val="nil"/>
                                    <w:bottom w:val="nil"/>
                                    <w:right w:val="nil"/>
                                  </w:tcBorders>
                                  <w:shd w:val="clear" w:color="auto" w:fill="auto"/>
                                  <w:noWrap/>
                                  <w:vAlign w:val="bottom"/>
                                </w:tcPr>
                                <w:p w14:paraId="7B94471B"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T13-25T/Ha BC</w:t>
                                  </w:r>
                                </w:p>
                              </w:tc>
                            </w:tr>
                            <w:tr w:rsidR="00D879A9" w14:paraId="3EBACA85" w14:textId="77777777">
                              <w:trPr>
                                <w:trHeight w:val="300"/>
                              </w:trPr>
                              <w:tc>
                                <w:tcPr>
                                  <w:tcW w:w="2300" w:type="dxa"/>
                                  <w:tcBorders>
                                    <w:top w:val="nil"/>
                                    <w:left w:val="nil"/>
                                    <w:bottom w:val="nil"/>
                                    <w:right w:val="nil"/>
                                  </w:tcBorders>
                                  <w:shd w:val="clear" w:color="auto" w:fill="auto"/>
                                  <w:noWrap/>
                                  <w:vAlign w:val="bottom"/>
                                </w:tcPr>
                                <w:p w14:paraId="701708D5"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T14-25T/Ha BC + FYM</w:t>
                                  </w:r>
                                </w:p>
                              </w:tc>
                            </w:tr>
                            <w:tr w:rsidR="00D879A9" w14:paraId="2E11F943" w14:textId="77777777">
                              <w:trPr>
                                <w:trHeight w:val="300"/>
                              </w:trPr>
                              <w:tc>
                                <w:tcPr>
                                  <w:tcW w:w="2300" w:type="dxa"/>
                                  <w:tcBorders>
                                    <w:top w:val="nil"/>
                                    <w:left w:val="nil"/>
                                    <w:bottom w:val="nil"/>
                                    <w:right w:val="nil"/>
                                  </w:tcBorders>
                                  <w:shd w:val="clear" w:color="auto" w:fill="auto"/>
                                  <w:noWrap/>
                                  <w:vAlign w:val="bottom"/>
                                </w:tcPr>
                                <w:p w14:paraId="1EF81388"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T15-25T/Ha BC +VC</w:t>
                                  </w:r>
                                </w:p>
                              </w:tc>
                            </w:tr>
                            <w:tr w:rsidR="00D879A9" w14:paraId="0CE6B126" w14:textId="77777777">
                              <w:trPr>
                                <w:trHeight w:val="300"/>
                              </w:trPr>
                              <w:tc>
                                <w:tcPr>
                                  <w:tcW w:w="2300" w:type="dxa"/>
                                  <w:tcBorders>
                                    <w:top w:val="nil"/>
                                    <w:left w:val="nil"/>
                                    <w:bottom w:val="nil"/>
                                    <w:right w:val="nil"/>
                                  </w:tcBorders>
                                  <w:shd w:val="clear" w:color="auto" w:fill="auto"/>
                                  <w:noWrap/>
                                  <w:vAlign w:val="bottom"/>
                                </w:tcPr>
                                <w:p w14:paraId="0294434E"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T16-25T/Ha BC+GA</w:t>
                                  </w:r>
                                </w:p>
                              </w:tc>
                            </w:tr>
                            <w:tr w:rsidR="00D879A9" w:rsidRPr="00F150EC" w14:paraId="2E9D8549" w14:textId="77777777">
                              <w:trPr>
                                <w:trHeight w:val="300"/>
                              </w:trPr>
                              <w:tc>
                                <w:tcPr>
                                  <w:tcW w:w="2300" w:type="dxa"/>
                                  <w:tcBorders>
                                    <w:top w:val="nil"/>
                                    <w:left w:val="nil"/>
                                    <w:bottom w:val="nil"/>
                                    <w:right w:val="nil"/>
                                  </w:tcBorders>
                                  <w:shd w:val="clear" w:color="auto" w:fill="auto"/>
                                  <w:noWrap/>
                                  <w:vAlign w:val="bottom"/>
                                </w:tcPr>
                                <w:p w14:paraId="0926BFEC"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T17-25T/Ha BC+FYM+VC</w:t>
                                  </w:r>
                                </w:p>
                              </w:tc>
                            </w:tr>
                            <w:tr w:rsidR="00D879A9" w:rsidRPr="00F150EC" w14:paraId="19782B1F" w14:textId="77777777">
                              <w:trPr>
                                <w:trHeight w:val="300"/>
                              </w:trPr>
                              <w:tc>
                                <w:tcPr>
                                  <w:tcW w:w="2300" w:type="dxa"/>
                                  <w:tcBorders>
                                    <w:top w:val="nil"/>
                                    <w:left w:val="nil"/>
                                    <w:bottom w:val="nil"/>
                                    <w:right w:val="nil"/>
                                  </w:tcBorders>
                                  <w:shd w:val="clear" w:color="auto" w:fill="auto"/>
                                  <w:noWrap/>
                                  <w:vAlign w:val="bottom"/>
                                </w:tcPr>
                                <w:p w14:paraId="6C0F13D1"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T18-25T/Ha BC+FYM+GA</w:t>
                                  </w:r>
                                </w:p>
                              </w:tc>
                            </w:tr>
                          </w:tbl>
                          <w:p w14:paraId="321AF0D8" w14:textId="77777777" w:rsidR="00D879A9" w:rsidRPr="00F150EC" w:rsidRDefault="00D879A9">
                            <w:pPr>
                              <w:rPr>
                                <w:lang w:val="de-DE"/>
                              </w:rPr>
                            </w:pPr>
                          </w:p>
                        </w:txbxContent>
                      </wps:txbx>
                      <wps:bodyPr vert="horz" wrap="square" lIns="91440" tIns="45720" rIns="91440" bIns="45720" anchor="t" anchorCtr="0">
                        <a:noAutofit/>
                      </wps:bodyPr>
                    </wps:wsp>
                  </a:graphicData>
                </a:graphic>
              </wp:anchor>
            </w:drawing>
          </mc:Choice>
          <mc:Fallback>
            <w:pict>
              <v:rect w14:anchorId="34A29B1E" id="文本框 13" o:spid="_x0000_s1029" style="position:absolute;margin-left:336.3pt;margin-top:0;width:106.75pt;height:280.4pt;z-index: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" strokeweight=".5pt">
                <v:stroke joinstyle="round"/>
                <v:path arrowok="t"/>
                <v:textbox>
                  <w:txbxContent>
                    <w:tbl>
                      <w:tblPr>
                        <w:tblW w:w="2300" w:type="dxa"/>
                        <w:tblInd w:w="93" w:type="dxa"/>
                        <w:tblLook w:val="0000" w:firstRow="0" w:lastRow="0" w:firstColumn="0" w:lastColumn="0" w:noHBand="0" w:noVBand="0"/>
                      </w:tblPr>
                      <w:tblGrid>
                        <w:gridCol w:w="2300"/>
                      </w:tblGrid>
                      <w:tr w:rsidR="00D879A9" w14:paraId="1557D09D" w14:textId="77777777">
                        <w:trPr>
                          <w:trHeight w:val="300"/>
                        </w:trPr>
                        <w:tc>
                          <w:tcPr>
                            <w:tcW w:w="2300" w:type="dxa"/>
                            <w:tcBorders>
                              <w:top w:val="nil"/>
                              <w:left w:val="nil"/>
                              <w:bottom w:val="nil"/>
                              <w:right w:val="nil"/>
                            </w:tcBorders>
                            <w:shd w:val="clear" w:color="auto" w:fill="auto"/>
                            <w:noWrap/>
                            <w:vAlign w:val="bottom"/>
                          </w:tcPr>
                          <w:p w14:paraId="6AF6B3AC"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T1-15T/Ha BC</w:t>
                            </w:r>
                          </w:p>
                        </w:tc>
                      </w:tr>
                      <w:tr w:rsidR="00D879A9" w14:paraId="1DAFDD8A" w14:textId="77777777">
                        <w:trPr>
                          <w:trHeight w:val="300"/>
                        </w:trPr>
                        <w:tc>
                          <w:tcPr>
                            <w:tcW w:w="2300" w:type="dxa"/>
                            <w:tcBorders>
                              <w:top w:val="nil"/>
                              <w:left w:val="nil"/>
                              <w:bottom w:val="nil"/>
                              <w:right w:val="nil"/>
                            </w:tcBorders>
                            <w:shd w:val="clear" w:color="auto" w:fill="auto"/>
                            <w:noWrap/>
                            <w:vAlign w:val="bottom"/>
                          </w:tcPr>
                          <w:p w14:paraId="64EAC5B7"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T2-15T/Ha BC + FYM</w:t>
                            </w:r>
                          </w:p>
                        </w:tc>
                      </w:tr>
                      <w:tr w:rsidR="00D879A9" w14:paraId="77DE7B2E" w14:textId="77777777">
                        <w:trPr>
                          <w:trHeight w:val="300"/>
                        </w:trPr>
                        <w:tc>
                          <w:tcPr>
                            <w:tcW w:w="2300" w:type="dxa"/>
                            <w:tcBorders>
                              <w:top w:val="nil"/>
                              <w:left w:val="nil"/>
                              <w:bottom w:val="nil"/>
                              <w:right w:val="nil"/>
                            </w:tcBorders>
                            <w:shd w:val="clear" w:color="auto" w:fill="auto"/>
                            <w:noWrap/>
                            <w:vAlign w:val="bottom"/>
                          </w:tcPr>
                          <w:p w14:paraId="7ED2CBB9"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T3-15T/Ha BC +VC</w:t>
                            </w:r>
                          </w:p>
                        </w:tc>
                      </w:tr>
                      <w:tr w:rsidR="00D879A9" w14:paraId="05EAEA59" w14:textId="77777777">
                        <w:trPr>
                          <w:trHeight w:val="300"/>
                        </w:trPr>
                        <w:tc>
                          <w:tcPr>
                            <w:tcW w:w="2300" w:type="dxa"/>
                            <w:tcBorders>
                              <w:top w:val="nil"/>
                              <w:left w:val="nil"/>
                              <w:bottom w:val="nil"/>
                              <w:right w:val="nil"/>
                            </w:tcBorders>
                            <w:shd w:val="clear" w:color="auto" w:fill="auto"/>
                            <w:noWrap/>
                            <w:vAlign w:val="bottom"/>
                          </w:tcPr>
                          <w:p w14:paraId="2D288108"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T4-15T/Ha BC+GA</w:t>
                            </w:r>
                          </w:p>
                        </w:tc>
                      </w:tr>
                      <w:tr w:rsidR="00D879A9" w:rsidRPr="00F150EC" w14:paraId="7C8C65F6" w14:textId="77777777">
                        <w:trPr>
                          <w:trHeight w:val="300"/>
                        </w:trPr>
                        <w:tc>
                          <w:tcPr>
                            <w:tcW w:w="2300" w:type="dxa"/>
                            <w:tcBorders>
                              <w:top w:val="nil"/>
                              <w:left w:val="nil"/>
                              <w:bottom w:val="nil"/>
                              <w:right w:val="nil"/>
                            </w:tcBorders>
                            <w:shd w:val="clear" w:color="auto" w:fill="auto"/>
                            <w:noWrap/>
                            <w:vAlign w:val="bottom"/>
                          </w:tcPr>
                          <w:p w14:paraId="202D1507"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T5-15T/Ha BC+FYM+VC</w:t>
                            </w:r>
                          </w:p>
                        </w:tc>
                      </w:tr>
                      <w:tr w:rsidR="00D879A9" w:rsidRPr="00F150EC" w14:paraId="2D8FB796" w14:textId="77777777">
                        <w:trPr>
                          <w:trHeight w:val="300"/>
                        </w:trPr>
                        <w:tc>
                          <w:tcPr>
                            <w:tcW w:w="2300" w:type="dxa"/>
                            <w:tcBorders>
                              <w:top w:val="nil"/>
                              <w:left w:val="nil"/>
                              <w:bottom w:val="nil"/>
                              <w:right w:val="nil"/>
                            </w:tcBorders>
                            <w:shd w:val="clear" w:color="auto" w:fill="auto"/>
                            <w:noWrap/>
                            <w:vAlign w:val="bottom"/>
                          </w:tcPr>
                          <w:p w14:paraId="313085F4"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T6-15T/Ha BC+FYM+GA</w:t>
                            </w:r>
                          </w:p>
                        </w:tc>
                      </w:tr>
                      <w:tr w:rsidR="00D879A9" w14:paraId="1A900D23" w14:textId="77777777">
                        <w:trPr>
                          <w:trHeight w:val="300"/>
                        </w:trPr>
                        <w:tc>
                          <w:tcPr>
                            <w:tcW w:w="2300" w:type="dxa"/>
                            <w:tcBorders>
                              <w:top w:val="nil"/>
                              <w:left w:val="nil"/>
                              <w:bottom w:val="nil"/>
                              <w:right w:val="nil"/>
                            </w:tcBorders>
                            <w:shd w:val="clear" w:color="auto" w:fill="auto"/>
                            <w:noWrap/>
                            <w:vAlign w:val="bottom"/>
                          </w:tcPr>
                          <w:p w14:paraId="7D82B614"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T7-20T/Ha BC</w:t>
                            </w:r>
                          </w:p>
                        </w:tc>
                      </w:tr>
                      <w:tr w:rsidR="00D879A9" w14:paraId="0351FBCD" w14:textId="77777777">
                        <w:trPr>
                          <w:trHeight w:val="300"/>
                        </w:trPr>
                        <w:tc>
                          <w:tcPr>
                            <w:tcW w:w="2300" w:type="dxa"/>
                            <w:tcBorders>
                              <w:top w:val="nil"/>
                              <w:left w:val="nil"/>
                              <w:bottom w:val="nil"/>
                              <w:right w:val="nil"/>
                            </w:tcBorders>
                            <w:shd w:val="clear" w:color="auto" w:fill="auto"/>
                            <w:noWrap/>
                            <w:vAlign w:val="bottom"/>
                          </w:tcPr>
                          <w:p w14:paraId="2354B289"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T8-20T/Ha BC + FYM</w:t>
                            </w:r>
                          </w:p>
                        </w:tc>
                      </w:tr>
                      <w:tr w:rsidR="00D879A9" w14:paraId="552C8F6E" w14:textId="77777777">
                        <w:trPr>
                          <w:trHeight w:val="300"/>
                        </w:trPr>
                        <w:tc>
                          <w:tcPr>
                            <w:tcW w:w="2300" w:type="dxa"/>
                            <w:tcBorders>
                              <w:top w:val="nil"/>
                              <w:left w:val="nil"/>
                              <w:bottom w:val="nil"/>
                              <w:right w:val="nil"/>
                            </w:tcBorders>
                            <w:shd w:val="clear" w:color="auto" w:fill="auto"/>
                            <w:noWrap/>
                            <w:vAlign w:val="bottom"/>
                          </w:tcPr>
                          <w:p w14:paraId="7B35ACA1"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T9-20T/Ha BC +VC</w:t>
                            </w:r>
                          </w:p>
                        </w:tc>
                      </w:tr>
                      <w:tr w:rsidR="00D879A9" w14:paraId="475F625E" w14:textId="77777777">
                        <w:trPr>
                          <w:trHeight w:val="300"/>
                        </w:trPr>
                        <w:tc>
                          <w:tcPr>
                            <w:tcW w:w="2300" w:type="dxa"/>
                            <w:tcBorders>
                              <w:top w:val="nil"/>
                              <w:left w:val="nil"/>
                              <w:bottom w:val="nil"/>
                              <w:right w:val="nil"/>
                            </w:tcBorders>
                            <w:shd w:val="clear" w:color="auto" w:fill="auto"/>
                            <w:noWrap/>
                            <w:vAlign w:val="bottom"/>
                          </w:tcPr>
                          <w:p w14:paraId="298751F1"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T10-20T/Ha BC+GA</w:t>
                            </w:r>
                          </w:p>
                        </w:tc>
                      </w:tr>
                      <w:tr w:rsidR="00D879A9" w:rsidRPr="00F150EC" w14:paraId="06070858" w14:textId="77777777">
                        <w:trPr>
                          <w:trHeight w:val="300"/>
                        </w:trPr>
                        <w:tc>
                          <w:tcPr>
                            <w:tcW w:w="2300" w:type="dxa"/>
                            <w:tcBorders>
                              <w:top w:val="nil"/>
                              <w:left w:val="nil"/>
                              <w:bottom w:val="nil"/>
                              <w:right w:val="nil"/>
                            </w:tcBorders>
                            <w:shd w:val="clear" w:color="auto" w:fill="auto"/>
                            <w:noWrap/>
                            <w:vAlign w:val="bottom"/>
                          </w:tcPr>
                          <w:p w14:paraId="314D857E"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T11-20T/Ha BC+FYM+VC</w:t>
                            </w:r>
                          </w:p>
                        </w:tc>
                      </w:tr>
                      <w:tr w:rsidR="00D879A9" w:rsidRPr="00F150EC" w14:paraId="3222C960" w14:textId="77777777">
                        <w:trPr>
                          <w:trHeight w:val="300"/>
                        </w:trPr>
                        <w:tc>
                          <w:tcPr>
                            <w:tcW w:w="2300" w:type="dxa"/>
                            <w:tcBorders>
                              <w:top w:val="nil"/>
                              <w:left w:val="nil"/>
                              <w:bottom w:val="nil"/>
                              <w:right w:val="nil"/>
                            </w:tcBorders>
                            <w:shd w:val="clear" w:color="auto" w:fill="auto"/>
                            <w:noWrap/>
                            <w:vAlign w:val="bottom"/>
                          </w:tcPr>
                          <w:p w14:paraId="56D7DC14"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T12-20T/Ha BC+FYM+GA</w:t>
                            </w:r>
                          </w:p>
                        </w:tc>
                      </w:tr>
                      <w:tr w:rsidR="00D879A9" w14:paraId="0278D1D8" w14:textId="77777777">
                        <w:trPr>
                          <w:trHeight w:val="300"/>
                        </w:trPr>
                        <w:tc>
                          <w:tcPr>
                            <w:tcW w:w="2300" w:type="dxa"/>
                            <w:tcBorders>
                              <w:top w:val="nil"/>
                              <w:left w:val="nil"/>
                              <w:bottom w:val="nil"/>
                              <w:right w:val="nil"/>
                            </w:tcBorders>
                            <w:shd w:val="clear" w:color="auto" w:fill="auto"/>
                            <w:noWrap/>
                            <w:vAlign w:val="bottom"/>
                          </w:tcPr>
                          <w:p w14:paraId="7B94471B"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T13-25T/Ha BC</w:t>
                            </w:r>
                          </w:p>
                        </w:tc>
                      </w:tr>
                      <w:tr w:rsidR="00D879A9" w14:paraId="3EBACA85" w14:textId="77777777">
                        <w:trPr>
                          <w:trHeight w:val="300"/>
                        </w:trPr>
                        <w:tc>
                          <w:tcPr>
                            <w:tcW w:w="2300" w:type="dxa"/>
                            <w:tcBorders>
                              <w:top w:val="nil"/>
                              <w:left w:val="nil"/>
                              <w:bottom w:val="nil"/>
                              <w:right w:val="nil"/>
                            </w:tcBorders>
                            <w:shd w:val="clear" w:color="auto" w:fill="auto"/>
                            <w:noWrap/>
                            <w:vAlign w:val="bottom"/>
                          </w:tcPr>
                          <w:p w14:paraId="701708D5"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T14-25T/Ha BC + FYM</w:t>
                            </w:r>
                          </w:p>
                        </w:tc>
                      </w:tr>
                      <w:tr w:rsidR="00D879A9" w14:paraId="2E11F943" w14:textId="77777777">
                        <w:trPr>
                          <w:trHeight w:val="300"/>
                        </w:trPr>
                        <w:tc>
                          <w:tcPr>
                            <w:tcW w:w="2300" w:type="dxa"/>
                            <w:tcBorders>
                              <w:top w:val="nil"/>
                              <w:left w:val="nil"/>
                              <w:bottom w:val="nil"/>
                              <w:right w:val="nil"/>
                            </w:tcBorders>
                            <w:shd w:val="clear" w:color="auto" w:fill="auto"/>
                            <w:noWrap/>
                            <w:vAlign w:val="bottom"/>
                          </w:tcPr>
                          <w:p w14:paraId="1EF81388"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T15-25T/Ha BC +VC</w:t>
                            </w:r>
                          </w:p>
                        </w:tc>
                      </w:tr>
                      <w:tr w:rsidR="00D879A9" w14:paraId="0CE6B126" w14:textId="77777777">
                        <w:trPr>
                          <w:trHeight w:val="300"/>
                        </w:trPr>
                        <w:tc>
                          <w:tcPr>
                            <w:tcW w:w="2300" w:type="dxa"/>
                            <w:tcBorders>
                              <w:top w:val="nil"/>
                              <w:left w:val="nil"/>
                              <w:bottom w:val="nil"/>
                              <w:right w:val="nil"/>
                            </w:tcBorders>
                            <w:shd w:val="clear" w:color="auto" w:fill="auto"/>
                            <w:noWrap/>
                            <w:vAlign w:val="bottom"/>
                          </w:tcPr>
                          <w:p w14:paraId="0294434E" w14:textId="77777777" w:rsidR="00D879A9" w:rsidRDefault="00000000">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T16-25T/Ha BC+GA</w:t>
                            </w:r>
                          </w:p>
                        </w:tc>
                      </w:tr>
                      <w:tr w:rsidR="00D879A9" w:rsidRPr="00F150EC" w14:paraId="2E9D8549" w14:textId="77777777">
                        <w:trPr>
                          <w:trHeight w:val="300"/>
                        </w:trPr>
                        <w:tc>
                          <w:tcPr>
                            <w:tcW w:w="2300" w:type="dxa"/>
                            <w:tcBorders>
                              <w:top w:val="nil"/>
                              <w:left w:val="nil"/>
                              <w:bottom w:val="nil"/>
                              <w:right w:val="nil"/>
                            </w:tcBorders>
                            <w:shd w:val="clear" w:color="auto" w:fill="auto"/>
                            <w:noWrap/>
                            <w:vAlign w:val="bottom"/>
                          </w:tcPr>
                          <w:p w14:paraId="0926BFEC"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T17-25T/Ha BC+FYM+VC</w:t>
                            </w:r>
                          </w:p>
                        </w:tc>
                      </w:tr>
                      <w:tr w:rsidR="00D879A9" w:rsidRPr="00F150EC" w14:paraId="19782B1F" w14:textId="77777777">
                        <w:trPr>
                          <w:trHeight w:val="300"/>
                        </w:trPr>
                        <w:tc>
                          <w:tcPr>
                            <w:tcW w:w="2300" w:type="dxa"/>
                            <w:tcBorders>
                              <w:top w:val="nil"/>
                              <w:left w:val="nil"/>
                              <w:bottom w:val="nil"/>
                              <w:right w:val="nil"/>
                            </w:tcBorders>
                            <w:shd w:val="clear" w:color="auto" w:fill="auto"/>
                            <w:noWrap/>
                            <w:vAlign w:val="bottom"/>
                          </w:tcPr>
                          <w:p w14:paraId="6C0F13D1" w14:textId="77777777" w:rsidR="00D879A9" w:rsidRPr="00F150EC" w:rsidRDefault="00000000">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T18-25T/Ha BC+FYM+GA</w:t>
                            </w:r>
                          </w:p>
                        </w:tc>
                      </w:tr>
                    </w:tbl>
                    <w:p w14:paraId="321AF0D8" w14:textId="77777777" w:rsidR="00D879A9" w:rsidRPr="00F150EC" w:rsidRDefault="00D879A9">
                      <w:pPr>
                        <w:rPr>
                          <w:lang w:val="de-DE"/>
                        </w:rPr>
                      </w:pPr>
                    </w:p>
                  </w:txbxContent>
                </v:textbox>
              </v:rect>
            </w:pict>
          </mc:Fallback>
        </mc:AlternateContent>
      </w:r>
      <w:r>
        <w:rPr>
          <w:noProof/>
          <w:lang w:val="en-US" w:bidi="ar-SA"/>
        </w:rPr>
        <w:drawing>
          <wp:inline distT="0" distB="0" distL="0" distR="0" wp14:anchorId="044B4141" wp14:editId="56131F79">
            <wp:extent cx="4163209" cy="3560445"/>
            <wp:effectExtent l="0" t="0" r="0" b="0"/>
            <wp:docPr id="16" name="图表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32496B" w14:textId="77777777" w:rsidR="00D879A9" w:rsidRDefault="00D879A9">
      <w:pPr>
        <w:spacing w:line="360" w:lineRule="auto"/>
      </w:pPr>
    </w:p>
    <w:p w14:paraId="0E378982" w14:textId="77777777" w:rsidR="00D879A9" w:rsidRDefault="00D879A9">
      <w:pPr>
        <w:spacing w:line="360" w:lineRule="auto"/>
      </w:pPr>
    </w:p>
    <w:p w14:paraId="03A2E89E" w14:textId="77777777" w:rsidR="00D879A9" w:rsidRDefault="00D879A9">
      <w:pPr>
        <w:spacing w:line="360" w:lineRule="auto"/>
      </w:pPr>
    </w:p>
    <w:p w14:paraId="1BC2A535" w14:textId="77777777" w:rsidR="00D879A9" w:rsidRDefault="00D879A9">
      <w:pPr>
        <w:spacing w:line="360" w:lineRule="auto"/>
      </w:pPr>
    </w:p>
    <w:p w14:paraId="15489163" w14:textId="77777777" w:rsidR="00D879A9" w:rsidRDefault="00D879A9">
      <w:pPr>
        <w:spacing w:line="360" w:lineRule="auto"/>
      </w:pPr>
    </w:p>
    <w:p w14:paraId="1BFE401C" w14:textId="77777777" w:rsidR="00D879A9" w:rsidRDefault="00D879A9">
      <w:pPr>
        <w:spacing w:line="360" w:lineRule="auto"/>
      </w:pPr>
    </w:p>
    <w:p w14:paraId="03EE2E0B" w14:textId="77777777" w:rsidR="00D879A9" w:rsidRDefault="00D879A9">
      <w:pPr>
        <w:spacing w:line="360" w:lineRule="auto"/>
      </w:pPr>
    </w:p>
    <w:p w14:paraId="6369147D" w14:textId="77777777" w:rsidR="00D879A9" w:rsidRDefault="00D879A9">
      <w:pPr>
        <w:spacing w:line="360" w:lineRule="auto"/>
      </w:pPr>
    </w:p>
    <w:p w14:paraId="5143FDF7" w14:textId="77777777" w:rsidR="00D879A9" w:rsidRDefault="00D879A9">
      <w:pPr>
        <w:spacing w:line="360" w:lineRule="auto"/>
      </w:pPr>
    </w:p>
    <w:p w14:paraId="3872BE8E" w14:textId="77777777" w:rsidR="00D879A9" w:rsidRDefault="00D879A9">
      <w:pPr>
        <w:spacing w:line="360" w:lineRule="auto"/>
      </w:pPr>
    </w:p>
    <w:p w14:paraId="25050E8D" w14:textId="77777777" w:rsidR="00D879A9" w:rsidRDefault="00D879A9">
      <w:pPr>
        <w:spacing w:line="360" w:lineRule="auto"/>
      </w:pPr>
    </w:p>
    <w:p w14:paraId="4E0BFD35" w14:textId="77777777" w:rsidR="00D879A9" w:rsidRDefault="00D879A9">
      <w:pPr>
        <w:spacing w:line="360" w:lineRule="auto"/>
      </w:pPr>
    </w:p>
    <w:p w14:paraId="3CFDA6C2" w14:textId="77777777" w:rsidR="00D879A9" w:rsidRDefault="00D879A9">
      <w:pPr>
        <w:spacing w:line="360" w:lineRule="auto"/>
      </w:pPr>
    </w:p>
    <w:p w14:paraId="69F32569" w14:textId="77777777" w:rsidR="00D879A9" w:rsidRDefault="00000000">
      <w:pPr>
        <w:spacing w:line="360" w:lineRule="auto"/>
      </w:pPr>
      <w:r>
        <w:rPr>
          <w:noProof/>
          <w:lang w:val="en-US" w:bidi="ar-SA"/>
        </w:rPr>
        <mc:AlternateContent>
          <mc:Choice Requires="wps">
            <w:drawing>
              <wp:anchor distT="0" distB="0" distL="114300" distR="114300" simplePos="0" relativeHeight="59" behindDoc="0" locked="0" layoutInCell="1" hidden="0" allowOverlap="1" wp14:anchorId="36AB3C06" wp14:editId="622A8E91">
                <wp:simplePos x="0" y="0"/>
                <wp:positionH relativeFrom="column">
                  <wp:posOffset>663575</wp:posOffset>
                </wp:positionH>
                <wp:positionV relativeFrom="paragraph">
                  <wp:posOffset>-635</wp:posOffset>
                </wp:positionV>
                <wp:extent cx="322580" cy="290195"/>
                <wp:effectExtent l="0" t="0" r="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290195"/>
                        </a:xfrm>
                        <a:prstGeom prst="rect">
                          <a:avLst/>
                        </a:prstGeom>
                        <a:solidFill>
                          <a:srgbClr val="FFFFFF"/>
                        </a:solidFill>
                        <a:ln w="9525" cap="flat" cmpd="sng">
                          <a:noFill/>
                          <a:prstDash val="solid"/>
                          <a:miter/>
                        </a:ln>
                      </wps:spPr>
                      <wps:txbx>
                        <w:txbxContent>
                          <w:p w14:paraId="7B9C8B53" w14:textId="77777777" w:rsidR="00D879A9" w:rsidRDefault="00000000">
                            <w:pPr>
                              <w:rPr>
                                <w:rFonts w:ascii="Times New Roman" w:hAnsi="Times New Roman" w:cs="Times New Roman"/>
                                <w:b/>
                                <w:bCs/>
                              </w:rPr>
                            </w:pPr>
                            <w:r>
                              <w:rPr>
                                <w:rFonts w:ascii="Times New Roman" w:hAnsi="Times New Roman" w:cs="Times New Roman"/>
                                <w:b/>
                                <w:bCs/>
                              </w:rPr>
                              <w:t>a)</w:t>
                            </w:r>
                          </w:p>
                        </w:txbxContent>
                      </wps:txbx>
                      <wps:bodyPr vert="horz" wrap="square" lIns="91440" tIns="45720" rIns="91440" bIns="45720" anchor="t" anchorCtr="0">
                        <a:noAutofit/>
                      </wps:bodyPr>
                    </wps:wsp>
                  </a:graphicData>
                </a:graphic>
              </wp:anchor>
            </w:drawing>
          </mc:Choice>
          <mc:Fallback>
            <w:pict>
              <v:rect w14:anchorId="36AB3C06" id="文本框 17" o:spid="_x0000_s1030" style="position:absolute;margin-left:52.25pt;margin-top:-.05pt;width:25.4pt;height:22.85pt;z-index: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" stroked="f">
                <v:textbox>
                  <w:txbxContent>
                    <w:p w14:paraId="7B9C8B53" w14:textId="77777777" w:rsidR="00D879A9" w:rsidRDefault="00000000">
                      <w:pPr>
                        <w:rPr>
                          <w:rFonts w:ascii="Times New Roman" w:hAnsi="Times New Roman" w:cs="Times New Roman"/>
                          <w:b/>
                          <w:bCs/>
                        </w:rPr>
                      </w:pPr>
                      <w:r>
                        <w:rPr>
                          <w:rFonts w:ascii="Times New Roman" w:hAnsi="Times New Roman" w:cs="Times New Roman"/>
                          <w:b/>
                          <w:bCs/>
                        </w:rPr>
                        <w:t>a)</w:t>
                      </w:r>
                    </w:p>
                  </w:txbxContent>
                </v:textbox>
              </v:rect>
            </w:pict>
          </mc:Fallback>
        </mc:AlternateContent>
      </w:r>
      <w:r>
        <w:rPr>
          <w:noProof/>
          <w:lang w:val="en-US" w:bidi="ar-SA"/>
        </w:rPr>
        <mc:AlternateContent>
          <mc:Choice Requires="wps">
            <w:drawing>
              <wp:anchor distT="0" distB="0" distL="114300" distR="114300" simplePos="0" relativeHeight="58" behindDoc="0" locked="0" layoutInCell="1" hidden="0" allowOverlap="1" wp14:anchorId="15AC2918" wp14:editId="08B13E16">
                <wp:simplePos x="0" y="0"/>
                <wp:positionH relativeFrom="column">
                  <wp:posOffset>755015</wp:posOffset>
                </wp:positionH>
                <wp:positionV relativeFrom="paragraph">
                  <wp:posOffset>212090</wp:posOffset>
                </wp:positionV>
                <wp:extent cx="1040130" cy="418090"/>
                <wp:effectExtent l="0" t="0" r="0" b="0"/>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40130" cy="418090"/>
                        </a:xfrm>
                        <a:prstGeom prst="rect">
                          <a:avLst/>
                        </a:prstGeom>
                        <a:noFill/>
                        <a:ln w="9525" cap="flat" cmpd="sng">
                          <a:noFill/>
                          <a:prstDash val="solid"/>
                          <a:miter/>
                        </a:ln>
                      </wps:spPr>
                      <wps:txbx>
                        <w:txbxContent>
                          <w:p w14:paraId="0E58350E" w14:textId="77777777" w:rsidR="00D879A9" w:rsidRDefault="00000000">
                            <w:pPr>
                              <w:jc w:val="center"/>
                              <w:rPr>
                                <w:rFonts w:ascii="Times New Roman" w:hAnsi="Times New Roman" w:cs="Times New Roman"/>
                                <w:b/>
                                <w:bCs/>
                                <w:sz w:val="20"/>
                                <w:szCs w:val="20"/>
                              </w:rPr>
                            </w:pPr>
                            <w:r>
                              <w:rPr>
                                <w:rFonts w:ascii="Times New Roman" w:hAnsi="Times New Roman" w:cs="Times New Roman"/>
                                <w:b/>
                                <w:bCs/>
                                <w:sz w:val="20"/>
                                <w:szCs w:val="20"/>
                              </w:rPr>
                              <w:t>pH</w:t>
                            </w:r>
                          </w:p>
                        </w:txbxContent>
                      </wps:txbx>
                      <wps:bodyPr vert="horz" wrap="square" lIns="91440" tIns="45720" rIns="91440" bIns="45720" anchor="t" anchorCtr="0">
                        <a:spAutoFit/>
                      </wps:bodyPr>
                    </wps:wsp>
                  </a:graphicData>
                </a:graphic>
              </wp:anchor>
            </w:drawing>
          </mc:Choice>
          <mc:Fallback>
            <w:pict>
              <v:rect w14:anchorId="15AC2918" id="文本框 20" o:spid="_x0000_s1031" style="position:absolute;margin-left:59.45pt;margin-top:16.7pt;width:81.9pt;height:32.9pt;rotation:-90;z-index: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" filled="f" stroked="f">
                <v:textbox style="mso-fit-shape-to-text:t">
                  <w:txbxContent>
                    <w:p w14:paraId="0E58350E" w14:textId="77777777" w:rsidR="00D879A9" w:rsidRDefault="00000000">
                      <w:pPr>
                        <w:jc w:val="center"/>
                        <w:rPr>
                          <w:rFonts w:ascii="Times New Roman" w:hAnsi="Times New Roman" w:cs="Times New Roman"/>
                          <w:b/>
                          <w:bCs/>
                          <w:sz w:val="20"/>
                          <w:szCs w:val="20"/>
                        </w:rPr>
                      </w:pPr>
                      <w:r>
                        <w:rPr>
                          <w:rFonts w:ascii="Times New Roman" w:hAnsi="Times New Roman" w:cs="Times New Roman"/>
                          <w:b/>
                          <w:bCs/>
                          <w:sz w:val="20"/>
                          <w:szCs w:val="20"/>
                        </w:rPr>
                        <w:t>pH</w:t>
                      </w:r>
                    </w:p>
                  </w:txbxContent>
                </v:textbox>
              </v:rect>
            </w:pict>
          </mc:Fallback>
        </mc:AlternateContent>
      </w:r>
      <w:r>
        <w:t xml:space="preserve">                       </w:t>
      </w:r>
      <w:r>
        <w:rPr>
          <w:noProof/>
          <w:lang w:val="en-US" w:bidi="ar-SA"/>
        </w:rPr>
        <w:drawing>
          <wp:inline distT="0" distB="0" distL="0" distR="0" wp14:anchorId="12A78698" wp14:editId="3FE33C53">
            <wp:extent cx="4216998" cy="1947134"/>
            <wp:effectExtent l="0" t="0" r="0" b="0"/>
            <wp:docPr id="23" name="图片 23" descr="F:\Anusha_paper\paper_f\BOXPLOTS\Rplot_p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1"/>
                    <a:srcRect t="10502" b="15982"/>
                    <a:stretch>
                      <a:fillRect/>
                    </a:stretch>
                  </pic:blipFill>
                  <pic:spPr>
                    <a:xfrm>
                      <a:off x="0" y="0"/>
                      <a:ext cx="4216998" cy="1947134"/>
                    </a:xfrm>
                    <a:prstGeom prst="rect">
                      <a:avLst/>
                    </a:prstGeom>
                    <a:noFill/>
                    <a:ln w="12700" cap="flat" cmpd="sng">
                      <a:noFill/>
                      <a:prstDash val="solid"/>
                      <a:round/>
                    </a:ln>
                  </pic:spPr>
                </pic:pic>
              </a:graphicData>
            </a:graphic>
          </wp:inline>
        </w:drawing>
      </w:r>
    </w:p>
    <w:tbl>
      <w:tblPr>
        <w:tblW w:w="0" w:type="auto"/>
        <w:tblCellMar>
          <w:left w:w="0" w:type="dxa"/>
          <w:right w:w="0" w:type="dxa"/>
        </w:tblCellMar>
        <w:tblLook w:val="0000" w:firstRow="0" w:lastRow="0" w:firstColumn="0" w:lastColumn="0" w:noHBand="0" w:noVBand="0"/>
      </w:tblPr>
      <w:tblGrid>
        <w:gridCol w:w="9360"/>
      </w:tblGrid>
      <w:tr w:rsidR="00D879A9" w14:paraId="008CBBFB" w14:textId="77777777">
        <w:trPr>
          <w:trHeight w:val="2022"/>
        </w:trPr>
        <w:tc>
          <w:tcPr>
            <w:tcW w:w="9360" w:type="dxa"/>
          </w:tcPr>
          <w:p w14:paraId="2FEF0B2E" w14:textId="77777777" w:rsidR="00D879A9" w:rsidRDefault="00000000">
            <w:pPr>
              <w:spacing w:after="0" w:line="360" w:lineRule="auto"/>
            </w:pPr>
            <w:r>
              <w:rPr>
                <w:noProof/>
                <w:lang w:val="en-US" w:bidi="ar-SA"/>
              </w:rPr>
              <mc:AlternateContent>
                <mc:Choice Requires="wps">
                  <w:drawing>
                    <wp:anchor distT="0" distB="0" distL="114300" distR="114300" simplePos="0" relativeHeight="62" behindDoc="0" locked="0" layoutInCell="1" hidden="0" allowOverlap="1" wp14:anchorId="0B8E2475" wp14:editId="671949FC">
                      <wp:simplePos x="0" y="0"/>
                      <wp:positionH relativeFrom="column">
                        <wp:posOffset>664210</wp:posOffset>
                      </wp:positionH>
                      <wp:positionV relativeFrom="paragraph">
                        <wp:posOffset>69215</wp:posOffset>
                      </wp:positionV>
                      <wp:extent cx="322579" cy="290195"/>
                      <wp:effectExtent l="0" t="0" r="0" b="0"/>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79" cy="290195"/>
                              </a:xfrm>
                              <a:prstGeom prst="rect">
                                <a:avLst/>
                              </a:prstGeom>
                              <a:solidFill>
                                <a:srgbClr val="FFFFFF"/>
                              </a:solidFill>
                              <a:ln w="9525" cap="flat" cmpd="sng">
                                <a:noFill/>
                                <a:prstDash val="solid"/>
                                <a:miter/>
                              </a:ln>
                            </wps:spPr>
                            <wps:txbx>
                              <w:txbxContent>
                                <w:p w14:paraId="0F7ABB7F" w14:textId="77777777" w:rsidR="00D879A9" w:rsidRDefault="00000000">
                                  <w:pPr>
                                    <w:rPr>
                                      <w:rFonts w:ascii="Times New Roman" w:hAnsi="Times New Roman" w:cs="Times New Roman"/>
                                      <w:b/>
                                      <w:bCs/>
                                    </w:rPr>
                                  </w:pPr>
                                  <w:r>
                                    <w:rPr>
                                      <w:rFonts w:ascii="Times New Roman" w:hAnsi="Times New Roman" w:cs="Times New Roman"/>
                                      <w:b/>
                                      <w:bCs/>
                                    </w:rPr>
                                    <w:t>b)</w:t>
                                  </w:r>
                                </w:p>
                              </w:txbxContent>
                            </wps:txbx>
                            <wps:bodyPr vert="horz" wrap="square" lIns="91440" tIns="45720" rIns="91440" bIns="45720" anchor="t" anchorCtr="0">
                              <a:noAutofit/>
                            </wps:bodyPr>
                          </wps:wsp>
                        </a:graphicData>
                      </a:graphic>
                    </wp:anchor>
                  </w:drawing>
                </mc:Choice>
                <mc:Fallback>
                  <w:pict>
                    <v:rect w14:anchorId="0B8E2475" id="文本框 26" o:spid="_x0000_s1032" style="position:absolute;margin-left:52.3pt;margin-top:5.45pt;width:25.4pt;height:22.85pt;z-index: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" stroked="f">
                      <v:textbox>
                        <w:txbxContent>
                          <w:p w14:paraId="0F7ABB7F" w14:textId="77777777" w:rsidR="00D879A9" w:rsidRDefault="00000000">
                            <w:pPr>
                              <w:rPr>
                                <w:rFonts w:ascii="Times New Roman" w:hAnsi="Times New Roman" w:cs="Times New Roman"/>
                                <w:b/>
                                <w:bCs/>
                              </w:rPr>
                            </w:pPr>
                            <w:r>
                              <w:rPr>
                                <w:rFonts w:ascii="Times New Roman" w:hAnsi="Times New Roman" w:cs="Times New Roman"/>
                                <w:b/>
                                <w:bCs/>
                              </w:rPr>
                              <w:t>b)</w:t>
                            </w:r>
                          </w:p>
                        </w:txbxContent>
                      </v:textbox>
                    </v:rect>
                  </w:pict>
                </mc:Fallback>
              </mc:AlternateContent>
            </w:r>
            <w:r>
              <w:rPr>
                <w:rFonts w:ascii="Times New Roman" w:hAnsi="Times New Roman" w:cs="Times New Roman"/>
                <w:b/>
                <w:bCs/>
                <w:noProof/>
                <w:sz w:val="24"/>
                <w:szCs w:val="24"/>
                <w:lang w:val="en-US" w:bidi="ar-SA"/>
              </w:rPr>
              <mc:AlternateContent>
                <mc:Choice Requires="wps">
                  <w:drawing>
                    <wp:anchor distT="0" distB="0" distL="114300" distR="114300" simplePos="0" relativeHeight="52" behindDoc="0" locked="0" layoutInCell="1" hidden="0" allowOverlap="1" wp14:anchorId="50382C33" wp14:editId="160490B3">
                      <wp:simplePos x="0" y="0"/>
                      <wp:positionH relativeFrom="column">
                        <wp:posOffset>171450</wp:posOffset>
                      </wp:positionH>
                      <wp:positionV relativeFrom="paragraph">
                        <wp:posOffset>834389</wp:posOffset>
                      </wp:positionV>
                      <wp:extent cx="1146175" cy="294004"/>
                      <wp:effectExtent l="0" t="0" r="0" b="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46175" cy="294004"/>
                              </a:xfrm>
                              <a:prstGeom prst="rect">
                                <a:avLst/>
                              </a:prstGeom>
                              <a:solidFill>
                                <a:srgbClr val="FFFFFF"/>
                              </a:solidFill>
                              <a:ln w="9525" cap="flat" cmpd="sng">
                                <a:noFill/>
                                <a:prstDash val="solid"/>
                                <a:miter/>
                              </a:ln>
                            </wps:spPr>
                            <wps:txbx>
                              <w:txbxContent>
                                <w:p w14:paraId="745A74E2" w14:textId="77777777" w:rsidR="00D879A9" w:rsidRDefault="00000000">
                                  <w:pPr>
                                    <w:jc w:val="center"/>
                                    <w:rPr>
                                      <w:rFonts w:ascii="Times New Roman" w:hAnsi="Times New Roman" w:cs="Times New Roman"/>
                                      <w:b/>
                                      <w:bCs/>
                                      <w:sz w:val="20"/>
                                      <w:szCs w:val="20"/>
                                    </w:rPr>
                                  </w:pPr>
                                  <w:r>
                                    <w:rPr>
                                      <w:rFonts w:ascii="Times New Roman" w:hAnsi="Times New Roman" w:cs="Times New Roman"/>
                                      <w:b/>
                                      <w:bCs/>
                                      <w:sz w:val="20"/>
                                      <w:szCs w:val="20"/>
                                    </w:rPr>
                                    <w:t>OC (g kg</w:t>
                                  </w:r>
                                  <w:r>
                                    <w:rPr>
                                      <w:rFonts w:ascii="Times New Roman" w:hAnsi="Times New Roman" w:cs="Times New Roman"/>
                                      <w:b/>
                                      <w:bCs/>
                                      <w:sz w:val="20"/>
                                      <w:szCs w:val="20"/>
                                      <w:vertAlign w:val="superscript"/>
                                    </w:rPr>
                                    <w:t>-1</w:t>
                                  </w:r>
                                  <w:r>
                                    <w:rPr>
                                      <w:rFonts w:ascii="Times New Roman" w:hAnsi="Times New Roman" w:cs="Times New Roman"/>
                                      <w:b/>
                                      <w:bCs/>
                                      <w:sz w:val="20"/>
                                      <w:szCs w:val="20"/>
                                    </w:rPr>
                                    <w:t>)</w:t>
                                  </w:r>
                                </w:p>
                              </w:txbxContent>
                            </wps:txbx>
                            <wps:bodyPr vert="horz" wrap="square" lIns="91440" tIns="45720" rIns="91440" bIns="45720" anchor="t" anchorCtr="0">
                              <a:noAutofit/>
                            </wps:bodyPr>
                          </wps:wsp>
                        </a:graphicData>
                      </a:graphic>
                    </wp:anchor>
                  </w:drawing>
                </mc:Choice>
                <mc:Fallback>
                  <w:pict>
                    <v:rect w14:anchorId="50382C33" id="文本框 29" o:spid="_x0000_s1033" style="position:absolute;margin-left:13.5pt;margin-top:65.7pt;width:90.25pt;height:23.15pt;rotation:-90;z-index: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" stroked="f">
                      <v:textbox>
                        <w:txbxContent>
                          <w:p w14:paraId="745A74E2" w14:textId="77777777" w:rsidR="00D879A9" w:rsidRDefault="00000000">
                            <w:pPr>
                              <w:jc w:val="center"/>
                              <w:rPr>
                                <w:rFonts w:ascii="Times New Roman" w:hAnsi="Times New Roman" w:cs="Times New Roman"/>
                                <w:b/>
                                <w:bCs/>
                                <w:sz w:val="20"/>
                                <w:szCs w:val="20"/>
                              </w:rPr>
                            </w:pPr>
                            <w:r>
                              <w:rPr>
                                <w:rFonts w:ascii="Times New Roman" w:hAnsi="Times New Roman" w:cs="Times New Roman"/>
                                <w:b/>
                                <w:bCs/>
                                <w:sz w:val="20"/>
                                <w:szCs w:val="20"/>
                              </w:rPr>
                              <w:t>OC (g kg</w:t>
                            </w:r>
                            <w:r>
                              <w:rPr>
                                <w:rFonts w:ascii="Times New Roman" w:hAnsi="Times New Roman" w:cs="Times New Roman"/>
                                <w:b/>
                                <w:bCs/>
                                <w:sz w:val="20"/>
                                <w:szCs w:val="20"/>
                                <w:vertAlign w:val="superscript"/>
                              </w:rPr>
                              <w:t>-1</w:t>
                            </w:r>
                            <w:r>
                              <w:rPr>
                                <w:rFonts w:ascii="Times New Roman" w:hAnsi="Times New Roman" w:cs="Times New Roman"/>
                                <w:b/>
                                <w:bCs/>
                                <w:sz w:val="20"/>
                                <w:szCs w:val="20"/>
                              </w:rPr>
                              <w:t>)</w:t>
                            </w:r>
                          </w:p>
                        </w:txbxContent>
                      </v:textbox>
                    </v:rect>
                  </w:pict>
                </mc:Fallback>
              </mc:AlternateContent>
            </w:r>
            <w:r>
              <w:t xml:space="preserve">                      </w:t>
            </w:r>
            <w:r>
              <w:rPr>
                <w:rFonts w:ascii="Times New Roman" w:hAnsi="Times New Roman" w:cs="Times New Roman"/>
                <w:b/>
                <w:bCs/>
                <w:sz w:val="24"/>
                <w:szCs w:val="24"/>
              </w:rPr>
              <w:t xml:space="preserve">  </w:t>
            </w:r>
            <w:r>
              <w:t xml:space="preserve">   </w:t>
            </w:r>
            <w:r>
              <w:rPr>
                <w:rFonts w:ascii="Times New Roman" w:hAnsi="Times New Roman" w:cs="Times New Roman"/>
                <w:b/>
                <w:bCs/>
                <w:noProof/>
                <w:sz w:val="24"/>
                <w:szCs w:val="24"/>
                <w:lang w:val="en-US" w:bidi="ar-SA"/>
              </w:rPr>
              <w:drawing>
                <wp:inline distT="0" distB="0" distL="0" distR="0" wp14:anchorId="482FD348" wp14:editId="6DC94A18">
                  <wp:extent cx="4056993" cy="1723696"/>
                  <wp:effectExtent l="0" t="0" r="0" b="0"/>
                  <wp:docPr id="32" name="图片 32" descr="F:\Anusha_paper\paper_f\BOXPLOTS\OC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12"/>
                          <a:srcRect l="3040" t="11923" b="18077"/>
                          <a:stretch>
                            <a:fillRect/>
                          </a:stretch>
                        </pic:blipFill>
                        <pic:spPr>
                          <a:xfrm>
                            <a:off x="0" y="0"/>
                            <a:ext cx="4056993" cy="1723696"/>
                          </a:xfrm>
                          <a:prstGeom prst="rect">
                            <a:avLst/>
                          </a:prstGeom>
                          <a:noFill/>
                          <a:ln w="12700" cap="flat" cmpd="sng">
                            <a:noFill/>
                            <a:prstDash val="solid"/>
                            <a:round/>
                          </a:ln>
                        </pic:spPr>
                      </pic:pic>
                    </a:graphicData>
                  </a:graphic>
                </wp:inline>
              </w:drawing>
            </w:r>
          </w:p>
        </w:tc>
      </w:tr>
      <w:tr w:rsidR="00D879A9" w14:paraId="5EF78E99" w14:textId="77777777">
        <w:trPr>
          <w:trHeight w:val="2366"/>
        </w:trPr>
        <w:tc>
          <w:tcPr>
            <w:tcW w:w="9360" w:type="dxa"/>
          </w:tcPr>
          <w:p w14:paraId="32143E9D" w14:textId="77777777" w:rsidR="00D879A9" w:rsidRDefault="00D879A9">
            <w:pPr>
              <w:spacing w:after="0" w:line="360" w:lineRule="auto"/>
            </w:pPr>
          </w:p>
          <w:p w14:paraId="4DB2C9E1" w14:textId="77777777" w:rsidR="00D879A9" w:rsidRDefault="00000000">
            <w:pPr>
              <w:spacing w:after="0" w:line="360" w:lineRule="auto"/>
            </w:pPr>
            <w:r>
              <w:rPr>
                <w:noProof/>
                <w:lang w:val="en-US" w:bidi="ar-SA"/>
              </w:rPr>
              <mc:AlternateContent>
                <mc:Choice Requires="wps">
                  <w:drawing>
                    <wp:anchor distT="0" distB="0" distL="114300" distR="114300" simplePos="0" relativeHeight="63" behindDoc="0" locked="0" layoutInCell="1" hidden="0" allowOverlap="1" wp14:anchorId="5E2C6BDC" wp14:editId="6932BB8C">
                      <wp:simplePos x="0" y="0"/>
                      <wp:positionH relativeFrom="column">
                        <wp:posOffset>628650</wp:posOffset>
                      </wp:positionH>
                      <wp:positionV relativeFrom="paragraph">
                        <wp:posOffset>5715</wp:posOffset>
                      </wp:positionV>
                      <wp:extent cx="322580" cy="290195"/>
                      <wp:effectExtent l="0" t="0" r="0" b="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290195"/>
                              </a:xfrm>
                              <a:prstGeom prst="rect">
                                <a:avLst/>
                              </a:prstGeom>
                              <a:solidFill>
                                <a:srgbClr val="FFFFFF"/>
                              </a:solidFill>
                              <a:ln w="9525" cap="flat" cmpd="sng">
                                <a:noFill/>
                                <a:prstDash val="solid"/>
                                <a:miter/>
                              </a:ln>
                            </wps:spPr>
                            <wps:txbx>
                              <w:txbxContent>
                                <w:p w14:paraId="1FA231BD" w14:textId="77777777" w:rsidR="00D879A9" w:rsidRDefault="00000000">
                                  <w:pPr>
                                    <w:rPr>
                                      <w:rFonts w:ascii="Times New Roman" w:hAnsi="Times New Roman" w:cs="Times New Roman"/>
                                      <w:b/>
                                      <w:bCs/>
                                    </w:rPr>
                                  </w:pPr>
                                  <w:r>
                                    <w:rPr>
                                      <w:rFonts w:ascii="Times New Roman" w:hAnsi="Times New Roman" w:cs="Times New Roman"/>
                                      <w:b/>
                                      <w:bCs/>
                                    </w:rPr>
                                    <w:t>c)</w:t>
                                  </w:r>
                                </w:p>
                              </w:txbxContent>
                            </wps:txbx>
                            <wps:bodyPr vert="horz" wrap="square" lIns="91440" tIns="45720" rIns="91440" bIns="45720" anchor="t" anchorCtr="0">
                              <a:noAutofit/>
                            </wps:bodyPr>
                          </wps:wsp>
                        </a:graphicData>
                      </a:graphic>
                    </wp:anchor>
                  </w:drawing>
                </mc:Choice>
                <mc:Fallback>
                  <w:pict>
                    <v:rect w14:anchorId="5E2C6BDC" id="文本框 35" o:spid="_x0000_s1034" style="position:absolute;margin-left:49.5pt;margin-top:.45pt;width:25.4pt;height:22.85pt;z-index: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" stroked="f">
                      <v:textbox>
                        <w:txbxContent>
                          <w:p w14:paraId="1FA231BD" w14:textId="77777777" w:rsidR="00D879A9" w:rsidRDefault="00000000">
                            <w:pPr>
                              <w:rPr>
                                <w:rFonts w:ascii="Times New Roman" w:hAnsi="Times New Roman" w:cs="Times New Roman"/>
                                <w:b/>
                                <w:bCs/>
                              </w:rPr>
                            </w:pPr>
                            <w:r>
                              <w:rPr>
                                <w:rFonts w:ascii="Times New Roman" w:hAnsi="Times New Roman" w:cs="Times New Roman"/>
                                <w:b/>
                                <w:bCs/>
                              </w:rPr>
                              <w:t>c)</w:t>
                            </w:r>
                          </w:p>
                        </w:txbxContent>
                      </v:textbox>
                    </v:rect>
                  </w:pict>
                </mc:Fallback>
              </mc:AlternateContent>
            </w:r>
            <w:r>
              <w:rPr>
                <w:rFonts w:ascii="Times New Roman" w:hAnsi="Times New Roman" w:cs="Times New Roman"/>
                <w:b/>
                <w:bCs/>
                <w:noProof/>
                <w:sz w:val="24"/>
                <w:szCs w:val="24"/>
                <w:lang w:val="en-US" w:bidi="ar-SA"/>
              </w:rPr>
              <mc:AlternateContent>
                <mc:Choice Requires="wps">
                  <w:drawing>
                    <wp:anchor distT="0" distB="0" distL="114300" distR="114300" simplePos="0" relativeHeight="53" behindDoc="0" locked="0" layoutInCell="1" hidden="0" allowOverlap="1" wp14:anchorId="5A51E7E3" wp14:editId="1339DD3D">
                      <wp:simplePos x="0" y="0"/>
                      <wp:positionH relativeFrom="column">
                        <wp:posOffset>102870</wp:posOffset>
                      </wp:positionH>
                      <wp:positionV relativeFrom="paragraph">
                        <wp:posOffset>622300</wp:posOffset>
                      </wp:positionV>
                      <wp:extent cx="1202055" cy="294004"/>
                      <wp:effectExtent l="0" t="0" r="0" b="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02055" cy="294004"/>
                              </a:xfrm>
                              <a:prstGeom prst="rect">
                                <a:avLst/>
                              </a:prstGeom>
                              <a:solidFill>
                                <a:srgbClr val="FFFFFF"/>
                              </a:solidFill>
                              <a:ln w="9525" cap="flat" cmpd="sng">
                                <a:noFill/>
                                <a:prstDash val="solid"/>
                                <a:miter/>
                              </a:ln>
                            </wps:spPr>
                            <wps:txbx>
                              <w:txbxContent>
                                <w:p w14:paraId="36B2B13D" w14:textId="77777777" w:rsidR="00D879A9" w:rsidRPr="00F150EC" w:rsidRDefault="00000000">
                                  <w:pPr>
                                    <w:rPr>
                                      <w:lang w:val="de-DE"/>
                                    </w:rPr>
                                  </w:pPr>
                                  <w:r w:rsidRPr="00F150EC">
                                    <w:rPr>
                                      <w:rFonts w:ascii="Times New Roman" w:hAnsi="Times New Roman" w:cs="Times New Roman"/>
                                      <w:b/>
                                      <w:bCs/>
                                      <w:sz w:val="20"/>
                                      <w:szCs w:val="20"/>
                                      <w:lang w:val="de-DE"/>
                                    </w:rPr>
                                    <w:t xml:space="preserve">Nitrogen </w:t>
                                  </w:r>
                                  <w:r w:rsidRPr="00F150EC">
                                    <w:rPr>
                                      <w:rFonts w:ascii="Times New Roman" w:hAnsi="Times New Roman" w:cs="Times New Roman"/>
                                      <w:b/>
                                      <w:bCs/>
                                      <w:color w:val="000000"/>
                                      <w:sz w:val="20"/>
                                      <w:szCs w:val="20"/>
                                      <w:lang w:val="de-DE"/>
                                    </w:rPr>
                                    <w:t>(kg ha</w:t>
                                  </w:r>
                                  <w:r w:rsidRPr="00F150EC">
                                    <w:rPr>
                                      <w:rFonts w:ascii="Times New Roman" w:hAnsi="Times New Roman" w:cs="Times New Roman"/>
                                      <w:b/>
                                      <w:bCs/>
                                      <w:color w:val="000000"/>
                                      <w:sz w:val="20"/>
                                      <w:szCs w:val="20"/>
                                      <w:vertAlign w:val="superscript"/>
                                      <w:lang w:val="de-DE"/>
                                    </w:rPr>
                                    <w:t>-</w:t>
                                  </w:r>
                                  <w:r w:rsidRPr="00F150EC">
                                    <w:rPr>
                                      <w:rFonts w:ascii="Times New Roman" w:hAnsi="Times New Roman" w:cs="Times New Roman"/>
                                      <w:b/>
                                      <w:bCs/>
                                      <w:color w:val="000000"/>
                                      <w:sz w:val="24"/>
                                      <w:szCs w:val="24"/>
                                      <w:vertAlign w:val="superscript"/>
                                      <w:lang w:val="de-DE"/>
                                    </w:rPr>
                                    <w:t>1</w:t>
                                  </w:r>
                                  <w:r w:rsidRPr="00F150EC">
                                    <w:rPr>
                                      <w:rFonts w:ascii="Times New Roman" w:hAnsi="Times New Roman" w:cs="Times New Roman"/>
                                      <w:b/>
                                      <w:bCs/>
                                      <w:color w:val="000000"/>
                                      <w:sz w:val="24"/>
                                      <w:szCs w:val="24"/>
                                      <w:lang w:val="de-DE"/>
                                    </w:rPr>
                                    <w:t>)</w:t>
                                  </w:r>
                                  <w:r w:rsidRPr="00F150EC">
                                    <w:rPr>
                                      <w:lang w:val="de-DE"/>
                                    </w:rPr>
                                    <w:t xml:space="preserve"> </w:t>
                                  </w:r>
                                  <w:r w:rsidRPr="00F150EC">
                                    <w:rPr>
                                      <w:rFonts w:ascii="Times New Roman" w:hAnsi="Times New Roman" w:cs="Times New Roman"/>
                                      <w:b/>
                                      <w:color w:val="000000"/>
                                      <w:sz w:val="24"/>
                                      <w:szCs w:val="24"/>
                                      <w:lang w:val="de-DE"/>
                                    </w:rPr>
                                    <w:t>(kg ha</w:t>
                                  </w:r>
                                  <w:r w:rsidRPr="00F150EC">
                                    <w:rPr>
                                      <w:rFonts w:ascii="Times New Roman" w:hAnsi="Times New Roman" w:cs="Times New Roman"/>
                                      <w:b/>
                                      <w:color w:val="000000"/>
                                      <w:sz w:val="24"/>
                                      <w:szCs w:val="24"/>
                                      <w:vertAlign w:val="superscript"/>
                                      <w:lang w:val="de-DE"/>
                                    </w:rPr>
                                    <w:t>-1</w:t>
                                  </w:r>
                                  <w:r w:rsidRPr="00F150EC">
                                    <w:rPr>
                                      <w:rFonts w:ascii="Times New Roman" w:hAnsi="Times New Roman" w:cs="Times New Roman"/>
                                      <w:b/>
                                      <w:color w:val="000000"/>
                                      <w:sz w:val="24"/>
                                      <w:szCs w:val="24"/>
                                      <w:lang w:val="de-DE"/>
                                    </w:rPr>
                                    <w:t>)</w:t>
                                  </w:r>
                                </w:p>
                              </w:txbxContent>
                            </wps:txbx>
                            <wps:bodyPr vert="horz" wrap="square" lIns="91440" tIns="45720" rIns="91440" bIns="45720" anchor="t" anchorCtr="0">
                              <a:noAutofit/>
                            </wps:bodyPr>
                          </wps:wsp>
                        </a:graphicData>
                      </a:graphic>
                    </wp:anchor>
                  </w:drawing>
                </mc:Choice>
                <mc:Fallback>
                  <w:pict>
                    <v:rect w14:anchorId="5A51E7E3" id="文本框 38" o:spid="_x0000_s1035" style="position:absolute;margin-left:8.1pt;margin-top:49pt;width:94.65pt;height:23.15pt;rotation:-90;z-index: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" stroked="f">
                      <v:textbox>
                        <w:txbxContent>
                          <w:p w14:paraId="36B2B13D" w14:textId="77777777" w:rsidR="00D879A9" w:rsidRPr="00F150EC" w:rsidRDefault="00000000">
                            <w:pPr>
                              <w:rPr>
                                <w:lang w:val="de-DE"/>
                              </w:rPr>
                            </w:pPr>
                            <w:r w:rsidRPr="00F150EC">
                              <w:rPr>
                                <w:rFonts w:ascii="Times New Roman" w:hAnsi="Times New Roman" w:cs="Times New Roman"/>
                                <w:b/>
                                <w:bCs/>
                                <w:sz w:val="20"/>
                                <w:szCs w:val="20"/>
                                <w:lang w:val="de-DE"/>
                              </w:rPr>
                              <w:t xml:space="preserve">Nitrogen </w:t>
                            </w:r>
                            <w:r w:rsidRPr="00F150EC">
                              <w:rPr>
                                <w:rFonts w:ascii="Times New Roman" w:hAnsi="Times New Roman" w:cs="Times New Roman"/>
                                <w:b/>
                                <w:bCs/>
                                <w:color w:val="000000"/>
                                <w:sz w:val="20"/>
                                <w:szCs w:val="20"/>
                                <w:lang w:val="de-DE"/>
                              </w:rPr>
                              <w:t>(kg ha</w:t>
                            </w:r>
                            <w:r w:rsidRPr="00F150EC">
                              <w:rPr>
                                <w:rFonts w:ascii="Times New Roman" w:hAnsi="Times New Roman" w:cs="Times New Roman"/>
                                <w:b/>
                                <w:bCs/>
                                <w:color w:val="000000"/>
                                <w:sz w:val="20"/>
                                <w:szCs w:val="20"/>
                                <w:vertAlign w:val="superscript"/>
                                <w:lang w:val="de-DE"/>
                              </w:rPr>
                              <w:t>-</w:t>
                            </w:r>
                            <w:r w:rsidRPr="00F150EC">
                              <w:rPr>
                                <w:rFonts w:ascii="Times New Roman" w:hAnsi="Times New Roman" w:cs="Times New Roman"/>
                                <w:b/>
                                <w:bCs/>
                                <w:color w:val="000000"/>
                                <w:sz w:val="24"/>
                                <w:szCs w:val="24"/>
                                <w:vertAlign w:val="superscript"/>
                                <w:lang w:val="de-DE"/>
                              </w:rPr>
                              <w:t>1</w:t>
                            </w:r>
                            <w:r w:rsidRPr="00F150EC">
                              <w:rPr>
                                <w:rFonts w:ascii="Times New Roman" w:hAnsi="Times New Roman" w:cs="Times New Roman"/>
                                <w:b/>
                                <w:bCs/>
                                <w:color w:val="000000"/>
                                <w:sz w:val="24"/>
                                <w:szCs w:val="24"/>
                                <w:lang w:val="de-DE"/>
                              </w:rPr>
                              <w:t>)</w:t>
                            </w:r>
                            <w:r w:rsidRPr="00F150EC">
                              <w:rPr>
                                <w:lang w:val="de-DE"/>
                              </w:rPr>
                              <w:t xml:space="preserve"> </w:t>
                            </w:r>
                            <w:r w:rsidRPr="00F150EC">
                              <w:rPr>
                                <w:rFonts w:ascii="Times New Roman" w:hAnsi="Times New Roman" w:cs="Times New Roman"/>
                                <w:b/>
                                <w:color w:val="000000"/>
                                <w:sz w:val="24"/>
                                <w:szCs w:val="24"/>
                                <w:lang w:val="de-DE"/>
                              </w:rPr>
                              <w:t>(kg ha</w:t>
                            </w:r>
                            <w:r w:rsidRPr="00F150EC">
                              <w:rPr>
                                <w:rFonts w:ascii="Times New Roman" w:hAnsi="Times New Roman" w:cs="Times New Roman"/>
                                <w:b/>
                                <w:color w:val="000000"/>
                                <w:sz w:val="24"/>
                                <w:szCs w:val="24"/>
                                <w:vertAlign w:val="superscript"/>
                                <w:lang w:val="de-DE"/>
                              </w:rPr>
                              <w:t>-1</w:t>
                            </w:r>
                            <w:r w:rsidRPr="00F150EC">
                              <w:rPr>
                                <w:rFonts w:ascii="Times New Roman" w:hAnsi="Times New Roman" w:cs="Times New Roman"/>
                                <w:b/>
                                <w:color w:val="000000"/>
                                <w:sz w:val="24"/>
                                <w:szCs w:val="24"/>
                                <w:lang w:val="de-DE"/>
                              </w:rPr>
                              <w:t>)</w:t>
                            </w:r>
                          </w:p>
                        </w:txbxContent>
                      </v:textbox>
                    </v:rect>
                  </w:pict>
                </mc:Fallback>
              </mc:AlternateContent>
            </w:r>
            <w:r>
              <w:t xml:space="preserve">                      </w:t>
            </w:r>
            <w:r>
              <w:rPr>
                <w:rFonts w:ascii="Times New Roman" w:hAnsi="Times New Roman" w:cs="Times New Roman"/>
                <w:b/>
                <w:bCs/>
                <w:sz w:val="24"/>
                <w:szCs w:val="24"/>
              </w:rPr>
              <w:t xml:space="preserve">  </w:t>
            </w:r>
            <w:r>
              <w:t xml:space="preserve">  </w:t>
            </w:r>
            <w:r>
              <w:rPr>
                <w:rFonts w:ascii="Times New Roman" w:hAnsi="Times New Roman" w:cs="Times New Roman"/>
                <w:b/>
                <w:bCs/>
                <w:noProof/>
                <w:sz w:val="24"/>
                <w:szCs w:val="24"/>
                <w:lang w:val="en-US" w:bidi="ar-SA"/>
              </w:rPr>
              <w:drawing>
                <wp:inline distT="0" distB="0" distL="0" distR="0" wp14:anchorId="2DE9249C" wp14:editId="642E3808">
                  <wp:extent cx="4046483" cy="1828800"/>
                  <wp:effectExtent l="0" t="0" r="0" b="0"/>
                  <wp:docPr id="41" name="图片 41" descr="F:\Anusha_paper\paper_f\BOXPLOTS\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13"/>
                          <a:srcRect l="3909" t="12251" b="16009"/>
                          <a:stretch>
                            <a:fillRect/>
                          </a:stretch>
                        </pic:blipFill>
                        <pic:spPr>
                          <a:xfrm>
                            <a:off x="0" y="0"/>
                            <a:ext cx="4046483" cy="1828800"/>
                          </a:xfrm>
                          <a:prstGeom prst="rect">
                            <a:avLst/>
                          </a:prstGeom>
                          <a:noFill/>
                          <a:ln w="12700" cap="flat" cmpd="sng">
                            <a:noFill/>
                            <a:prstDash val="solid"/>
                            <a:round/>
                          </a:ln>
                        </pic:spPr>
                      </pic:pic>
                    </a:graphicData>
                  </a:graphic>
                </wp:inline>
              </w:drawing>
            </w:r>
            <w:r>
              <w:t xml:space="preserve">      </w:t>
            </w:r>
          </w:p>
        </w:tc>
      </w:tr>
      <w:tr w:rsidR="00D879A9" w14:paraId="4286A3D7" w14:textId="77777777">
        <w:trPr>
          <w:trHeight w:val="2324"/>
        </w:trPr>
        <w:tc>
          <w:tcPr>
            <w:tcW w:w="9360" w:type="dxa"/>
          </w:tcPr>
          <w:p w14:paraId="5A265B3F" w14:textId="77777777" w:rsidR="00D879A9" w:rsidRDefault="00000000">
            <w:pPr>
              <w:spacing w:after="0" w:line="360" w:lineRule="auto"/>
            </w:pPr>
            <w:r>
              <w:rPr>
                <w:noProof/>
                <w:lang w:val="en-US" w:bidi="ar-SA"/>
              </w:rPr>
              <mc:AlternateContent>
                <mc:Choice Requires="wps">
                  <w:drawing>
                    <wp:anchor distT="0" distB="0" distL="114300" distR="114300" simplePos="0" relativeHeight="64" behindDoc="0" locked="0" layoutInCell="1" hidden="0" allowOverlap="1" wp14:anchorId="5C28700F" wp14:editId="165FD189">
                      <wp:simplePos x="0" y="0"/>
                      <wp:positionH relativeFrom="column">
                        <wp:posOffset>661670</wp:posOffset>
                      </wp:positionH>
                      <wp:positionV relativeFrom="paragraph">
                        <wp:posOffset>203834</wp:posOffset>
                      </wp:positionV>
                      <wp:extent cx="322579" cy="290194"/>
                      <wp:effectExtent l="0" t="0" r="0" b="0"/>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79" cy="290194"/>
                              </a:xfrm>
                              <a:prstGeom prst="rect">
                                <a:avLst/>
                              </a:prstGeom>
                              <a:solidFill>
                                <a:srgbClr val="FFFFFF"/>
                              </a:solidFill>
                              <a:ln w="9525" cap="flat" cmpd="sng">
                                <a:noFill/>
                                <a:prstDash val="solid"/>
                                <a:miter/>
                              </a:ln>
                            </wps:spPr>
                            <wps:txbx>
                              <w:txbxContent>
                                <w:p w14:paraId="1FB01F1A" w14:textId="77777777" w:rsidR="00D879A9" w:rsidRDefault="00000000">
                                  <w:pPr>
                                    <w:rPr>
                                      <w:rFonts w:ascii="Times New Roman" w:hAnsi="Times New Roman" w:cs="Times New Roman"/>
                                      <w:b/>
                                      <w:bCs/>
                                    </w:rPr>
                                  </w:pPr>
                                  <w:r>
                                    <w:rPr>
                                      <w:rFonts w:ascii="Times New Roman" w:hAnsi="Times New Roman" w:cs="Times New Roman"/>
                                      <w:b/>
                                      <w:bCs/>
                                    </w:rPr>
                                    <w:t>d)</w:t>
                                  </w:r>
                                </w:p>
                              </w:txbxContent>
                            </wps:txbx>
                            <wps:bodyPr vert="horz" wrap="square" lIns="91440" tIns="45720" rIns="91440" bIns="45720" anchor="t" anchorCtr="0">
                              <a:noAutofit/>
                            </wps:bodyPr>
                          </wps:wsp>
                        </a:graphicData>
                      </a:graphic>
                    </wp:anchor>
                  </w:drawing>
                </mc:Choice>
                <mc:Fallback>
                  <w:pict>
                    <v:rect w14:anchorId="5C28700F" id="文本框 44" o:spid="_x0000_s1036" style="position:absolute;margin-left:52.1pt;margin-top:16.05pt;width:25.4pt;height:22.85pt;z-index: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" stroked="f">
                      <v:textbox>
                        <w:txbxContent>
                          <w:p w14:paraId="1FB01F1A" w14:textId="77777777" w:rsidR="00D879A9" w:rsidRDefault="00000000">
                            <w:pPr>
                              <w:rPr>
                                <w:rFonts w:ascii="Times New Roman" w:hAnsi="Times New Roman" w:cs="Times New Roman"/>
                                <w:b/>
                                <w:bCs/>
                              </w:rPr>
                            </w:pPr>
                            <w:r>
                              <w:rPr>
                                <w:rFonts w:ascii="Times New Roman" w:hAnsi="Times New Roman" w:cs="Times New Roman"/>
                                <w:b/>
                                <w:bCs/>
                              </w:rPr>
                              <w:t>d)</w:t>
                            </w:r>
                          </w:p>
                        </w:txbxContent>
                      </v:textbox>
                    </v:rect>
                  </w:pict>
                </mc:Fallback>
              </mc:AlternateContent>
            </w:r>
          </w:p>
          <w:p w14:paraId="0C876DA9" w14:textId="77777777" w:rsidR="00D879A9" w:rsidRDefault="00000000">
            <w:pPr>
              <w:spacing w:after="0" w:line="360" w:lineRule="auto"/>
            </w:pPr>
            <w:r>
              <w:rPr>
                <w:rFonts w:ascii="Times New Roman" w:hAnsi="Times New Roman" w:cs="Times New Roman"/>
                <w:b/>
                <w:bCs/>
                <w:noProof/>
                <w:sz w:val="24"/>
                <w:szCs w:val="24"/>
                <w:lang w:val="en-US" w:bidi="ar-SA"/>
              </w:rPr>
              <w:lastRenderedPageBreak/>
              <mc:AlternateContent>
                <mc:Choice Requires="wps">
                  <w:drawing>
                    <wp:anchor distT="0" distB="0" distL="114300" distR="114300" simplePos="0" relativeHeight="54" behindDoc="0" locked="0" layoutInCell="1" hidden="0" allowOverlap="1" wp14:anchorId="74F61F53" wp14:editId="211CB9F3">
                      <wp:simplePos x="0" y="0"/>
                      <wp:positionH relativeFrom="column">
                        <wp:posOffset>54610</wp:posOffset>
                      </wp:positionH>
                      <wp:positionV relativeFrom="paragraph">
                        <wp:posOffset>575945</wp:posOffset>
                      </wp:positionV>
                      <wp:extent cx="1202055" cy="396240"/>
                      <wp:effectExtent l="0" t="0" r="0" b="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02055" cy="396240"/>
                              </a:xfrm>
                              <a:prstGeom prst="rect">
                                <a:avLst/>
                              </a:prstGeom>
                              <a:solidFill>
                                <a:srgbClr val="FFFFFF"/>
                              </a:solidFill>
                              <a:ln w="9525" cap="flat" cmpd="sng">
                                <a:noFill/>
                                <a:prstDash val="solid"/>
                                <a:miter/>
                              </a:ln>
                            </wps:spPr>
                            <wps:txbx>
                              <w:txbxContent>
                                <w:p w14:paraId="73204831" w14:textId="77777777" w:rsidR="00D879A9" w:rsidRDefault="00000000">
                                  <w:pPr>
                                    <w:spacing w:before="240" w:after="240" w:line="360" w:lineRule="auto"/>
                                    <w:jc w:val="both"/>
                                    <w:rPr>
                                      <w:rFonts w:ascii="Times New Roman" w:hAnsi="Times New Roman" w:cs="Times New Roman"/>
                                      <w:b/>
                                      <w:sz w:val="20"/>
                                      <w:szCs w:val="20"/>
                                    </w:rPr>
                                  </w:pPr>
                                  <w:r>
                                    <w:rPr>
                                      <w:rFonts w:ascii="Times New Roman" w:hAnsi="Times New Roman" w:cs="Times New Roman"/>
                                      <w:b/>
                                      <w:sz w:val="20"/>
                                      <w:szCs w:val="20"/>
                                    </w:rPr>
                                    <w:t>P</w:t>
                                  </w:r>
                                  <w:r>
                                    <w:rPr>
                                      <w:rFonts w:ascii="Times New Roman" w:hAnsi="Times New Roman" w:cs="Times New Roman"/>
                                      <w:b/>
                                      <w:sz w:val="20"/>
                                      <w:szCs w:val="20"/>
                                      <w:vertAlign w:val="subscript"/>
                                    </w:rPr>
                                    <w:t>2</w:t>
                                  </w:r>
                                  <w:r>
                                    <w:rPr>
                                      <w:rFonts w:ascii="Times New Roman" w:hAnsi="Times New Roman" w:cs="Times New Roman"/>
                                      <w:b/>
                                      <w:sz w:val="20"/>
                                      <w:szCs w:val="20"/>
                                    </w:rPr>
                                    <w:t>O</w:t>
                                  </w:r>
                                  <w:proofErr w:type="gramStart"/>
                                  <w:r>
                                    <w:rPr>
                                      <w:rFonts w:ascii="Times New Roman" w:hAnsi="Times New Roman" w:cs="Times New Roman"/>
                                      <w:b/>
                                      <w:sz w:val="20"/>
                                      <w:szCs w:val="20"/>
                                      <w:vertAlign w:val="subscript"/>
                                    </w:rPr>
                                    <w:t xml:space="preserve">5  </w:t>
                                  </w:r>
                                  <w:r>
                                    <w:rPr>
                                      <w:rFonts w:ascii="Times New Roman" w:hAnsi="Times New Roman" w:cs="Times New Roman"/>
                                      <w:b/>
                                      <w:color w:val="000000"/>
                                      <w:sz w:val="20"/>
                                      <w:szCs w:val="20"/>
                                    </w:rPr>
                                    <w:t>(</w:t>
                                  </w:r>
                                  <w:proofErr w:type="gramEnd"/>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p>
                                <w:p w14:paraId="387E6B66" w14:textId="77777777" w:rsidR="00D879A9" w:rsidRDefault="00000000">
                                  <w:pPr>
                                    <w:spacing w:before="240" w:after="240" w:line="360" w:lineRule="auto"/>
                                    <w:jc w:val="both"/>
                                    <w:rPr>
                                      <w:rFonts w:ascii="Times New Roman" w:hAnsi="Times New Roman" w:cs="Times New Roman"/>
                                      <w:b/>
                                      <w:sz w:val="24"/>
                                      <w:szCs w:val="24"/>
                                    </w:rPr>
                                  </w:pPr>
                                  <w:r>
                                    <w:rPr>
                                      <w:rFonts w:ascii="Times New Roman" w:hAnsi="Times New Roman" w:cs="Times New Roman"/>
                                      <w:b/>
                                      <w:sz w:val="24"/>
                                      <w:szCs w:val="24"/>
                                    </w:rPr>
                                    <w:t>O</w:t>
                                  </w:r>
                                  <w:r>
                                    <w:rPr>
                                      <w:rFonts w:ascii="Times New Roman" w:hAnsi="Times New Roman" w:cs="Times New Roman"/>
                                      <w:b/>
                                      <w:sz w:val="24"/>
                                      <w:szCs w:val="24"/>
                                      <w:vertAlign w:val="subscript"/>
                                    </w:rPr>
                                    <w:t>5</w:t>
                                  </w:r>
                                </w:p>
                                <w:p w14:paraId="64EAFB99" w14:textId="77777777" w:rsidR="00D879A9" w:rsidRDefault="00000000">
                                  <w:r>
                                    <w:rPr>
                                      <w:rFonts w:ascii="Times New Roman" w:hAnsi="Times New Roman" w:cs="Times New Roman"/>
                                      <w:color w:val="000000"/>
                                      <w:sz w:val="20"/>
                                      <w:szCs w:val="20"/>
                                    </w:rPr>
                                    <w:t xml:space="preserve"> (kg ha</w:t>
                                  </w:r>
                                  <w:r>
                                    <w:rPr>
                                      <w:rFonts w:ascii="Times New Roman" w:hAnsi="Times New Roman" w:cs="Times New Roman"/>
                                      <w:color w:val="000000"/>
                                      <w:sz w:val="20"/>
                                      <w:szCs w:val="20"/>
                                      <w:vertAlign w:val="superscript"/>
                                    </w:rPr>
                                    <w:t>-</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w:t>
                                  </w:r>
                                  <w:r>
                                    <w:t xml:space="preserve"> </w:t>
                                  </w:r>
                                  <w:r>
                                    <w:rPr>
                                      <w:rFonts w:ascii="Times New Roman" w:hAnsi="Times New Roman" w:cs="Times New Roman"/>
                                      <w:b/>
                                      <w:color w:val="000000"/>
                                      <w:sz w:val="24"/>
                                      <w:szCs w:val="24"/>
                                    </w:rPr>
                                    <w:t>(kg ha</w:t>
                                  </w:r>
                                  <w:r>
                                    <w:rPr>
                                      <w:rFonts w:ascii="Times New Roman" w:hAnsi="Times New Roman" w:cs="Times New Roman"/>
                                      <w:b/>
                                      <w:color w:val="000000"/>
                                      <w:sz w:val="24"/>
                                      <w:szCs w:val="24"/>
                                      <w:vertAlign w:val="superscript"/>
                                    </w:rPr>
                                    <w:t>-1</w:t>
                                  </w:r>
                                  <w:r>
                                    <w:rPr>
                                      <w:rFonts w:ascii="Times New Roman" w:hAnsi="Times New Roman" w:cs="Times New Roman"/>
                                      <w:b/>
                                      <w:color w:val="000000"/>
                                      <w:sz w:val="24"/>
                                      <w:szCs w:val="24"/>
                                    </w:rPr>
                                    <w:t>)</w:t>
                                  </w:r>
                                </w:p>
                              </w:txbxContent>
                            </wps:txbx>
                            <wps:bodyPr vert="horz" wrap="square" lIns="91440" tIns="45720" rIns="91440" bIns="45720" anchor="t" anchorCtr="0">
                              <a:noAutofit/>
                            </wps:bodyPr>
                          </wps:wsp>
                        </a:graphicData>
                      </a:graphic>
                    </wp:anchor>
                  </w:drawing>
                </mc:Choice>
                <mc:Fallback>
                  <w:pict>
                    <v:rect w14:anchorId="74F61F53" id="文本框 47" o:spid="_x0000_s1037" style="position:absolute;margin-left:4.3pt;margin-top:45.35pt;width:94.65pt;height:31.2pt;rotation:-90;z-index: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" stroked="f">
                      <v:textbox>
                        <w:txbxContent>
                          <w:p w14:paraId="73204831" w14:textId="77777777" w:rsidR="00D879A9" w:rsidRDefault="00000000">
                            <w:pPr>
                              <w:spacing w:before="240" w:after="240" w:line="360" w:lineRule="auto"/>
                              <w:jc w:val="both"/>
                              <w:rPr>
                                <w:rFonts w:ascii="Times New Roman" w:hAnsi="Times New Roman" w:cs="Times New Roman"/>
                                <w:b/>
                                <w:sz w:val="20"/>
                                <w:szCs w:val="20"/>
                              </w:rPr>
                            </w:pPr>
                            <w:r>
                              <w:rPr>
                                <w:rFonts w:ascii="Times New Roman" w:hAnsi="Times New Roman" w:cs="Times New Roman"/>
                                <w:b/>
                                <w:sz w:val="20"/>
                                <w:szCs w:val="20"/>
                              </w:rPr>
                              <w:t>P</w:t>
                            </w:r>
                            <w:r>
                              <w:rPr>
                                <w:rFonts w:ascii="Times New Roman" w:hAnsi="Times New Roman" w:cs="Times New Roman"/>
                                <w:b/>
                                <w:sz w:val="20"/>
                                <w:szCs w:val="20"/>
                                <w:vertAlign w:val="subscript"/>
                              </w:rPr>
                              <w:t>2</w:t>
                            </w:r>
                            <w:r>
                              <w:rPr>
                                <w:rFonts w:ascii="Times New Roman" w:hAnsi="Times New Roman" w:cs="Times New Roman"/>
                                <w:b/>
                                <w:sz w:val="20"/>
                                <w:szCs w:val="20"/>
                              </w:rPr>
                              <w:t>O</w:t>
                            </w:r>
                            <w:proofErr w:type="gramStart"/>
                            <w:r>
                              <w:rPr>
                                <w:rFonts w:ascii="Times New Roman" w:hAnsi="Times New Roman" w:cs="Times New Roman"/>
                                <w:b/>
                                <w:sz w:val="20"/>
                                <w:szCs w:val="20"/>
                                <w:vertAlign w:val="subscript"/>
                              </w:rPr>
                              <w:t xml:space="preserve">5  </w:t>
                            </w:r>
                            <w:r>
                              <w:rPr>
                                <w:rFonts w:ascii="Times New Roman" w:hAnsi="Times New Roman" w:cs="Times New Roman"/>
                                <w:b/>
                                <w:color w:val="000000"/>
                                <w:sz w:val="20"/>
                                <w:szCs w:val="20"/>
                              </w:rPr>
                              <w:t>(</w:t>
                            </w:r>
                            <w:proofErr w:type="gramEnd"/>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p>
                          <w:p w14:paraId="387E6B66" w14:textId="77777777" w:rsidR="00D879A9" w:rsidRDefault="00000000">
                            <w:pPr>
                              <w:spacing w:before="240" w:after="240" w:line="360" w:lineRule="auto"/>
                              <w:jc w:val="both"/>
                              <w:rPr>
                                <w:rFonts w:ascii="Times New Roman" w:hAnsi="Times New Roman" w:cs="Times New Roman"/>
                                <w:b/>
                                <w:sz w:val="24"/>
                                <w:szCs w:val="24"/>
                              </w:rPr>
                            </w:pPr>
                            <w:r>
                              <w:rPr>
                                <w:rFonts w:ascii="Times New Roman" w:hAnsi="Times New Roman" w:cs="Times New Roman"/>
                                <w:b/>
                                <w:sz w:val="24"/>
                                <w:szCs w:val="24"/>
                              </w:rPr>
                              <w:t>O</w:t>
                            </w:r>
                            <w:r>
                              <w:rPr>
                                <w:rFonts w:ascii="Times New Roman" w:hAnsi="Times New Roman" w:cs="Times New Roman"/>
                                <w:b/>
                                <w:sz w:val="24"/>
                                <w:szCs w:val="24"/>
                                <w:vertAlign w:val="subscript"/>
                              </w:rPr>
                              <w:t>5</w:t>
                            </w:r>
                          </w:p>
                          <w:p w14:paraId="64EAFB99" w14:textId="77777777" w:rsidR="00D879A9" w:rsidRDefault="00000000">
                            <w:r>
                              <w:rPr>
                                <w:rFonts w:ascii="Times New Roman" w:hAnsi="Times New Roman" w:cs="Times New Roman"/>
                                <w:color w:val="000000"/>
                                <w:sz w:val="20"/>
                                <w:szCs w:val="20"/>
                              </w:rPr>
                              <w:t xml:space="preserve"> (kg ha</w:t>
                            </w:r>
                            <w:r>
                              <w:rPr>
                                <w:rFonts w:ascii="Times New Roman" w:hAnsi="Times New Roman" w:cs="Times New Roman"/>
                                <w:color w:val="000000"/>
                                <w:sz w:val="20"/>
                                <w:szCs w:val="20"/>
                                <w:vertAlign w:val="superscript"/>
                              </w:rPr>
                              <w:t>-</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w:t>
                            </w:r>
                            <w:r>
                              <w:t xml:space="preserve"> </w:t>
                            </w:r>
                            <w:r>
                              <w:rPr>
                                <w:rFonts w:ascii="Times New Roman" w:hAnsi="Times New Roman" w:cs="Times New Roman"/>
                                <w:b/>
                                <w:color w:val="000000"/>
                                <w:sz w:val="24"/>
                                <w:szCs w:val="24"/>
                              </w:rPr>
                              <w:t>(kg ha</w:t>
                            </w:r>
                            <w:r>
                              <w:rPr>
                                <w:rFonts w:ascii="Times New Roman" w:hAnsi="Times New Roman" w:cs="Times New Roman"/>
                                <w:b/>
                                <w:color w:val="000000"/>
                                <w:sz w:val="24"/>
                                <w:szCs w:val="24"/>
                                <w:vertAlign w:val="superscript"/>
                              </w:rPr>
                              <w:t>-1</w:t>
                            </w:r>
                            <w:r>
                              <w:rPr>
                                <w:rFonts w:ascii="Times New Roman" w:hAnsi="Times New Roman" w:cs="Times New Roman"/>
                                <w:b/>
                                <w:color w:val="000000"/>
                                <w:sz w:val="24"/>
                                <w:szCs w:val="24"/>
                              </w:rPr>
                              <w:t>)</w:t>
                            </w:r>
                          </w:p>
                        </w:txbxContent>
                      </v:textbox>
                    </v:rect>
                  </w:pict>
                </mc:Fallback>
              </mc:AlternateContent>
            </w:r>
            <w:r>
              <w:t xml:space="preserve">                     </w:t>
            </w:r>
            <w:r>
              <w:rPr>
                <w:rFonts w:ascii="Times New Roman" w:hAnsi="Times New Roman" w:cs="Times New Roman"/>
                <w:b/>
                <w:bCs/>
                <w:noProof/>
                <w:sz w:val="24"/>
                <w:szCs w:val="24"/>
                <w:lang w:val="en-US" w:bidi="ar-SA"/>
              </w:rPr>
              <w:drawing>
                <wp:inline distT="0" distB="0" distL="0" distR="0" wp14:anchorId="6616706C" wp14:editId="05E3D493">
                  <wp:extent cx="4225159" cy="1828800"/>
                  <wp:effectExtent l="0" t="0" r="0" b="0"/>
                  <wp:docPr id="50" name="图片 50" descr="F:\Anusha_paper\paper_f\BOXPLOTS\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14"/>
                          <a:srcRect t="11828" b="15929"/>
                          <a:stretch>
                            <a:fillRect/>
                          </a:stretch>
                        </pic:blipFill>
                        <pic:spPr>
                          <a:xfrm>
                            <a:off x="0" y="0"/>
                            <a:ext cx="4225159" cy="1828800"/>
                          </a:xfrm>
                          <a:prstGeom prst="rect">
                            <a:avLst/>
                          </a:prstGeom>
                          <a:noFill/>
                          <a:ln w="12700" cap="flat" cmpd="sng">
                            <a:noFill/>
                            <a:prstDash val="solid"/>
                            <a:round/>
                          </a:ln>
                        </pic:spPr>
                      </pic:pic>
                    </a:graphicData>
                  </a:graphic>
                </wp:inline>
              </w:drawing>
            </w:r>
            <w:r>
              <w:t xml:space="preserve">            </w:t>
            </w:r>
          </w:p>
        </w:tc>
      </w:tr>
      <w:tr w:rsidR="00D879A9" w14:paraId="374E2DB4" w14:textId="77777777">
        <w:trPr>
          <w:trHeight w:val="2738"/>
        </w:trPr>
        <w:tc>
          <w:tcPr>
            <w:tcW w:w="9360" w:type="dxa"/>
          </w:tcPr>
          <w:p w14:paraId="424858D4" w14:textId="77777777" w:rsidR="00D879A9" w:rsidRDefault="00000000">
            <w:pPr>
              <w:spacing w:after="0" w:line="360" w:lineRule="auto"/>
            </w:pPr>
            <w:r>
              <w:rPr>
                <w:noProof/>
                <w:lang w:val="en-US" w:bidi="ar-SA"/>
              </w:rPr>
              <w:lastRenderedPageBreak/>
              <mc:AlternateContent>
                <mc:Choice Requires="wps">
                  <w:drawing>
                    <wp:anchor distT="0" distB="0" distL="114300" distR="114300" simplePos="0" relativeHeight="65" behindDoc="0" locked="0" layoutInCell="1" hidden="0" allowOverlap="1" wp14:anchorId="105ED01D" wp14:editId="2062B1AB">
                      <wp:simplePos x="0" y="0"/>
                      <wp:positionH relativeFrom="column">
                        <wp:posOffset>594360</wp:posOffset>
                      </wp:positionH>
                      <wp:positionV relativeFrom="paragraph">
                        <wp:posOffset>104139</wp:posOffset>
                      </wp:positionV>
                      <wp:extent cx="322579" cy="290195"/>
                      <wp:effectExtent l="0" t="0" r="0" b="0"/>
                      <wp:wrapNone/>
                      <wp:docPr id="53" name="文本框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79" cy="290195"/>
                              </a:xfrm>
                              <a:prstGeom prst="rect">
                                <a:avLst/>
                              </a:prstGeom>
                              <a:solidFill>
                                <a:srgbClr val="FFFFFF"/>
                              </a:solidFill>
                              <a:ln w="9525" cap="flat" cmpd="sng">
                                <a:noFill/>
                                <a:prstDash val="solid"/>
                                <a:miter/>
                              </a:ln>
                            </wps:spPr>
                            <wps:txbx>
                              <w:txbxContent>
                                <w:p w14:paraId="467F5BDC" w14:textId="77777777" w:rsidR="00D879A9" w:rsidRDefault="00000000">
                                  <w:pPr>
                                    <w:rPr>
                                      <w:rFonts w:ascii="Times New Roman" w:hAnsi="Times New Roman" w:cs="Times New Roman"/>
                                      <w:b/>
                                      <w:bCs/>
                                    </w:rPr>
                                  </w:pPr>
                                  <w:r>
                                    <w:rPr>
                                      <w:rFonts w:ascii="Times New Roman" w:hAnsi="Times New Roman" w:cs="Times New Roman"/>
                                      <w:b/>
                                      <w:bCs/>
                                    </w:rPr>
                                    <w:t>e)</w:t>
                                  </w:r>
                                </w:p>
                              </w:txbxContent>
                            </wps:txbx>
                            <wps:bodyPr vert="horz" wrap="square" lIns="91440" tIns="45720" rIns="91440" bIns="45720" anchor="t" anchorCtr="0">
                              <a:noAutofit/>
                            </wps:bodyPr>
                          </wps:wsp>
                        </a:graphicData>
                      </a:graphic>
                    </wp:anchor>
                  </w:drawing>
                </mc:Choice>
                <mc:Fallback>
                  <w:pict>
                    <v:rect w14:anchorId="105ED01D" id="文本框 53" o:spid="_x0000_s1038" style="position:absolute;margin-left:46.8pt;margin-top:8.2pt;width:25.4pt;height:22.85pt;z-index: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" stroked="f">
                      <v:textbox>
                        <w:txbxContent>
                          <w:p w14:paraId="467F5BDC" w14:textId="77777777" w:rsidR="00D879A9" w:rsidRDefault="00000000">
                            <w:pPr>
                              <w:rPr>
                                <w:rFonts w:ascii="Times New Roman" w:hAnsi="Times New Roman" w:cs="Times New Roman"/>
                                <w:b/>
                                <w:bCs/>
                              </w:rPr>
                            </w:pPr>
                            <w:r>
                              <w:rPr>
                                <w:rFonts w:ascii="Times New Roman" w:hAnsi="Times New Roman" w:cs="Times New Roman"/>
                                <w:b/>
                                <w:bCs/>
                              </w:rPr>
                              <w:t>e)</w:t>
                            </w:r>
                          </w:p>
                        </w:txbxContent>
                      </v:textbox>
                    </v:rect>
                  </w:pict>
                </mc:Fallback>
              </mc:AlternateContent>
            </w:r>
          </w:p>
          <w:p w14:paraId="6C84A22B" w14:textId="77777777" w:rsidR="00D879A9" w:rsidRDefault="00000000">
            <w:pPr>
              <w:spacing w:after="0" w:line="360" w:lineRule="auto"/>
              <w:rPr>
                <w:rFonts w:ascii="Times New Roman" w:hAnsi="Times New Roman" w:cs="Times New Roman"/>
                <w:b/>
                <w:bCs/>
              </w:rPr>
            </w:pPr>
            <w:r>
              <w:rPr>
                <w:noProof/>
                <w:lang w:val="en-US" w:bidi="ar-SA"/>
              </w:rPr>
              <mc:AlternateContent>
                <mc:Choice Requires="wps">
                  <w:drawing>
                    <wp:anchor distT="0" distB="0" distL="114300" distR="114300" simplePos="0" relativeHeight="66" behindDoc="0" locked="0" layoutInCell="1" hidden="0" allowOverlap="1" wp14:anchorId="0546AB64" wp14:editId="0329CCA3">
                      <wp:simplePos x="0" y="0"/>
                      <wp:positionH relativeFrom="column">
                        <wp:posOffset>581660</wp:posOffset>
                      </wp:positionH>
                      <wp:positionV relativeFrom="paragraph">
                        <wp:posOffset>1818640</wp:posOffset>
                      </wp:positionV>
                      <wp:extent cx="322580" cy="290195"/>
                      <wp:effectExtent l="0" t="0" r="0" b="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290195"/>
                              </a:xfrm>
                              <a:prstGeom prst="rect">
                                <a:avLst/>
                              </a:prstGeom>
                              <a:solidFill>
                                <a:srgbClr val="FFFFFF"/>
                              </a:solidFill>
                              <a:ln w="9525" cap="flat" cmpd="sng">
                                <a:noFill/>
                                <a:prstDash val="solid"/>
                                <a:miter/>
                              </a:ln>
                            </wps:spPr>
                            <wps:txbx>
                              <w:txbxContent>
                                <w:p w14:paraId="0C4D52AA" w14:textId="77777777" w:rsidR="00D879A9" w:rsidRDefault="00000000">
                                  <w:pPr>
                                    <w:rPr>
                                      <w:rFonts w:ascii="Times New Roman" w:hAnsi="Times New Roman" w:cs="Times New Roman"/>
                                      <w:b/>
                                      <w:bCs/>
                                    </w:rPr>
                                  </w:pPr>
                                  <w:r>
                                    <w:rPr>
                                      <w:rFonts w:ascii="Times New Roman" w:hAnsi="Times New Roman" w:cs="Times New Roman"/>
                                      <w:b/>
                                      <w:bCs/>
                                    </w:rPr>
                                    <w:t>f)</w:t>
                                  </w:r>
                                </w:p>
                              </w:txbxContent>
                            </wps:txbx>
                            <wps:bodyPr vert="horz" wrap="square" lIns="91440" tIns="45720" rIns="91440" bIns="45720" anchor="t" anchorCtr="0">
                              <a:noAutofit/>
                            </wps:bodyPr>
                          </wps:wsp>
                        </a:graphicData>
                      </a:graphic>
                    </wp:anchor>
                  </w:drawing>
                </mc:Choice>
                <mc:Fallback>
                  <w:pict>
                    <v:rect w14:anchorId="0546AB64" id="文本框 56" o:spid="_x0000_s1039" style="position:absolute;margin-left:45.8pt;margin-top:143.2pt;width:25.4pt;height:22.85pt;z-index: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" stroked="f">
                      <v:textbox>
                        <w:txbxContent>
                          <w:p w14:paraId="0C4D52AA" w14:textId="77777777" w:rsidR="00D879A9" w:rsidRDefault="00000000">
                            <w:pPr>
                              <w:rPr>
                                <w:rFonts w:ascii="Times New Roman" w:hAnsi="Times New Roman" w:cs="Times New Roman"/>
                                <w:b/>
                                <w:bCs/>
                              </w:rPr>
                            </w:pPr>
                            <w:r>
                              <w:rPr>
                                <w:rFonts w:ascii="Times New Roman" w:hAnsi="Times New Roman" w:cs="Times New Roman"/>
                                <w:b/>
                                <w:bCs/>
                              </w:rPr>
                              <w:t>f)</w:t>
                            </w:r>
                          </w:p>
                        </w:txbxContent>
                      </v:textbox>
                    </v:rect>
                  </w:pict>
                </mc:Fallback>
              </mc:AlternateContent>
            </w:r>
            <w:r>
              <w:rPr>
                <w:rFonts w:ascii="Times New Roman" w:hAnsi="Times New Roman" w:cs="Times New Roman"/>
                <w:b/>
                <w:bCs/>
                <w:noProof/>
                <w:sz w:val="24"/>
                <w:szCs w:val="24"/>
                <w:lang w:val="en-US" w:bidi="ar-SA"/>
              </w:rPr>
              <mc:AlternateContent>
                <mc:Choice Requires="wps">
                  <w:drawing>
                    <wp:anchor distT="0" distB="0" distL="114300" distR="114300" simplePos="0" relativeHeight="55" behindDoc="0" locked="0" layoutInCell="1" hidden="0" allowOverlap="1" wp14:anchorId="759C2A41" wp14:editId="030E03CB">
                      <wp:simplePos x="0" y="0"/>
                      <wp:positionH relativeFrom="column">
                        <wp:posOffset>24765</wp:posOffset>
                      </wp:positionH>
                      <wp:positionV relativeFrom="paragraph">
                        <wp:posOffset>475615</wp:posOffset>
                      </wp:positionV>
                      <wp:extent cx="1179830" cy="427355"/>
                      <wp:effectExtent l="0" t="0" r="0" b="0"/>
                      <wp:wrapNone/>
                      <wp:docPr id="59"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79830" cy="427355"/>
                              </a:xfrm>
                              <a:prstGeom prst="rect">
                                <a:avLst/>
                              </a:prstGeom>
                              <a:solidFill>
                                <a:srgbClr val="FFFFFF"/>
                              </a:solidFill>
                              <a:ln w="9525" cap="flat" cmpd="sng">
                                <a:noFill/>
                                <a:prstDash val="solid"/>
                                <a:miter/>
                              </a:ln>
                            </wps:spPr>
                            <wps:txbx>
                              <w:txbxContent>
                                <w:p w14:paraId="0D7A3AA3" w14:textId="77777777" w:rsidR="00D879A9" w:rsidRDefault="00000000">
                                  <w:pPr>
                                    <w:spacing w:before="240" w:after="240" w:line="360" w:lineRule="auto"/>
                                    <w:jc w:val="both"/>
                                    <w:rPr>
                                      <w:b/>
                                      <w:sz w:val="20"/>
                                      <w:szCs w:val="20"/>
                                    </w:rPr>
                                  </w:pPr>
                                  <w:r>
                                    <w:rPr>
                                      <w:rFonts w:ascii="Times New Roman" w:hAnsi="Times New Roman" w:cs="Times New Roman"/>
                                      <w:b/>
                                      <w:sz w:val="20"/>
                                      <w:szCs w:val="20"/>
                                    </w:rPr>
                                    <w:t>K</w:t>
                                  </w:r>
                                  <w:r>
                                    <w:rPr>
                                      <w:rFonts w:ascii="Times New Roman" w:hAnsi="Times New Roman" w:cs="Times New Roman"/>
                                      <w:b/>
                                      <w:sz w:val="20"/>
                                      <w:szCs w:val="20"/>
                                      <w:vertAlign w:val="subscript"/>
                                    </w:rPr>
                                    <w:t>2</w:t>
                                  </w:r>
                                  <w:r>
                                    <w:rPr>
                                      <w:rFonts w:ascii="Times New Roman" w:hAnsi="Times New Roman" w:cs="Times New Roman"/>
                                      <w:b/>
                                      <w:sz w:val="20"/>
                                      <w:szCs w:val="20"/>
                                    </w:rPr>
                                    <w:t xml:space="preserve">O </w:t>
                                  </w:r>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r>
                                    <w:rPr>
                                      <w:rFonts w:ascii="Times New Roman" w:hAnsi="Times New Roman" w:cs="Times New Roman"/>
                                      <w:b/>
                                      <w:sz w:val="20"/>
                                      <w:szCs w:val="20"/>
                                    </w:rPr>
                                    <w:t xml:space="preserve"> </w:t>
                                  </w:r>
                                </w:p>
                                <w:p w14:paraId="252842A7" w14:textId="77777777" w:rsidR="00D879A9" w:rsidRDefault="00D879A9"/>
                              </w:txbxContent>
                            </wps:txbx>
                            <wps:bodyPr vert="horz" wrap="square" lIns="91440" tIns="45720" rIns="91440" bIns="45720" anchor="t" anchorCtr="0">
                              <a:noAutofit/>
                            </wps:bodyPr>
                          </wps:wsp>
                        </a:graphicData>
                      </a:graphic>
                    </wp:anchor>
                  </w:drawing>
                </mc:Choice>
                <mc:Fallback>
                  <w:pict>
                    <v:rect w14:anchorId="759C2A41" id="文本框 59" o:spid="_x0000_s1040" style="position:absolute;margin-left:1.95pt;margin-top:37.45pt;width:92.9pt;height:33.65pt;rotation:-90;z-index: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" stroked="f">
                      <v:textbox>
                        <w:txbxContent>
                          <w:p w14:paraId="0D7A3AA3" w14:textId="77777777" w:rsidR="00D879A9" w:rsidRDefault="00000000">
                            <w:pPr>
                              <w:spacing w:before="240" w:after="240" w:line="360" w:lineRule="auto"/>
                              <w:jc w:val="both"/>
                              <w:rPr>
                                <w:b/>
                                <w:sz w:val="20"/>
                                <w:szCs w:val="20"/>
                              </w:rPr>
                            </w:pPr>
                            <w:r>
                              <w:rPr>
                                <w:rFonts w:ascii="Times New Roman" w:hAnsi="Times New Roman" w:cs="Times New Roman"/>
                                <w:b/>
                                <w:sz w:val="20"/>
                                <w:szCs w:val="20"/>
                              </w:rPr>
                              <w:t>K</w:t>
                            </w:r>
                            <w:r>
                              <w:rPr>
                                <w:rFonts w:ascii="Times New Roman" w:hAnsi="Times New Roman" w:cs="Times New Roman"/>
                                <w:b/>
                                <w:sz w:val="20"/>
                                <w:szCs w:val="20"/>
                                <w:vertAlign w:val="subscript"/>
                              </w:rPr>
                              <w:t>2</w:t>
                            </w:r>
                            <w:r>
                              <w:rPr>
                                <w:rFonts w:ascii="Times New Roman" w:hAnsi="Times New Roman" w:cs="Times New Roman"/>
                                <w:b/>
                                <w:sz w:val="20"/>
                                <w:szCs w:val="20"/>
                              </w:rPr>
                              <w:t xml:space="preserve">O </w:t>
                            </w:r>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r>
                              <w:rPr>
                                <w:rFonts w:ascii="Times New Roman" w:hAnsi="Times New Roman" w:cs="Times New Roman"/>
                                <w:b/>
                                <w:sz w:val="20"/>
                                <w:szCs w:val="20"/>
                              </w:rPr>
                              <w:t xml:space="preserve"> </w:t>
                            </w:r>
                          </w:p>
                          <w:p w14:paraId="252842A7" w14:textId="77777777" w:rsidR="00D879A9" w:rsidRDefault="00D879A9"/>
                        </w:txbxContent>
                      </v:textbox>
                    </v:rect>
                  </w:pict>
                </mc:Fallback>
              </mc:AlternateContent>
            </w:r>
            <w:r>
              <w:t xml:space="preserve">                       </w:t>
            </w:r>
            <w:r>
              <w:rPr>
                <w:rFonts w:ascii="Times New Roman" w:hAnsi="Times New Roman" w:cs="Times New Roman"/>
                <w:b/>
                <w:bCs/>
                <w:noProof/>
                <w:sz w:val="24"/>
                <w:szCs w:val="24"/>
                <w:lang w:val="en-US" w:bidi="ar-SA"/>
              </w:rPr>
              <w:drawing>
                <wp:inline distT="0" distB="0" distL="0" distR="0" wp14:anchorId="4BB436D2" wp14:editId="5BA7F958">
                  <wp:extent cx="4151586" cy="1805103"/>
                  <wp:effectExtent l="0" t="0" r="0" b="0"/>
                  <wp:docPr id="62" name="图片 62" descr="F:\Anusha_paper\paper_f\BOXPLOTS\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pic:nvPicPr>
                        <pic:blipFill>
                          <a:blip r:embed="rId15"/>
                          <a:srcRect l="2325" t="13944" b="16245"/>
                          <a:stretch>
                            <a:fillRect/>
                          </a:stretch>
                        </pic:blipFill>
                        <pic:spPr>
                          <a:xfrm>
                            <a:off x="0" y="0"/>
                            <a:ext cx="4151586" cy="1805103"/>
                          </a:xfrm>
                          <a:prstGeom prst="rect">
                            <a:avLst/>
                          </a:prstGeom>
                          <a:noFill/>
                          <a:ln w="12700" cap="flat" cmpd="sng">
                            <a:noFill/>
                            <a:prstDash val="solid"/>
                            <a:round/>
                          </a:ln>
                        </pic:spPr>
                      </pic:pic>
                    </a:graphicData>
                  </a:graphic>
                </wp:inline>
              </w:drawing>
            </w:r>
          </w:p>
        </w:tc>
      </w:tr>
      <w:tr w:rsidR="00D879A9" w14:paraId="1726745E" w14:textId="77777777">
        <w:trPr>
          <w:trHeight w:val="2655"/>
        </w:trPr>
        <w:tc>
          <w:tcPr>
            <w:tcW w:w="9360" w:type="dxa"/>
          </w:tcPr>
          <w:p w14:paraId="4D3C2363" w14:textId="77777777" w:rsidR="00D879A9" w:rsidRDefault="00000000">
            <w:pPr>
              <w:spacing w:after="0" w:line="360" w:lineRule="auto"/>
            </w:pPr>
            <w:r>
              <w:rPr>
                <w:noProof/>
                <w:lang w:val="en-US" w:bidi="ar-SA"/>
              </w:rPr>
              <mc:AlternateContent>
                <mc:Choice Requires="wps">
                  <w:drawing>
                    <wp:anchor distT="0" distB="0" distL="114300" distR="114300" simplePos="0" relativeHeight="67" behindDoc="0" locked="0" layoutInCell="1" hidden="0" allowOverlap="1" wp14:anchorId="56159AC1" wp14:editId="15DECCA3">
                      <wp:simplePos x="0" y="0"/>
                      <wp:positionH relativeFrom="column">
                        <wp:posOffset>0</wp:posOffset>
                      </wp:positionH>
                      <wp:positionV relativeFrom="paragraph">
                        <wp:posOffset>0</wp:posOffset>
                      </wp:positionV>
                      <wp:extent cx="5507990" cy="1186286"/>
                      <wp:effectExtent l="0" t="0" r="0" b="0"/>
                      <wp:wrapNone/>
                      <wp:docPr id="65" name="文本框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186286"/>
                              </a:xfrm>
                              <a:prstGeom prst="rect">
                                <a:avLst/>
                              </a:prstGeom>
                              <a:solidFill>
                                <a:srgbClr val="FFFFFF"/>
                              </a:solidFill>
                              <a:ln w="9525" cap="flat" cmpd="sng">
                                <a:solidFill>
                                  <a:srgbClr val="000000"/>
                                </a:solidFill>
                                <a:prstDash val="solid"/>
                                <a:miter/>
                              </a:ln>
                            </wps:spPr>
                            <wps:txbx>
                              <w:txbxContent>
                                <w:p w14:paraId="3776218F" w14:textId="77777777" w:rsidR="00D879A9" w:rsidRDefault="0000000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4:Boxplot</w:t>
                                  </w:r>
                                  <w:proofErr w:type="gramEnd"/>
                                  <w:r>
                                    <w:rPr>
                                      <w:rFonts w:ascii="Times New Roman" w:hAnsi="Times New Roman" w:cs="Times New Roman"/>
                                      <w:sz w:val="24"/>
                                      <w:szCs w:val="24"/>
                                    </w:rPr>
                                    <w:t xml:space="preserve"> showing the effect of biochar along with different organic amendments on a)soil pH b)Organic Carbon ((g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c) Nitrogen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)d)</w:t>
                                  </w:r>
                                  <w:r>
                                    <w:rPr>
                                      <w:rFonts w:ascii="Times New Roman" w:hAnsi="Times New Roman" w:cs="Times New Roman"/>
                                      <w:sz w:val="24"/>
                                      <w:szCs w:val="24"/>
                                    </w:rPr>
                                    <w:t xml:space="preserve"> P</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 xml:space="preserve">5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e) K</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f) Ca (c mol (p+) kg</w:t>
                                  </w:r>
                                  <w:r>
                                    <w:rPr>
                                      <w:rFonts w:ascii="Times New Roman" w:hAnsi="Times New Roman" w:cs="Times New Roman"/>
                                      <w:sz w:val="24"/>
                                      <w:szCs w:val="24"/>
                                      <w:vertAlign w:val="superscript"/>
                                    </w:rPr>
                                    <w:t>-1</w:t>
                                  </w:r>
                                  <w:r>
                                    <w:rPr>
                                      <w:rFonts w:ascii="Times New Roman" w:hAnsi="Times New Roman" w:cs="Times New Roman"/>
                                      <w:sz w:val="24"/>
                                      <w:szCs w:val="24"/>
                                    </w:rPr>
                                    <w:t>) g) Mg (c mol (p+)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h) S   </w:t>
                                  </w:r>
                                  <w:r>
                                    <w:rPr>
                                      <w:rFonts w:ascii="Times New Roman" w:hAnsi="Times New Roman" w:cs="Times New Roman"/>
                                      <w:color w:val="000000"/>
                                      <w:sz w:val="24"/>
                                      <w:szCs w:val="24"/>
                                    </w:rPr>
                                    <w:t>(mg kg</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p>
                              </w:txbxContent>
                            </wps:txbx>
                            <wps:bodyPr vert="horz" wrap="square" lIns="91440" tIns="45720" rIns="91440" bIns="45720" anchor="t" anchorCtr="0">
                              <a:spAutoFit/>
                            </wps:bodyPr>
                          </wps:wsp>
                        </a:graphicData>
                      </a:graphic>
                    </wp:anchor>
                  </w:drawing>
                </mc:Choice>
                <mc:Fallback>
                  <w:pict>
                    <v:rect w14:anchorId="56159AC1" id="文本框 65" o:spid="_x0000_s1041" style="position:absolute;margin-left:0;margin-top:0;width:433.7pt;height:93.4pt;z-index: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">
                      <v:path arrowok="t"/>
                      <v:textbox style="mso-fit-shape-to-text:t">
                        <w:txbxContent>
                          <w:p w14:paraId="3776218F" w14:textId="77777777" w:rsidR="00D879A9" w:rsidRDefault="0000000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4:Boxplot</w:t>
                            </w:r>
                            <w:proofErr w:type="gramEnd"/>
                            <w:r>
                              <w:rPr>
                                <w:rFonts w:ascii="Times New Roman" w:hAnsi="Times New Roman" w:cs="Times New Roman"/>
                                <w:sz w:val="24"/>
                                <w:szCs w:val="24"/>
                              </w:rPr>
                              <w:t xml:space="preserve"> showing the effect of biochar along with different organic amendments on a)soil pH b)Organic Carbon ((g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c) Nitrogen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)d)</w:t>
                            </w:r>
                            <w:r>
                              <w:rPr>
                                <w:rFonts w:ascii="Times New Roman" w:hAnsi="Times New Roman" w:cs="Times New Roman"/>
                                <w:sz w:val="24"/>
                                <w:szCs w:val="24"/>
                              </w:rPr>
                              <w:t xml:space="preserve"> P</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 xml:space="preserve">5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e) K</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f) Ca (c mol (p+) kg</w:t>
                            </w:r>
                            <w:r>
                              <w:rPr>
                                <w:rFonts w:ascii="Times New Roman" w:hAnsi="Times New Roman" w:cs="Times New Roman"/>
                                <w:sz w:val="24"/>
                                <w:szCs w:val="24"/>
                                <w:vertAlign w:val="superscript"/>
                              </w:rPr>
                              <w:t>-1</w:t>
                            </w:r>
                            <w:r>
                              <w:rPr>
                                <w:rFonts w:ascii="Times New Roman" w:hAnsi="Times New Roman" w:cs="Times New Roman"/>
                                <w:sz w:val="24"/>
                                <w:szCs w:val="24"/>
                              </w:rPr>
                              <w:t>) g) Mg (c mol (p+)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h) S   </w:t>
                            </w:r>
                            <w:r>
                              <w:rPr>
                                <w:rFonts w:ascii="Times New Roman" w:hAnsi="Times New Roman" w:cs="Times New Roman"/>
                                <w:color w:val="000000"/>
                                <w:sz w:val="24"/>
                                <w:szCs w:val="24"/>
                              </w:rPr>
                              <w:t>(mg kg</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p>
                        </w:txbxContent>
                      </v:textbox>
                    </v:rect>
                  </w:pict>
                </mc:Fallback>
              </mc:AlternateContent>
            </w:r>
            <w:r>
              <w:t xml:space="preserve">                     </w:t>
            </w:r>
          </w:p>
        </w:tc>
      </w:tr>
      <w:tr w:rsidR="00D879A9" w14:paraId="50DBF143" w14:textId="77777777">
        <w:trPr>
          <w:trHeight w:val="2738"/>
        </w:trPr>
        <w:tc>
          <w:tcPr>
            <w:tcW w:w="9360" w:type="dxa"/>
          </w:tcPr>
          <w:p w14:paraId="394B071A" w14:textId="77777777" w:rsidR="00D879A9" w:rsidRDefault="00D879A9">
            <w:pPr>
              <w:spacing w:after="0" w:line="360" w:lineRule="auto"/>
              <w:rPr>
                <w:rFonts w:ascii="Times New Roman" w:hAnsi="Times New Roman" w:cs="Times New Roman"/>
                <w:sz w:val="16"/>
                <w:szCs w:val="16"/>
              </w:rPr>
            </w:pPr>
          </w:p>
          <w:p w14:paraId="702DB478" w14:textId="77777777" w:rsidR="00083B45" w:rsidRDefault="00083B45">
            <w:pPr>
              <w:spacing w:after="0" w:line="360" w:lineRule="auto"/>
              <w:rPr>
                <w:rFonts w:ascii="Times New Roman" w:hAnsi="Times New Roman" w:cs="Times New Roman"/>
                <w:sz w:val="16"/>
                <w:szCs w:val="16"/>
              </w:rPr>
            </w:pPr>
          </w:p>
          <w:tbl>
            <w:tblPr>
              <w:tblpPr w:leftFromText="180" w:rightFromText="180" w:vertAnchor="text" w:horzAnchor="margin" w:tblpY="349"/>
              <w:tblOverlap w:val="never"/>
              <w:tblW w:w="9026" w:type="dxa"/>
              <w:tblCellMar>
                <w:left w:w="0" w:type="dxa"/>
                <w:right w:w="0" w:type="dxa"/>
              </w:tblCellMar>
              <w:tblLook w:val="0000" w:firstRow="0" w:lastRow="0" w:firstColumn="0" w:lastColumn="0" w:noHBand="0" w:noVBand="0"/>
            </w:tblPr>
            <w:tblGrid>
              <w:gridCol w:w="4586"/>
              <w:gridCol w:w="4440"/>
            </w:tblGrid>
            <w:tr w:rsidR="00D879A9" w14:paraId="1457E9B0" w14:textId="77777777">
              <w:trPr>
                <w:trHeight w:val="3233"/>
              </w:trPr>
              <w:tc>
                <w:tcPr>
                  <w:tcW w:w="4586" w:type="dxa"/>
                </w:tcPr>
                <w:p w14:paraId="0E5C38D4" w14:textId="77777777" w:rsidR="00D879A9" w:rsidRDefault="00000000">
                  <w:pPr>
                    <w:spacing w:after="0" w:line="360" w:lineRule="auto"/>
                    <w:rPr>
                      <w:rFonts w:ascii="Times New Roman" w:hAnsi="Times New Roman" w:cs="Times New Roman"/>
                    </w:rPr>
                  </w:pPr>
                  <w:r>
                    <w:rPr>
                      <w:rFonts w:ascii="Times New Roman" w:hAnsi="Times New Roman" w:cs="Times New Roman"/>
                    </w:rPr>
                    <w:lastRenderedPageBreak/>
                    <w:t>a)</w:t>
                  </w:r>
                </w:p>
                <w:p w14:paraId="02FCE254" w14:textId="77777777" w:rsidR="00D879A9" w:rsidRDefault="00000000">
                  <w:pPr>
                    <w:spacing w:after="0" w:line="360" w:lineRule="auto"/>
                    <w:rPr>
                      <w:rFonts w:ascii="Times New Roman" w:hAnsi="Times New Roman" w:cs="Times New Roman"/>
                    </w:rPr>
                  </w:pPr>
                  <w:r>
                    <w:rPr>
                      <w:rFonts w:ascii="Times New Roman" w:hAnsi="Times New Roman" w:cs="Times New Roman"/>
                      <w:noProof/>
                      <w:lang w:val="en-US" w:bidi="ar-SA"/>
                    </w:rPr>
                    <mc:AlternateContent>
                      <mc:Choice Requires="wps">
                        <w:drawing>
                          <wp:anchor distT="0" distB="0" distL="114300" distR="114300" simplePos="0" relativeHeight="68" behindDoc="0" locked="0" layoutInCell="1" hidden="0" allowOverlap="1" wp14:anchorId="1F5D399F" wp14:editId="56784946">
                            <wp:simplePos x="0" y="0"/>
                            <wp:positionH relativeFrom="column">
                              <wp:posOffset>-7620</wp:posOffset>
                            </wp:positionH>
                            <wp:positionV relativeFrom="paragraph">
                              <wp:posOffset>2200910</wp:posOffset>
                            </wp:positionV>
                            <wp:extent cx="5797550" cy="1186286"/>
                            <wp:effectExtent l="0" t="0" r="0" b="0"/>
                            <wp:wrapNone/>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186286"/>
                                    </a:xfrm>
                                    <a:prstGeom prst="rect">
                                      <a:avLst/>
                                    </a:prstGeom>
                                    <a:solidFill>
                                      <a:srgbClr val="FFFFFF"/>
                                    </a:solidFill>
                                    <a:ln w="9525" cap="flat" cmpd="sng">
                                      <a:solidFill>
                                        <a:srgbClr val="000000"/>
                                      </a:solidFill>
                                      <a:prstDash val="solid"/>
                                      <a:miter/>
                                    </a:ln>
                                  </wps:spPr>
                                  <wps:txbx>
                                    <w:txbxContent>
                                      <w:p w14:paraId="6CFE19CC"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5.Effect</w:t>
                                        </w:r>
                                        <w:proofErr w:type="gramEnd"/>
                                        <w:r>
                                          <w:rPr>
                                            <w:rFonts w:ascii="Times New Roman" w:hAnsi="Times New Roman" w:cs="Times New Roman"/>
                                            <w:sz w:val="24"/>
                                            <w:szCs w:val="24"/>
                                          </w:rPr>
                                          <w:t xml:space="preserve"> of biochar and its combination with other organic amendments on a)Bulk density (</w:t>
                                        </w:r>
                                        <w:r>
                                          <w:rPr>
                                            <w:rFonts w:ascii="Times New Roman" w:hAnsi="Times New Roman" w:cs="Times New Roman"/>
                                            <w:sz w:val="24"/>
                                            <w:szCs w:val="24"/>
                                            <w:lang w:val="en-US"/>
                                          </w:rPr>
                                          <w:t>Mg 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LSD; 0.016582: CV ;0.7384979: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0.006b)Maximum water holding capacity (%) ,</w:t>
                                        </w:r>
                                        <w:r>
                                          <w:rPr>
                                            <w:rFonts w:ascii="Times New Roman" w:hAnsi="Times New Roman" w:cs="Times New Roman"/>
                                            <w:sz w:val="24"/>
                                            <w:szCs w:val="24"/>
                                            <w:lang w:val="en-US"/>
                                          </w:rPr>
                                          <w:t xml:space="preserve"> LSD; 0.07578479: CV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0.1223744: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0.00208</w:t>
                                        </w:r>
                                      </w:p>
                                    </w:txbxContent>
                                  </wps:txbx>
                                  <wps:bodyPr vert="horz" wrap="square" lIns="91440" tIns="45720" rIns="91440" bIns="45720" anchor="t" anchorCtr="0">
                                    <a:spAutoFit/>
                                  </wps:bodyPr>
                                </wps:wsp>
                              </a:graphicData>
                            </a:graphic>
                          </wp:anchor>
                        </w:drawing>
                      </mc:Choice>
                      <mc:Fallback>
                        <w:pict>
                          <v:rect w14:anchorId="1F5D399F" id="文本框 68" o:spid="_x0000_s1042" style="position:absolute;margin-left:-.6pt;margin-top:173.3pt;width:456.5pt;height:93.4pt;z-index: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">
                            <v:path arrowok="t"/>
                            <v:textbox style="mso-fit-shape-to-text:t">
                              <w:txbxContent>
                                <w:p w14:paraId="6CFE19CC"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5.Effect</w:t>
                                  </w:r>
                                  <w:proofErr w:type="gramEnd"/>
                                  <w:r>
                                    <w:rPr>
                                      <w:rFonts w:ascii="Times New Roman" w:hAnsi="Times New Roman" w:cs="Times New Roman"/>
                                      <w:sz w:val="24"/>
                                      <w:szCs w:val="24"/>
                                    </w:rPr>
                                    <w:t xml:space="preserve"> of biochar and its combination with other organic amendments on a)Bulk density (</w:t>
                                  </w:r>
                                  <w:r>
                                    <w:rPr>
                                      <w:rFonts w:ascii="Times New Roman" w:hAnsi="Times New Roman" w:cs="Times New Roman"/>
                                      <w:sz w:val="24"/>
                                      <w:szCs w:val="24"/>
                                      <w:lang w:val="en-US"/>
                                    </w:rPr>
                                    <w:t>Mg 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LSD; 0.016582: CV ;0.7384979: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0.006b)Maximum water holding capacity (%) ,</w:t>
                                  </w:r>
                                  <w:r>
                                    <w:rPr>
                                      <w:rFonts w:ascii="Times New Roman" w:hAnsi="Times New Roman" w:cs="Times New Roman"/>
                                      <w:sz w:val="24"/>
                                      <w:szCs w:val="24"/>
                                      <w:lang w:val="en-US"/>
                                    </w:rPr>
                                    <w:t xml:space="preserve"> LSD; 0.07578479: CV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0.1223744: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0.00208</w:t>
                                  </w:r>
                                </w:p>
                              </w:txbxContent>
                            </v:textbox>
                          </v:rect>
                        </w:pict>
                      </mc:Fallback>
                    </mc:AlternateContent>
                  </w:r>
                  <w:r>
                    <w:rPr>
                      <w:rFonts w:ascii="Times New Roman" w:hAnsi="Times New Roman" w:cs="Times New Roman"/>
                      <w:noProof/>
                      <w:lang w:val="en-US" w:bidi="ar-SA"/>
                    </w:rPr>
                    <w:drawing>
                      <wp:inline distT="0" distB="0" distL="0" distR="0" wp14:anchorId="5F9FEB54" wp14:editId="1513DABF">
                        <wp:extent cx="2818504" cy="2151529"/>
                        <wp:effectExtent l="0" t="0" r="0" b="0"/>
                        <wp:docPr id="71" name="图表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440" w:type="dxa"/>
                </w:tcPr>
                <w:p w14:paraId="3A8364AB" w14:textId="77777777" w:rsidR="00D879A9" w:rsidRDefault="00000000">
                  <w:pPr>
                    <w:spacing w:after="0" w:line="360" w:lineRule="auto"/>
                    <w:rPr>
                      <w:rFonts w:ascii="Times New Roman" w:hAnsi="Times New Roman" w:cs="Times New Roman"/>
                    </w:rPr>
                  </w:pPr>
                  <w:r>
                    <w:rPr>
                      <w:rFonts w:ascii="Times New Roman" w:hAnsi="Times New Roman" w:cs="Times New Roman"/>
                    </w:rPr>
                    <w:t>b)</w:t>
                  </w:r>
                </w:p>
                <w:p w14:paraId="5DB9B7C8" w14:textId="77777777" w:rsidR="00D879A9" w:rsidRDefault="00000000">
                  <w:pPr>
                    <w:spacing w:after="0" w:line="360" w:lineRule="auto"/>
                    <w:rPr>
                      <w:rFonts w:ascii="Times New Roman" w:hAnsi="Times New Roman" w:cs="Times New Roman"/>
                    </w:rPr>
                  </w:pPr>
                  <w:r>
                    <w:rPr>
                      <w:rFonts w:ascii="Times New Roman" w:hAnsi="Times New Roman" w:cs="Times New Roman"/>
                      <w:noProof/>
                      <w:lang w:val="en-US" w:bidi="ar-SA"/>
                    </w:rPr>
                    <w:drawing>
                      <wp:inline distT="0" distB="0" distL="0" distR="0" wp14:anchorId="35BB9413" wp14:editId="782C69B3">
                        <wp:extent cx="2732442" cy="2151529"/>
                        <wp:effectExtent l="0" t="0" r="0" b="0"/>
                        <wp:docPr id="72" name="图表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CC6553" w14:textId="77777777" w:rsidR="00D879A9" w:rsidRDefault="00D879A9">
                  <w:pPr>
                    <w:spacing w:after="0" w:line="360" w:lineRule="auto"/>
                    <w:rPr>
                      <w:rFonts w:ascii="Times New Roman" w:hAnsi="Times New Roman" w:cs="Times New Roman"/>
                    </w:rPr>
                  </w:pPr>
                </w:p>
              </w:tc>
            </w:tr>
          </w:tbl>
          <w:p w14:paraId="0BACB1D3" w14:textId="77777777" w:rsidR="00D879A9" w:rsidRDefault="00D879A9">
            <w:pPr>
              <w:spacing w:after="0" w:line="360" w:lineRule="auto"/>
              <w:rPr>
                <w:rFonts w:ascii="Times New Roman" w:hAnsi="Times New Roman" w:cs="Times New Roman"/>
                <w:sz w:val="16"/>
                <w:szCs w:val="16"/>
              </w:rPr>
            </w:pPr>
          </w:p>
          <w:p w14:paraId="7B2E978F" w14:textId="77777777" w:rsidR="00D879A9" w:rsidRDefault="00D879A9">
            <w:pPr>
              <w:spacing w:after="0" w:line="360" w:lineRule="auto"/>
              <w:rPr>
                <w:rFonts w:ascii="Times New Roman" w:hAnsi="Times New Roman" w:cs="Times New Roman"/>
                <w:sz w:val="16"/>
                <w:szCs w:val="16"/>
              </w:rPr>
            </w:pPr>
          </w:p>
          <w:p w14:paraId="457933B9" w14:textId="77777777" w:rsidR="00D879A9" w:rsidRDefault="00D879A9">
            <w:pPr>
              <w:spacing w:after="0" w:line="360" w:lineRule="auto"/>
              <w:rPr>
                <w:rFonts w:ascii="Times New Roman" w:hAnsi="Times New Roman" w:cs="Times New Roman"/>
                <w:sz w:val="16"/>
                <w:szCs w:val="16"/>
              </w:rPr>
            </w:pPr>
          </w:p>
          <w:p w14:paraId="55C213E7" w14:textId="77777777" w:rsidR="00D879A9" w:rsidRDefault="00000000">
            <w:pPr>
              <w:spacing w:after="0" w:line="360" w:lineRule="auto"/>
              <w:rPr>
                <w:lang w:eastAsia="en-IN"/>
              </w:rPr>
            </w:pPr>
            <w:r>
              <w:rPr>
                <w:noProof/>
                <w:lang w:val="en-US" w:bidi="ar-SA"/>
              </w:rPr>
              <w:drawing>
                <wp:inline distT="0" distB="0" distL="0" distR="0" wp14:anchorId="5ADFFF32" wp14:editId="5E4E1514">
                  <wp:extent cx="5654566" cy="3195144"/>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pic:nvPicPr>
                        <pic:blipFill>
                          <a:blip r:embed="rId18"/>
                          <a:stretch>
                            <a:fillRect/>
                          </a:stretch>
                        </pic:blipFill>
                        <pic:spPr>
                          <a:xfrm>
                            <a:off x="0" y="0"/>
                            <a:ext cx="5654566" cy="3195144"/>
                          </a:xfrm>
                          <a:prstGeom prst="rect">
                            <a:avLst/>
                          </a:prstGeom>
                          <a:noFill/>
                          <a:ln w="12700" cap="flat" cmpd="sng">
                            <a:noFill/>
                            <a:prstDash val="solid"/>
                            <a:round/>
                          </a:ln>
                        </pic:spPr>
                      </pic:pic>
                    </a:graphicData>
                  </a:graphic>
                </wp:inline>
              </w:drawing>
            </w:r>
          </w:p>
          <w:p w14:paraId="11825AA4" w14:textId="77777777" w:rsidR="00D879A9" w:rsidRDefault="00000000">
            <w:pPr>
              <w:spacing w:after="0" w:line="360" w:lineRule="auto"/>
              <w:rPr>
                <w:lang w:eastAsia="en-IN"/>
              </w:rPr>
            </w:pPr>
            <w:r>
              <w:rPr>
                <w:noProof/>
                <w:lang w:val="en-US" w:bidi="ar-SA"/>
              </w:rPr>
              <mc:AlternateContent>
                <mc:Choice Requires="wps">
                  <w:drawing>
                    <wp:anchor distT="0" distB="0" distL="114300" distR="114300" simplePos="0" relativeHeight="56" behindDoc="0" locked="0" layoutInCell="1" hidden="0" allowOverlap="1" wp14:anchorId="748B7A07" wp14:editId="25D54F9D">
                      <wp:simplePos x="0" y="0"/>
                      <wp:positionH relativeFrom="column">
                        <wp:posOffset>142875</wp:posOffset>
                      </wp:positionH>
                      <wp:positionV relativeFrom="paragraph">
                        <wp:posOffset>50165</wp:posOffset>
                      </wp:positionV>
                      <wp:extent cx="5370195" cy="1186286"/>
                      <wp:effectExtent l="0" t="0" r="0" b="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0195" cy="1186286"/>
                              </a:xfrm>
                              <a:prstGeom prst="rect">
                                <a:avLst/>
                              </a:prstGeom>
                              <a:solidFill>
                                <a:srgbClr val="FFFFFF"/>
                              </a:solidFill>
                              <a:ln w="9525" cap="flat" cmpd="sng">
                                <a:solidFill>
                                  <a:srgbClr val="000000"/>
                                </a:solidFill>
                                <a:prstDash val="solid"/>
                                <a:miter/>
                              </a:ln>
                            </wps:spPr>
                            <wps:txbx>
                              <w:txbxContent>
                                <w:p w14:paraId="4028AC81"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Figure 6: Pearson’s correlation matrix of soil properties. * </w:t>
                                  </w:r>
                                  <w:proofErr w:type="gramStart"/>
                                  <w:r>
                                    <w:rPr>
                                      <w:rFonts w:ascii="Times New Roman" w:hAnsi="Times New Roman" w:cs="Times New Roman"/>
                                      <w:sz w:val="24"/>
                                      <w:szCs w:val="24"/>
                                    </w:rPr>
                                    <w:t>statistically</w:t>
                                  </w:r>
                                  <w:proofErr w:type="gramEnd"/>
                                  <w:r>
                                    <w:rPr>
                                      <w:rFonts w:ascii="Times New Roman" w:hAnsi="Times New Roman" w:cs="Times New Roman"/>
                                      <w:sz w:val="24"/>
                                      <w:szCs w:val="24"/>
                                    </w:rPr>
                                    <w:t xml:space="preserve"> significant difference at a significance level of 5% ** statistically significant difference at a significance level of 1%, *** statistically significant difference at a significance level of 0.01% </w:t>
                                  </w:r>
                                </w:p>
                              </w:txbxContent>
                            </wps:txbx>
                            <wps:bodyPr vert="horz" wrap="square" lIns="91440" tIns="45720" rIns="91440" bIns="45720" anchor="t" anchorCtr="0">
                              <a:spAutoFit/>
                            </wps:bodyPr>
                          </wps:wsp>
                        </a:graphicData>
                      </a:graphic>
                    </wp:anchor>
                  </w:drawing>
                </mc:Choice>
                <mc:Fallback>
                  <w:pict>
                    <v:rect w14:anchorId="748B7A07" id="文本框 76" o:spid="_x0000_s1043" style="position:absolute;margin-left:11.25pt;margin-top:3.95pt;width:422.85pt;height:93.4pt;z-index: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">
                      <v:path arrowok="t"/>
                      <v:textbox style="mso-fit-shape-to-text:t">
                        <w:txbxContent>
                          <w:p w14:paraId="4028AC81"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Figure 6: Pearson’s correlation matrix of soil properties. * </w:t>
                            </w:r>
                            <w:proofErr w:type="gramStart"/>
                            <w:r>
                              <w:rPr>
                                <w:rFonts w:ascii="Times New Roman" w:hAnsi="Times New Roman" w:cs="Times New Roman"/>
                                <w:sz w:val="24"/>
                                <w:szCs w:val="24"/>
                              </w:rPr>
                              <w:t>statistically</w:t>
                            </w:r>
                            <w:proofErr w:type="gramEnd"/>
                            <w:r>
                              <w:rPr>
                                <w:rFonts w:ascii="Times New Roman" w:hAnsi="Times New Roman" w:cs="Times New Roman"/>
                                <w:sz w:val="24"/>
                                <w:szCs w:val="24"/>
                              </w:rPr>
                              <w:t xml:space="preserve"> significant difference at a significance level of 5% ** statistically significant difference at a significance level of 1%, *** statistically significant difference at a significance level of 0.01% </w:t>
                            </w:r>
                          </w:p>
                        </w:txbxContent>
                      </v:textbox>
                    </v:rect>
                  </w:pict>
                </mc:Fallback>
              </mc:AlternateContent>
            </w:r>
          </w:p>
        </w:tc>
      </w:tr>
    </w:tbl>
    <w:p w14:paraId="298F4839"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3FBD1029"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54E7BE3E"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3E61C756"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20C36D36" w14:textId="597A281D" w:rsidR="00D879A9" w:rsidRDefault="00000000">
      <w:pPr>
        <w:spacing w:before="240" w:after="240"/>
        <w:ind w:right="360"/>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lastRenderedPageBreak/>
        <w:t>Reference</w:t>
      </w:r>
      <w:r>
        <w:rPr>
          <w:rFonts w:ascii="Times New Roman" w:hAnsi="Times New Roman" w:cs="Times New Roman"/>
          <w:sz w:val="24"/>
          <w:szCs w:val="24"/>
          <w:shd w:val="clear" w:color="auto" w:fill="FFFFFF"/>
        </w:rPr>
        <w:t xml:space="preserve"> </w:t>
      </w:r>
    </w:p>
    <w:p w14:paraId="04416A3E" w14:textId="77777777" w:rsidR="00D879A9" w:rsidRDefault="00000000">
      <w:pPr>
        <w:spacing w:before="240" w:after="240"/>
        <w:ind w:right="36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Agbede</w:t>
      </w:r>
      <w:proofErr w:type="spellEnd"/>
      <w:r>
        <w:rPr>
          <w:rFonts w:ascii="Times New Roman" w:hAnsi="Times New Roman" w:cs="Times New Roman"/>
          <w:sz w:val="24"/>
          <w:szCs w:val="24"/>
          <w:shd w:val="clear" w:color="auto" w:fill="FFFFFF"/>
        </w:rPr>
        <w:t xml:space="preserve"> TM, </w:t>
      </w:r>
      <w:proofErr w:type="spellStart"/>
      <w:r>
        <w:rPr>
          <w:rFonts w:ascii="Times New Roman" w:hAnsi="Times New Roman" w:cs="Times New Roman"/>
          <w:sz w:val="24"/>
          <w:szCs w:val="24"/>
          <w:shd w:val="clear" w:color="auto" w:fill="FFFFFF"/>
        </w:rPr>
        <w:t>Odoja</w:t>
      </w:r>
      <w:proofErr w:type="spellEnd"/>
      <w:r>
        <w:rPr>
          <w:rFonts w:ascii="Times New Roman" w:hAnsi="Times New Roman" w:cs="Times New Roman"/>
          <w:sz w:val="24"/>
          <w:szCs w:val="24"/>
          <w:shd w:val="clear" w:color="auto" w:fill="FFFFFF"/>
        </w:rPr>
        <w:t xml:space="preserve"> AS, Bayode LN, </w:t>
      </w:r>
      <w:proofErr w:type="spellStart"/>
      <w:r>
        <w:rPr>
          <w:rFonts w:ascii="Times New Roman" w:hAnsi="Times New Roman" w:cs="Times New Roman"/>
          <w:sz w:val="24"/>
          <w:szCs w:val="24"/>
          <w:shd w:val="clear" w:color="auto" w:fill="FFFFFF"/>
        </w:rPr>
        <w:t>Omotehinse</w:t>
      </w:r>
      <w:proofErr w:type="spellEnd"/>
      <w:r>
        <w:rPr>
          <w:rFonts w:ascii="Times New Roman" w:hAnsi="Times New Roman" w:cs="Times New Roman"/>
          <w:sz w:val="24"/>
          <w:szCs w:val="24"/>
          <w:shd w:val="clear" w:color="auto" w:fill="FFFFFF"/>
        </w:rPr>
        <w:t xml:space="preserve"> PO, </w:t>
      </w:r>
      <w:proofErr w:type="spellStart"/>
      <w:r>
        <w:rPr>
          <w:rFonts w:ascii="Times New Roman" w:hAnsi="Times New Roman" w:cs="Times New Roman"/>
          <w:sz w:val="24"/>
          <w:szCs w:val="24"/>
          <w:shd w:val="clear" w:color="auto" w:fill="FFFFFF"/>
        </w:rPr>
        <w:t>Adepehin</w:t>
      </w:r>
      <w:proofErr w:type="spellEnd"/>
      <w:r>
        <w:rPr>
          <w:rFonts w:ascii="Times New Roman" w:hAnsi="Times New Roman" w:cs="Times New Roman"/>
          <w:sz w:val="24"/>
          <w:szCs w:val="24"/>
          <w:shd w:val="clear" w:color="auto" w:fill="FFFFFF"/>
        </w:rPr>
        <w:t xml:space="preserve"> I (2020) Effects of biochar and poultry manure on soil properties, growth, yield and quality of cocoyam (Xanthosoma sagittifolium Schott) grown in sandy soil. </w:t>
      </w:r>
      <w:r>
        <w:rPr>
          <w:rFonts w:ascii="Times New Roman" w:hAnsi="Times New Roman" w:cs="Times New Roman"/>
          <w:i/>
          <w:iCs/>
          <w:sz w:val="24"/>
          <w:szCs w:val="24"/>
          <w:shd w:val="clear" w:color="auto" w:fill="FFFFFF"/>
        </w:rPr>
        <w:t>Communications in Soil Science and Plant Analysis</w:t>
      </w:r>
      <w:r>
        <w:rPr>
          <w:rFonts w:ascii="Times New Roman" w:hAnsi="Times New Roman" w:cs="Times New Roman"/>
          <w:sz w:val="24"/>
          <w:szCs w:val="24"/>
          <w:shd w:val="clear" w:color="auto" w:fill="FFFFFF"/>
        </w:rPr>
        <w:t> </w:t>
      </w:r>
      <w:r>
        <w:rPr>
          <w:rFonts w:ascii="Times New Roman" w:hAnsi="Times New Roman" w:cs="Times New Roman"/>
          <w:b/>
          <w:bCs/>
          <w:i/>
          <w:iCs/>
          <w:sz w:val="24"/>
          <w:szCs w:val="24"/>
          <w:shd w:val="clear" w:color="auto" w:fill="FFFFFF"/>
        </w:rPr>
        <w:t>51</w:t>
      </w:r>
      <w:r>
        <w:rPr>
          <w:rFonts w:ascii="Times New Roman" w:hAnsi="Times New Roman" w:cs="Times New Roman"/>
          <w:b/>
          <w:bCs/>
          <w:sz w:val="24"/>
          <w:szCs w:val="24"/>
          <w:shd w:val="clear" w:color="auto" w:fill="FFFFFF"/>
        </w:rPr>
        <w:t>(7),</w:t>
      </w:r>
      <w:r>
        <w:rPr>
          <w:rFonts w:ascii="Times New Roman" w:hAnsi="Times New Roman" w:cs="Times New Roman"/>
          <w:sz w:val="24"/>
          <w:szCs w:val="24"/>
          <w:shd w:val="clear" w:color="auto" w:fill="FFFFFF"/>
        </w:rPr>
        <w:t xml:space="preserve"> 932-947.</w:t>
      </w:r>
    </w:p>
    <w:p w14:paraId="5C9573C9" w14:textId="77777777" w:rsidR="00D879A9" w:rsidRDefault="00000000">
      <w:pPr>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Agegnehu</w:t>
      </w:r>
      <w:proofErr w:type="spellEnd"/>
      <w:r>
        <w:rPr>
          <w:rFonts w:ascii="Times New Roman" w:hAnsi="Times New Roman" w:cs="Times New Roman"/>
          <w:sz w:val="24"/>
          <w:szCs w:val="24"/>
          <w:shd w:val="clear" w:color="auto" w:fill="FFFFFF"/>
        </w:rPr>
        <w:t xml:space="preserve"> G, Bass AM, Nelson </w:t>
      </w:r>
      <w:proofErr w:type="gramStart"/>
      <w:r>
        <w:rPr>
          <w:rFonts w:ascii="Times New Roman" w:hAnsi="Times New Roman" w:cs="Times New Roman"/>
          <w:sz w:val="24"/>
          <w:szCs w:val="24"/>
          <w:shd w:val="clear" w:color="auto" w:fill="FFFFFF"/>
        </w:rPr>
        <w:t>PN,  Bird</w:t>
      </w:r>
      <w:proofErr w:type="gramEnd"/>
      <w:r>
        <w:rPr>
          <w:rFonts w:ascii="Times New Roman" w:hAnsi="Times New Roman" w:cs="Times New Roman"/>
          <w:sz w:val="24"/>
          <w:szCs w:val="24"/>
          <w:shd w:val="clear" w:color="auto" w:fill="FFFFFF"/>
        </w:rPr>
        <w:t xml:space="preserve"> MI (2016) Benefits of biochar, compost and biochar–compost for soil quality, maize yield and greenhouse gas emissions in a tropical agricultural soil. </w:t>
      </w:r>
      <w:r>
        <w:rPr>
          <w:rFonts w:ascii="Times New Roman" w:hAnsi="Times New Roman" w:cs="Times New Roman"/>
          <w:i/>
          <w:iCs/>
          <w:sz w:val="24"/>
          <w:szCs w:val="24"/>
          <w:shd w:val="clear" w:color="auto" w:fill="FFFFFF"/>
        </w:rPr>
        <w:t>Science of the Total Environment</w:t>
      </w:r>
      <w:r>
        <w:rPr>
          <w:rFonts w:ascii="Times New Roman" w:hAnsi="Times New Roman" w:cs="Times New Roman"/>
          <w:sz w:val="24"/>
          <w:szCs w:val="24"/>
          <w:shd w:val="clear" w:color="auto" w:fill="FFFFFF"/>
        </w:rPr>
        <w:t xml:space="preserve"> </w:t>
      </w:r>
      <w:r>
        <w:rPr>
          <w:rFonts w:ascii="Times New Roman" w:hAnsi="Times New Roman" w:cs="Times New Roman"/>
          <w:b/>
          <w:bCs/>
          <w:i/>
          <w:iCs/>
          <w:sz w:val="24"/>
          <w:szCs w:val="24"/>
          <w:shd w:val="clear" w:color="auto" w:fill="FFFFFF"/>
        </w:rPr>
        <w:t>543</w:t>
      </w:r>
      <w:r>
        <w:rPr>
          <w:rFonts w:ascii="Times New Roman" w:hAnsi="Times New Roman" w:cs="Times New Roman"/>
          <w:sz w:val="24"/>
          <w:szCs w:val="24"/>
          <w:shd w:val="clear" w:color="auto" w:fill="FFFFFF"/>
        </w:rPr>
        <w:t>, 295-306.</w:t>
      </w:r>
    </w:p>
    <w:p w14:paraId="6C87C6C0" w14:textId="77777777" w:rsidR="00D879A9" w:rsidRDefault="00000000">
      <w:pPr>
        <w:spacing w:before="240" w:after="240"/>
        <w:ind w:right="360"/>
        <w:jc w:val="both"/>
        <w:rPr>
          <w:rStyle w:val="nlmpub-id"/>
          <w:rFonts w:ascii="Times New Roman" w:hAnsi="Times New Roman" w:cs="Times New Roman"/>
          <w:sz w:val="24"/>
          <w:szCs w:val="24"/>
        </w:rPr>
      </w:pPr>
      <w:proofErr w:type="gramStart"/>
      <w:r>
        <w:rPr>
          <w:rFonts w:ascii="Times New Roman" w:hAnsi="Times New Roman" w:cs="Times New Roman"/>
          <w:sz w:val="24"/>
          <w:szCs w:val="24"/>
        </w:rPr>
        <w:t>Alburquerque  JA</w:t>
      </w:r>
      <w:proofErr w:type="gramEnd"/>
      <w:r>
        <w:rPr>
          <w:rFonts w:ascii="Times New Roman" w:hAnsi="Times New Roman" w:cs="Times New Roman"/>
          <w:sz w:val="24"/>
          <w:szCs w:val="24"/>
        </w:rPr>
        <w:t xml:space="preserve">, Calero JM, </w:t>
      </w:r>
      <w:proofErr w:type="spellStart"/>
      <w:r>
        <w:rPr>
          <w:rFonts w:ascii="Times New Roman" w:hAnsi="Times New Roman" w:cs="Times New Roman"/>
          <w:sz w:val="24"/>
          <w:szCs w:val="24"/>
        </w:rPr>
        <w:t>Barrón</w:t>
      </w:r>
      <w:proofErr w:type="spellEnd"/>
      <w:r>
        <w:rPr>
          <w:rFonts w:ascii="Times New Roman" w:hAnsi="Times New Roman" w:cs="Times New Roman"/>
          <w:sz w:val="24"/>
          <w:szCs w:val="24"/>
        </w:rPr>
        <w:t xml:space="preserve"> V, Torrent J, del Campillo MC, Gallardo A, Villar R (</w:t>
      </w:r>
      <w:r>
        <w:rPr>
          <w:rStyle w:val="nlmyear"/>
          <w:rFonts w:ascii="Times New Roman" w:hAnsi="Times New Roman" w:cs="Times New Roman"/>
          <w:sz w:val="24"/>
          <w:szCs w:val="24"/>
        </w:rPr>
        <w:t>2014</w:t>
      </w:r>
      <w:r>
        <w:rPr>
          <w:rFonts w:ascii="Times New Roman" w:hAnsi="Times New Roman" w:cs="Times New Roman"/>
          <w:sz w:val="24"/>
          <w:szCs w:val="24"/>
        </w:rPr>
        <w:t>) </w:t>
      </w:r>
      <w:r>
        <w:rPr>
          <w:rStyle w:val="nlmarticle-title"/>
          <w:rFonts w:ascii="Times New Roman" w:hAnsi="Times New Roman" w:cs="Times New Roman"/>
          <w:sz w:val="24"/>
          <w:szCs w:val="24"/>
        </w:rPr>
        <w:t xml:space="preserve">Effects of </w:t>
      </w:r>
      <w:proofErr w:type="spellStart"/>
      <w:r>
        <w:rPr>
          <w:rStyle w:val="nlmarticle-title"/>
          <w:rFonts w:ascii="Times New Roman" w:hAnsi="Times New Roman" w:cs="Times New Roman"/>
          <w:sz w:val="24"/>
          <w:szCs w:val="24"/>
        </w:rPr>
        <w:t>biochars</w:t>
      </w:r>
      <w:proofErr w:type="spellEnd"/>
      <w:r>
        <w:rPr>
          <w:rStyle w:val="nlmarticle-title"/>
          <w:rFonts w:ascii="Times New Roman" w:hAnsi="Times New Roman" w:cs="Times New Roman"/>
          <w:sz w:val="24"/>
          <w:szCs w:val="24"/>
        </w:rPr>
        <w:t xml:space="preserve"> produced from different feedstocks on soil properties and sunflower growth</w:t>
      </w:r>
      <w:r>
        <w:rPr>
          <w:rFonts w:ascii="Times New Roman" w:hAnsi="Times New Roman" w:cs="Times New Roman"/>
          <w:sz w:val="24"/>
          <w:szCs w:val="24"/>
        </w:rPr>
        <w:t>. </w:t>
      </w:r>
      <w:r>
        <w:rPr>
          <w:rFonts w:ascii="Times New Roman" w:hAnsi="Times New Roman" w:cs="Times New Roman"/>
          <w:i/>
          <w:iCs/>
          <w:sz w:val="24"/>
          <w:szCs w:val="24"/>
        </w:rPr>
        <w:t>Journal of Plant Nutrition and Soil Science</w:t>
      </w:r>
      <w:r>
        <w:rPr>
          <w:rFonts w:ascii="Times New Roman" w:hAnsi="Times New Roman" w:cs="Times New Roman"/>
          <w:sz w:val="24"/>
          <w:szCs w:val="24"/>
        </w:rPr>
        <w:t> </w:t>
      </w:r>
      <w:r>
        <w:rPr>
          <w:rFonts w:ascii="Times New Roman" w:hAnsi="Times New Roman" w:cs="Times New Roman"/>
          <w:b/>
          <w:bCs/>
          <w:sz w:val="24"/>
          <w:szCs w:val="24"/>
        </w:rPr>
        <w:t>177(1),</w:t>
      </w:r>
      <w:r>
        <w:rPr>
          <w:rStyle w:val="nlmfpage"/>
          <w:rFonts w:ascii="Times New Roman" w:hAnsi="Times New Roman" w:cs="Times New Roman"/>
          <w:sz w:val="24"/>
          <w:szCs w:val="24"/>
        </w:rPr>
        <w:t>16</w:t>
      </w:r>
      <w:r>
        <w:rPr>
          <w:rFonts w:ascii="Times New Roman" w:hAnsi="Times New Roman" w:cs="Times New Roman"/>
          <w:sz w:val="24"/>
          <w:szCs w:val="24"/>
        </w:rPr>
        <w:t>–</w:t>
      </w:r>
      <w:r>
        <w:rPr>
          <w:rStyle w:val="nlmlpage"/>
          <w:rFonts w:ascii="Times New Roman" w:hAnsi="Times New Roman" w:cs="Times New Roman"/>
          <w:sz w:val="24"/>
          <w:szCs w:val="24"/>
        </w:rPr>
        <w:t>25</w:t>
      </w:r>
      <w:r>
        <w:rPr>
          <w:rFonts w:ascii="Times New Roman" w:hAnsi="Times New Roman" w:cs="Times New Roman"/>
          <w:sz w:val="24"/>
          <w:szCs w:val="24"/>
        </w:rPr>
        <w:t>. doi:</w:t>
      </w:r>
      <w:r>
        <w:rPr>
          <w:rStyle w:val="nlmpub-id"/>
          <w:rFonts w:ascii="Times New Roman" w:hAnsi="Times New Roman" w:cs="Times New Roman"/>
          <w:sz w:val="24"/>
          <w:szCs w:val="24"/>
        </w:rPr>
        <w:t>10.1002/jpln.201200652</w:t>
      </w:r>
    </w:p>
    <w:p w14:paraId="2FE0A0B2" w14:textId="77777777" w:rsidR="00D879A9" w:rsidRDefault="00000000">
      <w:pPr>
        <w:spacing w:before="240" w:after="240"/>
        <w:ind w:righ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Anita EK, Prashant CT, Champa BV, </w:t>
      </w:r>
      <w:proofErr w:type="spellStart"/>
      <w:r>
        <w:rPr>
          <w:rFonts w:ascii="Times New Roman" w:hAnsi="Times New Roman" w:cs="Times New Roman"/>
          <w:sz w:val="24"/>
          <w:szCs w:val="24"/>
          <w:shd w:val="clear" w:color="auto" w:fill="FFFFFF"/>
        </w:rPr>
        <w:t>Shivanna</w:t>
      </w:r>
      <w:proofErr w:type="spell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M,  Nagaraja</w:t>
      </w:r>
      <w:proofErr w:type="gramEnd"/>
      <w:r>
        <w:rPr>
          <w:rFonts w:ascii="Times New Roman" w:hAnsi="Times New Roman" w:cs="Times New Roman"/>
          <w:sz w:val="24"/>
          <w:szCs w:val="24"/>
          <w:shd w:val="clear" w:color="auto" w:fill="FFFFFF"/>
        </w:rPr>
        <w:t xml:space="preserve"> MS (2018) Secondary and micronutrient status in soils of wine and table type grape orchards of northern Karnataka. </w:t>
      </w:r>
      <w:r>
        <w:rPr>
          <w:rFonts w:ascii="Times New Roman" w:hAnsi="Times New Roman" w:cs="Times New Roman"/>
          <w:i/>
          <w:iCs/>
          <w:sz w:val="24"/>
          <w:szCs w:val="24"/>
          <w:shd w:val="clear" w:color="auto" w:fill="FFFFFF"/>
        </w:rPr>
        <w:t>International Journal of Chemical Studies</w:t>
      </w:r>
      <w:r>
        <w:rPr>
          <w:rFonts w:ascii="Times New Roman" w:hAnsi="Times New Roman" w:cs="Times New Roman"/>
          <w:sz w:val="24"/>
          <w:szCs w:val="24"/>
          <w:shd w:val="clear" w:color="auto" w:fill="FFFFFF"/>
        </w:rPr>
        <w:t xml:space="preserve"> </w:t>
      </w:r>
      <w:r>
        <w:rPr>
          <w:rFonts w:ascii="Times New Roman" w:hAnsi="Times New Roman" w:cs="Times New Roman"/>
          <w:b/>
          <w:bCs/>
          <w:i/>
          <w:iCs/>
          <w:sz w:val="24"/>
          <w:szCs w:val="24"/>
          <w:shd w:val="clear" w:color="auto" w:fill="FFFFFF"/>
        </w:rPr>
        <w:t>6</w:t>
      </w:r>
      <w:r>
        <w:rPr>
          <w:rFonts w:ascii="Times New Roman" w:hAnsi="Times New Roman" w:cs="Times New Roman"/>
          <w:b/>
          <w:bCs/>
          <w:sz w:val="24"/>
          <w:szCs w:val="24"/>
          <w:shd w:val="clear" w:color="auto" w:fill="FFFFFF"/>
        </w:rPr>
        <w:t>(3),</w:t>
      </w:r>
      <w:r>
        <w:rPr>
          <w:rFonts w:ascii="Times New Roman" w:hAnsi="Times New Roman" w:cs="Times New Roman"/>
          <w:sz w:val="24"/>
          <w:szCs w:val="24"/>
          <w:shd w:val="clear" w:color="auto" w:fill="FFFFFF"/>
        </w:rPr>
        <w:t xml:space="preserve"> 2335-2338.</w:t>
      </w:r>
    </w:p>
    <w:p w14:paraId="5781AAB3"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0"/>
          <w:szCs w:val="20"/>
          <w:shd w:val="clear" w:color="auto" w:fill="FFFFFF"/>
        </w:rPr>
        <w:t xml:space="preserve">ASTM I (2007) Standard test methods for flexural properties of unreinforced and reinforced plastics and electrical </w:t>
      </w:r>
      <w:r>
        <w:rPr>
          <w:rFonts w:ascii="Times New Roman" w:hAnsi="Times New Roman" w:cs="Times New Roman"/>
          <w:color w:val="222222"/>
          <w:sz w:val="24"/>
          <w:szCs w:val="24"/>
          <w:shd w:val="clear" w:color="auto" w:fill="FFFFFF"/>
        </w:rPr>
        <w:t>insulating materials. </w:t>
      </w:r>
      <w:r>
        <w:rPr>
          <w:rFonts w:ascii="Times New Roman" w:hAnsi="Times New Roman" w:cs="Times New Roman"/>
          <w:i/>
          <w:iCs/>
          <w:color w:val="222222"/>
          <w:sz w:val="24"/>
          <w:szCs w:val="24"/>
          <w:shd w:val="clear" w:color="auto" w:fill="FFFFFF"/>
        </w:rPr>
        <w:t>ASTM D790-07</w:t>
      </w:r>
      <w:r>
        <w:rPr>
          <w:rFonts w:ascii="Times New Roman" w:hAnsi="Times New Roman" w:cs="Times New Roman"/>
          <w:color w:val="222222"/>
          <w:sz w:val="24"/>
          <w:szCs w:val="24"/>
          <w:shd w:val="clear" w:color="auto" w:fill="FFFFFF"/>
        </w:rPr>
        <w:t>.</w:t>
      </w:r>
    </w:p>
    <w:p w14:paraId="247E6D4B" w14:textId="77777777" w:rsidR="00D879A9" w:rsidRDefault="00000000">
      <w:pPr>
        <w:spacing w:before="240" w:after="240"/>
        <w:ind w:right="360"/>
        <w:jc w:val="both"/>
        <w:rPr>
          <w:rFonts w:ascii="Times New Roman" w:hAnsi="Times New Roman" w:cs="Times New Roman"/>
          <w:sz w:val="24"/>
          <w:szCs w:val="24"/>
        </w:rPr>
      </w:pPr>
      <w:r>
        <w:rPr>
          <w:rStyle w:val="hlfld-contribauthor"/>
          <w:rFonts w:ascii="Times New Roman" w:hAnsi="Times New Roman" w:cs="Times New Roman"/>
          <w:sz w:val="24"/>
          <w:szCs w:val="24"/>
        </w:rPr>
        <w:t>Blanco-Canqui </w:t>
      </w:r>
      <w:proofErr w:type="gramStart"/>
      <w:r>
        <w:rPr>
          <w:rStyle w:val="nlmgiven-names"/>
          <w:rFonts w:ascii="Times New Roman" w:hAnsi="Times New Roman" w:cs="Times New Roman"/>
          <w:sz w:val="24"/>
          <w:szCs w:val="24"/>
        </w:rPr>
        <w:t>H</w:t>
      </w:r>
      <w:r>
        <w:rPr>
          <w:rFonts w:ascii="Times New Roman" w:hAnsi="Times New Roman" w:cs="Times New Roman"/>
          <w:sz w:val="24"/>
          <w:szCs w:val="24"/>
        </w:rPr>
        <w:t>  (</w:t>
      </w:r>
      <w:proofErr w:type="gramEnd"/>
      <w:r>
        <w:rPr>
          <w:rStyle w:val="nlmyear"/>
          <w:rFonts w:ascii="Times New Roman" w:hAnsi="Times New Roman" w:cs="Times New Roman"/>
          <w:sz w:val="24"/>
          <w:szCs w:val="24"/>
        </w:rPr>
        <w:t>2017)</w:t>
      </w:r>
      <w:r>
        <w:rPr>
          <w:rFonts w:ascii="Times New Roman" w:hAnsi="Times New Roman" w:cs="Times New Roman"/>
          <w:sz w:val="24"/>
          <w:szCs w:val="24"/>
        </w:rPr>
        <w:t xml:space="preserve">  </w:t>
      </w:r>
      <w:r>
        <w:rPr>
          <w:rStyle w:val="nlmarticle-title"/>
          <w:rFonts w:ascii="Times New Roman" w:hAnsi="Times New Roman" w:cs="Times New Roman"/>
          <w:sz w:val="24"/>
          <w:szCs w:val="24"/>
        </w:rPr>
        <w:t>Biochar and soil physical properties</w:t>
      </w:r>
      <w:r>
        <w:rPr>
          <w:rFonts w:ascii="Times New Roman" w:hAnsi="Times New Roman" w:cs="Times New Roman"/>
          <w:sz w:val="24"/>
          <w:szCs w:val="24"/>
        </w:rPr>
        <w:t>. </w:t>
      </w:r>
      <w:r>
        <w:rPr>
          <w:rFonts w:ascii="Times New Roman" w:hAnsi="Times New Roman" w:cs="Times New Roman"/>
          <w:i/>
          <w:iCs/>
          <w:sz w:val="24"/>
          <w:szCs w:val="24"/>
        </w:rPr>
        <w:t>Soil Science Society of America Journal</w:t>
      </w:r>
      <w:r>
        <w:rPr>
          <w:rFonts w:ascii="Times New Roman" w:hAnsi="Times New Roman" w:cs="Times New Roman"/>
          <w:sz w:val="24"/>
          <w:szCs w:val="24"/>
        </w:rPr>
        <w:t> </w:t>
      </w:r>
      <w:r>
        <w:rPr>
          <w:rFonts w:ascii="Times New Roman" w:hAnsi="Times New Roman" w:cs="Times New Roman"/>
          <w:b/>
          <w:bCs/>
          <w:sz w:val="24"/>
          <w:szCs w:val="24"/>
        </w:rPr>
        <w:t>81,</w:t>
      </w:r>
      <w:r>
        <w:rPr>
          <w:rStyle w:val="nlmfpage"/>
          <w:rFonts w:ascii="Times New Roman" w:hAnsi="Times New Roman" w:cs="Times New Roman"/>
          <w:sz w:val="24"/>
          <w:szCs w:val="24"/>
        </w:rPr>
        <w:t xml:space="preserve"> 687</w:t>
      </w:r>
      <w:r>
        <w:rPr>
          <w:rFonts w:ascii="Times New Roman" w:hAnsi="Times New Roman" w:cs="Times New Roman"/>
          <w:sz w:val="24"/>
          <w:szCs w:val="24"/>
        </w:rPr>
        <w:t>–</w:t>
      </w:r>
      <w:r>
        <w:rPr>
          <w:rStyle w:val="nlmlpage"/>
          <w:rFonts w:ascii="Times New Roman" w:hAnsi="Times New Roman" w:cs="Times New Roman"/>
          <w:sz w:val="24"/>
          <w:szCs w:val="24"/>
        </w:rPr>
        <w:t>711</w:t>
      </w:r>
      <w:r>
        <w:rPr>
          <w:rFonts w:ascii="Times New Roman" w:hAnsi="Times New Roman" w:cs="Times New Roman"/>
          <w:sz w:val="24"/>
          <w:szCs w:val="24"/>
        </w:rPr>
        <w:t>. doi:</w:t>
      </w:r>
      <w:r>
        <w:rPr>
          <w:rStyle w:val="nlmpub-id"/>
          <w:rFonts w:ascii="Times New Roman" w:hAnsi="Times New Roman" w:cs="Times New Roman"/>
          <w:sz w:val="24"/>
          <w:szCs w:val="24"/>
        </w:rPr>
        <w:t>10.2136/sssaj2017.01.0017</w:t>
      </w:r>
      <w:r>
        <w:rPr>
          <w:rFonts w:ascii="Times New Roman" w:hAnsi="Times New Roman" w:cs="Times New Roman"/>
          <w:sz w:val="24"/>
          <w:szCs w:val="24"/>
        </w:rPr>
        <w:t>.</w:t>
      </w:r>
    </w:p>
    <w:p w14:paraId="2133AF0A" w14:textId="77777777" w:rsidR="00D879A9" w:rsidRDefault="00000000">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Bruun E, Cross A, Hammond J, Nelissen V, </w:t>
      </w:r>
      <w:proofErr w:type="spellStart"/>
      <w:r>
        <w:rPr>
          <w:rFonts w:ascii="Times New Roman" w:hAnsi="Times New Roman" w:cs="Times New Roman"/>
          <w:sz w:val="24"/>
          <w:szCs w:val="24"/>
          <w:shd w:val="clear" w:color="auto" w:fill="FFFFFF"/>
        </w:rPr>
        <w:t>Rasse</w:t>
      </w:r>
      <w:proofErr w:type="spellEnd"/>
      <w:r>
        <w:rPr>
          <w:rFonts w:ascii="Times New Roman" w:hAnsi="Times New Roman" w:cs="Times New Roman"/>
          <w:sz w:val="24"/>
          <w:szCs w:val="24"/>
          <w:shd w:val="clear" w:color="auto" w:fill="FFFFFF"/>
        </w:rPr>
        <w:t xml:space="preserve"> DP, Hauggaard-Nielsen H (2016) Biochar carbon stability and effect on greenhouse gas emissions. </w:t>
      </w:r>
      <w:proofErr w:type="gramStart"/>
      <w:r>
        <w:rPr>
          <w:rFonts w:ascii="Times New Roman" w:hAnsi="Times New Roman" w:cs="Times New Roman"/>
          <w:sz w:val="24"/>
          <w:szCs w:val="24"/>
          <w:shd w:val="clear" w:color="auto" w:fill="FFFFFF"/>
        </w:rPr>
        <w:t>In  ‘</w:t>
      </w:r>
      <w:proofErr w:type="gramEnd"/>
      <w:r>
        <w:rPr>
          <w:rFonts w:ascii="Times New Roman" w:hAnsi="Times New Roman" w:cs="Times New Roman"/>
          <w:i/>
          <w:iCs/>
          <w:sz w:val="24"/>
          <w:szCs w:val="24"/>
          <w:shd w:val="clear" w:color="auto" w:fill="FFFFFF"/>
        </w:rPr>
        <w:t>Biochar in European soils and agriculture’</w:t>
      </w:r>
      <w:r>
        <w:rPr>
          <w:rFonts w:ascii="Times New Roman" w:hAnsi="Times New Roman" w:cs="Times New Roman"/>
          <w:sz w:val="24"/>
          <w:szCs w:val="24"/>
          <w:shd w:val="clear" w:color="auto" w:fill="FFFFFF"/>
        </w:rPr>
        <w:t> pp. 187-205.( Routledge)</w:t>
      </w:r>
    </w:p>
    <w:p w14:paraId="56CECF79"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Castro A, da Silva Batista N, Latawiec AE, Rodrigues A, Strassburg B, Silva D, Araujo E, De Moraes LFD, Guerra JG, Galvao G, Alves-Pinto H (2018) The effects of Gliricidia-derived biochar on sequential maize and bean farming. </w:t>
      </w:r>
      <w:proofErr w:type="gramStart"/>
      <w:r>
        <w:rPr>
          <w:rFonts w:ascii="Times New Roman" w:hAnsi="Times New Roman" w:cs="Times New Roman"/>
          <w:i/>
          <w:iCs/>
          <w:color w:val="222222"/>
          <w:sz w:val="24"/>
          <w:szCs w:val="24"/>
          <w:shd w:val="clear" w:color="auto" w:fill="FFFFFF"/>
        </w:rPr>
        <w:t xml:space="preserve">Sustainability </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10</w:t>
      </w:r>
      <w:proofErr w:type="gramEnd"/>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578.</w:t>
      </w:r>
    </w:p>
    <w:p w14:paraId="56FA41AD" w14:textId="77777777" w:rsidR="00D879A9" w:rsidRDefault="00000000">
      <w:pPr>
        <w:jc w:val="both"/>
        <w:rPr>
          <w:rFonts w:ascii="Times New Roman" w:hAnsi="Times New Roman" w:cs="Times New Roman"/>
          <w:sz w:val="24"/>
          <w:szCs w:val="24"/>
        </w:rPr>
      </w:pPr>
      <w:r>
        <w:rPr>
          <w:rFonts w:ascii="Times New Roman" w:hAnsi="Times New Roman" w:cs="Times New Roman"/>
          <w:sz w:val="24"/>
          <w:szCs w:val="24"/>
        </w:rPr>
        <w:t>Castro A, Da Silva Batista N, Latawiec AE, Rodrigues A, Strassburg B, Silva D, Araujo E, De Moraes LFD, Guerra JG, Galvão G, Alves-Pinto H, (2018) The effects of Gliricidia-derived biochar on sequential maize and bean farming. </w:t>
      </w:r>
      <w:r>
        <w:rPr>
          <w:rFonts w:ascii="Times New Roman" w:hAnsi="Times New Roman" w:cs="Times New Roman"/>
          <w:i/>
          <w:iCs/>
          <w:sz w:val="24"/>
          <w:szCs w:val="24"/>
        </w:rPr>
        <w:t>Sustainability</w:t>
      </w:r>
      <w:r>
        <w:rPr>
          <w:rFonts w:ascii="Times New Roman" w:hAnsi="Times New Roman" w:cs="Times New Roman"/>
          <w:sz w:val="24"/>
          <w:szCs w:val="24"/>
        </w:rPr>
        <w:t xml:space="preserve"> </w:t>
      </w:r>
      <w:r>
        <w:rPr>
          <w:rFonts w:ascii="Times New Roman" w:hAnsi="Times New Roman" w:cs="Times New Roman"/>
          <w:b/>
          <w:iCs/>
          <w:sz w:val="24"/>
          <w:szCs w:val="24"/>
        </w:rPr>
        <w:t>10</w:t>
      </w:r>
      <w:r>
        <w:rPr>
          <w:rFonts w:ascii="Times New Roman" w:hAnsi="Times New Roman" w:cs="Times New Roman"/>
          <w:b/>
          <w:sz w:val="24"/>
          <w:szCs w:val="24"/>
        </w:rPr>
        <w:t>(3),</w:t>
      </w:r>
      <w:r>
        <w:rPr>
          <w:rFonts w:ascii="Times New Roman" w:hAnsi="Times New Roman" w:cs="Times New Roman"/>
          <w:sz w:val="24"/>
          <w:szCs w:val="24"/>
        </w:rPr>
        <w:t>.578.</w:t>
      </w:r>
    </w:p>
    <w:p w14:paraId="59B67931" w14:textId="77777777" w:rsidR="00D879A9" w:rsidRDefault="00000000">
      <w:pPr>
        <w:shd w:val="clear" w:color="auto" w:fill="FFFFFF"/>
        <w:spacing w:after="0"/>
        <w:jc w:val="both"/>
        <w:rPr>
          <w:rFonts w:ascii="Times New Roman" w:eastAsia="Times New Roman" w:hAnsi="Times New Roman" w:cs="Times New Roman"/>
          <w:spacing w:val="4"/>
          <w:sz w:val="24"/>
          <w:szCs w:val="24"/>
          <w:lang w:eastAsia="en-IN"/>
        </w:rPr>
      </w:pPr>
      <w:proofErr w:type="gramStart"/>
      <w:r>
        <w:rPr>
          <w:rFonts w:ascii="Times New Roman" w:eastAsia="Times New Roman" w:hAnsi="Times New Roman" w:cs="Times New Roman"/>
          <w:sz w:val="24"/>
          <w:szCs w:val="24"/>
          <w:lang w:eastAsia="en-IN"/>
        </w:rPr>
        <w:t>Chaudhari  PR</w:t>
      </w:r>
      <w:proofErr w:type="gramEnd"/>
      <w:r>
        <w:rPr>
          <w:rFonts w:ascii="Times New Roman" w:eastAsia="Times New Roman" w:hAnsi="Times New Roman" w:cs="Times New Roman"/>
          <w:sz w:val="24"/>
          <w:szCs w:val="24"/>
          <w:lang w:eastAsia="en-IN"/>
        </w:rPr>
        <w:t xml:space="preserve">,  Ahire  DV,  Ahire  VD,  </w:t>
      </w:r>
      <w:proofErr w:type="spellStart"/>
      <w:r>
        <w:rPr>
          <w:rFonts w:ascii="Times New Roman" w:eastAsia="Times New Roman" w:hAnsi="Times New Roman" w:cs="Times New Roman"/>
          <w:sz w:val="24"/>
          <w:szCs w:val="24"/>
          <w:lang w:eastAsia="en-IN"/>
        </w:rPr>
        <w:t>Chkravarty</w:t>
      </w:r>
      <w:proofErr w:type="spellEnd"/>
      <w:r>
        <w:rPr>
          <w:rFonts w:ascii="Times New Roman" w:eastAsia="Times New Roman" w:hAnsi="Times New Roman" w:cs="Times New Roman"/>
          <w:sz w:val="24"/>
          <w:szCs w:val="24"/>
          <w:lang w:eastAsia="en-IN"/>
        </w:rPr>
        <w:t xml:space="preserve">  M, </w:t>
      </w:r>
      <w:r>
        <w:rPr>
          <w:rFonts w:ascii="Times New Roman" w:eastAsia="Times New Roman" w:hAnsi="Times New Roman" w:cs="Times New Roman"/>
          <w:spacing w:val="4"/>
          <w:sz w:val="24"/>
          <w:szCs w:val="24"/>
          <w:lang w:eastAsia="en-IN"/>
        </w:rPr>
        <w:t xml:space="preserve"> </w:t>
      </w:r>
      <w:r>
        <w:rPr>
          <w:rFonts w:ascii="Times New Roman" w:eastAsia="Times New Roman" w:hAnsi="Times New Roman" w:cs="Times New Roman"/>
          <w:sz w:val="24"/>
          <w:szCs w:val="24"/>
          <w:lang w:eastAsia="en-IN"/>
        </w:rPr>
        <w:t>Maity S (</w:t>
      </w:r>
      <w:r>
        <w:rPr>
          <w:rFonts w:ascii="Times New Roman" w:eastAsia="Times New Roman" w:hAnsi="Times New Roman" w:cs="Times New Roman"/>
          <w:spacing w:val="4"/>
          <w:sz w:val="24"/>
          <w:szCs w:val="24"/>
          <w:lang w:eastAsia="en-IN"/>
        </w:rPr>
        <w:t xml:space="preserve">2013) </w:t>
      </w:r>
      <w:r>
        <w:rPr>
          <w:rFonts w:ascii="Times New Roman" w:eastAsia="Times New Roman" w:hAnsi="Times New Roman" w:cs="Times New Roman"/>
          <w:sz w:val="24"/>
          <w:szCs w:val="24"/>
          <w:lang w:eastAsia="en-IN"/>
        </w:rPr>
        <w:t xml:space="preserve">Soil bulk density as   related  to  soil  texture, </w:t>
      </w:r>
      <w:r>
        <w:rPr>
          <w:rFonts w:ascii="Times New Roman" w:eastAsia="Times New Roman" w:hAnsi="Times New Roman" w:cs="Times New Roman"/>
          <w:spacing w:val="4"/>
          <w:sz w:val="24"/>
          <w:szCs w:val="24"/>
          <w:lang w:eastAsia="en-IN"/>
        </w:rPr>
        <w:t xml:space="preserve"> </w:t>
      </w:r>
      <w:r>
        <w:rPr>
          <w:rFonts w:ascii="Times New Roman" w:eastAsia="Times New Roman" w:hAnsi="Times New Roman" w:cs="Times New Roman"/>
          <w:sz w:val="24"/>
          <w:szCs w:val="24"/>
          <w:lang w:eastAsia="en-IN"/>
        </w:rPr>
        <w:t xml:space="preserve">organic  matter  content  and  available  total  nutrients  of </w:t>
      </w:r>
      <w:r>
        <w:rPr>
          <w:rFonts w:ascii="Times New Roman" w:eastAsia="Times New Roman" w:hAnsi="Times New Roman" w:cs="Times New Roman"/>
          <w:spacing w:val="4"/>
          <w:sz w:val="24"/>
          <w:szCs w:val="24"/>
          <w:lang w:eastAsia="en-IN"/>
        </w:rPr>
        <w:t xml:space="preserve"> </w:t>
      </w:r>
      <w:r>
        <w:rPr>
          <w:rFonts w:ascii="Times New Roman" w:eastAsia="Times New Roman" w:hAnsi="Times New Roman" w:cs="Times New Roman"/>
          <w:sz w:val="24"/>
          <w:szCs w:val="24"/>
          <w:lang w:eastAsia="en-IN"/>
        </w:rPr>
        <w:t xml:space="preserve">Coimbatore   soil. </w:t>
      </w:r>
      <w:proofErr w:type="gramStart"/>
      <w:r>
        <w:rPr>
          <w:rFonts w:ascii="Times New Roman" w:eastAsia="Times New Roman" w:hAnsi="Times New Roman" w:cs="Times New Roman"/>
          <w:i/>
          <w:iCs/>
          <w:sz w:val="24"/>
          <w:szCs w:val="24"/>
          <w:lang w:eastAsia="en-IN"/>
        </w:rPr>
        <w:t>International  Journal</w:t>
      </w:r>
      <w:proofErr w:type="gramEnd"/>
      <w:r>
        <w:rPr>
          <w:rFonts w:ascii="Times New Roman" w:eastAsia="Times New Roman" w:hAnsi="Times New Roman" w:cs="Times New Roman"/>
          <w:i/>
          <w:iCs/>
          <w:sz w:val="24"/>
          <w:szCs w:val="24"/>
          <w:lang w:eastAsia="en-IN"/>
        </w:rPr>
        <w:t xml:space="preserve"> of Scientific  and </w:t>
      </w:r>
      <w:r>
        <w:rPr>
          <w:rFonts w:ascii="Times New Roman" w:eastAsia="Times New Roman" w:hAnsi="Times New Roman" w:cs="Times New Roman"/>
          <w:i/>
          <w:iCs/>
          <w:spacing w:val="4"/>
          <w:sz w:val="24"/>
          <w:szCs w:val="24"/>
          <w:lang w:eastAsia="en-IN"/>
        </w:rPr>
        <w:t xml:space="preserve"> </w:t>
      </w:r>
      <w:r>
        <w:rPr>
          <w:rFonts w:ascii="Times New Roman" w:eastAsia="Times New Roman" w:hAnsi="Times New Roman" w:cs="Times New Roman"/>
          <w:i/>
          <w:iCs/>
          <w:sz w:val="24"/>
          <w:szCs w:val="24"/>
          <w:lang w:eastAsia="en-IN"/>
        </w:rPr>
        <w:t>Research Publications</w:t>
      </w:r>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b/>
          <w:bCs/>
          <w:sz w:val="24"/>
          <w:szCs w:val="24"/>
          <w:lang w:eastAsia="en-IN"/>
        </w:rPr>
        <w:t xml:space="preserve">3(2), </w:t>
      </w:r>
      <w:r>
        <w:rPr>
          <w:rFonts w:ascii="Times New Roman" w:eastAsia="Times New Roman" w:hAnsi="Times New Roman" w:cs="Times New Roman"/>
          <w:sz w:val="24"/>
          <w:szCs w:val="24"/>
          <w:lang w:eastAsia="en-IN"/>
        </w:rPr>
        <w:t xml:space="preserve">2250-3153. </w:t>
      </w:r>
    </w:p>
    <w:p w14:paraId="4854237E" w14:textId="77777777" w:rsidR="00D879A9" w:rsidRDefault="00000000">
      <w:pPr>
        <w:jc w:val="both"/>
        <w:rPr>
          <w:rFonts w:ascii="Times New Roman" w:hAnsi="Times New Roman" w:cs="Times New Roman"/>
          <w:sz w:val="24"/>
          <w:szCs w:val="24"/>
          <w:shd w:val="clear" w:color="auto" w:fill="FCFCFC"/>
        </w:rPr>
      </w:pPr>
      <w:r>
        <w:rPr>
          <w:rFonts w:ascii="Times New Roman" w:hAnsi="Times New Roman" w:cs="Times New Roman"/>
          <w:sz w:val="24"/>
          <w:szCs w:val="24"/>
          <w:shd w:val="clear" w:color="auto" w:fill="FCFCFC"/>
        </w:rPr>
        <w:lastRenderedPageBreak/>
        <w:t>Chen Y, Camps-</w:t>
      </w:r>
      <w:proofErr w:type="spellStart"/>
      <w:r>
        <w:rPr>
          <w:rFonts w:ascii="Times New Roman" w:hAnsi="Times New Roman" w:cs="Times New Roman"/>
          <w:sz w:val="24"/>
          <w:szCs w:val="24"/>
          <w:shd w:val="clear" w:color="auto" w:fill="FCFCFC"/>
        </w:rPr>
        <w:t>Arbestain</w:t>
      </w:r>
      <w:proofErr w:type="spellEnd"/>
      <w:r>
        <w:rPr>
          <w:rFonts w:ascii="Times New Roman" w:hAnsi="Times New Roman" w:cs="Times New Roman"/>
          <w:sz w:val="24"/>
          <w:szCs w:val="24"/>
          <w:shd w:val="clear" w:color="auto" w:fill="FCFCFC"/>
        </w:rPr>
        <w:t xml:space="preserve"> M, Shen Q, Singh B, </w:t>
      </w:r>
      <w:proofErr w:type="spellStart"/>
      <w:r>
        <w:rPr>
          <w:rFonts w:ascii="Times New Roman" w:hAnsi="Times New Roman" w:cs="Times New Roman"/>
          <w:sz w:val="24"/>
          <w:szCs w:val="24"/>
          <w:shd w:val="clear" w:color="auto" w:fill="FCFCFC"/>
        </w:rPr>
        <w:t>Cayuela</w:t>
      </w:r>
      <w:proofErr w:type="spellEnd"/>
      <w:r>
        <w:rPr>
          <w:rFonts w:ascii="Times New Roman" w:hAnsi="Times New Roman" w:cs="Times New Roman"/>
          <w:sz w:val="24"/>
          <w:szCs w:val="24"/>
          <w:shd w:val="clear" w:color="auto" w:fill="FCFCFC"/>
        </w:rPr>
        <w:t xml:space="preserve"> ML (2018) The long-term role of organic amendments in building soil nutrient fertility: a meta-analysis and review. </w:t>
      </w:r>
      <w:proofErr w:type="spellStart"/>
      <w:r>
        <w:rPr>
          <w:rFonts w:ascii="Times New Roman" w:hAnsi="Times New Roman" w:cs="Times New Roman"/>
          <w:i/>
          <w:iCs/>
          <w:sz w:val="24"/>
          <w:szCs w:val="24"/>
          <w:shd w:val="clear" w:color="auto" w:fill="FCFCFC"/>
        </w:rPr>
        <w:t>Nutr</w:t>
      </w:r>
      <w:proofErr w:type="spellEnd"/>
      <w:r>
        <w:rPr>
          <w:rFonts w:ascii="Times New Roman" w:hAnsi="Times New Roman" w:cs="Times New Roman"/>
          <w:i/>
          <w:iCs/>
          <w:sz w:val="24"/>
          <w:szCs w:val="24"/>
          <w:shd w:val="clear" w:color="auto" w:fill="FCFCFC"/>
        </w:rPr>
        <w:t xml:space="preserve"> </w:t>
      </w:r>
      <w:proofErr w:type="spellStart"/>
      <w:r>
        <w:rPr>
          <w:rFonts w:ascii="Times New Roman" w:hAnsi="Times New Roman" w:cs="Times New Roman"/>
          <w:i/>
          <w:iCs/>
          <w:sz w:val="24"/>
          <w:szCs w:val="24"/>
          <w:shd w:val="clear" w:color="auto" w:fill="FCFCFC"/>
        </w:rPr>
        <w:t>Cycl</w:t>
      </w:r>
      <w:proofErr w:type="spellEnd"/>
      <w:r>
        <w:rPr>
          <w:rFonts w:ascii="Times New Roman" w:hAnsi="Times New Roman" w:cs="Times New Roman"/>
          <w:i/>
          <w:iCs/>
          <w:sz w:val="24"/>
          <w:szCs w:val="24"/>
          <w:shd w:val="clear" w:color="auto" w:fill="FCFCFC"/>
        </w:rPr>
        <w:t xml:space="preserve"> </w:t>
      </w:r>
      <w:proofErr w:type="spellStart"/>
      <w:r>
        <w:rPr>
          <w:rFonts w:ascii="Times New Roman" w:hAnsi="Times New Roman" w:cs="Times New Roman"/>
          <w:i/>
          <w:iCs/>
          <w:sz w:val="24"/>
          <w:szCs w:val="24"/>
          <w:shd w:val="clear" w:color="auto" w:fill="FCFCFC"/>
        </w:rPr>
        <w:t>Agroecosyst</w:t>
      </w:r>
      <w:proofErr w:type="spellEnd"/>
      <w:r>
        <w:rPr>
          <w:rFonts w:ascii="Times New Roman" w:hAnsi="Times New Roman" w:cs="Times New Roman"/>
          <w:sz w:val="24"/>
          <w:szCs w:val="24"/>
          <w:shd w:val="clear" w:color="auto" w:fill="FCFCFC"/>
        </w:rPr>
        <w:t xml:space="preserve"> </w:t>
      </w:r>
      <w:r>
        <w:rPr>
          <w:rFonts w:ascii="Times New Roman" w:hAnsi="Times New Roman" w:cs="Times New Roman"/>
          <w:b/>
          <w:bCs/>
          <w:sz w:val="24"/>
          <w:szCs w:val="24"/>
          <w:shd w:val="clear" w:color="auto" w:fill="FCFCFC"/>
        </w:rPr>
        <w:t xml:space="preserve">111, </w:t>
      </w:r>
      <w:r>
        <w:rPr>
          <w:rFonts w:ascii="Times New Roman" w:hAnsi="Times New Roman" w:cs="Times New Roman"/>
          <w:sz w:val="24"/>
          <w:szCs w:val="24"/>
          <w:shd w:val="clear" w:color="auto" w:fill="FCFCFC"/>
        </w:rPr>
        <w:t>103–125.</w:t>
      </w:r>
    </w:p>
    <w:p w14:paraId="5EE278AE"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De Bang TC, Husted S, Laursen KH, Persson DP, </w:t>
      </w:r>
      <w:proofErr w:type="spellStart"/>
      <w:r>
        <w:rPr>
          <w:rFonts w:ascii="Times New Roman" w:hAnsi="Times New Roman" w:cs="Times New Roman"/>
          <w:color w:val="222222"/>
          <w:sz w:val="24"/>
          <w:szCs w:val="24"/>
          <w:shd w:val="clear" w:color="auto" w:fill="FFFFFF"/>
        </w:rPr>
        <w:t>Schjoerring</w:t>
      </w:r>
      <w:proofErr w:type="spellEnd"/>
      <w:r>
        <w:rPr>
          <w:rFonts w:ascii="Times New Roman" w:hAnsi="Times New Roman" w:cs="Times New Roman"/>
          <w:color w:val="222222"/>
          <w:sz w:val="24"/>
          <w:szCs w:val="24"/>
          <w:shd w:val="clear" w:color="auto" w:fill="FFFFFF"/>
        </w:rPr>
        <w:t xml:space="preserve"> JK (2021) The molecular–physiological functions of mineral macronutrients and their consequences for deficiency symptoms in plants. </w:t>
      </w:r>
      <w:r>
        <w:rPr>
          <w:rFonts w:ascii="Times New Roman" w:hAnsi="Times New Roman" w:cs="Times New Roman"/>
          <w:i/>
          <w:iCs/>
          <w:color w:val="222222"/>
          <w:sz w:val="24"/>
          <w:szCs w:val="24"/>
          <w:shd w:val="clear" w:color="auto" w:fill="FFFFFF"/>
        </w:rPr>
        <w:t>New Phytologist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color w:val="222222"/>
          <w:sz w:val="24"/>
          <w:szCs w:val="24"/>
          <w:shd w:val="clear" w:color="auto" w:fill="FFFFFF"/>
        </w:rPr>
        <w:t>229(5),</w:t>
      </w:r>
      <w:r>
        <w:rPr>
          <w:rFonts w:ascii="Times New Roman" w:hAnsi="Times New Roman" w:cs="Times New Roman"/>
          <w:color w:val="222222"/>
          <w:sz w:val="24"/>
          <w:szCs w:val="24"/>
          <w:shd w:val="clear" w:color="auto" w:fill="FFFFFF"/>
        </w:rPr>
        <w:t xml:space="preserve"> 2446-2469.</w:t>
      </w:r>
    </w:p>
    <w:p w14:paraId="313C983C"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de </w:t>
      </w:r>
      <w:proofErr w:type="spellStart"/>
      <w:r>
        <w:rPr>
          <w:rFonts w:ascii="Times New Roman" w:hAnsi="Times New Roman" w:cs="Times New Roman"/>
          <w:color w:val="222222"/>
          <w:sz w:val="24"/>
          <w:szCs w:val="24"/>
          <w:shd w:val="clear" w:color="auto" w:fill="FFFFFF"/>
        </w:rPr>
        <w:t>Mendiburu</w:t>
      </w:r>
      <w:proofErr w:type="spellEnd"/>
      <w:r>
        <w:rPr>
          <w:rFonts w:ascii="Times New Roman" w:hAnsi="Times New Roman" w:cs="Times New Roman"/>
          <w:color w:val="222222"/>
          <w:sz w:val="24"/>
          <w:szCs w:val="24"/>
          <w:shd w:val="clear" w:color="auto" w:fill="FFFFFF"/>
        </w:rPr>
        <w:t xml:space="preserve"> F, de </w:t>
      </w:r>
      <w:proofErr w:type="spellStart"/>
      <w:r>
        <w:rPr>
          <w:rFonts w:ascii="Times New Roman" w:hAnsi="Times New Roman" w:cs="Times New Roman"/>
          <w:color w:val="222222"/>
          <w:sz w:val="24"/>
          <w:szCs w:val="24"/>
          <w:shd w:val="clear" w:color="auto" w:fill="FFFFFF"/>
        </w:rPr>
        <w:t>Mendiburu</w:t>
      </w:r>
      <w:proofErr w:type="spellEnd"/>
      <w:r>
        <w:rPr>
          <w:rFonts w:ascii="Times New Roman" w:hAnsi="Times New Roman" w:cs="Times New Roman"/>
          <w:color w:val="222222"/>
          <w:sz w:val="24"/>
          <w:szCs w:val="24"/>
          <w:shd w:val="clear" w:color="auto" w:fill="FFFFFF"/>
        </w:rPr>
        <w:t xml:space="preserve"> MF (2019). Package ‘</w:t>
      </w:r>
      <w:proofErr w:type="spellStart"/>
      <w:r>
        <w:rPr>
          <w:rFonts w:ascii="Times New Roman" w:hAnsi="Times New Roman" w:cs="Times New Roman"/>
          <w:color w:val="222222"/>
          <w:sz w:val="24"/>
          <w:szCs w:val="24"/>
          <w:shd w:val="clear" w:color="auto" w:fill="FFFFFF"/>
        </w:rPr>
        <w:t>agricolae</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R Package, version</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w:t>
      </w:r>
      <w:r>
        <w:rPr>
          <w:rFonts w:ascii="Times New Roman" w:hAnsi="Times New Roman" w:cs="Times New Roman"/>
          <w:b/>
          <w:bCs/>
          <w:color w:val="222222"/>
          <w:sz w:val="24"/>
          <w:szCs w:val="24"/>
          <w:shd w:val="clear" w:color="auto" w:fill="FFFFFF"/>
        </w:rPr>
        <w:t>(3).</w:t>
      </w:r>
    </w:p>
    <w:p w14:paraId="7CA8F449"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Foley JA, DeFries R, Asner GP, Barford C, Bonan G, Carpenter SR, Chapin FS, Coe MT, Daily GC, Gibbs </w:t>
      </w:r>
      <w:proofErr w:type="gramStart"/>
      <w:r>
        <w:rPr>
          <w:rFonts w:ascii="Times New Roman" w:hAnsi="Times New Roman" w:cs="Times New Roman"/>
          <w:color w:val="222222"/>
          <w:sz w:val="24"/>
          <w:szCs w:val="24"/>
          <w:shd w:val="clear" w:color="auto" w:fill="FFFFFF"/>
        </w:rPr>
        <w:t>HK,  Helkowski</w:t>
      </w:r>
      <w:proofErr w:type="gramEnd"/>
      <w:r>
        <w:rPr>
          <w:rFonts w:ascii="Times New Roman" w:hAnsi="Times New Roman" w:cs="Times New Roman"/>
          <w:color w:val="222222"/>
          <w:sz w:val="24"/>
          <w:szCs w:val="24"/>
          <w:shd w:val="clear" w:color="auto" w:fill="FFFFFF"/>
        </w:rPr>
        <w:t xml:space="preserve"> JH (2005) Global consequences of land use. </w:t>
      </w:r>
      <w:proofErr w:type="gramStart"/>
      <w:r>
        <w:rPr>
          <w:rFonts w:ascii="Times New Roman" w:hAnsi="Times New Roman" w:cs="Times New Roman"/>
          <w:i/>
          <w:iCs/>
          <w:color w:val="222222"/>
          <w:sz w:val="24"/>
          <w:szCs w:val="24"/>
          <w:shd w:val="clear" w:color="auto" w:fill="FFFFFF"/>
        </w:rPr>
        <w:t>Science</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309</w:t>
      </w:r>
      <w:proofErr w:type="gramEnd"/>
      <w:r>
        <w:rPr>
          <w:rFonts w:ascii="Times New Roman" w:hAnsi="Times New Roman" w:cs="Times New Roman"/>
          <w:b/>
          <w:bCs/>
          <w:color w:val="222222"/>
          <w:sz w:val="24"/>
          <w:szCs w:val="24"/>
          <w:shd w:val="clear" w:color="auto" w:fill="FFFFFF"/>
        </w:rPr>
        <w:t>(5734),</w:t>
      </w:r>
      <w:r>
        <w:rPr>
          <w:rFonts w:ascii="Times New Roman" w:hAnsi="Times New Roman" w:cs="Times New Roman"/>
          <w:color w:val="222222"/>
          <w:sz w:val="24"/>
          <w:szCs w:val="24"/>
          <w:shd w:val="clear" w:color="auto" w:fill="FFFFFF"/>
        </w:rPr>
        <w:t xml:space="preserve"> 570-574.</w:t>
      </w:r>
    </w:p>
    <w:p w14:paraId="78B08116" w14:textId="77777777" w:rsidR="00D879A9" w:rsidRDefault="00000000">
      <w:pPr>
        <w:jc w:val="both"/>
        <w:rPr>
          <w:rFonts w:ascii="Times New Roman" w:hAnsi="Times New Roman" w:cs="Times New Roman"/>
          <w:color w:val="333333"/>
          <w:sz w:val="24"/>
          <w:szCs w:val="24"/>
          <w:shd w:val="clear" w:color="auto" w:fill="FCFCFC"/>
        </w:rPr>
      </w:pPr>
      <w:r>
        <w:rPr>
          <w:rFonts w:ascii="Times New Roman" w:hAnsi="Times New Roman" w:cs="Times New Roman"/>
          <w:color w:val="333333"/>
          <w:sz w:val="24"/>
          <w:szCs w:val="24"/>
          <w:shd w:val="clear" w:color="auto" w:fill="FCFCFC"/>
        </w:rPr>
        <w:t xml:space="preserve">Gaskin JW, Speir RA, Harris K, Das KC, Lee RD, Morris LA, Fisher DS (2010) Effect of peanut hull and pine chip biochar on soil nutrients, corn nutrient status, and yield. </w:t>
      </w:r>
      <w:r>
        <w:rPr>
          <w:rFonts w:ascii="Times New Roman" w:hAnsi="Times New Roman" w:cs="Times New Roman"/>
          <w:i/>
          <w:iCs/>
          <w:color w:val="333333"/>
          <w:sz w:val="24"/>
          <w:szCs w:val="24"/>
          <w:shd w:val="clear" w:color="auto" w:fill="FCFCFC"/>
        </w:rPr>
        <w:t>Agron J</w:t>
      </w:r>
      <w:r>
        <w:rPr>
          <w:rFonts w:ascii="Times New Roman" w:hAnsi="Times New Roman" w:cs="Times New Roman"/>
          <w:color w:val="333333"/>
          <w:sz w:val="24"/>
          <w:szCs w:val="24"/>
          <w:shd w:val="clear" w:color="auto" w:fill="FCFCFC"/>
        </w:rPr>
        <w:t xml:space="preserve"> </w:t>
      </w:r>
      <w:r>
        <w:rPr>
          <w:rFonts w:ascii="Times New Roman" w:hAnsi="Times New Roman" w:cs="Times New Roman"/>
          <w:b/>
          <w:bCs/>
          <w:color w:val="333333"/>
          <w:sz w:val="24"/>
          <w:szCs w:val="24"/>
          <w:shd w:val="clear" w:color="auto" w:fill="FCFCFC"/>
        </w:rPr>
        <w:t xml:space="preserve">102, </w:t>
      </w:r>
      <w:r>
        <w:rPr>
          <w:rFonts w:ascii="Times New Roman" w:hAnsi="Times New Roman" w:cs="Times New Roman"/>
          <w:color w:val="333333"/>
          <w:sz w:val="24"/>
          <w:szCs w:val="24"/>
          <w:shd w:val="clear" w:color="auto" w:fill="FCFCFC"/>
        </w:rPr>
        <w:t>623–633</w:t>
      </w:r>
    </w:p>
    <w:p w14:paraId="265530D7" w14:textId="77777777" w:rsidR="00D879A9" w:rsidRDefault="00000000">
      <w:pPr>
        <w:pStyle w:val="c-article-referencestext"/>
        <w:shd w:val="clear" w:color="auto" w:fill="FCFCFC"/>
        <w:spacing w:before="0" w:beforeAutospacing="0" w:after="120" w:afterAutospacing="0" w:line="276" w:lineRule="auto"/>
        <w:jc w:val="both"/>
        <w:rPr>
          <w:color w:val="333333"/>
        </w:rPr>
      </w:pPr>
      <w:proofErr w:type="spellStart"/>
      <w:r>
        <w:rPr>
          <w:color w:val="333333"/>
        </w:rPr>
        <w:t>Golzarian</w:t>
      </w:r>
      <w:proofErr w:type="spellEnd"/>
      <w:r>
        <w:rPr>
          <w:color w:val="333333"/>
        </w:rPr>
        <w:t xml:space="preserve"> MR, Frick RA, Rajendran K, Berger B, Roy S, Tester M, Lun DS (2011) Accurate inference of shoot biomass from high-throughput images of cereal plants. </w:t>
      </w:r>
      <w:r>
        <w:rPr>
          <w:i/>
          <w:iCs/>
          <w:color w:val="333333"/>
        </w:rPr>
        <w:t>Plant Methods</w:t>
      </w:r>
      <w:r>
        <w:rPr>
          <w:color w:val="333333"/>
        </w:rPr>
        <w:t xml:space="preserve"> </w:t>
      </w:r>
      <w:r>
        <w:rPr>
          <w:b/>
          <w:bCs/>
          <w:color w:val="333333"/>
        </w:rPr>
        <w:t>7,</w:t>
      </w:r>
      <w:r>
        <w:rPr>
          <w:color w:val="333333"/>
        </w:rPr>
        <w:t>1–11. doi:</w:t>
      </w:r>
      <w:hyperlink r:id="rId19" w:history="1">
        <w:r w:rsidR="00D879A9">
          <w:rPr>
            <w:rStyle w:val="Hyperlink"/>
            <w:color w:val="004B83"/>
          </w:rPr>
          <w:t>10.1186/1746-4811-7-2</w:t>
        </w:r>
      </w:hyperlink>
    </w:p>
    <w:p w14:paraId="2D3F67B9" w14:textId="77777777" w:rsidR="00D879A9" w:rsidRDefault="00000000">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Guenni</w:t>
      </w:r>
      <w:proofErr w:type="spellEnd"/>
      <w:r>
        <w:rPr>
          <w:rFonts w:ascii="Times New Roman" w:hAnsi="Times New Roman" w:cs="Times New Roman"/>
          <w:color w:val="222222"/>
          <w:sz w:val="24"/>
          <w:szCs w:val="24"/>
          <w:shd w:val="clear" w:color="auto" w:fill="FFFFFF"/>
        </w:rPr>
        <w:t xml:space="preserve"> O, Romero E, </w:t>
      </w:r>
      <w:proofErr w:type="spellStart"/>
      <w:r>
        <w:rPr>
          <w:rFonts w:ascii="Times New Roman" w:hAnsi="Times New Roman" w:cs="Times New Roman"/>
          <w:color w:val="222222"/>
          <w:sz w:val="24"/>
          <w:szCs w:val="24"/>
          <w:shd w:val="clear" w:color="auto" w:fill="FFFFFF"/>
        </w:rPr>
        <w:t>Guédez</w:t>
      </w:r>
      <w:proofErr w:type="spellEnd"/>
      <w:r>
        <w:rPr>
          <w:rFonts w:ascii="Times New Roman" w:hAnsi="Times New Roman" w:cs="Times New Roman"/>
          <w:color w:val="222222"/>
          <w:sz w:val="24"/>
          <w:szCs w:val="24"/>
          <w:shd w:val="clear" w:color="auto" w:fill="FFFFFF"/>
        </w:rPr>
        <w:t xml:space="preserve"> Y, Bravo de </w:t>
      </w:r>
      <w:proofErr w:type="spellStart"/>
      <w:r>
        <w:rPr>
          <w:rFonts w:ascii="Times New Roman" w:hAnsi="Times New Roman" w:cs="Times New Roman"/>
          <w:color w:val="222222"/>
          <w:sz w:val="24"/>
          <w:szCs w:val="24"/>
          <w:shd w:val="clear" w:color="auto" w:fill="FFFFFF"/>
        </w:rPr>
        <w:t>Guenni</w:t>
      </w:r>
      <w:proofErr w:type="spell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 xml:space="preserve">L,  </w:t>
      </w:r>
      <w:proofErr w:type="spellStart"/>
      <w:r>
        <w:rPr>
          <w:rFonts w:ascii="Times New Roman" w:hAnsi="Times New Roman" w:cs="Times New Roman"/>
          <w:color w:val="222222"/>
          <w:sz w:val="24"/>
          <w:szCs w:val="24"/>
          <w:shd w:val="clear" w:color="auto" w:fill="FFFFFF"/>
        </w:rPr>
        <w:t>Pittermann</w:t>
      </w:r>
      <w:proofErr w:type="spellEnd"/>
      <w:proofErr w:type="gramEnd"/>
      <w:r>
        <w:rPr>
          <w:rFonts w:ascii="Times New Roman" w:hAnsi="Times New Roman" w:cs="Times New Roman"/>
          <w:color w:val="222222"/>
          <w:sz w:val="24"/>
          <w:szCs w:val="24"/>
          <w:shd w:val="clear" w:color="auto" w:fill="FFFFFF"/>
        </w:rPr>
        <w:t xml:space="preserve"> J (2018) Influence of low light intensity on growth and biomass allocation, leaf photosynthesis and canopy radiation interception and use in two forage species of </w:t>
      </w:r>
      <w:proofErr w:type="spellStart"/>
      <w:r>
        <w:rPr>
          <w:rFonts w:ascii="Times New Roman" w:hAnsi="Times New Roman" w:cs="Times New Roman"/>
          <w:color w:val="222222"/>
          <w:sz w:val="24"/>
          <w:szCs w:val="24"/>
          <w:shd w:val="clear" w:color="auto" w:fill="FFFFFF"/>
        </w:rPr>
        <w:t>Centrosema</w:t>
      </w:r>
      <w:proofErr w:type="spellEnd"/>
      <w:r>
        <w:rPr>
          <w:rFonts w:ascii="Times New Roman" w:hAnsi="Times New Roman" w:cs="Times New Roman"/>
          <w:color w:val="222222"/>
          <w:sz w:val="24"/>
          <w:szCs w:val="24"/>
          <w:shd w:val="clear" w:color="auto" w:fill="FFFFFF"/>
        </w:rPr>
        <w:t xml:space="preserve"> (DC.) Benth. </w:t>
      </w:r>
      <w:r>
        <w:rPr>
          <w:rFonts w:ascii="Times New Roman" w:hAnsi="Times New Roman" w:cs="Times New Roman"/>
          <w:i/>
          <w:iCs/>
          <w:color w:val="222222"/>
          <w:sz w:val="24"/>
          <w:szCs w:val="24"/>
          <w:shd w:val="clear" w:color="auto" w:fill="FFFFFF"/>
        </w:rPr>
        <w:t>Grass and Forage Science</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73</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967-978.</w:t>
      </w:r>
    </w:p>
    <w:p w14:paraId="747ADFD9"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333333"/>
          <w:sz w:val="24"/>
          <w:szCs w:val="24"/>
          <w:shd w:val="clear" w:color="auto" w:fill="FCFCFC"/>
        </w:rPr>
        <w:t xml:space="preserve">Guo JH, Liu XJ, Zhang Y, Shen JL, Han WX, Zhang WF, Christie P, Goulding K, </w:t>
      </w:r>
      <w:proofErr w:type="spellStart"/>
      <w:r>
        <w:rPr>
          <w:rFonts w:ascii="Times New Roman" w:hAnsi="Times New Roman" w:cs="Times New Roman"/>
          <w:color w:val="333333"/>
          <w:sz w:val="24"/>
          <w:szCs w:val="24"/>
          <w:shd w:val="clear" w:color="auto" w:fill="FCFCFC"/>
        </w:rPr>
        <w:t>Vitousek</w:t>
      </w:r>
      <w:proofErr w:type="spellEnd"/>
      <w:r>
        <w:rPr>
          <w:rFonts w:ascii="Times New Roman" w:hAnsi="Times New Roman" w:cs="Times New Roman"/>
          <w:color w:val="333333"/>
          <w:sz w:val="24"/>
          <w:szCs w:val="24"/>
          <w:shd w:val="clear" w:color="auto" w:fill="FCFCFC"/>
        </w:rPr>
        <w:t xml:space="preserve"> PM, Zhang F (2010) Significant acidification in major Chinese croplands. Science 327:1008–1010. </w:t>
      </w:r>
      <w:hyperlink r:id="rId20" w:history="1">
        <w:r w:rsidR="00D879A9">
          <w:rPr>
            <w:rStyle w:val="Hyperlink"/>
            <w:color w:val="004B83"/>
            <w:sz w:val="24"/>
            <w:szCs w:val="24"/>
            <w:shd w:val="clear" w:color="auto" w:fill="FCFCFC"/>
          </w:rPr>
          <w:t>https://doi.org/10.1126/science.1182570</w:t>
        </w:r>
      </w:hyperlink>
    </w:p>
    <w:p w14:paraId="28EA7827"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Hagemann N, Joseph S, Schmidt HP, Kammann CI, Harter J, Borch T, Young RB, Varga K, </w:t>
      </w:r>
      <w:proofErr w:type="spellStart"/>
      <w:r>
        <w:rPr>
          <w:rFonts w:ascii="Times New Roman" w:hAnsi="Times New Roman" w:cs="Times New Roman"/>
          <w:color w:val="222222"/>
          <w:sz w:val="24"/>
          <w:szCs w:val="24"/>
          <w:shd w:val="clear" w:color="auto" w:fill="FFFFFF"/>
        </w:rPr>
        <w:t>Taherymoosavi</w:t>
      </w:r>
      <w:proofErr w:type="spellEnd"/>
      <w:r>
        <w:rPr>
          <w:rFonts w:ascii="Times New Roman" w:hAnsi="Times New Roman" w:cs="Times New Roman"/>
          <w:color w:val="222222"/>
          <w:sz w:val="24"/>
          <w:szCs w:val="24"/>
          <w:shd w:val="clear" w:color="auto" w:fill="FFFFFF"/>
        </w:rPr>
        <w:t>, S, Elliott KW and McKenna A (2017) Organic coating on biochar explains its nutrient retention and stimulation of soil fertility. </w:t>
      </w:r>
      <w:r>
        <w:rPr>
          <w:rFonts w:ascii="Times New Roman" w:hAnsi="Times New Roman" w:cs="Times New Roman"/>
          <w:i/>
          <w:iCs/>
          <w:color w:val="222222"/>
          <w:sz w:val="24"/>
          <w:szCs w:val="24"/>
          <w:shd w:val="clear" w:color="auto" w:fill="FFFFFF"/>
        </w:rPr>
        <w:t>Nature communications</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8</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1089.</w:t>
      </w:r>
    </w:p>
    <w:p w14:paraId="46102E6F"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Hammes K, Schmidt MW (2012) Changes of biochar in soil. </w:t>
      </w:r>
      <w:proofErr w:type="gramStart"/>
      <w:r>
        <w:rPr>
          <w:rFonts w:ascii="Times New Roman" w:hAnsi="Times New Roman" w:cs="Times New Roman"/>
          <w:color w:val="222222"/>
          <w:sz w:val="24"/>
          <w:szCs w:val="24"/>
          <w:shd w:val="clear" w:color="auto" w:fill="FFFFFF"/>
        </w:rPr>
        <w:t>In  ‘</w:t>
      </w:r>
      <w:proofErr w:type="gramEnd"/>
      <w:r>
        <w:rPr>
          <w:rFonts w:ascii="Times New Roman" w:hAnsi="Times New Roman" w:cs="Times New Roman"/>
          <w:i/>
          <w:iCs/>
          <w:color w:val="222222"/>
          <w:sz w:val="24"/>
          <w:szCs w:val="24"/>
          <w:shd w:val="clear" w:color="auto" w:fill="FFFFFF"/>
        </w:rPr>
        <w:t>Biochar for environmental management’</w:t>
      </w:r>
      <w:r>
        <w:rPr>
          <w:rFonts w:ascii="Times New Roman" w:hAnsi="Times New Roman" w:cs="Times New Roman"/>
          <w:color w:val="222222"/>
          <w:sz w:val="24"/>
          <w:szCs w:val="24"/>
          <w:shd w:val="clear" w:color="auto" w:fill="FFFFFF"/>
        </w:rPr>
        <w:t> pp. 201-214. (Routledge)</w:t>
      </w:r>
    </w:p>
    <w:p w14:paraId="75D22FFD"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Haseena K, </w:t>
      </w:r>
      <w:proofErr w:type="spellStart"/>
      <w:r>
        <w:rPr>
          <w:rFonts w:ascii="Times New Roman" w:hAnsi="Times New Roman" w:cs="Times New Roman"/>
          <w:color w:val="222222"/>
          <w:sz w:val="24"/>
          <w:szCs w:val="24"/>
          <w:shd w:val="clear" w:color="auto" w:fill="FFFFFF"/>
        </w:rPr>
        <w:t>Balehonnur</w:t>
      </w:r>
      <w:proofErr w:type="spellEnd"/>
      <w:r>
        <w:rPr>
          <w:rFonts w:ascii="Times New Roman" w:hAnsi="Times New Roman" w:cs="Times New Roman"/>
          <w:color w:val="222222"/>
          <w:sz w:val="24"/>
          <w:szCs w:val="24"/>
          <w:shd w:val="clear" w:color="auto" w:fill="FFFFFF"/>
        </w:rPr>
        <w:t xml:space="preserve"> F, Verma </w:t>
      </w:r>
      <w:proofErr w:type="gramStart"/>
      <w:r>
        <w:rPr>
          <w:rFonts w:ascii="Times New Roman" w:hAnsi="Times New Roman" w:cs="Times New Roman"/>
          <w:color w:val="222222"/>
          <w:sz w:val="24"/>
          <w:szCs w:val="24"/>
          <w:shd w:val="clear" w:color="auto" w:fill="FFFFFF"/>
        </w:rPr>
        <w:t>R,  Prasanna</w:t>
      </w:r>
      <w:proofErr w:type="gramEnd"/>
      <w:r>
        <w:rPr>
          <w:rFonts w:ascii="Times New Roman" w:hAnsi="Times New Roman" w:cs="Times New Roman"/>
          <w:color w:val="222222"/>
          <w:sz w:val="24"/>
          <w:szCs w:val="24"/>
          <w:shd w:val="clear" w:color="auto" w:fill="FFFFFF"/>
        </w:rPr>
        <w:t xml:space="preserve"> KT (2022) Impact of Biochar Application on the Chemical Properties of Acidic and Neutral Soil. </w:t>
      </w:r>
      <w:r>
        <w:rPr>
          <w:rFonts w:ascii="Times New Roman" w:hAnsi="Times New Roman" w:cs="Times New Roman"/>
          <w:i/>
          <w:iCs/>
          <w:color w:val="222222"/>
          <w:sz w:val="24"/>
          <w:szCs w:val="24"/>
          <w:shd w:val="clear" w:color="auto" w:fill="FFFFFF"/>
        </w:rPr>
        <w:t>International Journal of Plant &amp; Soil Science</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34</w:t>
      </w:r>
      <w:r>
        <w:rPr>
          <w:rFonts w:ascii="Times New Roman" w:hAnsi="Times New Roman" w:cs="Times New Roman"/>
          <w:b/>
          <w:bCs/>
          <w:color w:val="222222"/>
          <w:sz w:val="24"/>
          <w:szCs w:val="24"/>
          <w:shd w:val="clear" w:color="auto" w:fill="FFFFFF"/>
        </w:rPr>
        <w:t>(12),</w:t>
      </w:r>
      <w:r>
        <w:rPr>
          <w:rFonts w:ascii="Times New Roman" w:hAnsi="Times New Roman" w:cs="Times New Roman"/>
          <w:color w:val="222222"/>
          <w:sz w:val="24"/>
          <w:szCs w:val="24"/>
          <w:shd w:val="clear" w:color="auto" w:fill="FFFFFF"/>
        </w:rPr>
        <w:t xml:space="preserve"> 10-18.</w:t>
      </w:r>
    </w:p>
    <w:p w14:paraId="1B87EAAF"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Hasler K, Bröring S, </w:t>
      </w:r>
      <w:proofErr w:type="spellStart"/>
      <w:r>
        <w:rPr>
          <w:rFonts w:ascii="Times New Roman" w:hAnsi="Times New Roman" w:cs="Times New Roman"/>
          <w:color w:val="222222"/>
          <w:sz w:val="24"/>
          <w:szCs w:val="24"/>
          <w:shd w:val="clear" w:color="auto" w:fill="FFFFFF"/>
        </w:rPr>
        <w:t>Omta</w:t>
      </w:r>
      <w:proofErr w:type="spell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 xml:space="preserve">SWF,  </w:t>
      </w:r>
      <w:proofErr w:type="spellStart"/>
      <w:r>
        <w:rPr>
          <w:rFonts w:ascii="Times New Roman" w:hAnsi="Times New Roman" w:cs="Times New Roman"/>
          <w:color w:val="222222"/>
          <w:sz w:val="24"/>
          <w:szCs w:val="24"/>
          <w:shd w:val="clear" w:color="auto" w:fill="FFFFFF"/>
        </w:rPr>
        <w:t>Olfs</w:t>
      </w:r>
      <w:proofErr w:type="spellEnd"/>
      <w:proofErr w:type="gramEnd"/>
      <w:r>
        <w:rPr>
          <w:rFonts w:ascii="Times New Roman" w:hAnsi="Times New Roman" w:cs="Times New Roman"/>
          <w:color w:val="222222"/>
          <w:sz w:val="24"/>
          <w:szCs w:val="24"/>
          <w:shd w:val="clear" w:color="auto" w:fill="FFFFFF"/>
        </w:rPr>
        <w:t xml:space="preserve"> HW (2015) Life cycle assessment (LCA) of different fertilizer product types. </w:t>
      </w:r>
      <w:r>
        <w:rPr>
          <w:rFonts w:ascii="Times New Roman" w:hAnsi="Times New Roman" w:cs="Times New Roman"/>
          <w:i/>
          <w:iCs/>
          <w:color w:val="222222"/>
          <w:sz w:val="24"/>
          <w:szCs w:val="24"/>
          <w:shd w:val="clear" w:color="auto" w:fill="FFFFFF"/>
        </w:rPr>
        <w:t>European Journal of Agronomy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69</w:t>
      </w:r>
      <w:r>
        <w:rPr>
          <w:rFonts w:ascii="Times New Roman" w:hAnsi="Times New Roman" w:cs="Times New Roman"/>
          <w:color w:val="222222"/>
          <w:sz w:val="24"/>
          <w:szCs w:val="24"/>
          <w:shd w:val="clear" w:color="auto" w:fill="FFFFFF"/>
        </w:rPr>
        <w:t>,41-51.</w:t>
      </w:r>
    </w:p>
    <w:p w14:paraId="4842F319"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Jackson WA, Flesher D, Hageman RH (1973) Nitrate uptake by dark-grown corn seedlings: some characteristics of apparent induction. </w:t>
      </w:r>
      <w:r>
        <w:rPr>
          <w:rFonts w:ascii="Times New Roman" w:hAnsi="Times New Roman" w:cs="Times New Roman"/>
          <w:i/>
          <w:iCs/>
          <w:color w:val="222222"/>
          <w:sz w:val="24"/>
          <w:szCs w:val="24"/>
          <w:shd w:val="clear" w:color="auto" w:fill="FFFFFF"/>
        </w:rPr>
        <w:t>Plant Physiology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51</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120-127.</w:t>
      </w:r>
    </w:p>
    <w:p w14:paraId="4B74D069" w14:textId="77777777" w:rsidR="00D879A9" w:rsidRDefault="00000000">
      <w:pPr>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Jena  RK</w:t>
      </w:r>
      <w:proofErr w:type="gramEnd"/>
      <w:r>
        <w:rPr>
          <w:rFonts w:ascii="Times New Roman" w:hAnsi="Times New Roman" w:cs="Times New Roman"/>
          <w:color w:val="222222"/>
          <w:sz w:val="24"/>
          <w:szCs w:val="24"/>
          <w:shd w:val="clear" w:color="auto" w:fill="FFFFFF"/>
        </w:rPr>
        <w:t>, Jagadeeswaran R, Sivasamy R (2013) Analogy of soil parameters in particle size analysis through laser diffraction techniques.</w:t>
      </w:r>
    </w:p>
    <w:p w14:paraId="5B6C2D2D"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Joseph S, Cowie AL, Van </w:t>
      </w:r>
      <w:proofErr w:type="spellStart"/>
      <w:r>
        <w:rPr>
          <w:rFonts w:ascii="Times New Roman" w:hAnsi="Times New Roman" w:cs="Times New Roman"/>
          <w:color w:val="222222"/>
          <w:sz w:val="24"/>
          <w:szCs w:val="24"/>
          <w:shd w:val="clear" w:color="auto" w:fill="FFFFFF"/>
        </w:rPr>
        <w:t>Zwieten</w:t>
      </w:r>
      <w:proofErr w:type="spellEnd"/>
      <w:r>
        <w:rPr>
          <w:rFonts w:ascii="Times New Roman" w:hAnsi="Times New Roman" w:cs="Times New Roman"/>
          <w:color w:val="222222"/>
          <w:sz w:val="24"/>
          <w:szCs w:val="24"/>
          <w:shd w:val="clear" w:color="auto" w:fill="FFFFFF"/>
        </w:rPr>
        <w:t xml:space="preserve"> L, Bolan N, Budai A, Buss W, </w:t>
      </w:r>
      <w:proofErr w:type="spellStart"/>
      <w:r>
        <w:rPr>
          <w:rFonts w:ascii="Times New Roman" w:hAnsi="Times New Roman" w:cs="Times New Roman"/>
          <w:color w:val="222222"/>
          <w:sz w:val="24"/>
          <w:szCs w:val="24"/>
          <w:shd w:val="clear" w:color="auto" w:fill="FFFFFF"/>
        </w:rPr>
        <w:t>Cayuela</w:t>
      </w:r>
      <w:proofErr w:type="spellEnd"/>
      <w:r>
        <w:rPr>
          <w:rFonts w:ascii="Times New Roman" w:hAnsi="Times New Roman" w:cs="Times New Roman"/>
          <w:color w:val="222222"/>
          <w:sz w:val="24"/>
          <w:szCs w:val="24"/>
          <w:shd w:val="clear" w:color="auto" w:fill="FFFFFF"/>
        </w:rPr>
        <w:t xml:space="preserve"> ML, Graber ER, Ippolito JA, </w:t>
      </w:r>
      <w:proofErr w:type="spellStart"/>
      <w:r>
        <w:rPr>
          <w:rFonts w:ascii="Times New Roman" w:hAnsi="Times New Roman" w:cs="Times New Roman"/>
          <w:color w:val="222222"/>
          <w:sz w:val="24"/>
          <w:szCs w:val="24"/>
          <w:shd w:val="clear" w:color="auto" w:fill="FFFFFF"/>
        </w:rPr>
        <w:t>Kuzyakov</w:t>
      </w:r>
      <w:proofErr w:type="spellEnd"/>
      <w:r>
        <w:rPr>
          <w:rFonts w:ascii="Times New Roman" w:hAnsi="Times New Roman" w:cs="Times New Roman"/>
          <w:color w:val="222222"/>
          <w:sz w:val="24"/>
          <w:szCs w:val="24"/>
          <w:shd w:val="clear" w:color="auto" w:fill="FFFFFF"/>
        </w:rPr>
        <w:t xml:space="preserve"> Y, Luo Y (2021) How biochar works, and when it doesn't: A review of mechanisms controlling soil and plant responses to biochar. </w:t>
      </w:r>
      <w:proofErr w:type="spellStart"/>
      <w:r>
        <w:rPr>
          <w:rFonts w:ascii="Times New Roman" w:hAnsi="Times New Roman" w:cs="Times New Roman"/>
          <w:i/>
          <w:iCs/>
          <w:color w:val="222222"/>
          <w:sz w:val="24"/>
          <w:szCs w:val="24"/>
          <w:shd w:val="clear" w:color="auto" w:fill="FFFFFF"/>
        </w:rPr>
        <w:t>Gcb</w:t>
      </w:r>
      <w:proofErr w:type="spellEnd"/>
      <w:r>
        <w:rPr>
          <w:rFonts w:ascii="Times New Roman" w:hAnsi="Times New Roman" w:cs="Times New Roman"/>
          <w:i/>
          <w:iCs/>
          <w:color w:val="222222"/>
          <w:sz w:val="24"/>
          <w:szCs w:val="24"/>
          <w:shd w:val="clear" w:color="auto" w:fill="FFFFFF"/>
        </w:rPr>
        <w:t xml:space="preserve"> Bioenergy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13</w:t>
      </w:r>
      <w:r>
        <w:rPr>
          <w:rFonts w:ascii="Times New Roman" w:hAnsi="Times New Roman" w:cs="Times New Roman"/>
          <w:b/>
          <w:bCs/>
          <w:color w:val="222222"/>
          <w:sz w:val="24"/>
          <w:szCs w:val="24"/>
          <w:shd w:val="clear" w:color="auto" w:fill="FFFFFF"/>
        </w:rPr>
        <w:t>(11),</w:t>
      </w:r>
      <w:r>
        <w:rPr>
          <w:rFonts w:ascii="Times New Roman" w:hAnsi="Times New Roman" w:cs="Times New Roman"/>
          <w:color w:val="222222"/>
          <w:sz w:val="24"/>
          <w:szCs w:val="24"/>
          <w:shd w:val="clear" w:color="auto" w:fill="FFFFFF"/>
        </w:rPr>
        <w:t xml:space="preserve"> 1731-1764.</w:t>
      </w:r>
    </w:p>
    <w:p w14:paraId="600DF9CD"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Joseph S, Graber ER, Chia C, Munroe P, Donne S, Thomas T, Nielsen S, Marjo C, Rutlidge H, Pan </w:t>
      </w:r>
      <w:proofErr w:type="gramStart"/>
      <w:r>
        <w:rPr>
          <w:rFonts w:ascii="Times New Roman" w:hAnsi="Times New Roman" w:cs="Times New Roman"/>
          <w:color w:val="222222"/>
          <w:sz w:val="24"/>
          <w:szCs w:val="24"/>
          <w:shd w:val="clear" w:color="auto" w:fill="FFFFFF"/>
        </w:rPr>
        <w:t>GX,  Li</w:t>
      </w:r>
      <w:proofErr w:type="gramEnd"/>
      <w:r>
        <w:rPr>
          <w:rFonts w:ascii="Times New Roman" w:hAnsi="Times New Roman" w:cs="Times New Roman"/>
          <w:color w:val="222222"/>
          <w:sz w:val="24"/>
          <w:szCs w:val="24"/>
          <w:shd w:val="clear" w:color="auto" w:fill="FFFFFF"/>
        </w:rPr>
        <w:t xml:space="preserve"> L (2013) Shifting paradigms: development of high-efficiency biochar fertilizers based on nano-structures and soluble components. </w:t>
      </w:r>
      <w:r>
        <w:rPr>
          <w:rFonts w:ascii="Times New Roman" w:hAnsi="Times New Roman" w:cs="Times New Roman"/>
          <w:i/>
          <w:iCs/>
          <w:color w:val="222222"/>
          <w:sz w:val="24"/>
          <w:szCs w:val="24"/>
          <w:shd w:val="clear" w:color="auto" w:fill="FFFFFF"/>
        </w:rPr>
        <w:t>Carbon Management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4</w:t>
      </w:r>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,323-343.</w:t>
      </w:r>
    </w:p>
    <w:p w14:paraId="1335213D"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Kammann C, Glaser B, Schmidt HP (2016) Combining biochar and organic amendments. In ‘</w:t>
      </w:r>
      <w:r>
        <w:rPr>
          <w:rFonts w:ascii="Times New Roman" w:hAnsi="Times New Roman" w:cs="Times New Roman"/>
          <w:i/>
          <w:iCs/>
          <w:color w:val="222222"/>
          <w:sz w:val="24"/>
          <w:szCs w:val="24"/>
          <w:shd w:val="clear" w:color="auto" w:fill="FFFFFF"/>
        </w:rPr>
        <w:t>Biochar in European Soils and Agriculture</w:t>
      </w:r>
      <w:r>
        <w:rPr>
          <w:rFonts w:ascii="Times New Roman" w:hAnsi="Times New Roman" w:cs="Times New Roman"/>
          <w:color w:val="222222"/>
          <w:sz w:val="24"/>
          <w:szCs w:val="24"/>
          <w:shd w:val="clear" w:color="auto" w:fill="FFFFFF"/>
        </w:rPr>
        <w:t xml:space="preserve">’ pp. 158-186 </w:t>
      </w:r>
      <w:proofErr w:type="gramStart"/>
      <w:r>
        <w:rPr>
          <w:rFonts w:ascii="Times New Roman" w:hAnsi="Times New Roman" w:cs="Times New Roman"/>
          <w:color w:val="222222"/>
          <w:sz w:val="24"/>
          <w:szCs w:val="24"/>
          <w:shd w:val="clear" w:color="auto" w:fill="FFFFFF"/>
        </w:rPr>
        <w:t>( Routledge</w:t>
      </w:r>
      <w:proofErr w:type="gramEnd"/>
      <w:r>
        <w:rPr>
          <w:rFonts w:ascii="Times New Roman" w:hAnsi="Times New Roman" w:cs="Times New Roman"/>
          <w:color w:val="222222"/>
          <w:sz w:val="24"/>
          <w:szCs w:val="24"/>
          <w:shd w:val="clear" w:color="auto" w:fill="FFFFFF"/>
        </w:rPr>
        <w:t>).</w:t>
      </w:r>
    </w:p>
    <w:p w14:paraId="7848ECFC"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Kammann CI, Schmidt HP, Messerschmidt N, </w:t>
      </w:r>
      <w:proofErr w:type="spellStart"/>
      <w:r>
        <w:rPr>
          <w:rFonts w:ascii="Times New Roman" w:hAnsi="Times New Roman" w:cs="Times New Roman"/>
          <w:color w:val="222222"/>
          <w:sz w:val="24"/>
          <w:szCs w:val="24"/>
          <w:shd w:val="clear" w:color="auto" w:fill="FFFFFF"/>
        </w:rPr>
        <w:t>Linsel</w:t>
      </w:r>
      <w:proofErr w:type="spellEnd"/>
      <w:r>
        <w:rPr>
          <w:rFonts w:ascii="Times New Roman" w:hAnsi="Times New Roman" w:cs="Times New Roman"/>
          <w:color w:val="222222"/>
          <w:sz w:val="24"/>
          <w:szCs w:val="24"/>
          <w:shd w:val="clear" w:color="auto" w:fill="FFFFFF"/>
        </w:rPr>
        <w:t xml:space="preserve"> S, Steffens D, Müller C, </w:t>
      </w:r>
      <w:proofErr w:type="spellStart"/>
      <w:r>
        <w:rPr>
          <w:rFonts w:ascii="Times New Roman" w:hAnsi="Times New Roman" w:cs="Times New Roman"/>
          <w:color w:val="222222"/>
          <w:sz w:val="24"/>
          <w:szCs w:val="24"/>
          <w:shd w:val="clear" w:color="auto" w:fill="FFFFFF"/>
        </w:rPr>
        <w:t>Koyro</w:t>
      </w:r>
      <w:proofErr w:type="spellEnd"/>
      <w:r>
        <w:rPr>
          <w:rFonts w:ascii="Times New Roman" w:hAnsi="Times New Roman" w:cs="Times New Roman"/>
          <w:color w:val="222222"/>
          <w:sz w:val="24"/>
          <w:szCs w:val="24"/>
          <w:shd w:val="clear" w:color="auto" w:fill="FFFFFF"/>
        </w:rPr>
        <w:t xml:space="preserve"> HW, Conte </w:t>
      </w:r>
      <w:proofErr w:type="gramStart"/>
      <w:r>
        <w:rPr>
          <w:rFonts w:ascii="Times New Roman" w:hAnsi="Times New Roman" w:cs="Times New Roman"/>
          <w:color w:val="222222"/>
          <w:sz w:val="24"/>
          <w:szCs w:val="24"/>
          <w:shd w:val="clear" w:color="auto" w:fill="FFFFFF"/>
        </w:rPr>
        <w:t>P  Joseph</w:t>
      </w:r>
      <w:proofErr w:type="gramEnd"/>
      <w:r>
        <w:rPr>
          <w:rFonts w:ascii="Times New Roman" w:hAnsi="Times New Roman" w:cs="Times New Roman"/>
          <w:color w:val="222222"/>
          <w:sz w:val="24"/>
          <w:szCs w:val="24"/>
          <w:shd w:val="clear" w:color="auto" w:fill="FFFFFF"/>
        </w:rPr>
        <w:t xml:space="preserve"> S (2015) Plant growth improvement mediated by nitrate capture in co-composted biochar. </w:t>
      </w:r>
      <w:r>
        <w:rPr>
          <w:rFonts w:ascii="Times New Roman" w:hAnsi="Times New Roman" w:cs="Times New Roman"/>
          <w:i/>
          <w:iCs/>
          <w:color w:val="222222"/>
          <w:sz w:val="24"/>
          <w:szCs w:val="24"/>
          <w:shd w:val="clear" w:color="auto" w:fill="FFFFFF"/>
        </w:rPr>
        <w:t>Scientific reports</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5</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1-13.</w:t>
      </w:r>
    </w:p>
    <w:p w14:paraId="20B878DC"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Katkar</w:t>
      </w:r>
      <w:proofErr w:type="spellEnd"/>
      <w:r>
        <w:rPr>
          <w:rFonts w:ascii="Times New Roman" w:hAnsi="Times New Roman" w:cs="Times New Roman"/>
          <w:color w:val="222222"/>
          <w:sz w:val="24"/>
          <w:szCs w:val="24"/>
          <w:shd w:val="clear" w:color="auto" w:fill="FFFFFF"/>
        </w:rPr>
        <w:t xml:space="preserve"> RN, Lakhe SR, </w:t>
      </w:r>
      <w:proofErr w:type="spellStart"/>
      <w:r>
        <w:rPr>
          <w:rFonts w:ascii="Times New Roman" w:hAnsi="Times New Roman" w:cs="Times New Roman"/>
          <w:color w:val="222222"/>
          <w:sz w:val="24"/>
          <w:szCs w:val="24"/>
          <w:shd w:val="clear" w:color="auto" w:fill="FFFFFF"/>
        </w:rPr>
        <w:t>Kharche</w:t>
      </w:r>
      <w:proofErr w:type="spellEnd"/>
      <w:r>
        <w:rPr>
          <w:rFonts w:ascii="Times New Roman" w:hAnsi="Times New Roman" w:cs="Times New Roman"/>
          <w:color w:val="222222"/>
          <w:sz w:val="24"/>
          <w:szCs w:val="24"/>
          <w:shd w:val="clear" w:color="auto" w:fill="FFFFFF"/>
        </w:rPr>
        <w:t xml:space="preserve"> V K, </w:t>
      </w:r>
      <w:proofErr w:type="spellStart"/>
      <w:r>
        <w:rPr>
          <w:rFonts w:ascii="Times New Roman" w:hAnsi="Times New Roman" w:cs="Times New Roman"/>
          <w:color w:val="222222"/>
          <w:sz w:val="24"/>
          <w:szCs w:val="24"/>
          <w:shd w:val="clear" w:color="auto" w:fill="FFFFFF"/>
        </w:rPr>
        <w:t>Magare</w:t>
      </w:r>
      <w:proofErr w:type="spellEnd"/>
      <w:r>
        <w:rPr>
          <w:rFonts w:ascii="Times New Roman" w:hAnsi="Times New Roman" w:cs="Times New Roman"/>
          <w:color w:val="222222"/>
          <w:sz w:val="24"/>
          <w:szCs w:val="24"/>
          <w:shd w:val="clear" w:color="auto" w:fill="FFFFFF"/>
        </w:rPr>
        <w:t xml:space="preserve"> PN, </w:t>
      </w:r>
      <w:proofErr w:type="spellStart"/>
      <w:r>
        <w:rPr>
          <w:rFonts w:ascii="Times New Roman" w:hAnsi="Times New Roman" w:cs="Times New Roman"/>
          <w:color w:val="222222"/>
          <w:sz w:val="24"/>
          <w:szCs w:val="24"/>
          <w:shd w:val="clear" w:color="auto" w:fill="FFFFFF"/>
        </w:rPr>
        <w:t>Laharia</w:t>
      </w:r>
      <w:proofErr w:type="spellEnd"/>
      <w:r>
        <w:rPr>
          <w:rFonts w:ascii="Times New Roman" w:hAnsi="Times New Roman" w:cs="Times New Roman"/>
          <w:color w:val="222222"/>
          <w:sz w:val="24"/>
          <w:szCs w:val="24"/>
          <w:shd w:val="clear" w:color="auto" w:fill="FFFFFF"/>
        </w:rPr>
        <w:t xml:space="preserve"> GS (2018) Spatial variability of major and micro nutrients in soils of </w:t>
      </w:r>
      <w:proofErr w:type="spellStart"/>
      <w:r>
        <w:rPr>
          <w:rFonts w:ascii="Times New Roman" w:hAnsi="Times New Roman" w:cs="Times New Roman"/>
          <w:color w:val="222222"/>
          <w:sz w:val="24"/>
          <w:szCs w:val="24"/>
          <w:shd w:val="clear" w:color="auto" w:fill="FFFFFF"/>
        </w:rPr>
        <w:t>Bhandara</w:t>
      </w:r>
      <w:proofErr w:type="spellEnd"/>
      <w:r>
        <w:rPr>
          <w:rFonts w:ascii="Times New Roman" w:hAnsi="Times New Roman" w:cs="Times New Roman"/>
          <w:color w:val="222222"/>
          <w:sz w:val="24"/>
          <w:szCs w:val="24"/>
          <w:shd w:val="clear" w:color="auto" w:fill="FFFFFF"/>
        </w:rPr>
        <w:t xml:space="preserve"> District Maharashtra.</w:t>
      </w:r>
      <w:r>
        <w:rPr>
          <w:rFonts w:ascii="Times New Roman" w:hAnsi="Times New Roman" w:cs="Times New Roman"/>
          <w:i/>
          <w:iCs/>
          <w:color w:val="222222"/>
          <w:sz w:val="24"/>
          <w:szCs w:val="24"/>
          <w:shd w:val="clear" w:color="auto" w:fill="FFFFFF"/>
        </w:rPr>
        <w:t xml:space="preserve"> </w:t>
      </w:r>
      <w:proofErr w:type="spellStart"/>
      <w:r>
        <w:rPr>
          <w:rFonts w:ascii="Times New Roman" w:hAnsi="Times New Roman" w:cs="Times New Roman"/>
          <w:i/>
          <w:iCs/>
          <w:color w:val="222222"/>
          <w:sz w:val="24"/>
          <w:szCs w:val="24"/>
          <w:shd w:val="clear" w:color="auto" w:fill="FFFFFF"/>
        </w:rPr>
        <w:t>Agropedology</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27</w:t>
      </w:r>
      <w:r>
        <w:rPr>
          <w:rFonts w:ascii="Times New Roman" w:hAnsi="Times New Roman" w:cs="Times New Roman"/>
          <w:b/>
          <w:bCs/>
          <w:color w:val="222222"/>
          <w:sz w:val="24"/>
          <w:szCs w:val="24"/>
          <w:shd w:val="clear" w:color="auto" w:fill="FFFFFF"/>
        </w:rPr>
        <w:t>(01),</w:t>
      </w:r>
      <w:r>
        <w:rPr>
          <w:rFonts w:ascii="Times New Roman" w:hAnsi="Times New Roman" w:cs="Times New Roman"/>
          <w:color w:val="222222"/>
          <w:sz w:val="24"/>
          <w:szCs w:val="24"/>
          <w:shd w:val="clear" w:color="auto" w:fill="FFFFFF"/>
        </w:rPr>
        <w:t xml:space="preserve"> 56-62.</w:t>
      </w:r>
    </w:p>
    <w:p w14:paraId="60014665" w14:textId="77777777" w:rsidR="00D879A9" w:rsidRDefault="00000000">
      <w:pPr>
        <w:jc w:val="both"/>
        <w:rPr>
          <w:rFonts w:ascii="Times New Roman" w:hAnsi="Times New Roman" w:cs="Times New Roman"/>
          <w:sz w:val="24"/>
          <w:szCs w:val="24"/>
        </w:rPr>
      </w:pPr>
      <w:r>
        <w:rPr>
          <w:rFonts w:ascii="Times New Roman" w:hAnsi="Times New Roman" w:cs="Times New Roman"/>
          <w:color w:val="333333"/>
          <w:sz w:val="24"/>
          <w:szCs w:val="24"/>
          <w:shd w:val="clear" w:color="auto" w:fill="FCFCFC"/>
        </w:rPr>
        <w:t xml:space="preserve">Laird DA, Fleming P, Davis DD, Horton R, Wang B, Karlen DL (2010) Impact of biochar amendments on the quality of a typical Midwestern agricultural soil. </w:t>
      </w:r>
      <w:proofErr w:type="spellStart"/>
      <w:r>
        <w:rPr>
          <w:rFonts w:ascii="Times New Roman" w:hAnsi="Times New Roman" w:cs="Times New Roman"/>
          <w:i/>
          <w:iCs/>
          <w:color w:val="333333"/>
          <w:sz w:val="24"/>
          <w:szCs w:val="24"/>
          <w:shd w:val="clear" w:color="auto" w:fill="FCFCFC"/>
        </w:rPr>
        <w:t>Geoderma</w:t>
      </w:r>
      <w:proofErr w:type="spellEnd"/>
      <w:r>
        <w:rPr>
          <w:rFonts w:ascii="Times New Roman" w:hAnsi="Times New Roman" w:cs="Times New Roman"/>
          <w:i/>
          <w:iCs/>
          <w:color w:val="333333"/>
          <w:sz w:val="24"/>
          <w:szCs w:val="24"/>
          <w:shd w:val="clear" w:color="auto" w:fill="FCFCFC"/>
        </w:rPr>
        <w:t xml:space="preserve"> </w:t>
      </w:r>
      <w:r>
        <w:rPr>
          <w:rFonts w:ascii="Times New Roman" w:hAnsi="Times New Roman" w:cs="Times New Roman"/>
          <w:b/>
          <w:bCs/>
          <w:color w:val="333333"/>
          <w:sz w:val="24"/>
          <w:szCs w:val="24"/>
          <w:shd w:val="clear" w:color="auto" w:fill="FCFCFC"/>
        </w:rPr>
        <w:t>158,</w:t>
      </w:r>
      <w:r>
        <w:rPr>
          <w:rFonts w:ascii="Times New Roman" w:hAnsi="Times New Roman" w:cs="Times New Roman"/>
          <w:color w:val="333333"/>
          <w:sz w:val="24"/>
          <w:szCs w:val="24"/>
          <w:shd w:val="clear" w:color="auto" w:fill="FCFCFC"/>
        </w:rPr>
        <w:t xml:space="preserve"> 443–449. doi:</w:t>
      </w:r>
      <w:hyperlink r:id="rId21" w:history="1">
        <w:r w:rsidR="00D879A9">
          <w:rPr>
            <w:rStyle w:val="Hyperlink"/>
            <w:color w:val="004B83"/>
            <w:sz w:val="24"/>
            <w:szCs w:val="24"/>
            <w:shd w:val="clear" w:color="auto" w:fill="FCFCFC"/>
          </w:rPr>
          <w:t>10.1016/j.geoderma.2010.05.013</w:t>
        </w:r>
      </w:hyperlink>
    </w:p>
    <w:p w14:paraId="2BF66C8E"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Lehmann J, Joseph S, (2015) Biochar for environmental management: an introduction. In ‘</w:t>
      </w:r>
      <w:r>
        <w:rPr>
          <w:rFonts w:ascii="Times New Roman" w:hAnsi="Times New Roman" w:cs="Times New Roman"/>
          <w:i/>
          <w:iCs/>
          <w:color w:val="222222"/>
          <w:sz w:val="24"/>
          <w:szCs w:val="24"/>
          <w:shd w:val="clear" w:color="auto" w:fill="FFFFFF"/>
        </w:rPr>
        <w:t>Biochar for environmental management</w:t>
      </w:r>
      <w:r>
        <w:rPr>
          <w:rFonts w:ascii="Times New Roman" w:hAnsi="Times New Roman" w:cs="Times New Roman"/>
          <w:color w:val="222222"/>
          <w:sz w:val="24"/>
          <w:szCs w:val="24"/>
          <w:shd w:val="clear" w:color="auto" w:fill="FFFFFF"/>
        </w:rPr>
        <w:t xml:space="preserve">’ pp. 1-13 </w:t>
      </w:r>
      <w:proofErr w:type="gramStart"/>
      <w:r>
        <w:rPr>
          <w:rFonts w:ascii="Times New Roman" w:hAnsi="Times New Roman" w:cs="Times New Roman"/>
          <w:color w:val="222222"/>
          <w:sz w:val="24"/>
          <w:szCs w:val="24"/>
          <w:shd w:val="clear" w:color="auto" w:fill="FFFFFF"/>
        </w:rPr>
        <w:t>( Routledge</w:t>
      </w:r>
      <w:proofErr w:type="gramEnd"/>
      <w:r>
        <w:rPr>
          <w:rFonts w:ascii="Times New Roman" w:hAnsi="Times New Roman" w:cs="Times New Roman"/>
          <w:color w:val="222222"/>
          <w:sz w:val="24"/>
          <w:szCs w:val="24"/>
          <w:shd w:val="clear" w:color="auto" w:fill="FFFFFF"/>
        </w:rPr>
        <w:t>)</w:t>
      </w:r>
    </w:p>
    <w:p w14:paraId="27AF5197" w14:textId="77777777" w:rsidR="00D879A9" w:rsidRDefault="00000000">
      <w:pPr>
        <w:spacing w:before="240" w:after="240"/>
        <w:ind w:right="360"/>
        <w:jc w:val="both"/>
        <w:rPr>
          <w:rFonts w:ascii="Times New Roman" w:hAnsi="Times New Roman" w:cs="Times New Roman"/>
          <w:color w:val="333333"/>
          <w:sz w:val="24"/>
          <w:szCs w:val="24"/>
        </w:rPr>
      </w:pPr>
      <w:r>
        <w:rPr>
          <w:rStyle w:val="hlfld-contribauthor"/>
          <w:rFonts w:ascii="Times New Roman" w:hAnsi="Times New Roman" w:cs="Times New Roman"/>
          <w:color w:val="333333"/>
          <w:sz w:val="24"/>
          <w:szCs w:val="24"/>
        </w:rPr>
        <w:t>Lehmann </w:t>
      </w:r>
      <w:r>
        <w:rPr>
          <w:rStyle w:val="nlmgiven-names"/>
          <w:rFonts w:ascii="Times New Roman" w:hAnsi="Times New Roman" w:cs="Times New Roman"/>
          <w:color w:val="333333"/>
          <w:sz w:val="24"/>
          <w:szCs w:val="24"/>
        </w:rPr>
        <w:t>JM,</w:t>
      </w:r>
      <w:r>
        <w:rPr>
          <w:rStyle w:val="hlfld-contribauthor"/>
          <w:rFonts w:ascii="Times New Roman" w:hAnsi="Times New Roman" w:cs="Times New Roman"/>
          <w:color w:val="333333"/>
          <w:sz w:val="24"/>
          <w:szCs w:val="24"/>
        </w:rPr>
        <w:t> </w:t>
      </w:r>
      <w:proofErr w:type="spellStart"/>
      <w:r>
        <w:rPr>
          <w:rStyle w:val="hlfld-contribauthor"/>
          <w:rFonts w:ascii="Times New Roman" w:hAnsi="Times New Roman" w:cs="Times New Roman"/>
          <w:color w:val="333333"/>
          <w:sz w:val="24"/>
          <w:szCs w:val="24"/>
        </w:rPr>
        <w:t>Rillig</w:t>
      </w:r>
      <w:proofErr w:type="spellEnd"/>
      <w:r>
        <w:rPr>
          <w:rStyle w:val="hlfld-contribauthor"/>
          <w:rFonts w:ascii="Times New Roman" w:hAnsi="Times New Roman" w:cs="Times New Roman"/>
          <w:color w:val="333333"/>
          <w:sz w:val="24"/>
          <w:szCs w:val="24"/>
        </w:rPr>
        <w:t xml:space="preserve"> </w:t>
      </w:r>
      <w:proofErr w:type="gramStart"/>
      <w:r>
        <w:rPr>
          <w:rStyle w:val="nlmgiven-names"/>
          <w:rFonts w:ascii="Times New Roman" w:hAnsi="Times New Roman" w:cs="Times New Roman"/>
          <w:color w:val="333333"/>
          <w:sz w:val="24"/>
          <w:szCs w:val="24"/>
        </w:rPr>
        <w:t>C</w:t>
      </w:r>
      <w:r>
        <w:rPr>
          <w:rFonts w:ascii="Times New Roman" w:hAnsi="Times New Roman" w:cs="Times New Roman"/>
          <w:color w:val="333333"/>
          <w:sz w:val="24"/>
          <w:szCs w:val="24"/>
        </w:rPr>
        <w:t>,  </w:t>
      </w:r>
      <w:r>
        <w:rPr>
          <w:rStyle w:val="hlfld-contribauthor"/>
          <w:rFonts w:ascii="Times New Roman" w:hAnsi="Times New Roman" w:cs="Times New Roman"/>
          <w:color w:val="333333"/>
          <w:sz w:val="24"/>
          <w:szCs w:val="24"/>
        </w:rPr>
        <w:t> </w:t>
      </w:r>
      <w:proofErr w:type="gramEnd"/>
      <w:r>
        <w:rPr>
          <w:rStyle w:val="hlfld-contribauthor"/>
          <w:rFonts w:ascii="Times New Roman" w:hAnsi="Times New Roman" w:cs="Times New Roman"/>
          <w:color w:val="333333"/>
          <w:sz w:val="24"/>
          <w:szCs w:val="24"/>
        </w:rPr>
        <w:t xml:space="preserve">Thies </w:t>
      </w:r>
      <w:r>
        <w:rPr>
          <w:rStyle w:val="nlmgiven-names"/>
          <w:rFonts w:ascii="Times New Roman" w:hAnsi="Times New Roman" w:cs="Times New Roman"/>
          <w:color w:val="333333"/>
          <w:sz w:val="24"/>
          <w:szCs w:val="24"/>
        </w:rPr>
        <w:t>J</w:t>
      </w:r>
      <w:r>
        <w:rPr>
          <w:rFonts w:ascii="Times New Roman" w:hAnsi="Times New Roman" w:cs="Times New Roman"/>
          <w:color w:val="333333"/>
          <w:sz w:val="24"/>
          <w:szCs w:val="24"/>
        </w:rPr>
        <w:t>, </w:t>
      </w:r>
      <w:r>
        <w:rPr>
          <w:rStyle w:val="hlfld-contribauthor"/>
          <w:rFonts w:ascii="Times New Roman" w:hAnsi="Times New Roman" w:cs="Times New Roman"/>
          <w:color w:val="333333"/>
          <w:sz w:val="24"/>
          <w:szCs w:val="24"/>
        </w:rPr>
        <w:t xml:space="preserve"> Masiello </w:t>
      </w:r>
      <w:r>
        <w:rPr>
          <w:rStyle w:val="nlmgiven-names"/>
          <w:rFonts w:ascii="Times New Roman" w:hAnsi="Times New Roman" w:cs="Times New Roman"/>
          <w:color w:val="333333"/>
          <w:sz w:val="24"/>
          <w:szCs w:val="24"/>
        </w:rPr>
        <w:t>CA</w:t>
      </w:r>
      <w:r>
        <w:rPr>
          <w:rFonts w:ascii="Times New Roman" w:hAnsi="Times New Roman" w:cs="Times New Roman"/>
          <w:color w:val="333333"/>
          <w:sz w:val="24"/>
          <w:szCs w:val="24"/>
        </w:rPr>
        <w:t>, </w:t>
      </w:r>
      <w:r>
        <w:rPr>
          <w:rStyle w:val="hlfld-contribauthor"/>
          <w:rFonts w:ascii="Times New Roman" w:hAnsi="Times New Roman" w:cs="Times New Roman"/>
          <w:color w:val="333333"/>
          <w:sz w:val="24"/>
          <w:szCs w:val="24"/>
        </w:rPr>
        <w:t xml:space="preserve"> Hockaday </w:t>
      </w:r>
      <w:r>
        <w:rPr>
          <w:rStyle w:val="nlmgiven-names"/>
          <w:rFonts w:ascii="Times New Roman" w:hAnsi="Times New Roman" w:cs="Times New Roman"/>
          <w:color w:val="333333"/>
          <w:sz w:val="24"/>
          <w:szCs w:val="24"/>
        </w:rPr>
        <w:t>WC</w:t>
      </w:r>
      <w:r>
        <w:rPr>
          <w:rStyle w:val="hlfld-contribauthor"/>
          <w:rFonts w:ascii="Times New Roman" w:hAnsi="Times New Roman" w:cs="Times New Roman"/>
          <w:color w:val="333333"/>
          <w:sz w:val="24"/>
          <w:szCs w:val="24"/>
        </w:rPr>
        <w:t> </w:t>
      </w:r>
      <w:r>
        <w:rPr>
          <w:rFonts w:ascii="Times New Roman" w:hAnsi="Times New Roman" w:cs="Times New Roman"/>
          <w:color w:val="333333"/>
          <w:sz w:val="24"/>
          <w:szCs w:val="24"/>
        </w:rPr>
        <w:t xml:space="preserve">, </w:t>
      </w:r>
      <w:r>
        <w:rPr>
          <w:rStyle w:val="hlfld-contribauthor"/>
          <w:rFonts w:ascii="Times New Roman" w:hAnsi="Times New Roman" w:cs="Times New Roman"/>
          <w:color w:val="333333"/>
          <w:sz w:val="24"/>
          <w:szCs w:val="24"/>
        </w:rPr>
        <w:t xml:space="preserve">Crowley </w:t>
      </w:r>
      <w:r>
        <w:rPr>
          <w:rStyle w:val="nlmgiven-names"/>
          <w:rFonts w:ascii="Times New Roman" w:hAnsi="Times New Roman" w:cs="Times New Roman"/>
          <w:color w:val="333333"/>
          <w:sz w:val="24"/>
          <w:szCs w:val="24"/>
        </w:rPr>
        <w:t>D</w:t>
      </w:r>
      <w:r>
        <w:rPr>
          <w:rFonts w:ascii="Times New Roman" w:hAnsi="Times New Roman" w:cs="Times New Roman"/>
          <w:color w:val="333333"/>
          <w:sz w:val="24"/>
          <w:szCs w:val="24"/>
        </w:rPr>
        <w:t> (</w:t>
      </w:r>
      <w:r>
        <w:rPr>
          <w:rStyle w:val="nlmyear"/>
          <w:rFonts w:ascii="Times New Roman" w:hAnsi="Times New Roman" w:cs="Times New Roman"/>
          <w:color w:val="333333"/>
          <w:sz w:val="24"/>
          <w:szCs w:val="24"/>
        </w:rPr>
        <w:t>2011)</w:t>
      </w:r>
      <w:r>
        <w:rPr>
          <w:rFonts w:ascii="Times New Roman" w:hAnsi="Times New Roman" w:cs="Times New Roman"/>
          <w:color w:val="333333"/>
          <w:sz w:val="24"/>
          <w:szCs w:val="24"/>
        </w:rPr>
        <w:t> </w:t>
      </w:r>
      <w:r>
        <w:rPr>
          <w:rStyle w:val="nlmarticle-title"/>
          <w:rFonts w:ascii="Times New Roman" w:hAnsi="Times New Roman" w:cs="Times New Roman"/>
          <w:color w:val="333333"/>
          <w:sz w:val="24"/>
          <w:szCs w:val="24"/>
        </w:rPr>
        <w:t>Biochar effects on soil biota: A review</w:t>
      </w:r>
      <w:r>
        <w:rPr>
          <w:rFonts w:ascii="Times New Roman" w:hAnsi="Times New Roman" w:cs="Times New Roman"/>
          <w:color w:val="333333"/>
          <w:sz w:val="24"/>
          <w:szCs w:val="24"/>
        </w:rPr>
        <w:t>. </w:t>
      </w:r>
      <w:r>
        <w:rPr>
          <w:rFonts w:ascii="Times New Roman" w:hAnsi="Times New Roman" w:cs="Times New Roman"/>
          <w:i/>
          <w:iCs/>
          <w:color w:val="333333"/>
          <w:sz w:val="24"/>
          <w:szCs w:val="24"/>
        </w:rPr>
        <w:t>Soil Biology and Biochemistry</w:t>
      </w:r>
      <w:r>
        <w:rPr>
          <w:rFonts w:ascii="Times New Roman" w:hAnsi="Times New Roman" w:cs="Times New Roman"/>
          <w:color w:val="333333"/>
          <w:sz w:val="24"/>
          <w:szCs w:val="24"/>
        </w:rPr>
        <w:t> </w:t>
      </w:r>
      <w:r>
        <w:rPr>
          <w:rFonts w:ascii="Times New Roman" w:hAnsi="Times New Roman" w:cs="Times New Roman"/>
          <w:b/>
          <w:bCs/>
          <w:color w:val="333333"/>
          <w:sz w:val="24"/>
          <w:szCs w:val="24"/>
        </w:rPr>
        <w:t>43(9),</w:t>
      </w:r>
      <w:r>
        <w:rPr>
          <w:rStyle w:val="nlmfpage"/>
          <w:rFonts w:ascii="Times New Roman" w:hAnsi="Times New Roman" w:cs="Times New Roman"/>
          <w:color w:val="333333"/>
          <w:sz w:val="24"/>
          <w:szCs w:val="24"/>
        </w:rPr>
        <w:t>1812</w:t>
      </w:r>
      <w:r>
        <w:rPr>
          <w:rFonts w:ascii="Times New Roman" w:hAnsi="Times New Roman" w:cs="Times New Roman"/>
          <w:color w:val="333333"/>
          <w:sz w:val="24"/>
          <w:szCs w:val="24"/>
        </w:rPr>
        <w:t>–</w:t>
      </w:r>
      <w:r>
        <w:rPr>
          <w:rStyle w:val="nlmlpage"/>
          <w:rFonts w:ascii="Times New Roman" w:hAnsi="Times New Roman" w:cs="Times New Roman"/>
          <w:color w:val="333333"/>
          <w:sz w:val="24"/>
          <w:szCs w:val="24"/>
        </w:rPr>
        <w:t>36</w:t>
      </w:r>
      <w:r>
        <w:rPr>
          <w:rFonts w:ascii="Times New Roman" w:hAnsi="Times New Roman" w:cs="Times New Roman"/>
          <w:color w:val="333333"/>
          <w:sz w:val="24"/>
          <w:szCs w:val="24"/>
        </w:rPr>
        <w:t xml:space="preserve">. </w:t>
      </w:r>
      <w:proofErr w:type="gramStart"/>
      <w:r>
        <w:rPr>
          <w:rFonts w:ascii="Times New Roman" w:hAnsi="Times New Roman" w:cs="Times New Roman"/>
          <w:color w:val="333333"/>
          <w:sz w:val="24"/>
          <w:szCs w:val="24"/>
        </w:rPr>
        <w:t>doi:</w:t>
      </w:r>
      <w:r>
        <w:rPr>
          <w:rStyle w:val="nlmpub-id"/>
          <w:rFonts w:ascii="Times New Roman" w:hAnsi="Times New Roman" w:cs="Times New Roman"/>
          <w:color w:val="333333"/>
          <w:sz w:val="24"/>
          <w:szCs w:val="24"/>
        </w:rPr>
        <w:t>10.1016/j.soilbio</w:t>
      </w:r>
      <w:proofErr w:type="gramEnd"/>
      <w:r>
        <w:rPr>
          <w:rStyle w:val="nlmpub-id"/>
          <w:rFonts w:ascii="Times New Roman" w:hAnsi="Times New Roman" w:cs="Times New Roman"/>
          <w:color w:val="333333"/>
          <w:sz w:val="24"/>
          <w:szCs w:val="24"/>
        </w:rPr>
        <w:t>.2011.04.022</w:t>
      </w:r>
      <w:r>
        <w:rPr>
          <w:rFonts w:ascii="Times New Roman" w:hAnsi="Times New Roman" w:cs="Times New Roman"/>
          <w:color w:val="333333"/>
          <w:sz w:val="24"/>
          <w:szCs w:val="24"/>
        </w:rPr>
        <w:t>.</w:t>
      </w:r>
    </w:p>
    <w:p w14:paraId="0BD9C4B5"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Liang B, Lehmann J, Solomon D, </w:t>
      </w:r>
      <w:proofErr w:type="spellStart"/>
      <w:r>
        <w:rPr>
          <w:rFonts w:ascii="Times New Roman" w:hAnsi="Times New Roman" w:cs="Times New Roman"/>
          <w:color w:val="222222"/>
          <w:sz w:val="24"/>
          <w:szCs w:val="24"/>
          <w:shd w:val="clear" w:color="auto" w:fill="FFFFFF"/>
        </w:rPr>
        <w:t>Kinyangi</w:t>
      </w:r>
      <w:proofErr w:type="spellEnd"/>
      <w:r>
        <w:rPr>
          <w:rFonts w:ascii="Times New Roman" w:hAnsi="Times New Roman" w:cs="Times New Roman"/>
          <w:color w:val="222222"/>
          <w:sz w:val="24"/>
          <w:szCs w:val="24"/>
          <w:shd w:val="clear" w:color="auto" w:fill="FFFFFF"/>
        </w:rPr>
        <w:t xml:space="preserve"> J, Grossman J, O'Neill BJOJFJJEG, </w:t>
      </w:r>
      <w:proofErr w:type="spellStart"/>
      <w:r>
        <w:rPr>
          <w:rFonts w:ascii="Times New Roman" w:hAnsi="Times New Roman" w:cs="Times New Roman"/>
          <w:color w:val="222222"/>
          <w:sz w:val="24"/>
          <w:szCs w:val="24"/>
          <w:shd w:val="clear" w:color="auto" w:fill="FFFFFF"/>
        </w:rPr>
        <w:t>Skjemstad</w:t>
      </w:r>
      <w:proofErr w:type="spellEnd"/>
      <w:r>
        <w:rPr>
          <w:rFonts w:ascii="Times New Roman" w:hAnsi="Times New Roman" w:cs="Times New Roman"/>
          <w:color w:val="222222"/>
          <w:sz w:val="24"/>
          <w:szCs w:val="24"/>
          <w:shd w:val="clear" w:color="auto" w:fill="FFFFFF"/>
        </w:rPr>
        <w:t xml:space="preserve"> JO, Thies J, </w:t>
      </w:r>
      <w:proofErr w:type="spellStart"/>
      <w:r>
        <w:rPr>
          <w:rFonts w:ascii="Times New Roman" w:hAnsi="Times New Roman" w:cs="Times New Roman"/>
          <w:color w:val="222222"/>
          <w:sz w:val="24"/>
          <w:szCs w:val="24"/>
          <w:shd w:val="clear" w:color="auto" w:fill="FFFFFF"/>
        </w:rPr>
        <w:t>Luizão</w:t>
      </w:r>
      <w:proofErr w:type="spellEnd"/>
      <w:r>
        <w:rPr>
          <w:rFonts w:ascii="Times New Roman" w:hAnsi="Times New Roman" w:cs="Times New Roman"/>
          <w:color w:val="222222"/>
          <w:sz w:val="24"/>
          <w:szCs w:val="24"/>
          <w:shd w:val="clear" w:color="auto" w:fill="FFFFFF"/>
        </w:rPr>
        <w:t xml:space="preserve"> FJ, Petersen </w:t>
      </w:r>
      <w:proofErr w:type="spellStart"/>
      <w:proofErr w:type="gramStart"/>
      <w:r>
        <w:rPr>
          <w:rFonts w:ascii="Times New Roman" w:hAnsi="Times New Roman" w:cs="Times New Roman"/>
          <w:color w:val="222222"/>
          <w:sz w:val="24"/>
          <w:szCs w:val="24"/>
          <w:shd w:val="clear" w:color="auto" w:fill="FFFFFF"/>
        </w:rPr>
        <w:t>J,Neves</w:t>
      </w:r>
      <w:proofErr w:type="spellEnd"/>
      <w:proofErr w:type="gramEnd"/>
      <w:r>
        <w:rPr>
          <w:rFonts w:ascii="Times New Roman" w:hAnsi="Times New Roman" w:cs="Times New Roman"/>
          <w:color w:val="222222"/>
          <w:sz w:val="24"/>
          <w:szCs w:val="24"/>
          <w:shd w:val="clear" w:color="auto" w:fill="FFFFFF"/>
        </w:rPr>
        <w:t xml:space="preserve"> EG (2006) Black carbon increases cation exchange capacity in soils. </w:t>
      </w:r>
      <w:r>
        <w:rPr>
          <w:rFonts w:ascii="Times New Roman" w:hAnsi="Times New Roman" w:cs="Times New Roman"/>
          <w:i/>
          <w:iCs/>
          <w:color w:val="222222"/>
          <w:sz w:val="24"/>
          <w:szCs w:val="24"/>
          <w:shd w:val="clear" w:color="auto" w:fill="FFFFFF"/>
        </w:rPr>
        <w:t>Soil science society of America journal</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70</w:t>
      </w:r>
      <w:r>
        <w:rPr>
          <w:rFonts w:ascii="Times New Roman" w:hAnsi="Times New Roman" w:cs="Times New Roman"/>
          <w:b/>
          <w:bCs/>
          <w:color w:val="222222"/>
          <w:sz w:val="24"/>
          <w:szCs w:val="24"/>
          <w:shd w:val="clear" w:color="auto" w:fill="FFFFFF"/>
        </w:rPr>
        <w:t>(5),</w:t>
      </w:r>
      <w:r>
        <w:rPr>
          <w:rFonts w:ascii="Times New Roman" w:hAnsi="Times New Roman" w:cs="Times New Roman"/>
          <w:color w:val="222222"/>
          <w:sz w:val="24"/>
          <w:szCs w:val="24"/>
          <w:shd w:val="clear" w:color="auto" w:fill="FFFFFF"/>
        </w:rPr>
        <w:t xml:space="preserve"> 1719-1730.</w:t>
      </w:r>
    </w:p>
    <w:p w14:paraId="3C5C05BB"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Lucheta</w:t>
      </w:r>
      <w:proofErr w:type="spellEnd"/>
      <w:r>
        <w:rPr>
          <w:rFonts w:ascii="Times New Roman" w:hAnsi="Times New Roman" w:cs="Times New Roman"/>
          <w:color w:val="222222"/>
          <w:sz w:val="24"/>
          <w:szCs w:val="24"/>
          <w:shd w:val="clear" w:color="auto" w:fill="FFFFFF"/>
        </w:rPr>
        <w:t xml:space="preserve"> AR, </w:t>
      </w:r>
      <w:proofErr w:type="spellStart"/>
      <w:r>
        <w:rPr>
          <w:rFonts w:ascii="Times New Roman" w:hAnsi="Times New Roman" w:cs="Times New Roman"/>
          <w:color w:val="222222"/>
          <w:sz w:val="24"/>
          <w:szCs w:val="24"/>
          <w:shd w:val="clear" w:color="auto" w:fill="FFFFFF"/>
        </w:rPr>
        <w:t>Lambais</w:t>
      </w:r>
      <w:proofErr w:type="spellEnd"/>
      <w:r>
        <w:rPr>
          <w:rFonts w:ascii="Times New Roman" w:hAnsi="Times New Roman" w:cs="Times New Roman"/>
          <w:color w:val="222222"/>
          <w:sz w:val="24"/>
          <w:szCs w:val="24"/>
          <w:shd w:val="clear" w:color="auto" w:fill="FFFFFF"/>
        </w:rPr>
        <w:t xml:space="preserve"> MR (2012) </w:t>
      </w:r>
      <w:proofErr w:type="spellStart"/>
      <w:r>
        <w:rPr>
          <w:rFonts w:ascii="Times New Roman" w:hAnsi="Times New Roman" w:cs="Times New Roman"/>
          <w:color w:val="222222"/>
          <w:sz w:val="24"/>
          <w:szCs w:val="24"/>
          <w:shd w:val="clear" w:color="auto" w:fill="FFFFFF"/>
        </w:rPr>
        <w:t>Sulfur</w:t>
      </w:r>
      <w:proofErr w:type="spellEnd"/>
      <w:r>
        <w:rPr>
          <w:rFonts w:ascii="Times New Roman" w:hAnsi="Times New Roman" w:cs="Times New Roman"/>
          <w:color w:val="222222"/>
          <w:sz w:val="24"/>
          <w:szCs w:val="24"/>
          <w:shd w:val="clear" w:color="auto" w:fill="FFFFFF"/>
        </w:rPr>
        <w:t xml:space="preserve"> in agriculture. </w:t>
      </w:r>
      <w:proofErr w:type="spellStart"/>
      <w:r>
        <w:rPr>
          <w:rFonts w:ascii="Times New Roman" w:hAnsi="Times New Roman" w:cs="Times New Roman"/>
          <w:i/>
          <w:iCs/>
          <w:color w:val="222222"/>
          <w:sz w:val="24"/>
          <w:szCs w:val="24"/>
          <w:shd w:val="clear" w:color="auto" w:fill="FFFFFF"/>
        </w:rPr>
        <w:t>Revista</w:t>
      </w:r>
      <w:proofErr w:type="spellEnd"/>
      <w:r>
        <w:rPr>
          <w:rFonts w:ascii="Times New Roman" w:hAnsi="Times New Roman" w:cs="Times New Roman"/>
          <w:i/>
          <w:iCs/>
          <w:color w:val="222222"/>
          <w:sz w:val="24"/>
          <w:szCs w:val="24"/>
          <w:shd w:val="clear" w:color="auto" w:fill="FFFFFF"/>
        </w:rPr>
        <w:t xml:space="preserve"> Brasileira de </w:t>
      </w:r>
      <w:proofErr w:type="spellStart"/>
      <w:r>
        <w:rPr>
          <w:rFonts w:ascii="Times New Roman" w:hAnsi="Times New Roman" w:cs="Times New Roman"/>
          <w:i/>
          <w:iCs/>
          <w:color w:val="222222"/>
          <w:sz w:val="24"/>
          <w:szCs w:val="24"/>
          <w:shd w:val="clear" w:color="auto" w:fill="FFFFFF"/>
        </w:rPr>
        <w:t>Ciência</w:t>
      </w:r>
      <w:proofErr w:type="spellEnd"/>
      <w:r>
        <w:rPr>
          <w:rFonts w:ascii="Times New Roman" w:hAnsi="Times New Roman" w:cs="Times New Roman"/>
          <w:i/>
          <w:iCs/>
          <w:color w:val="222222"/>
          <w:sz w:val="24"/>
          <w:szCs w:val="24"/>
          <w:shd w:val="clear" w:color="auto" w:fill="FFFFFF"/>
        </w:rPr>
        <w:t xml:space="preserve"> do Solo</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36</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1369-1379.</w:t>
      </w:r>
    </w:p>
    <w:p w14:paraId="3154B6B1"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Major J, Rondon M, Molina D, Riha SJ, Lehmann J (2010) Maize yield and nutrition during 4 years after biochar application to a Colombian savanna </w:t>
      </w:r>
      <w:proofErr w:type="spellStart"/>
      <w:r>
        <w:rPr>
          <w:rFonts w:ascii="Times New Roman" w:hAnsi="Times New Roman" w:cs="Times New Roman"/>
          <w:color w:val="222222"/>
          <w:sz w:val="24"/>
          <w:szCs w:val="24"/>
          <w:shd w:val="clear" w:color="auto" w:fill="FFFFFF"/>
        </w:rPr>
        <w:t>oxisol</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Plant and soil</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333</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117-128.</w:t>
      </w:r>
    </w:p>
    <w:p w14:paraId="19F18363" w14:textId="77777777" w:rsidR="00D879A9" w:rsidRDefault="00000000">
      <w:pPr>
        <w:shd w:val="clear" w:color="auto" w:fill="FFFFFF"/>
        <w:spacing w:after="0"/>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 xml:space="preserve">Nath TN (2014) Soil bulk density and its impact on soil texture, organic matter content </w:t>
      </w:r>
      <w:proofErr w:type="gramStart"/>
      <w:r>
        <w:rPr>
          <w:rFonts w:ascii="Times New Roman" w:eastAsia="Times New Roman" w:hAnsi="Times New Roman" w:cs="Times New Roman"/>
          <w:color w:val="000000"/>
          <w:sz w:val="24"/>
          <w:szCs w:val="24"/>
          <w:lang w:eastAsia="en-IN"/>
        </w:rPr>
        <w:t>and  available</w:t>
      </w:r>
      <w:proofErr w:type="gramEnd"/>
      <w:r>
        <w:rPr>
          <w:rFonts w:ascii="Times New Roman" w:eastAsia="Times New Roman" w:hAnsi="Times New Roman" w:cs="Times New Roman"/>
          <w:color w:val="000000"/>
          <w:sz w:val="24"/>
          <w:szCs w:val="24"/>
          <w:lang w:eastAsia="en-IN"/>
        </w:rPr>
        <w:t xml:space="preserve">  macronutrients of  tea  cultivated  soil  in  Dibrugarh  district  of  Assam, </w:t>
      </w:r>
      <w:r>
        <w:rPr>
          <w:rFonts w:ascii="Times New Roman" w:eastAsia="Times New Roman" w:hAnsi="Times New Roman" w:cs="Times New Roman"/>
          <w:color w:val="000000"/>
          <w:spacing w:val="4"/>
          <w:sz w:val="24"/>
          <w:szCs w:val="24"/>
          <w:lang w:eastAsia="en-IN"/>
        </w:rPr>
        <w:t xml:space="preserve"> </w:t>
      </w:r>
      <w:r>
        <w:rPr>
          <w:rFonts w:ascii="Times New Roman" w:eastAsia="Times New Roman" w:hAnsi="Times New Roman" w:cs="Times New Roman"/>
          <w:color w:val="000000"/>
          <w:sz w:val="24"/>
          <w:szCs w:val="24"/>
          <w:lang w:eastAsia="en-IN"/>
        </w:rPr>
        <w:t xml:space="preserve">India.  </w:t>
      </w:r>
      <w:proofErr w:type="gramStart"/>
      <w:r>
        <w:rPr>
          <w:rFonts w:ascii="Times New Roman" w:eastAsia="Times New Roman" w:hAnsi="Times New Roman" w:cs="Times New Roman"/>
          <w:i/>
          <w:iCs/>
          <w:color w:val="000000"/>
          <w:sz w:val="24"/>
          <w:szCs w:val="24"/>
          <w:lang w:eastAsia="en-IN"/>
        </w:rPr>
        <w:t>International  Journal</w:t>
      </w:r>
      <w:proofErr w:type="gramEnd"/>
      <w:r>
        <w:rPr>
          <w:rFonts w:ascii="Times New Roman" w:eastAsia="Times New Roman" w:hAnsi="Times New Roman" w:cs="Times New Roman"/>
          <w:i/>
          <w:iCs/>
          <w:color w:val="000000"/>
          <w:sz w:val="24"/>
          <w:szCs w:val="24"/>
          <w:lang w:eastAsia="en-IN"/>
        </w:rPr>
        <w:t xml:space="preserve">  of  Development  Research</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b/>
          <w:bCs/>
          <w:color w:val="000000"/>
          <w:sz w:val="24"/>
          <w:szCs w:val="24"/>
          <w:lang w:eastAsia="en-IN"/>
        </w:rPr>
        <w:t>4(2),</w:t>
      </w:r>
      <w:r>
        <w:rPr>
          <w:rFonts w:ascii="Times New Roman" w:eastAsia="Times New Roman" w:hAnsi="Times New Roman" w:cs="Times New Roman"/>
          <w:color w:val="000000"/>
          <w:spacing w:val="4"/>
          <w:sz w:val="24"/>
          <w:szCs w:val="24"/>
          <w:lang w:eastAsia="en-IN"/>
        </w:rPr>
        <w:t>343</w:t>
      </w:r>
      <w:r>
        <w:rPr>
          <w:rFonts w:ascii="Times New Roman" w:eastAsia="Times New Roman" w:hAnsi="Times New Roman" w:cs="Times New Roman"/>
          <w:color w:val="000000"/>
          <w:sz w:val="24"/>
          <w:szCs w:val="24"/>
          <w:lang w:eastAsia="en-IN"/>
        </w:rPr>
        <w:t>-346</w:t>
      </w:r>
    </w:p>
    <w:p w14:paraId="614A33B2"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Nelissen V, </w:t>
      </w:r>
      <w:proofErr w:type="spellStart"/>
      <w:r>
        <w:rPr>
          <w:rFonts w:ascii="Times New Roman" w:hAnsi="Times New Roman" w:cs="Times New Roman"/>
          <w:color w:val="222222"/>
          <w:sz w:val="24"/>
          <w:szCs w:val="24"/>
          <w:shd w:val="clear" w:color="auto" w:fill="FFFFFF"/>
        </w:rPr>
        <w:t>Ruysschaert</w:t>
      </w:r>
      <w:proofErr w:type="spellEnd"/>
      <w:r>
        <w:rPr>
          <w:rFonts w:ascii="Times New Roman" w:hAnsi="Times New Roman" w:cs="Times New Roman"/>
          <w:color w:val="222222"/>
          <w:sz w:val="24"/>
          <w:szCs w:val="24"/>
          <w:shd w:val="clear" w:color="auto" w:fill="FFFFFF"/>
        </w:rPr>
        <w:t xml:space="preserve"> G, Manka </w:t>
      </w:r>
      <w:proofErr w:type="spellStart"/>
      <w:r>
        <w:rPr>
          <w:rFonts w:ascii="Times New Roman" w:hAnsi="Times New Roman" w:cs="Times New Roman"/>
          <w:color w:val="222222"/>
          <w:sz w:val="24"/>
          <w:szCs w:val="24"/>
          <w:shd w:val="clear" w:color="auto" w:fill="FFFFFF"/>
        </w:rPr>
        <w:t>Abusi</w:t>
      </w:r>
      <w:proofErr w:type="spellEnd"/>
      <w:r>
        <w:rPr>
          <w:rFonts w:ascii="Times New Roman" w:hAnsi="Times New Roman" w:cs="Times New Roman"/>
          <w:color w:val="222222"/>
          <w:sz w:val="24"/>
          <w:szCs w:val="24"/>
          <w:shd w:val="clear" w:color="auto" w:fill="FFFFFF"/>
        </w:rPr>
        <w:t xml:space="preserve"> D, D’ Hose T, De </w:t>
      </w:r>
      <w:proofErr w:type="spellStart"/>
      <w:r>
        <w:rPr>
          <w:rFonts w:ascii="Times New Roman" w:hAnsi="Times New Roman" w:cs="Times New Roman"/>
          <w:color w:val="222222"/>
          <w:sz w:val="24"/>
          <w:szCs w:val="24"/>
          <w:shd w:val="clear" w:color="auto" w:fill="FFFFFF"/>
        </w:rPr>
        <w:t>Beuf</w:t>
      </w:r>
      <w:proofErr w:type="spellEnd"/>
      <w:r>
        <w:rPr>
          <w:rFonts w:ascii="Times New Roman" w:hAnsi="Times New Roman" w:cs="Times New Roman"/>
          <w:color w:val="222222"/>
          <w:sz w:val="24"/>
          <w:szCs w:val="24"/>
          <w:shd w:val="clear" w:color="auto" w:fill="FFFFFF"/>
        </w:rPr>
        <w:t xml:space="preserve"> K, Al-Barri B, Cornelis W, Boeckx P (2015) Impact of a woody biochar on properties of a sandy loam soil and spring barley during a two-year field experiment. </w:t>
      </w:r>
      <w:r>
        <w:rPr>
          <w:rFonts w:ascii="Times New Roman" w:hAnsi="Times New Roman" w:cs="Times New Roman"/>
          <w:i/>
          <w:iCs/>
          <w:color w:val="222222"/>
          <w:sz w:val="24"/>
          <w:szCs w:val="24"/>
          <w:shd w:val="clear" w:color="auto" w:fill="FFFFFF"/>
        </w:rPr>
        <w:t>European Journal of Agronomy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62</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65-78.</w:t>
      </w:r>
    </w:p>
    <w:p w14:paraId="76AE1F7C"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Ngo PT, Rumpel C, </w:t>
      </w:r>
      <w:proofErr w:type="spellStart"/>
      <w:r>
        <w:rPr>
          <w:rFonts w:ascii="Times New Roman" w:hAnsi="Times New Roman" w:cs="Times New Roman"/>
          <w:color w:val="222222"/>
          <w:sz w:val="24"/>
          <w:szCs w:val="24"/>
          <w:shd w:val="clear" w:color="auto" w:fill="FFFFFF"/>
        </w:rPr>
        <w:t>Janeau</w:t>
      </w:r>
      <w:proofErr w:type="spellEnd"/>
      <w:r>
        <w:rPr>
          <w:rFonts w:ascii="Times New Roman" w:hAnsi="Times New Roman" w:cs="Times New Roman"/>
          <w:color w:val="222222"/>
          <w:sz w:val="24"/>
          <w:szCs w:val="24"/>
          <w:shd w:val="clear" w:color="auto" w:fill="FFFFFF"/>
        </w:rPr>
        <w:t xml:space="preserve"> JL, Dang DK, Doan TT, </w:t>
      </w:r>
      <w:proofErr w:type="spellStart"/>
      <w:r>
        <w:rPr>
          <w:rFonts w:ascii="Times New Roman" w:hAnsi="Times New Roman" w:cs="Times New Roman"/>
          <w:color w:val="222222"/>
          <w:sz w:val="24"/>
          <w:szCs w:val="24"/>
          <w:shd w:val="clear" w:color="auto" w:fill="FFFFFF"/>
        </w:rPr>
        <w:t>Jouquet</w:t>
      </w:r>
      <w:proofErr w:type="spellEnd"/>
      <w:r>
        <w:rPr>
          <w:rFonts w:ascii="Times New Roman" w:hAnsi="Times New Roman" w:cs="Times New Roman"/>
          <w:color w:val="222222"/>
          <w:sz w:val="24"/>
          <w:szCs w:val="24"/>
          <w:shd w:val="clear" w:color="auto" w:fill="FFFFFF"/>
        </w:rPr>
        <w:t xml:space="preserve"> P (2016) Mixing of biochar with organic amendments reduces carbon removal after field exposure under tropical conditions. </w:t>
      </w:r>
      <w:r>
        <w:rPr>
          <w:rFonts w:ascii="Times New Roman" w:hAnsi="Times New Roman" w:cs="Times New Roman"/>
          <w:i/>
          <w:iCs/>
          <w:color w:val="222222"/>
          <w:sz w:val="24"/>
          <w:szCs w:val="24"/>
          <w:shd w:val="clear" w:color="auto" w:fill="FFFFFF"/>
        </w:rPr>
        <w:t>Ecological Engineering</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91</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378-380.</w:t>
      </w:r>
    </w:p>
    <w:p w14:paraId="10FAC080"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Ngo PT, Rumpel C, Ngo QA, Alexis M, Vargas GV, Gil MDLLM, </w:t>
      </w:r>
      <w:proofErr w:type="spellStart"/>
      <w:r>
        <w:rPr>
          <w:rFonts w:ascii="Times New Roman" w:hAnsi="Times New Roman" w:cs="Times New Roman"/>
          <w:color w:val="222222"/>
          <w:sz w:val="24"/>
          <w:szCs w:val="24"/>
          <w:shd w:val="clear" w:color="auto" w:fill="FFFFFF"/>
        </w:rPr>
        <w:t>Jouquet</w:t>
      </w:r>
      <w:proofErr w:type="spellEnd"/>
      <w:r>
        <w:rPr>
          <w:rFonts w:ascii="Times New Roman" w:hAnsi="Times New Roman" w:cs="Times New Roman"/>
          <w:color w:val="222222"/>
          <w:sz w:val="24"/>
          <w:szCs w:val="24"/>
          <w:shd w:val="clear" w:color="auto" w:fill="FFFFFF"/>
        </w:rPr>
        <w:t xml:space="preserve"> P (2013) Biological and chemical reactivity and phosphorus forms of buffalo manure compost, vermicompost and their mixture with biochar. </w:t>
      </w:r>
      <w:r>
        <w:rPr>
          <w:rFonts w:ascii="Times New Roman" w:hAnsi="Times New Roman" w:cs="Times New Roman"/>
          <w:i/>
          <w:iCs/>
          <w:color w:val="222222"/>
          <w:sz w:val="24"/>
          <w:szCs w:val="24"/>
          <w:shd w:val="clear" w:color="auto" w:fill="FFFFFF"/>
        </w:rPr>
        <w:t>Bioresource Technology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148</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401-407.</w:t>
      </w:r>
    </w:p>
    <w:p w14:paraId="7EB7AA11"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Nguyen TTN, Xu CY, </w:t>
      </w:r>
      <w:proofErr w:type="spellStart"/>
      <w:r>
        <w:rPr>
          <w:rFonts w:ascii="Times New Roman" w:hAnsi="Times New Roman" w:cs="Times New Roman"/>
          <w:color w:val="222222"/>
          <w:sz w:val="24"/>
          <w:szCs w:val="24"/>
          <w:shd w:val="clear" w:color="auto" w:fill="FFFFFF"/>
        </w:rPr>
        <w:t>Tahmasbian</w:t>
      </w:r>
      <w:proofErr w:type="spellEnd"/>
      <w:r>
        <w:rPr>
          <w:rFonts w:ascii="Times New Roman" w:hAnsi="Times New Roman" w:cs="Times New Roman"/>
          <w:color w:val="222222"/>
          <w:sz w:val="24"/>
          <w:szCs w:val="24"/>
          <w:shd w:val="clear" w:color="auto" w:fill="FFFFFF"/>
        </w:rPr>
        <w:t xml:space="preserve"> I, Che R, Xu Z, Zhou X, Wallace </w:t>
      </w:r>
      <w:proofErr w:type="gramStart"/>
      <w:r>
        <w:rPr>
          <w:rFonts w:ascii="Times New Roman" w:hAnsi="Times New Roman" w:cs="Times New Roman"/>
          <w:color w:val="222222"/>
          <w:sz w:val="24"/>
          <w:szCs w:val="24"/>
          <w:shd w:val="clear" w:color="auto" w:fill="FFFFFF"/>
        </w:rPr>
        <w:t>HM,  Bai</w:t>
      </w:r>
      <w:proofErr w:type="gramEnd"/>
      <w:r>
        <w:rPr>
          <w:rFonts w:ascii="Times New Roman" w:hAnsi="Times New Roman" w:cs="Times New Roman"/>
          <w:color w:val="222222"/>
          <w:sz w:val="24"/>
          <w:szCs w:val="24"/>
          <w:shd w:val="clear" w:color="auto" w:fill="FFFFFF"/>
        </w:rPr>
        <w:t xml:space="preserve"> SH (2017) Effects of biochar on soil available inorganic nitrogen: a review and meta-analysis. </w:t>
      </w:r>
      <w:proofErr w:type="spellStart"/>
      <w:r>
        <w:rPr>
          <w:rFonts w:ascii="Times New Roman" w:hAnsi="Times New Roman" w:cs="Times New Roman"/>
          <w:i/>
          <w:iCs/>
          <w:color w:val="222222"/>
          <w:sz w:val="24"/>
          <w:szCs w:val="24"/>
          <w:shd w:val="clear" w:color="auto" w:fill="FFFFFF"/>
        </w:rPr>
        <w:t>Geoderma</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288</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79-96.</w:t>
      </w:r>
    </w:p>
    <w:p w14:paraId="67043786" w14:textId="77777777" w:rsidR="00D879A9" w:rsidRDefault="00000000">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Oguntunde</w:t>
      </w:r>
      <w:proofErr w:type="spellEnd"/>
      <w:r>
        <w:rPr>
          <w:rFonts w:ascii="Times New Roman" w:hAnsi="Times New Roman" w:cs="Times New Roman"/>
          <w:color w:val="222222"/>
          <w:sz w:val="24"/>
          <w:szCs w:val="24"/>
          <w:shd w:val="clear" w:color="auto" w:fill="FFFFFF"/>
        </w:rPr>
        <w:t xml:space="preserve"> PG, Abiodun BJ, Ajayi </w:t>
      </w:r>
      <w:proofErr w:type="spellStart"/>
      <w:proofErr w:type="gramStart"/>
      <w:r>
        <w:rPr>
          <w:rFonts w:ascii="Times New Roman" w:hAnsi="Times New Roman" w:cs="Times New Roman"/>
          <w:color w:val="222222"/>
          <w:sz w:val="24"/>
          <w:szCs w:val="24"/>
          <w:shd w:val="clear" w:color="auto" w:fill="FFFFFF"/>
        </w:rPr>
        <w:t>AE,Van</w:t>
      </w:r>
      <w:proofErr w:type="spellEnd"/>
      <w:proofErr w:type="gramEnd"/>
      <w:r>
        <w:rPr>
          <w:rFonts w:ascii="Times New Roman" w:hAnsi="Times New Roman" w:cs="Times New Roman"/>
          <w:color w:val="222222"/>
          <w:sz w:val="24"/>
          <w:szCs w:val="24"/>
          <w:shd w:val="clear" w:color="auto" w:fill="FFFFFF"/>
        </w:rPr>
        <w:t xml:space="preserve"> De Giesen N (2008) Effects of charcoal production on soil physical properties in Ghana. </w:t>
      </w:r>
      <w:r>
        <w:rPr>
          <w:rFonts w:ascii="Times New Roman" w:hAnsi="Times New Roman" w:cs="Times New Roman"/>
          <w:i/>
          <w:iCs/>
          <w:color w:val="222222"/>
          <w:sz w:val="24"/>
          <w:szCs w:val="24"/>
          <w:shd w:val="clear" w:color="auto" w:fill="FFFFFF"/>
        </w:rPr>
        <w:t>Journal of Plant Nutrition and Soil Science</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171</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591-596.</w:t>
      </w:r>
    </w:p>
    <w:p w14:paraId="27D2F882"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Ohyama T (2010) Nitrogen as a major essential element of plants. </w:t>
      </w:r>
      <w:r>
        <w:rPr>
          <w:rFonts w:ascii="Times New Roman" w:hAnsi="Times New Roman" w:cs="Times New Roman"/>
          <w:i/>
          <w:iCs/>
          <w:color w:val="222222"/>
          <w:sz w:val="24"/>
          <w:szCs w:val="24"/>
          <w:shd w:val="clear" w:color="auto" w:fill="FFFFFF"/>
        </w:rPr>
        <w:t>Nitrogen assimilation in plants</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37</w:t>
      </w:r>
      <w:r>
        <w:rPr>
          <w:rFonts w:ascii="Times New Roman" w:hAnsi="Times New Roman" w:cs="Times New Roman"/>
          <w:b/>
          <w:bCs/>
          <w:color w:val="222222"/>
          <w:sz w:val="24"/>
          <w:szCs w:val="24"/>
          <w:shd w:val="clear" w:color="auto" w:fill="FFFFFF"/>
        </w:rPr>
        <w:t>(2),</w:t>
      </w:r>
      <w:r>
        <w:rPr>
          <w:rFonts w:ascii="Times New Roman" w:hAnsi="Times New Roman" w:cs="Times New Roman"/>
          <w:color w:val="222222"/>
          <w:sz w:val="24"/>
          <w:szCs w:val="24"/>
          <w:shd w:val="clear" w:color="auto" w:fill="FFFFFF"/>
        </w:rPr>
        <w:t xml:space="preserve"> 2-17.</w:t>
      </w:r>
    </w:p>
    <w:p w14:paraId="63944B1F" w14:textId="77777777" w:rsidR="00D879A9" w:rsidRDefault="00000000">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Pavinato</w:t>
      </w:r>
      <w:proofErr w:type="spellEnd"/>
      <w:r>
        <w:rPr>
          <w:rFonts w:ascii="Times New Roman" w:hAnsi="Times New Roman" w:cs="Times New Roman"/>
          <w:color w:val="222222"/>
          <w:sz w:val="24"/>
          <w:szCs w:val="24"/>
          <w:shd w:val="clear" w:color="auto" w:fill="FFFFFF"/>
        </w:rPr>
        <w:t xml:space="preserve"> PS, </w:t>
      </w:r>
      <w:proofErr w:type="spellStart"/>
      <w:r>
        <w:rPr>
          <w:rFonts w:ascii="Times New Roman" w:hAnsi="Times New Roman" w:cs="Times New Roman"/>
          <w:color w:val="222222"/>
          <w:sz w:val="24"/>
          <w:szCs w:val="24"/>
          <w:shd w:val="clear" w:color="auto" w:fill="FFFFFF"/>
        </w:rPr>
        <w:t>Rosolem</w:t>
      </w:r>
      <w:proofErr w:type="spellEnd"/>
      <w:r>
        <w:rPr>
          <w:rFonts w:ascii="Times New Roman" w:hAnsi="Times New Roman" w:cs="Times New Roman"/>
          <w:color w:val="222222"/>
          <w:sz w:val="24"/>
          <w:szCs w:val="24"/>
          <w:shd w:val="clear" w:color="auto" w:fill="FFFFFF"/>
        </w:rPr>
        <w:t xml:space="preserve"> CA (2008) Effects of organic compounds produced by plants on soil nutrient availability. </w:t>
      </w:r>
      <w:proofErr w:type="spellStart"/>
      <w:r>
        <w:rPr>
          <w:rFonts w:ascii="Times New Roman" w:hAnsi="Times New Roman" w:cs="Times New Roman"/>
          <w:i/>
          <w:iCs/>
          <w:color w:val="222222"/>
          <w:sz w:val="24"/>
          <w:szCs w:val="24"/>
          <w:shd w:val="clear" w:color="auto" w:fill="FFFFFF"/>
        </w:rPr>
        <w:t>Revista</w:t>
      </w:r>
      <w:proofErr w:type="spellEnd"/>
      <w:r>
        <w:rPr>
          <w:rFonts w:ascii="Times New Roman" w:hAnsi="Times New Roman" w:cs="Times New Roman"/>
          <w:i/>
          <w:iCs/>
          <w:color w:val="222222"/>
          <w:sz w:val="24"/>
          <w:szCs w:val="24"/>
          <w:shd w:val="clear" w:color="auto" w:fill="FFFFFF"/>
        </w:rPr>
        <w:t xml:space="preserve"> Brasileira de </w:t>
      </w:r>
      <w:proofErr w:type="spellStart"/>
      <w:r>
        <w:rPr>
          <w:rFonts w:ascii="Times New Roman" w:hAnsi="Times New Roman" w:cs="Times New Roman"/>
          <w:i/>
          <w:iCs/>
          <w:color w:val="222222"/>
          <w:sz w:val="24"/>
          <w:szCs w:val="24"/>
          <w:shd w:val="clear" w:color="auto" w:fill="FFFFFF"/>
        </w:rPr>
        <w:t>Ciência</w:t>
      </w:r>
      <w:proofErr w:type="spellEnd"/>
      <w:r>
        <w:rPr>
          <w:rFonts w:ascii="Times New Roman" w:hAnsi="Times New Roman" w:cs="Times New Roman"/>
          <w:i/>
          <w:iCs/>
          <w:color w:val="222222"/>
          <w:sz w:val="24"/>
          <w:szCs w:val="24"/>
          <w:shd w:val="clear" w:color="auto" w:fill="FFFFFF"/>
        </w:rPr>
        <w:t xml:space="preserve"> do Solo</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32</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911-920.</w:t>
      </w:r>
    </w:p>
    <w:p w14:paraId="4B12D16F"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Pietikäinen J, </w:t>
      </w:r>
      <w:proofErr w:type="spellStart"/>
      <w:r>
        <w:rPr>
          <w:rFonts w:ascii="Times New Roman" w:hAnsi="Times New Roman" w:cs="Times New Roman"/>
          <w:color w:val="222222"/>
          <w:sz w:val="24"/>
          <w:szCs w:val="24"/>
          <w:shd w:val="clear" w:color="auto" w:fill="FFFFFF"/>
        </w:rPr>
        <w:t>Kiikkilä</w:t>
      </w:r>
      <w:proofErr w:type="spellEnd"/>
      <w:r>
        <w:rPr>
          <w:rFonts w:ascii="Times New Roman" w:hAnsi="Times New Roman" w:cs="Times New Roman"/>
          <w:color w:val="222222"/>
          <w:sz w:val="24"/>
          <w:szCs w:val="24"/>
          <w:shd w:val="clear" w:color="auto" w:fill="FFFFFF"/>
        </w:rPr>
        <w:t xml:space="preserve"> O, Fritze H (2000) Charcoal as a habitat for microbes and its effect on the microbial community of the underlying humus. </w:t>
      </w:r>
      <w:r>
        <w:rPr>
          <w:rFonts w:ascii="Times New Roman" w:hAnsi="Times New Roman" w:cs="Times New Roman"/>
          <w:i/>
          <w:iCs/>
          <w:color w:val="222222"/>
          <w:sz w:val="24"/>
          <w:szCs w:val="24"/>
          <w:shd w:val="clear" w:color="auto" w:fill="FFFFFF"/>
        </w:rPr>
        <w:t>Oikos</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89</w:t>
      </w:r>
      <w:r>
        <w:rPr>
          <w:rFonts w:ascii="Times New Roman" w:hAnsi="Times New Roman" w:cs="Times New Roman"/>
          <w:b/>
          <w:bCs/>
          <w:color w:val="222222"/>
          <w:sz w:val="24"/>
          <w:szCs w:val="24"/>
          <w:shd w:val="clear" w:color="auto" w:fill="FFFFFF"/>
        </w:rPr>
        <w:t>(2),</w:t>
      </w:r>
      <w:r>
        <w:rPr>
          <w:rFonts w:ascii="Times New Roman" w:hAnsi="Times New Roman" w:cs="Times New Roman"/>
          <w:color w:val="222222"/>
          <w:sz w:val="24"/>
          <w:szCs w:val="24"/>
          <w:shd w:val="clear" w:color="auto" w:fill="FFFFFF"/>
        </w:rPr>
        <w:t xml:space="preserve"> 231-242</w:t>
      </w:r>
      <w:r>
        <w:rPr>
          <w:rFonts w:ascii="Times New Roman" w:hAnsi="Times New Roman" w:cs="Times New Roman"/>
          <w:sz w:val="24"/>
          <w:szCs w:val="24"/>
        </w:rPr>
        <w:t>Piper CS (1966) Soil and Plant Analysis. Hans Publisher, Bombay</w:t>
      </w:r>
    </w:p>
    <w:p w14:paraId="2BF95BC1"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Plaza C, Giannetta B, Fernández JM, López-de-Sá EG, Polo A, </w:t>
      </w:r>
      <w:proofErr w:type="spellStart"/>
      <w:r>
        <w:rPr>
          <w:rFonts w:ascii="Times New Roman" w:hAnsi="Times New Roman" w:cs="Times New Roman"/>
          <w:sz w:val="24"/>
          <w:szCs w:val="24"/>
        </w:rPr>
        <w:t>Gascó</w:t>
      </w:r>
      <w:proofErr w:type="spellEnd"/>
      <w:r>
        <w:rPr>
          <w:rFonts w:ascii="Times New Roman" w:hAnsi="Times New Roman" w:cs="Times New Roman"/>
          <w:sz w:val="24"/>
          <w:szCs w:val="24"/>
        </w:rPr>
        <w:t xml:space="preserve"> G, Méndez </w:t>
      </w:r>
      <w:proofErr w:type="gramStart"/>
      <w:r>
        <w:rPr>
          <w:rFonts w:ascii="Times New Roman" w:hAnsi="Times New Roman" w:cs="Times New Roman"/>
          <w:sz w:val="24"/>
          <w:szCs w:val="24"/>
        </w:rPr>
        <w:t>A,  Zaccone</w:t>
      </w:r>
      <w:proofErr w:type="gramEnd"/>
      <w:r>
        <w:rPr>
          <w:rFonts w:ascii="Times New Roman" w:hAnsi="Times New Roman" w:cs="Times New Roman"/>
          <w:sz w:val="24"/>
          <w:szCs w:val="24"/>
        </w:rPr>
        <w:t xml:space="preserve">, C (2016) Response of different soil organic matter pools to biochar and organic fertilizers. </w:t>
      </w:r>
      <w:r>
        <w:rPr>
          <w:rFonts w:ascii="Times New Roman" w:hAnsi="Times New Roman" w:cs="Times New Roman"/>
          <w:i/>
          <w:iCs/>
          <w:sz w:val="24"/>
          <w:szCs w:val="24"/>
        </w:rPr>
        <w:t>Agriculture, Ecosystems &amp; Environment</w:t>
      </w:r>
      <w:r>
        <w:rPr>
          <w:rFonts w:ascii="Times New Roman" w:hAnsi="Times New Roman" w:cs="Times New Roman"/>
          <w:sz w:val="24"/>
          <w:szCs w:val="24"/>
        </w:rPr>
        <w:t xml:space="preserve"> </w:t>
      </w:r>
      <w:r>
        <w:rPr>
          <w:rFonts w:ascii="Times New Roman" w:hAnsi="Times New Roman" w:cs="Times New Roman"/>
          <w:b/>
          <w:bCs/>
          <w:i/>
          <w:iCs/>
          <w:sz w:val="24"/>
          <w:szCs w:val="24"/>
        </w:rPr>
        <w:t>225</w:t>
      </w:r>
      <w:r>
        <w:rPr>
          <w:rFonts w:ascii="Times New Roman" w:hAnsi="Times New Roman" w:cs="Times New Roman"/>
          <w:b/>
          <w:bCs/>
          <w:sz w:val="24"/>
          <w:szCs w:val="24"/>
        </w:rPr>
        <w:t>,</w:t>
      </w:r>
      <w:r>
        <w:rPr>
          <w:rFonts w:ascii="Times New Roman" w:hAnsi="Times New Roman" w:cs="Times New Roman"/>
          <w:sz w:val="24"/>
          <w:szCs w:val="24"/>
        </w:rPr>
        <w:t xml:space="preserve"> 150-159. https://doi.org/10.1016/j.agee.2016.04.014</w:t>
      </w:r>
    </w:p>
    <w:p w14:paraId="1841B915" w14:textId="77777777" w:rsidR="00D879A9" w:rsidRDefault="00000000">
      <w:pPr>
        <w:jc w:val="both"/>
        <w:rPr>
          <w:rFonts w:ascii="Times New Roman" w:hAnsi="Times New Roman" w:cs="Times New Roman"/>
          <w:color w:val="333333"/>
          <w:sz w:val="24"/>
          <w:szCs w:val="24"/>
          <w:shd w:val="clear" w:color="auto" w:fill="FCFCFC"/>
        </w:rPr>
      </w:pPr>
      <w:proofErr w:type="spellStart"/>
      <w:r>
        <w:rPr>
          <w:rFonts w:ascii="Times New Roman" w:hAnsi="Times New Roman" w:cs="Times New Roman"/>
          <w:color w:val="333333"/>
          <w:sz w:val="24"/>
          <w:szCs w:val="24"/>
          <w:shd w:val="clear" w:color="auto" w:fill="FCFCFC"/>
        </w:rPr>
        <w:t>Prapagdee</w:t>
      </w:r>
      <w:proofErr w:type="spellEnd"/>
      <w:r>
        <w:rPr>
          <w:rFonts w:ascii="Times New Roman" w:hAnsi="Times New Roman" w:cs="Times New Roman"/>
          <w:color w:val="333333"/>
          <w:sz w:val="24"/>
          <w:szCs w:val="24"/>
          <w:shd w:val="clear" w:color="auto" w:fill="FCFCFC"/>
        </w:rPr>
        <w:t xml:space="preserve"> S, </w:t>
      </w:r>
      <w:proofErr w:type="spellStart"/>
      <w:r>
        <w:rPr>
          <w:rFonts w:ascii="Times New Roman" w:hAnsi="Times New Roman" w:cs="Times New Roman"/>
          <w:color w:val="333333"/>
          <w:sz w:val="24"/>
          <w:szCs w:val="24"/>
          <w:shd w:val="clear" w:color="auto" w:fill="FCFCFC"/>
        </w:rPr>
        <w:t>Tawinteung</w:t>
      </w:r>
      <w:proofErr w:type="spellEnd"/>
      <w:r>
        <w:rPr>
          <w:rFonts w:ascii="Times New Roman" w:hAnsi="Times New Roman" w:cs="Times New Roman"/>
          <w:color w:val="333333"/>
          <w:sz w:val="24"/>
          <w:szCs w:val="24"/>
          <w:shd w:val="clear" w:color="auto" w:fill="FCFCFC"/>
        </w:rPr>
        <w:t xml:space="preserve"> N (2017) Effects of biochar on enhanced nutrient use efficiency of green bean, </w:t>
      </w:r>
      <w:r>
        <w:rPr>
          <w:rFonts w:ascii="Times New Roman" w:hAnsi="Times New Roman" w:cs="Times New Roman"/>
          <w:i/>
          <w:iCs/>
          <w:color w:val="333333"/>
          <w:sz w:val="24"/>
          <w:szCs w:val="24"/>
          <w:shd w:val="clear" w:color="auto" w:fill="FCFCFC"/>
        </w:rPr>
        <w:t>Vigna radiata</w:t>
      </w:r>
      <w:r>
        <w:rPr>
          <w:rFonts w:ascii="Times New Roman" w:hAnsi="Times New Roman" w:cs="Times New Roman"/>
          <w:color w:val="333333"/>
          <w:sz w:val="24"/>
          <w:szCs w:val="24"/>
          <w:shd w:val="clear" w:color="auto" w:fill="FCFCFC"/>
        </w:rPr>
        <w:t xml:space="preserve"> L. </w:t>
      </w:r>
      <w:r>
        <w:rPr>
          <w:rFonts w:ascii="Times New Roman" w:hAnsi="Times New Roman" w:cs="Times New Roman"/>
          <w:i/>
          <w:iCs/>
          <w:color w:val="333333"/>
          <w:sz w:val="24"/>
          <w:szCs w:val="24"/>
          <w:shd w:val="clear" w:color="auto" w:fill="FCFCFC"/>
        </w:rPr>
        <w:t xml:space="preserve">Environ Sci </w:t>
      </w:r>
      <w:proofErr w:type="spellStart"/>
      <w:r>
        <w:rPr>
          <w:rFonts w:ascii="Times New Roman" w:hAnsi="Times New Roman" w:cs="Times New Roman"/>
          <w:i/>
          <w:iCs/>
          <w:color w:val="333333"/>
          <w:sz w:val="24"/>
          <w:szCs w:val="24"/>
          <w:shd w:val="clear" w:color="auto" w:fill="FCFCFC"/>
        </w:rPr>
        <w:t>Pollut</w:t>
      </w:r>
      <w:proofErr w:type="spellEnd"/>
      <w:r>
        <w:rPr>
          <w:rFonts w:ascii="Times New Roman" w:hAnsi="Times New Roman" w:cs="Times New Roman"/>
          <w:i/>
          <w:iCs/>
          <w:color w:val="333333"/>
          <w:sz w:val="24"/>
          <w:szCs w:val="24"/>
          <w:shd w:val="clear" w:color="auto" w:fill="FCFCFC"/>
        </w:rPr>
        <w:t xml:space="preserve"> Res</w:t>
      </w:r>
      <w:r>
        <w:rPr>
          <w:rFonts w:ascii="Times New Roman" w:hAnsi="Times New Roman" w:cs="Times New Roman"/>
          <w:color w:val="333333"/>
          <w:sz w:val="24"/>
          <w:szCs w:val="24"/>
          <w:shd w:val="clear" w:color="auto" w:fill="FCFCFC"/>
        </w:rPr>
        <w:t> </w:t>
      </w:r>
      <w:r>
        <w:rPr>
          <w:rFonts w:ascii="Times New Roman" w:hAnsi="Times New Roman" w:cs="Times New Roman"/>
          <w:b/>
          <w:bCs/>
          <w:color w:val="333333"/>
          <w:sz w:val="24"/>
          <w:szCs w:val="24"/>
          <w:shd w:val="clear" w:color="auto" w:fill="FCFCFC"/>
        </w:rPr>
        <w:t>24, </w:t>
      </w:r>
      <w:r>
        <w:rPr>
          <w:rFonts w:ascii="Times New Roman" w:hAnsi="Times New Roman" w:cs="Times New Roman"/>
          <w:color w:val="333333"/>
          <w:sz w:val="24"/>
          <w:szCs w:val="24"/>
          <w:shd w:val="clear" w:color="auto" w:fill="FCFCFC"/>
        </w:rPr>
        <w:t xml:space="preserve">9460–9467 </w:t>
      </w:r>
      <w:hyperlink r:id="rId22" w:history="1">
        <w:r w:rsidR="00D879A9">
          <w:rPr>
            <w:rStyle w:val="Hyperlink"/>
            <w:sz w:val="24"/>
            <w:szCs w:val="24"/>
            <w:shd w:val="clear" w:color="auto" w:fill="FCFCFC"/>
          </w:rPr>
          <w:t>https://doi.org/10.1007/s11356-017-8633-1</w:t>
        </w:r>
      </w:hyperlink>
    </w:p>
    <w:p w14:paraId="2C66166C"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Rawat J, Saxena J, </w:t>
      </w:r>
      <w:proofErr w:type="spellStart"/>
      <w:r>
        <w:rPr>
          <w:rFonts w:ascii="Times New Roman" w:hAnsi="Times New Roman" w:cs="Times New Roman"/>
          <w:color w:val="222222"/>
          <w:sz w:val="24"/>
          <w:szCs w:val="24"/>
          <w:shd w:val="clear" w:color="auto" w:fill="FFFFFF"/>
        </w:rPr>
        <w:t>Sanwal</w:t>
      </w:r>
      <w:proofErr w:type="spellEnd"/>
      <w:r>
        <w:rPr>
          <w:rFonts w:ascii="Times New Roman" w:hAnsi="Times New Roman" w:cs="Times New Roman"/>
          <w:color w:val="222222"/>
          <w:sz w:val="24"/>
          <w:szCs w:val="24"/>
          <w:shd w:val="clear" w:color="auto" w:fill="FFFFFF"/>
        </w:rPr>
        <w:t xml:space="preserve"> P (2019) Biochar: a sustainable approach for improving plant growth and soil </w:t>
      </w:r>
      <w:proofErr w:type="spellStart"/>
      <w:proofErr w:type="gramStart"/>
      <w:r>
        <w:rPr>
          <w:rFonts w:ascii="Times New Roman" w:hAnsi="Times New Roman" w:cs="Times New Roman"/>
          <w:color w:val="222222"/>
          <w:sz w:val="24"/>
          <w:szCs w:val="24"/>
          <w:shd w:val="clear" w:color="auto" w:fill="FFFFFF"/>
        </w:rPr>
        <w:t>properties.In</w:t>
      </w:r>
      <w:proofErr w:type="spellEnd"/>
      <w:proofErr w:type="gramEnd"/>
      <w:r>
        <w:rPr>
          <w:rFonts w:ascii="Times New Roman" w:hAnsi="Times New Roman" w:cs="Times New Roman"/>
          <w:color w:val="222222"/>
          <w:sz w:val="24"/>
          <w:szCs w:val="24"/>
          <w:shd w:val="clear" w:color="auto" w:fill="FFFFFF"/>
        </w:rPr>
        <w:t xml:space="preserve"> ‘ </w:t>
      </w:r>
      <w:r>
        <w:rPr>
          <w:rFonts w:ascii="Times New Roman" w:hAnsi="Times New Roman" w:cs="Times New Roman"/>
          <w:i/>
          <w:iCs/>
          <w:color w:val="222222"/>
          <w:sz w:val="24"/>
          <w:szCs w:val="24"/>
          <w:shd w:val="clear" w:color="auto" w:fill="FFFFFF"/>
        </w:rPr>
        <w:t>Biochar-an imperative amendment for soil and the environment’.</w:t>
      </w:r>
      <w:r>
        <w:rPr>
          <w:rFonts w:ascii="Times New Roman" w:hAnsi="Times New Roman" w:cs="Times New Roman"/>
          <w:color w:val="222222"/>
          <w:sz w:val="24"/>
          <w:szCs w:val="24"/>
          <w:shd w:val="clear" w:color="auto" w:fill="FFFFFF"/>
        </w:rPr>
        <w:t>(</w:t>
      </w:r>
      <w:r>
        <w:rPr>
          <w:rFonts w:ascii="Times New Roman" w:eastAsia="Times New Roman" w:hAnsi="Times New Roman" w:cs="Times New Roman"/>
          <w:color w:val="00313C"/>
          <w:sz w:val="24"/>
          <w:szCs w:val="24"/>
          <w:lang w:eastAsia="en-IN"/>
        </w:rPr>
        <w:t xml:space="preserve">Eds Abrol </w:t>
      </w:r>
      <w:proofErr w:type="spellStart"/>
      <w:r>
        <w:rPr>
          <w:rFonts w:ascii="Times New Roman" w:eastAsia="Times New Roman" w:hAnsi="Times New Roman" w:cs="Times New Roman"/>
          <w:color w:val="00313C"/>
          <w:sz w:val="24"/>
          <w:szCs w:val="24"/>
          <w:lang w:eastAsia="en-IN"/>
        </w:rPr>
        <w:t>V,Sharma</w:t>
      </w:r>
      <w:proofErr w:type="spellEnd"/>
      <w:r>
        <w:rPr>
          <w:rFonts w:ascii="Times New Roman" w:eastAsia="Times New Roman" w:hAnsi="Times New Roman" w:cs="Times New Roman"/>
          <w:color w:val="00313C"/>
          <w:sz w:val="24"/>
          <w:szCs w:val="24"/>
          <w:lang w:eastAsia="en-IN"/>
        </w:rPr>
        <w:t xml:space="preserve"> P)</w:t>
      </w:r>
      <w:r>
        <w:rPr>
          <w:rFonts w:ascii="Times New Roman" w:hAnsi="Times New Roman" w:cs="Times New Roman"/>
          <w:color w:val="222222"/>
          <w:sz w:val="24"/>
          <w:szCs w:val="24"/>
          <w:shd w:val="clear" w:color="auto" w:fill="FFFFFF"/>
        </w:rPr>
        <w:t xml:space="preserve"> pp 1-17.</w:t>
      </w:r>
    </w:p>
    <w:p w14:paraId="63770520"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Schulz H, Dunst G, Glaser B (2013) Positive effects of composted biochar on plant growth and soil fertility. </w:t>
      </w:r>
      <w:r>
        <w:rPr>
          <w:rFonts w:ascii="Times New Roman" w:hAnsi="Times New Roman" w:cs="Times New Roman"/>
          <w:i/>
          <w:iCs/>
          <w:color w:val="222222"/>
          <w:sz w:val="24"/>
          <w:szCs w:val="24"/>
          <w:shd w:val="clear" w:color="auto" w:fill="FFFFFF"/>
        </w:rPr>
        <w:t>Agronomy for sustainable development</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33</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817-827.</w:t>
      </w:r>
    </w:p>
    <w:p w14:paraId="680C78EF"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333333"/>
          <w:sz w:val="24"/>
          <w:szCs w:val="24"/>
          <w:shd w:val="clear" w:color="auto" w:fill="FCFCFC"/>
        </w:rPr>
        <w:t xml:space="preserve">Segura </w:t>
      </w:r>
      <w:proofErr w:type="gramStart"/>
      <w:r>
        <w:rPr>
          <w:rFonts w:ascii="Times New Roman" w:hAnsi="Times New Roman" w:cs="Times New Roman"/>
          <w:color w:val="333333"/>
          <w:sz w:val="24"/>
          <w:szCs w:val="24"/>
          <w:shd w:val="clear" w:color="auto" w:fill="FCFCFC"/>
        </w:rPr>
        <w:t>ML,  París</w:t>
      </w:r>
      <w:proofErr w:type="gramEnd"/>
      <w:r>
        <w:rPr>
          <w:rFonts w:ascii="Times New Roman" w:hAnsi="Times New Roman" w:cs="Times New Roman"/>
          <w:color w:val="333333"/>
          <w:sz w:val="24"/>
          <w:szCs w:val="24"/>
          <w:shd w:val="clear" w:color="auto" w:fill="FCFCFC"/>
        </w:rPr>
        <w:t xml:space="preserve"> JIC, Plaza BM, Lao MT (2012) Assessment of the nitrogen and potassium fertilizer in green bean irrigated with disinfected urban wastewater. Commun Soil Sci Plant Anal </w:t>
      </w:r>
      <w:r>
        <w:rPr>
          <w:rFonts w:ascii="Times New Roman" w:hAnsi="Times New Roman" w:cs="Times New Roman"/>
          <w:b/>
          <w:bCs/>
          <w:color w:val="333333"/>
          <w:sz w:val="24"/>
          <w:szCs w:val="24"/>
          <w:shd w:val="clear" w:color="auto" w:fill="FCFCFC"/>
        </w:rPr>
        <w:t>43,</w:t>
      </w:r>
      <w:r>
        <w:rPr>
          <w:rFonts w:ascii="Times New Roman" w:hAnsi="Times New Roman" w:cs="Times New Roman"/>
          <w:color w:val="333333"/>
          <w:sz w:val="24"/>
          <w:szCs w:val="24"/>
          <w:shd w:val="clear" w:color="auto" w:fill="FCFCFC"/>
        </w:rPr>
        <w:t>426–433. doi:</w:t>
      </w:r>
      <w:hyperlink r:id="rId23" w:history="1">
        <w:r w:rsidR="00D879A9">
          <w:rPr>
            <w:rStyle w:val="Hyperlink"/>
            <w:color w:val="004B83"/>
            <w:sz w:val="24"/>
            <w:szCs w:val="24"/>
            <w:shd w:val="clear" w:color="auto" w:fill="FCFCFC"/>
          </w:rPr>
          <w:t>10.1080/00103624.2011.638604</w:t>
        </w:r>
      </w:hyperlink>
    </w:p>
    <w:p w14:paraId="418860A3"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Silva IC BD, Basílio JJN, Fernandes LA, Colen F, Sampaio </w:t>
      </w:r>
      <w:proofErr w:type="gramStart"/>
      <w:r>
        <w:rPr>
          <w:rFonts w:ascii="Times New Roman" w:hAnsi="Times New Roman" w:cs="Times New Roman"/>
          <w:color w:val="222222"/>
          <w:sz w:val="24"/>
          <w:szCs w:val="24"/>
          <w:shd w:val="clear" w:color="auto" w:fill="FFFFFF"/>
        </w:rPr>
        <w:t>RA,  Frazão</w:t>
      </w:r>
      <w:proofErr w:type="gramEnd"/>
      <w:r>
        <w:rPr>
          <w:rFonts w:ascii="Times New Roman" w:hAnsi="Times New Roman" w:cs="Times New Roman"/>
          <w:color w:val="222222"/>
          <w:sz w:val="24"/>
          <w:szCs w:val="24"/>
          <w:shd w:val="clear" w:color="auto" w:fill="FFFFFF"/>
        </w:rPr>
        <w:t xml:space="preserve"> LA (2017) Biochar from different residues on soil properties and common bean production. </w:t>
      </w:r>
      <w:r>
        <w:rPr>
          <w:rFonts w:ascii="Times New Roman" w:hAnsi="Times New Roman" w:cs="Times New Roman"/>
          <w:i/>
          <w:iCs/>
          <w:color w:val="222222"/>
          <w:sz w:val="24"/>
          <w:szCs w:val="24"/>
          <w:shd w:val="clear" w:color="auto" w:fill="FFFFFF"/>
        </w:rPr>
        <w:t>Scientia Agricola</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74</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378-382.</w:t>
      </w:r>
    </w:p>
    <w:p w14:paraId="27F011B3"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Singh PD, Kumar A, Dhyani BP, Kumar S, Shahi UP, Singh </w:t>
      </w:r>
      <w:proofErr w:type="gramStart"/>
      <w:r>
        <w:rPr>
          <w:rFonts w:ascii="Times New Roman" w:hAnsi="Times New Roman" w:cs="Times New Roman"/>
          <w:color w:val="222222"/>
          <w:sz w:val="24"/>
          <w:szCs w:val="24"/>
          <w:shd w:val="clear" w:color="auto" w:fill="FFFFFF"/>
        </w:rPr>
        <w:t>A,  Singh</w:t>
      </w:r>
      <w:proofErr w:type="gramEnd"/>
      <w:r>
        <w:rPr>
          <w:rFonts w:ascii="Times New Roman" w:hAnsi="Times New Roman" w:cs="Times New Roman"/>
          <w:color w:val="222222"/>
          <w:sz w:val="24"/>
          <w:szCs w:val="24"/>
          <w:shd w:val="clear" w:color="auto" w:fill="FFFFFF"/>
        </w:rPr>
        <w:t xml:space="preserve"> A (2020). Relationship between compaction levels (bulk density) and chemical properties of different textured soil. </w:t>
      </w:r>
      <w:r>
        <w:rPr>
          <w:rFonts w:ascii="Times New Roman" w:hAnsi="Times New Roman" w:cs="Times New Roman"/>
          <w:i/>
          <w:iCs/>
          <w:color w:val="222222"/>
          <w:sz w:val="24"/>
          <w:szCs w:val="24"/>
          <w:shd w:val="clear" w:color="auto" w:fill="FFFFFF"/>
        </w:rPr>
        <w:t>IJCS</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8</w:t>
      </w:r>
      <w:r>
        <w:rPr>
          <w:rFonts w:ascii="Times New Roman" w:hAnsi="Times New Roman" w:cs="Times New Roman"/>
          <w:b/>
          <w:bCs/>
          <w:color w:val="222222"/>
          <w:sz w:val="24"/>
          <w:szCs w:val="24"/>
          <w:shd w:val="clear" w:color="auto" w:fill="FFFFFF"/>
        </w:rPr>
        <w:t>(5),</w:t>
      </w:r>
      <w:r>
        <w:rPr>
          <w:rFonts w:ascii="Times New Roman" w:hAnsi="Times New Roman" w:cs="Times New Roman"/>
          <w:color w:val="222222"/>
          <w:sz w:val="24"/>
          <w:szCs w:val="24"/>
          <w:shd w:val="clear" w:color="auto" w:fill="FFFFFF"/>
        </w:rPr>
        <w:t xml:space="preserve"> 179-183.</w:t>
      </w:r>
    </w:p>
    <w:p w14:paraId="3FE3DA9E"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Sohi SP, Krull E, Lopez-Capel E, Bol R (2010) A review of biochar and its use and function in soil. </w:t>
      </w:r>
      <w:r>
        <w:rPr>
          <w:rFonts w:ascii="Times New Roman" w:hAnsi="Times New Roman" w:cs="Times New Roman"/>
          <w:i/>
          <w:iCs/>
          <w:color w:val="222222"/>
          <w:sz w:val="24"/>
          <w:szCs w:val="24"/>
          <w:shd w:val="clear" w:color="auto" w:fill="FFFFFF"/>
        </w:rPr>
        <w:t>Advances in agronomy</w:t>
      </w:r>
      <w:r>
        <w:rPr>
          <w:rFonts w:ascii="Times New Roman" w:hAnsi="Times New Roman" w:cs="Times New Roman"/>
          <w:color w:val="222222"/>
          <w:sz w:val="24"/>
          <w:szCs w:val="24"/>
          <w:shd w:val="clear" w:color="auto" w:fill="FFFFFF"/>
        </w:rPr>
        <w:t> </w:t>
      </w:r>
      <w:r>
        <w:rPr>
          <w:rFonts w:ascii="Times New Roman" w:hAnsi="Times New Roman" w:cs="Times New Roman"/>
          <w:b/>
          <w:bCs/>
          <w:color w:val="222222"/>
          <w:sz w:val="24"/>
          <w:szCs w:val="24"/>
          <w:shd w:val="clear" w:color="auto" w:fill="FFFFFF"/>
        </w:rPr>
        <w:t>105,</w:t>
      </w:r>
      <w:r>
        <w:rPr>
          <w:rFonts w:ascii="Times New Roman" w:hAnsi="Times New Roman" w:cs="Times New Roman"/>
          <w:color w:val="222222"/>
          <w:sz w:val="24"/>
          <w:szCs w:val="24"/>
          <w:shd w:val="clear" w:color="auto" w:fill="FFFFFF"/>
        </w:rPr>
        <w:t>47-82.</w:t>
      </w:r>
    </w:p>
    <w:p w14:paraId="2346AA07"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Soto Boni T, Pujol Pereira EI, Avelino Santos A, Rodrigues </w:t>
      </w:r>
      <w:proofErr w:type="spellStart"/>
      <w:r>
        <w:rPr>
          <w:rFonts w:ascii="Times New Roman" w:hAnsi="Times New Roman" w:cs="Times New Roman"/>
          <w:color w:val="222222"/>
          <w:sz w:val="24"/>
          <w:szCs w:val="24"/>
          <w:shd w:val="clear" w:color="auto" w:fill="FFFFFF"/>
        </w:rPr>
        <w:t>Cassiolato</w:t>
      </w:r>
      <w:proofErr w:type="spell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 xml:space="preserve">AM,  </w:t>
      </w:r>
      <w:proofErr w:type="spellStart"/>
      <w:r>
        <w:rPr>
          <w:rFonts w:ascii="Times New Roman" w:hAnsi="Times New Roman" w:cs="Times New Roman"/>
          <w:color w:val="222222"/>
          <w:sz w:val="24"/>
          <w:szCs w:val="24"/>
          <w:shd w:val="clear" w:color="auto" w:fill="FFFFFF"/>
        </w:rPr>
        <w:t>Maltoni</w:t>
      </w:r>
      <w:proofErr w:type="spellEnd"/>
      <w:proofErr w:type="gramEnd"/>
      <w:r>
        <w:rPr>
          <w:rFonts w:ascii="Times New Roman" w:hAnsi="Times New Roman" w:cs="Times New Roman"/>
          <w:color w:val="222222"/>
          <w:sz w:val="24"/>
          <w:szCs w:val="24"/>
          <w:shd w:val="clear" w:color="auto" w:fill="FFFFFF"/>
        </w:rPr>
        <w:t xml:space="preserve"> KL (2022) Biomass residues improve soil chemical and biological properties reestablishing native species in an exposed subsoil in Brazilian </w:t>
      </w:r>
      <w:proofErr w:type="spellStart"/>
      <w:r>
        <w:rPr>
          <w:rFonts w:ascii="Times New Roman" w:hAnsi="Times New Roman" w:cs="Times New Roman"/>
          <w:color w:val="222222"/>
          <w:sz w:val="24"/>
          <w:szCs w:val="24"/>
          <w:shd w:val="clear" w:color="auto" w:fill="FFFFFF"/>
        </w:rPr>
        <w:t>Cerrado</w:t>
      </w:r>
      <w:proofErr w:type="spellEnd"/>
      <w:r>
        <w:rPr>
          <w:rFonts w:ascii="Times New Roman" w:hAnsi="Times New Roman" w:cs="Times New Roman"/>
          <w:color w:val="222222"/>
          <w:sz w:val="24"/>
          <w:szCs w:val="24"/>
          <w:shd w:val="clear" w:color="auto" w:fill="FFFFFF"/>
        </w:rPr>
        <w:t>. </w:t>
      </w:r>
      <w:proofErr w:type="spellStart"/>
      <w:r>
        <w:rPr>
          <w:rFonts w:ascii="Times New Roman" w:hAnsi="Times New Roman" w:cs="Times New Roman"/>
          <w:i/>
          <w:iCs/>
          <w:color w:val="222222"/>
          <w:sz w:val="24"/>
          <w:szCs w:val="24"/>
          <w:shd w:val="clear" w:color="auto" w:fill="FFFFFF"/>
        </w:rPr>
        <w:t>PloS</w:t>
      </w:r>
      <w:proofErr w:type="spellEnd"/>
      <w:r>
        <w:rPr>
          <w:rFonts w:ascii="Times New Roman" w:hAnsi="Times New Roman" w:cs="Times New Roman"/>
          <w:i/>
          <w:iCs/>
          <w:color w:val="222222"/>
          <w:sz w:val="24"/>
          <w:szCs w:val="24"/>
          <w:shd w:val="clear" w:color="auto" w:fill="FFFFFF"/>
        </w:rPr>
        <w:t xml:space="preserve"> one</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17</w:t>
      </w:r>
      <w:r>
        <w:rPr>
          <w:rFonts w:ascii="Times New Roman" w:hAnsi="Times New Roman" w:cs="Times New Roman"/>
          <w:b/>
          <w:bCs/>
          <w:color w:val="222222"/>
          <w:sz w:val="24"/>
          <w:szCs w:val="24"/>
          <w:shd w:val="clear" w:color="auto" w:fill="FFFFFF"/>
        </w:rPr>
        <w:t>(6),</w:t>
      </w:r>
      <w:r>
        <w:rPr>
          <w:rFonts w:ascii="Times New Roman" w:hAnsi="Times New Roman" w:cs="Times New Roman"/>
          <w:color w:val="222222"/>
          <w:sz w:val="24"/>
          <w:szCs w:val="24"/>
          <w:shd w:val="clear" w:color="auto" w:fill="FFFFFF"/>
        </w:rPr>
        <w:t xml:space="preserve"> e0270215.</w:t>
      </w:r>
    </w:p>
    <w:p w14:paraId="68F5A515"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Sparks DL, Page AL, Helmke </w:t>
      </w:r>
      <w:proofErr w:type="gramStart"/>
      <w:r>
        <w:rPr>
          <w:rFonts w:ascii="Times New Roman" w:hAnsi="Times New Roman" w:cs="Times New Roman"/>
          <w:color w:val="222222"/>
          <w:sz w:val="24"/>
          <w:szCs w:val="24"/>
          <w:shd w:val="clear" w:color="auto" w:fill="FFFFFF"/>
        </w:rPr>
        <w:t xml:space="preserve">PA,  </w:t>
      </w:r>
      <w:proofErr w:type="spellStart"/>
      <w:r>
        <w:rPr>
          <w:rFonts w:ascii="Times New Roman" w:hAnsi="Times New Roman" w:cs="Times New Roman"/>
          <w:color w:val="222222"/>
          <w:sz w:val="24"/>
          <w:szCs w:val="24"/>
          <w:shd w:val="clear" w:color="auto" w:fill="FFFFFF"/>
        </w:rPr>
        <w:t>Loeppert</w:t>
      </w:r>
      <w:proofErr w:type="spellEnd"/>
      <w:proofErr w:type="gramEnd"/>
      <w:r>
        <w:rPr>
          <w:rFonts w:ascii="Times New Roman" w:hAnsi="Times New Roman" w:cs="Times New Roman"/>
          <w:color w:val="222222"/>
          <w:sz w:val="24"/>
          <w:szCs w:val="24"/>
          <w:shd w:val="clear" w:color="auto" w:fill="FFFFFF"/>
        </w:rPr>
        <w:t xml:space="preserve"> RH (2020). </w:t>
      </w:r>
      <w:r>
        <w:rPr>
          <w:rFonts w:ascii="Times New Roman" w:hAnsi="Times New Roman" w:cs="Times New Roman"/>
          <w:i/>
          <w:iCs/>
          <w:color w:val="222222"/>
          <w:sz w:val="24"/>
          <w:szCs w:val="24"/>
          <w:shd w:val="clear" w:color="auto" w:fill="FFFFFF"/>
        </w:rPr>
        <w:t>Methods of soil analysis, part 3: Chemical methods</w:t>
      </w:r>
      <w:r>
        <w:rPr>
          <w:rFonts w:ascii="Times New Roman" w:hAnsi="Times New Roman" w:cs="Times New Roman"/>
          <w:color w:val="222222"/>
          <w:sz w:val="24"/>
          <w:szCs w:val="24"/>
          <w:shd w:val="clear" w:color="auto" w:fill="FFFFFF"/>
        </w:rPr>
        <w:t> (Vol. 14). John Wiley &amp; Sons.</w:t>
      </w:r>
    </w:p>
    <w:p w14:paraId="32CB0EF7" w14:textId="77777777" w:rsidR="00D879A9" w:rsidRDefault="00000000">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Speratti</w:t>
      </w:r>
      <w:proofErr w:type="spellEnd"/>
      <w:r>
        <w:rPr>
          <w:rFonts w:ascii="Times New Roman" w:hAnsi="Times New Roman" w:cs="Times New Roman"/>
          <w:color w:val="222222"/>
          <w:sz w:val="24"/>
          <w:szCs w:val="24"/>
          <w:shd w:val="clear" w:color="auto" w:fill="FFFFFF"/>
        </w:rPr>
        <w:t xml:space="preserve"> AB, Johnson MS, Sousa HM, </w:t>
      </w:r>
      <w:proofErr w:type="spellStart"/>
      <w:r>
        <w:rPr>
          <w:rFonts w:ascii="Times New Roman" w:hAnsi="Times New Roman" w:cs="Times New Roman"/>
          <w:color w:val="222222"/>
          <w:sz w:val="24"/>
          <w:szCs w:val="24"/>
          <w:shd w:val="clear" w:color="auto" w:fill="FFFFFF"/>
        </w:rPr>
        <w:t>Dalmagro</w:t>
      </w:r>
      <w:proofErr w:type="spellEnd"/>
      <w:r>
        <w:rPr>
          <w:rFonts w:ascii="Times New Roman" w:hAnsi="Times New Roman" w:cs="Times New Roman"/>
          <w:color w:val="222222"/>
          <w:sz w:val="24"/>
          <w:szCs w:val="24"/>
          <w:shd w:val="clear" w:color="auto" w:fill="FFFFFF"/>
        </w:rPr>
        <w:t xml:space="preserve"> HJ, Couto EG (2018) Biochar feedstock and pyrolysis temperature effects on leachate: DOC characteristics and nitrate losses from a Brazilian </w:t>
      </w:r>
      <w:proofErr w:type="spellStart"/>
      <w:r>
        <w:rPr>
          <w:rFonts w:ascii="Times New Roman" w:hAnsi="Times New Roman" w:cs="Times New Roman"/>
          <w:color w:val="222222"/>
          <w:sz w:val="24"/>
          <w:szCs w:val="24"/>
          <w:shd w:val="clear" w:color="auto" w:fill="FFFFFF"/>
        </w:rPr>
        <w:t>Cerrado</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Arenosol</w:t>
      </w:r>
      <w:proofErr w:type="spellEnd"/>
      <w:r>
        <w:rPr>
          <w:rFonts w:ascii="Times New Roman" w:hAnsi="Times New Roman" w:cs="Times New Roman"/>
          <w:color w:val="222222"/>
          <w:sz w:val="24"/>
          <w:szCs w:val="24"/>
          <w:shd w:val="clear" w:color="auto" w:fill="FFFFFF"/>
        </w:rPr>
        <w:t xml:space="preserve"> mixed with agricultural waste </w:t>
      </w:r>
      <w:proofErr w:type="spellStart"/>
      <w:r>
        <w:rPr>
          <w:rFonts w:ascii="Times New Roman" w:hAnsi="Times New Roman" w:cs="Times New Roman"/>
          <w:color w:val="222222"/>
          <w:sz w:val="24"/>
          <w:szCs w:val="24"/>
          <w:shd w:val="clear" w:color="auto" w:fill="FFFFFF"/>
        </w:rPr>
        <w:t>biochars</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Journal of environmental management</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211</w:t>
      </w:r>
      <w:r>
        <w:rPr>
          <w:rFonts w:ascii="Times New Roman" w:hAnsi="Times New Roman" w:cs="Times New Roman"/>
          <w:b/>
          <w:bCs/>
          <w:color w:val="222222"/>
          <w:sz w:val="24"/>
          <w:szCs w:val="24"/>
          <w:shd w:val="clear" w:color="auto" w:fill="FFFFFF"/>
        </w:rPr>
        <w:t xml:space="preserve">, </w:t>
      </w:r>
      <w:r>
        <w:rPr>
          <w:rFonts w:ascii="Times New Roman" w:hAnsi="Times New Roman" w:cs="Times New Roman"/>
          <w:color w:val="222222"/>
          <w:sz w:val="24"/>
          <w:szCs w:val="24"/>
          <w:shd w:val="clear" w:color="auto" w:fill="FFFFFF"/>
        </w:rPr>
        <w:t>256-268.</w:t>
      </w:r>
    </w:p>
    <w:p w14:paraId="3309E8A2"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Spokas KA, Cantrell KB, Novak JM, Archer DW, Ippolito JA, Collins HP, Boateng AA, Lima IM, Lamb MC, McAloon AJ, Lentz RD (2012) Biochar: a synthesis of its agronomic impact beyond carbon sequestration. </w:t>
      </w:r>
      <w:r>
        <w:rPr>
          <w:rFonts w:ascii="Times New Roman" w:hAnsi="Times New Roman" w:cs="Times New Roman"/>
          <w:i/>
          <w:iCs/>
          <w:color w:val="222222"/>
          <w:sz w:val="24"/>
          <w:szCs w:val="24"/>
          <w:shd w:val="clear" w:color="auto" w:fill="FFFFFF"/>
        </w:rPr>
        <w:t>Journal of environmental quality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41</w:t>
      </w:r>
      <w:r>
        <w:rPr>
          <w:rFonts w:ascii="Times New Roman" w:hAnsi="Times New Roman" w:cs="Times New Roman"/>
          <w:b/>
          <w:bCs/>
          <w:color w:val="222222"/>
          <w:sz w:val="24"/>
          <w:szCs w:val="24"/>
          <w:shd w:val="clear" w:color="auto" w:fill="FFFFFF"/>
        </w:rPr>
        <w:t>(4</w:t>
      </w:r>
      <w:proofErr w:type="gramStart"/>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973</w:t>
      </w:r>
      <w:proofErr w:type="gramEnd"/>
      <w:r>
        <w:rPr>
          <w:rFonts w:ascii="Times New Roman" w:hAnsi="Times New Roman" w:cs="Times New Roman"/>
          <w:color w:val="222222"/>
          <w:sz w:val="24"/>
          <w:szCs w:val="24"/>
          <w:shd w:val="clear" w:color="auto" w:fill="FFFFFF"/>
        </w:rPr>
        <w:t>-989.</w:t>
      </w:r>
    </w:p>
    <w:p w14:paraId="1E2E4C98"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Steel RGD, Torrie JH (1980) </w:t>
      </w:r>
      <w:r>
        <w:rPr>
          <w:rFonts w:ascii="Times New Roman" w:hAnsi="Times New Roman" w:cs="Times New Roman"/>
          <w:i/>
          <w:iCs/>
          <w:color w:val="222222"/>
          <w:sz w:val="24"/>
          <w:szCs w:val="24"/>
          <w:shd w:val="clear" w:color="auto" w:fill="FFFFFF"/>
        </w:rPr>
        <w:t>Principles and procedures of statistics, a biometrical approach</w:t>
      </w:r>
      <w:r>
        <w:rPr>
          <w:rFonts w:ascii="Times New Roman" w:hAnsi="Times New Roman" w:cs="Times New Roman"/>
          <w:color w:val="222222"/>
          <w:sz w:val="24"/>
          <w:szCs w:val="24"/>
          <w:shd w:val="clear" w:color="auto" w:fill="FFFFFF"/>
        </w:rPr>
        <w:t xml:space="preserve"> (No. Ed. 2). McGraw-Hill </w:t>
      </w:r>
      <w:proofErr w:type="spellStart"/>
      <w:r>
        <w:rPr>
          <w:rFonts w:ascii="Times New Roman" w:hAnsi="Times New Roman" w:cs="Times New Roman"/>
          <w:color w:val="222222"/>
          <w:sz w:val="24"/>
          <w:szCs w:val="24"/>
          <w:shd w:val="clear" w:color="auto" w:fill="FFFFFF"/>
        </w:rPr>
        <w:t>Kogakusha</w:t>
      </w:r>
      <w:proofErr w:type="spell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Ltd..</w:t>
      </w:r>
      <w:proofErr w:type="gramEnd"/>
    </w:p>
    <w:p w14:paraId="713D3078"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Steiner C, Teixeira WG, Lehmann J, Nehls T, de Macêdo J LV, Blum W </w:t>
      </w:r>
      <w:proofErr w:type="gramStart"/>
      <w:r>
        <w:rPr>
          <w:rFonts w:ascii="Times New Roman" w:hAnsi="Times New Roman" w:cs="Times New Roman"/>
          <w:color w:val="222222"/>
          <w:sz w:val="24"/>
          <w:szCs w:val="24"/>
          <w:shd w:val="clear" w:color="auto" w:fill="FFFFFF"/>
        </w:rPr>
        <w:t>E,  Zech</w:t>
      </w:r>
      <w:proofErr w:type="gramEnd"/>
      <w:r>
        <w:rPr>
          <w:rFonts w:ascii="Times New Roman" w:hAnsi="Times New Roman" w:cs="Times New Roman"/>
          <w:color w:val="222222"/>
          <w:sz w:val="24"/>
          <w:szCs w:val="24"/>
          <w:shd w:val="clear" w:color="auto" w:fill="FFFFFF"/>
        </w:rPr>
        <w:t xml:space="preserve"> W (2007) Long term effects of manure, charcoal and mineral fertilization on crop production and fertility on a highly weathered Central Amazonian upland soil. </w:t>
      </w:r>
      <w:r>
        <w:rPr>
          <w:rFonts w:ascii="Times New Roman" w:hAnsi="Times New Roman" w:cs="Times New Roman"/>
          <w:i/>
          <w:iCs/>
          <w:color w:val="222222"/>
          <w:sz w:val="24"/>
          <w:szCs w:val="24"/>
          <w:shd w:val="clear" w:color="auto" w:fill="FFFFFF"/>
        </w:rPr>
        <w:t xml:space="preserve">Plant and </w:t>
      </w:r>
      <w:proofErr w:type="gramStart"/>
      <w:r>
        <w:rPr>
          <w:rFonts w:ascii="Times New Roman" w:hAnsi="Times New Roman" w:cs="Times New Roman"/>
          <w:i/>
          <w:iCs/>
          <w:color w:val="222222"/>
          <w:sz w:val="24"/>
          <w:szCs w:val="24"/>
          <w:shd w:val="clear" w:color="auto" w:fill="FFFFFF"/>
        </w:rPr>
        <w:t>soil</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291</w:t>
      </w:r>
      <w:proofErr w:type="gramEnd"/>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275-290.</w:t>
      </w:r>
    </w:p>
    <w:p w14:paraId="53794FD9"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Stitt M (1999) Nitrate regulation of metabolism and growth. </w:t>
      </w:r>
      <w:r>
        <w:rPr>
          <w:rFonts w:ascii="Times New Roman" w:hAnsi="Times New Roman" w:cs="Times New Roman"/>
          <w:i/>
          <w:iCs/>
          <w:color w:val="222222"/>
          <w:sz w:val="24"/>
          <w:szCs w:val="24"/>
          <w:shd w:val="clear" w:color="auto" w:fill="FFFFFF"/>
        </w:rPr>
        <w:t>Current opinion in plant biology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2</w:t>
      </w:r>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178-186.</w:t>
      </w:r>
    </w:p>
    <w:p w14:paraId="6FF9132B"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Vijay V, Shreedhar S, </w:t>
      </w:r>
      <w:proofErr w:type="spellStart"/>
      <w:r>
        <w:rPr>
          <w:rFonts w:ascii="Times New Roman" w:hAnsi="Times New Roman" w:cs="Times New Roman"/>
          <w:color w:val="222222"/>
          <w:sz w:val="24"/>
          <w:szCs w:val="24"/>
          <w:shd w:val="clear" w:color="auto" w:fill="FFFFFF"/>
        </w:rPr>
        <w:t>Adlak</w:t>
      </w:r>
      <w:proofErr w:type="spellEnd"/>
      <w:r>
        <w:rPr>
          <w:rFonts w:ascii="Times New Roman" w:hAnsi="Times New Roman" w:cs="Times New Roman"/>
          <w:color w:val="222222"/>
          <w:sz w:val="24"/>
          <w:szCs w:val="24"/>
          <w:shd w:val="clear" w:color="auto" w:fill="FFFFFF"/>
        </w:rPr>
        <w:t xml:space="preserve"> K, </w:t>
      </w:r>
      <w:proofErr w:type="spellStart"/>
      <w:r>
        <w:rPr>
          <w:rFonts w:ascii="Times New Roman" w:hAnsi="Times New Roman" w:cs="Times New Roman"/>
          <w:color w:val="222222"/>
          <w:sz w:val="24"/>
          <w:szCs w:val="24"/>
          <w:shd w:val="clear" w:color="auto" w:fill="FFFFFF"/>
        </w:rPr>
        <w:t>Payyanad</w:t>
      </w:r>
      <w:proofErr w:type="spellEnd"/>
      <w:r>
        <w:rPr>
          <w:rFonts w:ascii="Times New Roman" w:hAnsi="Times New Roman" w:cs="Times New Roman"/>
          <w:color w:val="222222"/>
          <w:sz w:val="24"/>
          <w:szCs w:val="24"/>
          <w:shd w:val="clear" w:color="auto" w:fill="FFFFFF"/>
        </w:rPr>
        <w:t xml:space="preserve"> S, Sreedharan V, Gopi G, Sophia van der Voort T, Malarvizhi P, Yi S, Gebert J, Aravind PV, (2021) Review of large-scale biochar field-trials for soil amendment and the observed influences on crop yield variations. </w:t>
      </w:r>
      <w:r>
        <w:rPr>
          <w:rFonts w:ascii="Times New Roman" w:hAnsi="Times New Roman" w:cs="Times New Roman"/>
          <w:i/>
          <w:iCs/>
          <w:color w:val="222222"/>
          <w:sz w:val="24"/>
          <w:szCs w:val="24"/>
          <w:shd w:val="clear" w:color="auto" w:fill="FFFFFF"/>
        </w:rPr>
        <w:t>Frontiers in Energy Research</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9</w:t>
      </w:r>
      <w:r>
        <w:rPr>
          <w:rFonts w:ascii="Times New Roman" w:hAnsi="Times New Roman" w:cs="Times New Roman"/>
          <w:b/>
          <w:bCs/>
          <w:color w:val="222222"/>
          <w:sz w:val="24"/>
          <w:szCs w:val="24"/>
          <w:shd w:val="clear" w:color="auto" w:fill="FFFFFF"/>
        </w:rPr>
        <w:t>.</w:t>
      </w:r>
      <w:r>
        <w:rPr>
          <w:rFonts w:ascii="Arial" w:hAnsi="Arial"/>
          <w:color w:val="222222"/>
          <w:sz w:val="20"/>
          <w:szCs w:val="20"/>
          <w:shd w:val="clear" w:color="auto" w:fill="FFFFFF"/>
        </w:rPr>
        <w:t xml:space="preserve"> 710766</w:t>
      </w:r>
    </w:p>
    <w:p w14:paraId="41614292"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Wang Y, Peng S, Hua Q, Qiu C, Wu P, Liu </w:t>
      </w:r>
      <w:proofErr w:type="gramStart"/>
      <w:r>
        <w:rPr>
          <w:rFonts w:ascii="Times New Roman" w:hAnsi="Times New Roman" w:cs="Times New Roman"/>
          <w:color w:val="222222"/>
          <w:sz w:val="24"/>
          <w:szCs w:val="24"/>
          <w:shd w:val="clear" w:color="auto" w:fill="FFFFFF"/>
        </w:rPr>
        <w:t>X,  Lin</w:t>
      </w:r>
      <w:proofErr w:type="gramEnd"/>
      <w:r>
        <w:rPr>
          <w:rFonts w:ascii="Times New Roman" w:hAnsi="Times New Roman" w:cs="Times New Roman"/>
          <w:color w:val="222222"/>
          <w:sz w:val="24"/>
          <w:szCs w:val="24"/>
          <w:shd w:val="clear" w:color="auto" w:fill="FFFFFF"/>
        </w:rPr>
        <w:t xml:space="preserve"> X (2021) The long-term effects of using phosphate-solubilizing bacteria and photosynthetic bacteria as biofertilizers on peanut yield and soil bacteria community. </w:t>
      </w:r>
      <w:r>
        <w:rPr>
          <w:rFonts w:ascii="Times New Roman" w:hAnsi="Times New Roman" w:cs="Times New Roman"/>
          <w:i/>
          <w:iCs/>
          <w:color w:val="222222"/>
          <w:sz w:val="24"/>
          <w:szCs w:val="24"/>
          <w:shd w:val="clear" w:color="auto" w:fill="FFFFFF"/>
        </w:rPr>
        <w:t>Frontiers in Microbiology</w:t>
      </w:r>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b/>
          <w:bCs/>
          <w:i/>
          <w:iCs/>
          <w:color w:val="222222"/>
          <w:sz w:val="24"/>
          <w:szCs w:val="24"/>
          <w:shd w:val="clear" w:color="auto" w:fill="FFFFFF"/>
        </w:rPr>
        <w:t>12</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693535</w:t>
      </w:r>
      <w:proofErr w:type="gramEnd"/>
      <w:r>
        <w:rPr>
          <w:rFonts w:ascii="Times New Roman" w:hAnsi="Times New Roman" w:cs="Times New Roman"/>
          <w:color w:val="222222"/>
          <w:sz w:val="24"/>
          <w:szCs w:val="24"/>
          <w:shd w:val="clear" w:color="auto" w:fill="FFFFFF"/>
        </w:rPr>
        <w:t>.</w:t>
      </w:r>
    </w:p>
    <w:p w14:paraId="4B43AEE2" w14:textId="77777777" w:rsidR="00D879A9" w:rsidRDefault="00000000">
      <w:pPr>
        <w:jc w:val="both"/>
        <w:rPr>
          <w:rFonts w:ascii="Times New Roman" w:hAnsi="Times New Roman" w:cs="Times New Roman"/>
        </w:rPr>
      </w:pPr>
      <w:r>
        <w:rPr>
          <w:rFonts w:ascii="Times New Roman" w:hAnsi="Times New Roman" w:cs="Times New Roman"/>
        </w:rPr>
        <w:t xml:space="preserve">Wang Y, Yin R, Liu R (2014) Characterization of biochar from fast pyrolysis and its effect on chemical properties of the tea garden soil. </w:t>
      </w:r>
      <w:r>
        <w:rPr>
          <w:rFonts w:ascii="Times New Roman" w:hAnsi="Times New Roman" w:cs="Times New Roman"/>
          <w:i/>
          <w:iCs/>
        </w:rPr>
        <w:t>Journal of Analytical and Applied Pyrolysis</w:t>
      </w:r>
      <w:r>
        <w:rPr>
          <w:rFonts w:ascii="Times New Roman" w:hAnsi="Times New Roman" w:cs="Times New Roman"/>
        </w:rPr>
        <w:t xml:space="preserve"> </w:t>
      </w:r>
      <w:r>
        <w:rPr>
          <w:rFonts w:ascii="Times New Roman" w:hAnsi="Times New Roman" w:cs="Times New Roman"/>
          <w:b/>
          <w:bCs/>
        </w:rPr>
        <w:t xml:space="preserve">110, </w:t>
      </w:r>
      <w:r>
        <w:rPr>
          <w:rFonts w:ascii="Times New Roman" w:hAnsi="Times New Roman" w:cs="Times New Roman"/>
        </w:rPr>
        <w:t>375-381.</w:t>
      </w:r>
    </w:p>
    <w:p w14:paraId="7E98F7C1" w14:textId="77777777" w:rsidR="00D879A9" w:rsidRDefault="00000000">
      <w:pPr>
        <w:jc w:val="both"/>
        <w:rPr>
          <w:rFonts w:ascii="Times New Roman" w:hAnsi="Times New Roman" w:cs="Times New Roman"/>
          <w:color w:val="222222"/>
          <w:sz w:val="24"/>
          <w:szCs w:val="24"/>
          <w:shd w:val="clear" w:color="auto" w:fill="FFFFFF"/>
        </w:rPr>
      </w:pPr>
      <w:r w:rsidRPr="00F150EC">
        <w:rPr>
          <w:rFonts w:ascii="Times New Roman" w:hAnsi="Times New Roman" w:cs="Times New Roman"/>
          <w:color w:val="222222"/>
          <w:sz w:val="24"/>
          <w:szCs w:val="24"/>
          <w:shd w:val="clear" w:color="auto" w:fill="FFFFFF"/>
          <w:lang w:val="de-DE"/>
        </w:rPr>
        <w:t>Wickham H, Chang W,  Wickham M H (2016)  Package ‘ggplot2’. </w:t>
      </w:r>
      <w:r>
        <w:rPr>
          <w:rFonts w:ascii="Times New Roman" w:hAnsi="Times New Roman" w:cs="Times New Roman"/>
          <w:i/>
          <w:iCs/>
          <w:color w:val="222222"/>
          <w:sz w:val="24"/>
          <w:szCs w:val="24"/>
          <w:shd w:val="clear" w:color="auto" w:fill="FFFFFF"/>
        </w:rPr>
        <w:t xml:space="preserve">Create elegant data visualisations using the grammar of graphics. </w:t>
      </w:r>
      <w:proofErr w:type="gramStart"/>
      <w:r>
        <w:rPr>
          <w:rFonts w:ascii="Times New Roman" w:hAnsi="Times New Roman" w:cs="Times New Roman"/>
          <w:i/>
          <w:iCs/>
          <w:color w:val="222222"/>
          <w:sz w:val="24"/>
          <w:szCs w:val="24"/>
          <w:shd w:val="clear" w:color="auto" w:fill="FFFFFF"/>
        </w:rPr>
        <w:t>Version</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2</w:t>
      </w:r>
      <w:proofErr w:type="gramEnd"/>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1-189.</w:t>
      </w:r>
    </w:p>
    <w:p w14:paraId="4D659748"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Wolf R, Wedig H (2007) Process for manufacturing a soil conditioner. </w:t>
      </w:r>
      <w:r>
        <w:rPr>
          <w:rFonts w:ascii="Times New Roman" w:hAnsi="Times New Roman" w:cs="Times New Roman"/>
          <w:i/>
          <w:iCs/>
          <w:color w:val="222222"/>
          <w:sz w:val="24"/>
          <w:szCs w:val="24"/>
          <w:shd w:val="clear" w:color="auto" w:fill="FFFFFF"/>
        </w:rPr>
        <w:t>US Patent No WO</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2010055139</w:t>
      </w:r>
      <w:r>
        <w:rPr>
          <w:rFonts w:ascii="Times New Roman" w:hAnsi="Times New Roman" w:cs="Times New Roman"/>
          <w:color w:val="222222"/>
          <w:sz w:val="24"/>
          <w:szCs w:val="24"/>
          <w:shd w:val="clear" w:color="auto" w:fill="FFFFFF"/>
        </w:rPr>
        <w:t>, p.A1.</w:t>
      </w:r>
    </w:p>
    <w:p w14:paraId="4D697BD9"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Xu G, Sun J, Shao H, Chang </w:t>
      </w:r>
      <w:proofErr w:type="gramStart"/>
      <w:r>
        <w:rPr>
          <w:rFonts w:ascii="Times New Roman" w:hAnsi="Times New Roman" w:cs="Times New Roman"/>
          <w:color w:val="222222"/>
          <w:sz w:val="24"/>
          <w:szCs w:val="24"/>
          <w:shd w:val="clear" w:color="auto" w:fill="FFFFFF"/>
        </w:rPr>
        <w:t>SX  (</w:t>
      </w:r>
      <w:proofErr w:type="gramEnd"/>
      <w:r>
        <w:rPr>
          <w:rFonts w:ascii="Times New Roman" w:hAnsi="Times New Roman" w:cs="Times New Roman"/>
          <w:color w:val="222222"/>
          <w:sz w:val="24"/>
          <w:szCs w:val="24"/>
          <w:shd w:val="clear" w:color="auto" w:fill="FFFFFF"/>
        </w:rPr>
        <w:t>2014) Biochar had effects on phosphorus sorption and desorption in three soils with differing acidity. </w:t>
      </w:r>
      <w:r>
        <w:rPr>
          <w:rFonts w:ascii="Times New Roman" w:hAnsi="Times New Roman" w:cs="Times New Roman"/>
          <w:i/>
          <w:iCs/>
          <w:color w:val="222222"/>
          <w:sz w:val="24"/>
          <w:szCs w:val="24"/>
          <w:shd w:val="clear" w:color="auto" w:fill="FFFFFF"/>
        </w:rPr>
        <w:t xml:space="preserve">Ecological </w:t>
      </w:r>
      <w:proofErr w:type="gramStart"/>
      <w:r>
        <w:rPr>
          <w:rFonts w:ascii="Times New Roman" w:hAnsi="Times New Roman" w:cs="Times New Roman"/>
          <w:i/>
          <w:iCs/>
          <w:color w:val="222222"/>
          <w:sz w:val="24"/>
          <w:szCs w:val="24"/>
          <w:shd w:val="clear" w:color="auto" w:fill="FFFFFF"/>
        </w:rPr>
        <w:t>engineering</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62</w:t>
      </w:r>
      <w:proofErr w:type="gramEnd"/>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54-60.</w:t>
      </w:r>
    </w:p>
    <w:p w14:paraId="62C113BD" w14:textId="77777777" w:rsidR="00D879A9" w:rsidRDefault="00000000">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Yan S, Zhang S, Yan </w:t>
      </w:r>
      <w:proofErr w:type="gramStart"/>
      <w:r>
        <w:rPr>
          <w:rFonts w:ascii="Times New Roman" w:hAnsi="Times New Roman" w:cs="Times New Roman"/>
          <w:color w:val="222222"/>
          <w:sz w:val="24"/>
          <w:szCs w:val="24"/>
          <w:shd w:val="clear" w:color="auto" w:fill="FFFFFF"/>
        </w:rPr>
        <w:t xml:space="preserve">P,  </w:t>
      </w:r>
      <w:proofErr w:type="spellStart"/>
      <w:r>
        <w:rPr>
          <w:rFonts w:ascii="Times New Roman" w:hAnsi="Times New Roman" w:cs="Times New Roman"/>
          <w:color w:val="222222"/>
          <w:sz w:val="24"/>
          <w:szCs w:val="24"/>
          <w:shd w:val="clear" w:color="auto" w:fill="FFFFFF"/>
        </w:rPr>
        <w:t>Aurangzeib</w:t>
      </w:r>
      <w:proofErr w:type="spellEnd"/>
      <w:proofErr w:type="gramEnd"/>
      <w:r>
        <w:rPr>
          <w:rFonts w:ascii="Times New Roman" w:hAnsi="Times New Roman" w:cs="Times New Roman"/>
          <w:color w:val="222222"/>
          <w:sz w:val="24"/>
          <w:szCs w:val="24"/>
          <w:shd w:val="clear" w:color="auto" w:fill="FFFFFF"/>
        </w:rPr>
        <w:t xml:space="preserve"> M (2022) Effect of biochar application method and amount on the soil quality and maize yield in </w:t>
      </w:r>
      <w:proofErr w:type="spellStart"/>
      <w:r>
        <w:rPr>
          <w:rFonts w:ascii="Times New Roman" w:hAnsi="Times New Roman" w:cs="Times New Roman"/>
          <w:color w:val="222222"/>
          <w:sz w:val="24"/>
          <w:szCs w:val="24"/>
          <w:shd w:val="clear" w:color="auto" w:fill="FFFFFF"/>
        </w:rPr>
        <w:t>Mollisols</w:t>
      </w:r>
      <w:proofErr w:type="spellEnd"/>
      <w:r>
        <w:rPr>
          <w:rFonts w:ascii="Times New Roman" w:hAnsi="Times New Roman" w:cs="Times New Roman"/>
          <w:color w:val="222222"/>
          <w:sz w:val="24"/>
          <w:szCs w:val="24"/>
          <w:shd w:val="clear" w:color="auto" w:fill="FFFFFF"/>
        </w:rPr>
        <w:t xml:space="preserve"> of Northeast China. </w:t>
      </w:r>
      <w:r>
        <w:rPr>
          <w:rFonts w:ascii="Times New Roman" w:hAnsi="Times New Roman" w:cs="Times New Roman"/>
          <w:i/>
          <w:iCs/>
          <w:color w:val="222222"/>
          <w:sz w:val="24"/>
          <w:szCs w:val="24"/>
          <w:shd w:val="clear" w:color="auto" w:fill="FFFFFF"/>
        </w:rPr>
        <w:t>Biochar</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4</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1-15.</w:t>
      </w:r>
    </w:p>
    <w:p w14:paraId="241F26AF"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Zhang A, Cui L, Pan G, Li L, Hussain Q, Zhang X, Zheng J, Crowley D (2010) Effect of biochar amendment on yield and methane and nitrous oxide emissions from a rice paddy from Tai Lake plain, China. </w:t>
      </w:r>
      <w:r>
        <w:rPr>
          <w:rFonts w:ascii="Times New Roman" w:hAnsi="Times New Roman" w:cs="Times New Roman"/>
          <w:i/>
          <w:iCs/>
          <w:color w:val="222222"/>
          <w:sz w:val="24"/>
          <w:szCs w:val="24"/>
          <w:shd w:val="clear" w:color="auto" w:fill="FFFFFF"/>
        </w:rPr>
        <w:t>Agriculture, ecosystems &amp; environment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139</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469-475.</w:t>
      </w:r>
    </w:p>
    <w:p w14:paraId="5A1BC610" w14:textId="77777777" w:rsidR="00D879A9" w:rsidRDefault="00000000">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Zhao X, Wang JW, Xu HJ, Zhou CJ, Wang SQ, Xing GX (2014) Effects of crop‐straw biochar on crop growth and soil fertility over a wheat‐millet rotation in soils of C </w:t>
      </w:r>
      <w:proofErr w:type="spellStart"/>
      <w:r>
        <w:rPr>
          <w:rFonts w:ascii="Times New Roman" w:hAnsi="Times New Roman" w:cs="Times New Roman"/>
          <w:color w:val="222222"/>
          <w:sz w:val="24"/>
          <w:szCs w:val="24"/>
          <w:shd w:val="clear" w:color="auto" w:fill="FFFFFF"/>
        </w:rPr>
        <w:t>hina</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Soil Use and Management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30</w:t>
      </w:r>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311-319.</w:t>
      </w:r>
    </w:p>
    <w:p w14:paraId="768A4061" w14:textId="77777777" w:rsidR="00D879A9" w:rsidRDefault="00D879A9">
      <w:pPr>
        <w:rPr>
          <w:rFonts w:ascii="Times New Roman" w:hAnsi="Times New Roman" w:cs="Times New Roman"/>
        </w:rPr>
      </w:pPr>
    </w:p>
    <w:sectPr w:rsidR="00D879A9">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9CB0B" w14:textId="77777777" w:rsidR="006820BA" w:rsidRDefault="006820BA" w:rsidP="00F150EC">
      <w:pPr>
        <w:spacing w:after="0" w:line="240" w:lineRule="auto"/>
      </w:pPr>
      <w:r>
        <w:separator/>
      </w:r>
    </w:p>
  </w:endnote>
  <w:endnote w:type="continuationSeparator" w:id="0">
    <w:p w14:paraId="462A8EC6" w14:textId="77777777" w:rsidR="006820BA" w:rsidRDefault="006820BA" w:rsidP="00F1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xi Sans">
    <w:altName w:val="Calibri"/>
    <w:charset w:val="00"/>
    <w:family w:val="auto"/>
    <w:pitch w:val="variable"/>
  </w:font>
  <w:font w:name="Evermore Ming">
    <w:altName w:val="Droid Sans"/>
    <w:charset w:val="00"/>
    <w:family w:val="auto"/>
    <w:pitch w:val="variable"/>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65F3B" w14:textId="77777777" w:rsidR="00F150EC" w:rsidRDefault="00F15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6E549" w14:textId="77777777" w:rsidR="00F150EC" w:rsidRDefault="00F15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EFA84" w14:textId="77777777" w:rsidR="00F150EC" w:rsidRDefault="00F1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22BB0" w14:textId="77777777" w:rsidR="006820BA" w:rsidRDefault="006820BA" w:rsidP="00F150EC">
      <w:pPr>
        <w:spacing w:after="0" w:line="240" w:lineRule="auto"/>
      </w:pPr>
      <w:r>
        <w:separator/>
      </w:r>
    </w:p>
  </w:footnote>
  <w:footnote w:type="continuationSeparator" w:id="0">
    <w:p w14:paraId="27D6F498" w14:textId="77777777" w:rsidR="006820BA" w:rsidRDefault="006820BA" w:rsidP="00F1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16157" w14:textId="0FA53BE1" w:rsidR="00F150EC" w:rsidRDefault="00F150EC">
    <w:pPr>
      <w:pStyle w:val="Header"/>
    </w:pPr>
    <w:r>
      <w:rPr>
        <w:noProof/>
      </w:rPr>
      <w:pict w14:anchorId="498BB4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448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A9066" w14:textId="21D62B55" w:rsidR="00F150EC" w:rsidRDefault="00F150EC">
    <w:pPr>
      <w:pStyle w:val="Header"/>
    </w:pPr>
    <w:r>
      <w:rPr>
        <w:noProof/>
      </w:rPr>
      <w:pict w14:anchorId="7250D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448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2209" w14:textId="74721173" w:rsidR="00F150EC" w:rsidRDefault="00F150EC">
    <w:pPr>
      <w:pStyle w:val="Header"/>
    </w:pPr>
    <w:r>
      <w:rPr>
        <w:noProof/>
      </w:rPr>
      <w:pict w14:anchorId="4C33A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448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bordersDoNotSurroundHeader/>
  <w:bordersDoNotSurroundFooter/>
  <w:proofState w:spelling="clean" w:grammar="clean"/>
  <w:defaultTabStop w:val="720"/>
  <w:drawingGridHorizontalSpacing w:val="110"/>
  <w:drawingGridVerticalSpacing w:val="156"/>
  <w:displayHorizont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9A9"/>
    <w:rsid w:val="00083B45"/>
    <w:rsid w:val="005A7E4B"/>
    <w:rsid w:val="006820BA"/>
    <w:rsid w:val="00A31616"/>
    <w:rsid w:val="00D017FE"/>
    <w:rsid w:val="00D879A9"/>
    <w:rsid w:val="00ED798A"/>
    <w:rsid w:val="00F15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3E71"/>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Arial"/>
      <w:sz w:val="22"/>
      <w:szCs w:val="22"/>
      <w:lang w:val="en-IN" w:eastAsia="en-US" w:bidi="ml-IN"/>
    </w:rPr>
  </w:style>
  <w:style w:type="paragraph" w:styleId="Heading1">
    <w:name w:val="heading 1"/>
    <w:basedOn w:val="Normal"/>
    <w:next w:val="Normal"/>
    <w:uiPriority w:val="9"/>
    <w:qFormat/>
    <w:pPr>
      <w:keepNext/>
      <w:keepLines/>
      <w:spacing w:before="340" w:after="330" w:line="578" w:lineRule="auto"/>
      <w:outlineLvl w:val="0"/>
    </w:pPr>
    <w:rPr>
      <w:b/>
      <w:bCs/>
      <w:kern w:val="44"/>
      <w:sz w:val="44"/>
    </w:rPr>
  </w:style>
  <w:style w:type="paragraph" w:styleId="Heading2">
    <w:name w:val="heading 2"/>
    <w:basedOn w:val="Normal"/>
    <w:next w:val="Normal"/>
    <w:uiPriority w:val="9"/>
    <w:semiHidden/>
    <w:unhideWhenUsed/>
    <w:qFormat/>
    <w:pPr>
      <w:keepNext/>
      <w:keepLines/>
      <w:spacing w:before="260" w:after="260" w:line="415" w:lineRule="auto"/>
      <w:outlineLvl w:val="1"/>
    </w:pPr>
    <w:rPr>
      <w:rFonts w:ascii="Luxi Sans" w:eastAsia="Evermore Ming" w:hAnsi="Luxi Sans"/>
      <w:b/>
      <w:sz w:val="32"/>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Hyperlink">
    <w:name w:val="Hyperlink"/>
    <w:basedOn w:val="DefaultParagraphFont"/>
    <w:rPr>
      <w:color w:val="0563C1"/>
      <w:u w:val="single"/>
    </w:rPr>
  </w:style>
  <w:style w:type="character" w:styleId="Strong">
    <w:name w:val="Strong"/>
    <w:basedOn w:val="DefaultParagraphFont"/>
    <w:rPr>
      <w:b/>
      <w:bCs/>
    </w:rPr>
  </w:style>
  <w:style w:type="paragraph" w:customStyle="1" w:styleId="Text">
    <w:name w:val="Text"/>
    <w:basedOn w:val="Normal"/>
    <w:pPr>
      <w:widowControl w:val="0"/>
      <w:autoSpaceDE w:val="0"/>
      <w:autoSpaceDN w:val="0"/>
      <w:spacing w:after="0" w:line="252" w:lineRule="auto"/>
      <w:ind w:firstLine="202"/>
      <w:jc w:val="both"/>
    </w:pPr>
    <w:rPr>
      <w:rFonts w:ascii="Times New Roman" w:eastAsia="SimSun" w:hAnsi="Times New Roman" w:cs="Times New Roman"/>
      <w:sz w:val="20"/>
      <w:szCs w:val="20"/>
      <w:lang w:val="en-US" w:bidi="ar-SA"/>
    </w:rPr>
  </w:style>
  <w:style w:type="paragraph" w:customStyle="1" w:styleId="c-article-referencestext">
    <w:name w:val="c-article-references__text"/>
    <w:basedOn w:val="Normal"/>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nlmpub-id">
    <w:name w:val="nlm_pub-id"/>
    <w:basedOn w:val="DefaultParagraphFont"/>
  </w:style>
  <w:style w:type="character" w:customStyle="1" w:styleId="hlfld-contribauthor">
    <w:name w:val="hlfld-contribauthor"/>
    <w:basedOn w:val="DefaultParagraphFont"/>
  </w:style>
  <w:style w:type="character" w:customStyle="1" w:styleId="nlmgiven-names">
    <w:name w:val="nlm_given-names"/>
    <w:basedOn w:val="DefaultParagraphFont"/>
  </w:style>
  <w:style w:type="paragraph" w:customStyle="1" w:styleId="ListParagraph1">
    <w:name w:val="List Paragraph1"/>
    <w:basedOn w:val="Normal"/>
    <w:pPr>
      <w:ind w:left="720"/>
      <w:contextualSpacing/>
    </w:pPr>
    <w:rPr>
      <w:rFonts w:eastAsia="DengXian"/>
      <w:lang w:eastAsia="en-IN" w:bidi="ar-SA"/>
    </w:rPr>
  </w:style>
  <w:style w:type="paragraph" w:customStyle="1" w:styleId="TableParagraph">
    <w:name w:val="Table Paragraph"/>
    <w:basedOn w:val="Normal"/>
    <w:pPr>
      <w:widowControl w:val="0"/>
      <w:autoSpaceDE w:val="0"/>
      <w:autoSpaceDN w:val="0"/>
      <w:spacing w:before="59" w:after="0" w:line="240" w:lineRule="auto"/>
      <w:ind w:left="107"/>
      <w:jc w:val="center"/>
    </w:pPr>
    <w:rPr>
      <w:rFonts w:ascii="Times New Roman" w:eastAsia="Times New Roman" w:hAnsi="Times New Roman" w:cs="Times New Roman"/>
      <w:lang w:val="en-US" w:bidi="ar-SA"/>
    </w:rPr>
  </w:style>
  <w:style w:type="paragraph" w:styleId="Header">
    <w:name w:val="header"/>
    <w:basedOn w:val="Normal"/>
    <w:link w:val="HeaderChar"/>
    <w:uiPriority w:val="99"/>
    <w:unhideWhenUsed/>
    <w:rsid w:val="00F15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0EC"/>
    <w:rPr>
      <w:rFonts w:ascii="Calibri" w:eastAsia="Calibri" w:hAnsi="Calibri" w:cs="Arial"/>
      <w:sz w:val="22"/>
      <w:szCs w:val="22"/>
      <w:lang w:val="en-IN" w:eastAsia="en-US" w:bidi="ml-IN"/>
    </w:rPr>
  </w:style>
  <w:style w:type="paragraph" w:styleId="Footer">
    <w:name w:val="footer"/>
    <w:basedOn w:val="Normal"/>
    <w:link w:val="FooterChar"/>
    <w:uiPriority w:val="99"/>
    <w:unhideWhenUsed/>
    <w:rsid w:val="00F15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0EC"/>
    <w:rPr>
      <w:rFonts w:ascii="Calibri" w:eastAsia="Calibri" w:hAnsi="Calibri" w:cs="Arial"/>
      <w:sz w:val="22"/>
      <w:szCs w:val="22"/>
      <w:lang w:val="en-IN" w:eastAsia="en-US"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doi.org/10.1016/j.geoderma.2010.05.013" TargetMode="External"/><Relationship Id="rId7" Type="http://schemas.openxmlformats.org/officeDocument/2006/relationships/chart" Target="charts/chart1.xml"/><Relationship Id="rId12" Type="http://schemas.openxmlformats.org/officeDocument/2006/relationships/image" Target="media/image2.jpeg"/><Relationship Id="rId17" Type="http://schemas.openxmlformats.org/officeDocument/2006/relationships/chart" Target="charts/chart6.xm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chart" Target="charts/chart5.xml"/><Relationship Id="rId20" Type="http://schemas.openxmlformats.org/officeDocument/2006/relationships/hyperlink" Target="https://doi.org/10.1126/science.1182570"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sciencedirect.com/science/article/pii/S0926669019300524" TargetMode="Externa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s://doi.org/10.1080/00103624.2011.638604" TargetMode="External"/><Relationship Id="rId28" Type="http://schemas.openxmlformats.org/officeDocument/2006/relationships/header" Target="header3.xml"/><Relationship Id="rId10" Type="http://schemas.openxmlformats.org/officeDocument/2006/relationships/chart" Target="charts/chart4.xml"/><Relationship Id="rId19" Type="http://schemas.openxmlformats.org/officeDocument/2006/relationships/hyperlink" Target="https://doi.org/10.1186/1746-4811-7-2"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image" Target="media/image4.jpeg"/><Relationship Id="rId22" Type="http://schemas.openxmlformats.org/officeDocument/2006/relationships/hyperlink" Target="https://doi.org/10.1007/s11356-017-8633-1" TargetMode="Externa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867019999999995E-2"/>
          <c:y val="2.8565083000000002E-2"/>
          <c:w val="0.80907320000000005"/>
          <c:h val="0.64335920000000002"/>
        </c:manualLayout>
      </c:layout>
      <c:barChart>
        <c:barDir val="col"/>
        <c:grouping val="clustered"/>
        <c:varyColors val="0"/>
        <c:ser>
          <c:idx val="0"/>
          <c:order val="0"/>
          <c:tx>
            <c:v>30DAS</c:v>
          </c:tx>
          <c:spPr>
            <a:solidFill>
              <a:srgbClr val="4F81BD"/>
            </a:solidFill>
            <a:ln w="12700">
              <a:solidFill>
                <a:srgbClr val="000000"/>
              </a:solidFill>
              <a:prstDash val="solid"/>
            </a:ln>
          </c:spPr>
          <c:invertIfNegative val="0"/>
          <c:cat>
            <c:strLit>
              <c:ptCount val="18"/>
              <c:pt idx="0">
                <c:v>15T/Ha BC</c:v>
              </c:pt>
              <c:pt idx="1">
                <c:v>15T/Ha BC + FYM</c:v>
              </c:pt>
              <c:pt idx="2">
                <c:v>15T/Ha BC +VC</c:v>
              </c:pt>
              <c:pt idx="3">
                <c:v>15T/Ha BC+GA</c:v>
              </c:pt>
              <c:pt idx="4">
                <c:v>15T/Ha BC+FYM+VC</c:v>
              </c:pt>
              <c:pt idx="5">
                <c:v>15T/Ha BC+FYM+GA</c:v>
              </c:pt>
              <c:pt idx="6">
                <c:v>20T/Ha BC</c:v>
              </c:pt>
              <c:pt idx="7">
                <c:v>20T/Ha BC + FYM</c:v>
              </c:pt>
              <c:pt idx="8">
                <c:v>20T/Ha BC +VC</c:v>
              </c:pt>
              <c:pt idx="9">
                <c:v>20T/Ha BC+GA</c:v>
              </c:pt>
              <c:pt idx="10">
                <c:v>20T/Ha BC+FYM+VC</c:v>
              </c:pt>
              <c:pt idx="11">
                <c:v>20T/Ha BC+FYM+GA</c:v>
              </c:pt>
              <c:pt idx="12">
                <c:v>25T/Ha BC</c:v>
              </c:pt>
              <c:pt idx="13">
                <c:v>25T/Ha BC + FYM</c:v>
              </c:pt>
              <c:pt idx="14">
                <c:v>25T/Ha BC +VC</c:v>
              </c:pt>
              <c:pt idx="15">
                <c:v>25T/Ha BC+GA</c:v>
              </c:pt>
              <c:pt idx="16">
                <c:v>25T/Ha BC+FYM+VC</c:v>
              </c:pt>
              <c:pt idx="17">
                <c:v>25T/Ha BC+FYM+GA</c:v>
              </c:pt>
            </c:strLit>
          </c:cat>
          <c:val>
            <c:numLit>
              <c:formatCode>General</c:formatCode>
              <c:ptCount val="18"/>
              <c:pt idx="0">
                <c:v>7.66</c:v>
              </c:pt>
              <c:pt idx="1">
                <c:v>11.66</c:v>
              </c:pt>
              <c:pt idx="2">
                <c:v>9.66</c:v>
              </c:pt>
              <c:pt idx="3">
                <c:v>13.33</c:v>
              </c:pt>
              <c:pt idx="4">
                <c:v>11.66</c:v>
              </c:pt>
              <c:pt idx="5">
                <c:v>14.66</c:v>
              </c:pt>
              <c:pt idx="6">
                <c:v>8.33</c:v>
              </c:pt>
              <c:pt idx="7">
                <c:v>9.66</c:v>
              </c:pt>
              <c:pt idx="8">
                <c:v>9.66</c:v>
              </c:pt>
              <c:pt idx="9">
                <c:v>10.33</c:v>
              </c:pt>
              <c:pt idx="10">
                <c:v>10.66</c:v>
              </c:pt>
              <c:pt idx="11">
                <c:v>11.66</c:v>
              </c:pt>
              <c:pt idx="12">
                <c:v>9.83</c:v>
              </c:pt>
              <c:pt idx="13">
                <c:v>9.33</c:v>
              </c:pt>
              <c:pt idx="14">
                <c:v>10.66</c:v>
              </c:pt>
              <c:pt idx="15">
                <c:v>11.83</c:v>
              </c:pt>
              <c:pt idx="16">
                <c:v>11.33</c:v>
              </c:pt>
              <c:pt idx="17">
                <c:v>12.66</c:v>
              </c:pt>
            </c:numLit>
          </c:val>
          <c:extLst>
            <c:ext xmlns:c16="http://schemas.microsoft.com/office/drawing/2014/chart" uri="{C3380CC4-5D6E-409C-BE32-E72D297353CC}">
              <c16:uniqueId val="{00000000-3862-4FC2-B92F-4AE5749BDD14}"/>
            </c:ext>
          </c:extLst>
        </c:ser>
        <c:ser>
          <c:idx val="1"/>
          <c:order val="1"/>
          <c:tx>
            <c:v>60DAS</c:v>
          </c:tx>
          <c:spPr>
            <a:solidFill>
              <a:srgbClr val="C0504D"/>
            </a:solidFill>
            <a:ln w="12700">
              <a:solidFill>
                <a:srgbClr val="000000"/>
              </a:solidFill>
              <a:prstDash val="solid"/>
            </a:ln>
          </c:spPr>
          <c:invertIfNegative val="0"/>
          <c:cat>
            <c:strLit>
              <c:ptCount val="18"/>
              <c:pt idx="0">
                <c:v>15T/Ha BC</c:v>
              </c:pt>
              <c:pt idx="1">
                <c:v>15T/Ha BC + FYM</c:v>
              </c:pt>
              <c:pt idx="2">
                <c:v>15T/Ha BC +VC</c:v>
              </c:pt>
              <c:pt idx="3">
                <c:v>15T/Ha BC+GA</c:v>
              </c:pt>
              <c:pt idx="4">
                <c:v>15T/Ha BC+FYM+VC</c:v>
              </c:pt>
              <c:pt idx="5">
                <c:v>15T/Ha BC+FYM+GA</c:v>
              </c:pt>
              <c:pt idx="6">
                <c:v>20T/Ha BC</c:v>
              </c:pt>
              <c:pt idx="7">
                <c:v>20T/Ha BC + FYM</c:v>
              </c:pt>
              <c:pt idx="8">
                <c:v>20T/Ha BC +VC</c:v>
              </c:pt>
              <c:pt idx="9">
                <c:v>20T/Ha BC+GA</c:v>
              </c:pt>
              <c:pt idx="10">
                <c:v>20T/Ha BC+FYM+VC</c:v>
              </c:pt>
              <c:pt idx="11">
                <c:v>20T/Ha BC+FYM+GA</c:v>
              </c:pt>
              <c:pt idx="12">
                <c:v>25T/Ha BC</c:v>
              </c:pt>
              <c:pt idx="13">
                <c:v>25T/Ha BC + FYM</c:v>
              </c:pt>
              <c:pt idx="14">
                <c:v>25T/Ha BC +VC</c:v>
              </c:pt>
              <c:pt idx="15">
                <c:v>25T/Ha BC+GA</c:v>
              </c:pt>
              <c:pt idx="16">
                <c:v>25T/Ha BC+FYM+VC</c:v>
              </c:pt>
              <c:pt idx="17">
                <c:v>25T/Ha BC+FYM+GA</c:v>
              </c:pt>
            </c:strLit>
          </c:cat>
          <c:val>
            <c:numLit>
              <c:formatCode>General</c:formatCode>
              <c:ptCount val="18"/>
              <c:pt idx="0">
                <c:v>26</c:v>
              </c:pt>
              <c:pt idx="1">
                <c:v>32.5</c:v>
              </c:pt>
              <c:pt idx="2">
                <c:v>29</c:v>
              </c:pt>
              <c:pt idx="3">
                <c:v>39</c:v>
              </c:pt>
              <c:pt idx="4">
                <c:v>32</c:v>
              </c:pt>
              <c:pt idx="5">
                <c:v>40.25</c:v>
              </c:pt>
              <c:pt idx="6">
                <c:v>26</c:v>
              </c:pt>
              <c:pt idx="7">
                <c:v>29.5</c:v>
              </c:pt>
              <c:pt idx="8">
                <c:v>28</c:v>
              </c:pt>
              <c:pt idx="9">
                <c:v>31</c:v>
              </c:pt>
              <c:pt idx="10">
                <c:v>31</c:v>
              </c:pt>
              <c:pt idx="11">
                <c:v>32.5</c:v>
              </c:pt>
              <c:pt idx="12">
                <c:v>28.25</c:v>
              </c:pt>
              <c:pt idx="13">
                <c:v>33</c:v>
              </c:pt>
              <c:pt idx="14">
                <c:v>34.25</c:v>
              </c:pt>
              <c:pt idx="15">
                <c:v>34.5</c:v>
              </c:pt>
              <c:pt idx="16">
                <c:v>33</c:v>
              </c:pt>
              <c:pt idx="17">
                <c:v>34.5</c:v>
              </c:pt>
            </c:numLit>
          </c:val>
          <c:extLst>
            <c:ext xmlns:c16="http://schemas.microsoft.com/office/drawing/2014/chart" uri="{C3380CC4-5D6E-409C-BE32-E72D297353CC}">
              <c16:uniqueId val="{00000001-3862-4FC2-B92F-4AE5749BDD14}"/>
            </c:ext>
          </c:extLst>
        </c:ser>
        <c:ser>
          <c:idx val="2"/>
          <c:order val="2"/>
          <c:tx>
            <c:v>At Harvest</c:v>
          </c:tx>
          <c:spPr>
            <a:solidFill>
              <a:srgbClr val="9BBB59"/>
            </a:solidFill>
            <a:ln w="12700">
              <a:solidFill>
                <a:srgbClr val="000000"/>
              </a:solidFill>
              <a:prstDash val="solid"/>
            </a:ln>
          </c:spPr>
          <c:invertIfNegative val="0"/>
          <c:cat>
            <c:strLit>
              <c:ptCount val="18"/>
              <c:pt idx="0">
                <c:v>15T/Ha BC</c:v>
              </c:pt>
              <c:pt idx="1">
                <c:v>15T/Ha BC + FYM</c:v>
              </c:pt>
              <c:pt idx="2">
                <c:v>15T/Ha BC +VC</c:v>
              </c:pt>
              <c:pt idx="3">
                <c:v>15T/Ha BC+GA</c:v>
              </c:pt>
              <c:pt idx="4">
                <c:v>15T/Ha BC+FYM+VC</c:v>
              </c:pt>
              <c:pt idx="5">
                <c:v>15T/Ha BC+FYM+GA</c:v>
              </c:pt>
              <c:pt idx="6">
                <c:v>20T/Ha BC</c:v>
              </c:pt>
              <c:pt idx="7">
                <c:v>20T/Ha BC + FYM</c:v>
              </c:pt>
              <c:pt idx="8">
                <c:v>20T/Ha BC +VC</c:v>
              </c:pt>
              <c:pt idx="9">
                <c:v>20T/Ha BC+GA</c:v>
              </c:pt>
              <c:pt idx="10">
                <c:v>20T/Ha BC+FYM+VC</c:v>
              </c:pt>
              <c:pt idx="11">
                <c:v>20T/Ha BC+FYM+GA</c:v>
              </c:pt>
              <c:pt idx="12">
                <c:v>25T/Ha BC</c:v>
              </c:pt>
              <c:pt idx="13">
                <c:v>25T/Ha BC + FYM</c:v>
              </c:pt>
              <c:pt idx="14">
                <c:v>25T/Ha BC +VC</c:v>
              </c:pt>
              <c:pt idx="15">
                <c:v>25T/Ha BC+GA</c:v>
              </c:pt>
              <c:pt idx="16">
                <c:v>25T/Ha BC+FYM+VC</c:v>
              </c:pt>
              <c:pt idx="17">
                <c:v>25T/Ha BC+FYM+GA</c:v>
              </c:pt>
            </c:strLit>
          </c:cat>
          <c:val>
            <c:numLit>
              <c:formatCode>General</c:formatCode>
              <c:ptCount val="18"/>
              <c:pt idx="0">
                <c:v>34</c:v>
              </c:pt>
              <c:pt idx="1">
                <c:v>47.25</c:v>
              </c:pt>
              <c:pt idx="2">
                <c:v>38.5</c:v>
              </c:pt>
              <c:pt idx="3">
                <c:v>54</c:v>
              </c:pt>
              <c:pt idx="4">
                <c:v>46.5</c:v>
              </c:pt>
              <c:pt idx="5">
                <c:v>61.5</c:v>
              </c:pt>
              <c:pt idx="6">
                <c:v>39.75</c:v>
              </c:pt>
              <c:pt idx="7">
                <c:v>45.5</c:v>
              </c:pt>
              <c:pt idx="8">
                <c:v>41.25</c:v>
              </c:pt>
              <c:pt idx="9">
                <c:v>50</c:v>
              </c:pt>
              <c:pt idx="10">
                <c:v>46</c:v>
              </c:pt>
              <c:pt idx="11">
                <c:v>47</c:v>
              </c:pt>
              <c:pt idx="12">
                <c:v>40.75</c:v>
              </c:pt>
              <c:pt idx="13">
                <c:v>46.75</c:v>
              </c:pt>
              <c:pt idx="14">
                <c:v>46</c:v>
              </c:pt>
              <c:pt idx="15">
                <c:v>57</c:v>
              </c:pt>
              <c:pt idx="16">
                <c:v>57.5</c:v>
              </c:pt>
              <c:pt idx="17">
                <c:v>49.75</c:v>
              </c:pt>
            </c:numLit>
          </c:val>
          <c:extLst>
            <c:ext xmlns:c16="http://schemas.microsoft.com/office/drawing/2014/chart" uri="{C3380CC4-5D6E-409C-BE32-E72D297353CC}">
              <c16:uniqueId val="{00000002-3862-4FC2-B92F-4AE5749BDD14}"/>
            </c:ext>
          </c:extLst>
        </c:ser>
        <c:dLbls>
          <c:showLegendKey val="0"/>
          <c:showVal val="0"/>
          <c:showCatName val="0"/>
          <c:showSerName val="0"/>
          <c:showPercent val="0"/>
          <c:showBubbleSize val="0"/>
        </c:dLbls>
        <c:gapWidth val="150"/>
        <c:axId val="913955584"/>
        <c:axId val="1"/>
      </c:barChart>
      <c:catAx>
        <c:axId val="913955584"/>
        <c:scaling>
          <c:orientation val="minMax"/>
        </c:scaling>
        <c:delete val="0"/>
        <c:axPos val="b"/>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1"/>
        <c:crosses val="autoZero"/>
        <c:auto val="0"/>
        <c:lblAlgn val="ctr"/>
        <c:lblOffset val="100"/>
        <c:noMultiLvlLbl val="0"/>
      </c:catAx>
      <c:valAx>
        <c:axId val="1"/>
        <c:scaling>
          <c:orientation val="minMax"/>
        </c:scaling>
        <c:delete val="0"/>
        <c:axPos val="l"/>
        <c:title>
          <c:tx>
            <c:rich>
              <a:bodyPr rot="-5400000" vert="horz"/>
              <a:lstStyle/>
              <a:p>
                <a:pPr>
                  <a:defRPr sz="800" b="0" i="0" u="none" strike="noStrike" baseline="0">
                    <a:solidFill>
                      <a:srgbClr val="000000"/>
                    </a:solidFill>
                    <a:latin typeface="Times New Roman"/>
                    <a:ea typeface="Droid Sans"/>
                    <a:cs typeface="Lucida Sans"/>
                  </a:defRPr>
                </a:pPr>
                <a:r>
                  <a:rPr lang="zh-CN"/>
                  <a:t>Plant Height (cm)</a:t>
                </a:r>
              </a:p>
            </c:rich>
          </c:tx>
          <c:overlay val="0"/>
          <c:spPr>
            <a:ln>
              <a:noFill/>
            </a:ln>
          </c:spPr>
        </c:title>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913955584"/>
        <c:crossesAt val="1"/>
        <c:crossBetween val="between"/>
      </c:valAx>
      <c:spPr>
        <a:solidFill>
          <a:srgbClr val="FFFFFF"/>
        </a:solidFill>
      </c:spPr>
    </c:plotArea>
    <c:legend>
      <c:legendPos val="r"/>
      <c:layout>
        <c:manualLayout>
          <c:xMode val="edge"/>
          <c:yMode val="edge"/>
          <c:x val="0.88302860000000005"/>
          <c:y val="1.7847302999999998E-2"/>
          <c:w val="0.10217532"/>
          <c:h val="0.14271718"/>
        </c:manualLayout>
      </c:layout>
      <c:overlay val="0"/>
      <c:spPr>
        <a:noFill/>
        <a:ln>
          <a:noFill/>
        </a:ln>
      </c:spPr>
      <c:txPr>
        <a:bodyPr/>
        <a:lstStyle/>
        <a:p>
          <a:pPr>
            <a:defRPr sz="800" b="0" i="0" u="none" strike="noStrike" baseline="0">
              <a:solidFill>
                <a:srgbClr val="000000"/>
              </a:solidFill>
              <a:latin typeface="Times New Roman"/>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9129999999999"/>
          <c:y val="5.1400553000000002E-2"/>
          <c:w val="0.65962889999999996"/>
          <c:h val="0.61382689999999995"/>
        </c:manualLayout>
      </c:layout>
      <c:barChart>
        <c:barDir val="col"/>
        <c:grouping val="clustered"/>
        <c:varyColors val="0"/>
        <c:ser>
          <c:idx val="0"/>
          <c:order val="0"/>
          <c:tx>
            <c:v>15T/Ha BC</c:v>
          </c:tx>
          <c:spPr>
            <a:solidFill>
              <a:srgbClr val="4F81B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7</c:v>
              </c:pt>
              <c:pt idx="1">
                <c:v>6</c:v>
              </c:pt>
              <c:pt idx="2">
                <c:v>7.333333333333333</c:v>
              </c:pt>
              <c:pt idx="3">
                <c:v>12</c:v>
              </c:pt>
              <c:pt idx="4">
                <c:v>10</c:v>
              </c:pt>
              <c:pt idx="5">
                <c:v>11</c:v>
              </c:pt>
            </c:numLit>
          </c:val>
          <c:extLst>
            <c:ext xmlns:c16="http://schemas.microsoft.com/office/drawing/2014/chart" uri="{C3380CC4-5D6E-409C-BE32-E72D297353CC}">
              <c16:uniqueId val="{00000000-4F33-4CB9-90C1-1D310EF8EF62}"/>
            </c:ext>
          </c:extLst>
        </c:ser>
        <c:ser>
          <c:idx val="1"/>
          <c:order val="1"/>
          <c:tx>
            <c:v>20T/Ha BC</c:v>
          </c:tx>
          <c:spPr>
            <a:solidFill>
              <a:srgbClr val="C0504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10</c:v>
              </c:pt>
              <c:pt idx="1">
                <c:v>11</c:v>
              </c:pt>
              <c:pt idx="2">
                <c:v>13</c:v>
              </c:pt>
              <c:pt idx="3">
                <c:v>10</c:v>
              </c:pt>
              <c:pt idx="4">
                <c:v>12</c:v>
              </c:pt>
              <c:pt idx="5">
                <c:v>10</c:v>
              </c:pt>
            </c:numLit>
          </c:val>
          <c:extLst>
            <c:ext xmlns:c16="http://schemas.microsoft.com/office/drawing/2014/chart" uri="{C3380CC4-5D6E-409C-BE32-E72D297353CC}">
              <c16:uniqueId val="{00000001-4F33-4CB9-90C1-1D310EF8EF62}"/>
            </c:ext>
          </c:extLst>
        </c:ser>
        <c:ser>
          <c:idx val="2"/>
          <c:order val="2"/>
          <c:tx>
            <c:v>25T/Ha BC</c:v>
          </c:tx>
          <c:spPr>
            <a:solidFill>
              <a:srgbClr val="9BBB59"/>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9.3333333333333339</c:v>
              </c:pt>
              <c:pt idx="1">
                <c:v>9</c:v>
              </c:pt>
              <c:pt idx="2">
                <c:v>9.3333333333333339</c:v>
              </c:pt>
              <c:pt idx="3">
                <c:v>9.2222222222222232</c:v>
              </c:pt>
              <c:pt idx="4">
                <c:v>11</c:v>
              </c:pt>
              <c:pt idx="5">
                <c:v>14</c:v>
              </c:pt>
            </c:numLit>
          </c:val>
          <c:extLst>
            <c:ext xmlns:c16="http://schemas.microsoft.com/office/drawing/2014/chart" uri="{C3380CC4-5D6E-409C-BE32-E72D297353CC}">
              <c16:uniqueId val="{00000002-4F33-4CB9-90C1-1D310EF8EF62}"/>
            </c:ext>
          </c:extLst>
        </c:ser>
        <c:dLbls>
          <c:showLegendKey val="0"/>
          <c:showVal val="0"/>
          <c:showCatName val="0"/>
          <c:showSerName val="0"/>
          <c:showPercent val="0"/>
          <c:showBubbleSize val="0"/>
        </c:dLbls>
        <c:gapWidth val="150"/>
        <c:axId val="913958464"/>
        <c:axId val="1"/>
      </c:barChart>
      <c:catAx>
        <c:axId val="913958464"/>
        <c:scaling>
          <c:orientation val="minMax"/>
        </c:scaling>
        <c:delete val="0"/>
        <c:axPos val="b"/>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sz="800" b="1" i="0" u="none" strike="noStrike" baseline="0">
                    <a:solidFill>
                      <a:srgbClr val="000000"/>
                    </a:solidFill>
                    <a:latin typeface="Times New Roman"/>
                    <a:ea typeface="Droid Sans"/>
                    <a:cs typeface="Lucida Sans"/>
                  </a:rPr>
                  <a:t>Average No. Pods</a:t>
                </a:r>
              </a:p>
            </c:rich>
          </c:tx>
          <c:overlay val="0"/>
          <c:spPr>
            <a:ln>
              <a:noFill/>
            </a:ln>
          </c:spPr>
        </c:title>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913958464"/>
        <c:crosses val="autoZero"/>
        <c:crossBetween val="between"/>
      </c:valAx>
      <c:spPr>
        <a:solidFill>
          <a:srgbClr val="FFFFFF"/>
        </a:solidFill>
      </c:spPr>
    </c:plotArea>
    <c:legend>
      <c:legendPos val="r"/>
      <c:layout>
        <c:manualLayout>
          <c:xMode val="edge"/>
          <c:yMode val="edge"/>
          <c:x val="0.76645470000000004"/>
          <c:y val="2.7208106999999999E-2"/>
          <c:w val="0.23116533"/>
          <c:h val="0.35655826000000002"/>
        </c:manualLayout>
      </c:layout>
      <c:overlay val="0"/>
      <c:spPr>
        <a:noFill/>
        <a:ln>
          <a:noFill/>
        </a:ln>
      </c:spPr>
      <c:txPr>
        <a:bodyPr/>
        <a:lstStyle/>
        <a:p>
          <a:pPr>
            <a:defRPr sz="800" b="0" i="0" u="none" strike="noStrike" baseline="0">
              <a:solidFill>
                <a:srgbClr val="000000"/>
              </a:solidFill>
              <a:latin typeface="Times New Roman"/>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80440999999999"/>
          <c:y val="5.4346707000000001E-2"/>
          <c:w val="0.60310070000000005"/>
          <c:h val="0.59160889999999999"/>
        </c:manualLayout>
      </c:layout>
      <c:barChart>
        <c:barDir val="col"/>
        <c:grouping val="clustered"/>
        <c:varyColors val="0"/>
        <c:ser>
          <c:idx val="0"/>
          <c:order val="0"/>
          <c:tx>
            <c:v>15T/Ha BC</c:v>
          </c:tx>
          <c:spPr>
            <a:solidFill>
              <a:srgbClr val="4F81B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10.5</c:v>
              </c:pt>
              <c:pt idx="1">
                <c:v>9.6</c:v>
              </c:pt>
              <c:pt idx="2">
                <c:v>12</c:v>
              </c:pt>
              <c:pt idx="3">
                <c:v>19.25</c:v>
              </c:pt>
              <c:pt idx="4">
                <c:v>14</c:v>
              </c:pt>
              <c:pt idx="5">
                <c:v>15.4</c:v>
              </c:pt>
            </c:numLit>
          </c:val>
          <c:extLst>
            <c:ext xmlns:c16="http://schemas.microsoft.com/office/drawing/2014/chart" uri="{C3380CC4-5D6E-409C-BE32-E72D297353CC}">
              <c16:uniqueId val="{00000000-4882-4569-AF9E-2955784333CE}"/>
            </c:ext>
          </c:extLst>
        </c:ser>
        <c:ser>
          <c:idx val="1"/>
          <c:order val="1"/>
          <c:tx>
            <c:v>20T/Ha BC</c:v>
          </c:tx>
          <c:spPr>
            <a:solidFill>
              <a:srgbClr val="C0504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14.75</c:v>
              </c:pt>
              <c:pt idx="1">
                <c:v>17.5</c:v>
              </c:pt>
              <c:pt idx="2">
                <c:v>21.25</c:v>
              </c:pt>
              <c:pt idx="3">
                <c:v>14</c:v>
              </c:pt>
              <c:pt idx="4">
                <c:v>17</c:v>
              </c:pt>
              <c:pt idx="5">
                <c:v>14</c:v>
              </c:pt>
            </c:numLit>
          </c:val>
          <c:extLst>
            <c:ext xmlns:c16="http://schemas.microsoft.com/office/drawing/2014/chart" uri="{C3380CC4-5D6E-409C-BE32-E72D297353CC}">
              <c16:uniqueId val="{00000001-4882-4569-AF9E-2955784333CE}"/>
            </c:ext>
          </c:extLst>
        </c:ser>
        <c:ser>
          <c:idx val="2"/>
          <c:order val="2"/>
          <c:tx>
            <c:v>25T/Ha BC</c:v>
          </c:tx>
          <c:spPr>
            <a:solidFill>
              <a:srgbClr val="9BBB59"/>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14.25</c:v>
              </c:pt>
              <c:pt idx="1">
                <c:v>12.6</c:v>
              </c:pt>
              <c:pt idx="2">
                <c:v>13</c:v>
              </c:pt>
              <c:pt idx="3">
                <c:v>18.8</c:v>
              </c:pt>
              <c:pt idx="4">
                <c:v>19</c:v>
              </c:pt>
              <c:pt idx="5">
                <c:v>21</c:v>
              </c:pt>
            </c:numLit>
          </c:val>
          <c:extLst>
            <c:ext xmlns:c16="http://schemas.microsoft.com/office/drawing/2014/chart" uri="{C3380CC4-5D6E-409C-BE32-E72D297353CC}">
              <c16:uniqueId val="{00000002-4882-4569-AF9E-2955784333CE}"/>
            </c:ext>
          </c:extLst>
        </c:ser>
        <c:dLbls>
          <c:showLegendKey val="0"/>
          <c:showVal val="0"/>
          <c:showCatName val="0"/>
          <c:showSerName val="0"/>
          <c:showPercent val="0"/>
          <c:showBubbleSize val="0"/>
        </c:dLbls>
        <c:gapWidth val="150"/>
        <c:axId val="913963864"/>
        <c:axId val="1"/>
      </c:barChart>
      <c:catAx>
        <c:axId val="913963864"/>
        <c:scaling>
          <c:orientation val="minMax"/>
        </c:scaling>
        <c:delete val="0"/>
        <c:axPos val="b"/>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sz="800" b="1" i="0" u="none" strike="noStrike" baseline="0">
                    <a:solidFill>
                      <a:srgbClr val="000000"/>
                    </a:solidFill>
                    <a:latin typeface="Times New Roman"/>
                    <a:ea typeface="Droid Sans"/>
                    <a:cs typeface="Lucida Sans"/>
                  </a:rPr>
                  <a:t>Pod Weight(gm)</a:t>
                </a:r>
              </a:p>
            </c:rich>
          </c:tx>
          <c:overlay val="0"/>
          <c:spPr>
            <a:ln>
              <a:noFill/>
            </a:ln>
          </c:spPr>
        </c:title>
        <c:numFmt formatCode="General" sourceLinked="0"/>
        <c:majorTickMark val="out"/>
        <c:minorTickMark val="none"/>
        <c:tickLblPos val="nextTo"/>
        <c:txPr>
          <a:bodyPr/>
          <a:lstStyle/>
          <a:p>
            <a:pPr>
              <a:defRPr sz="900" b="0" i="0" u="none" strike="noStrike" baseline="0">
                <a:solidFill>
                  <a:srgbClr val="000000"/>
                </a:solidFill>
                <a:latin typeface="Times New Roman"/>
                <a:ea typeface="Droid Sans"/>
                <a:cs typeface="Lucida Sans"/>
              </a:defRPr>
            </a:pPr>
            <a:endParaRPr lang="en-US"/>
          </a:p>
        </c:txPr>
        <c:crossAx val="913963864"/>
        <c:crosses val="autoZero"/>
        <c:crossBetween val="between"/>
      </c:valAx>
      <c:spPr>
        <a:solidFill>
          <a:srgbClr val="FFFFFF"/>
        </a:solidFill>
      </c:spPr>
    </c:plotArea>
    <c:legend>
      <c:legendPos val="r"/>
      <c:layout>
        <c:manualLayout>
          <c:xMode val="edge"/>
          <c:yMode val="edge"/>
          <c:x val="0.78128900000000001"/>
          <c:y val="5.5014449999999999E-2"/>
          <c:w val="0.21871103"/>
          <c:h val="0.33907798"/>
        </c:manualLayout>
      </c:layout>
      <c:overlay val="0"/>
      <c:spPr>
        <a:noFill/>
        <a:ln>
          <a:noFill/>
        </a:ln>
      </c:spPr>
      <c:txPr>
        <a:bodyPr/>
        <a:lstStyle/>
        <a:p>
          <a:pPr>
            <a:defRPr sz="800" b="0" i="0" u="none" strike="noStrike" baseline="0">
              <a:solidFill>
                <a:srgbClr val="000000"/>
              </a:solidFill>
              <a:latin typeface="Times New Roman"/>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8858E-2"/>
          <c:y val="1.7528445E-2"/>
          <c:w val="0.88348959999999999"/>
          <c:h val="0.86633413999999997"/>
        </c:manualLayout>
      </c:layout>
      <c:barChart>
        <c:barDir val="bar"/>
        <c:grouping val="clustered"/>
        <c:varyColors val="0"/>
        <c:ser>
          <c:idx val="0"/>
          <c:order val="0"/>
          <c:spPr>
            <a:solidFill>
              <a:srgbClr val="4F81BD"/>
            </a:solidFill>
            <a:ln w="12700">
              <a:solidFill>
                <a:srgbClr val="000000"/>
              </a:solidFill>
              <a:prstDash val="solid"/>
            </a:ln>
          </c:spPr>
          <c:invertIfNegative val="0"/>
          <c:cat>
            <c:strLit>
              <c:ptCount val="18"/>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pt idx="16">
                <c:v>T17</c:v>
              </c:pt>
              <c:pt idx="17">
                <c:v>T18</c:v>
              </c:pt>
            </c:strLit>
          </c:cat>
          <c:val>
            <c:numLit>
              <c:formatCode>0.00</c:formatCode>
              <c:ptCount val="18"/>
              <c:pt idx="0">
                <c:v>4.4444444444444402</c:v>
              </c:pt>
              <c:pt idx="1">
                <c:v>6.2499999999999938</c:v>
              </c:pt>
              <c:pt idx="2">
                <c:v>11.527777777777779</c:v>
              </c:pt>
              <c:pt idx="3">
                <c:v>-4.6296296296295308E-2</c:v>
              </c:pt>
              <c:pt idx="4">
                <c:v>0.55555555555555602</c:v>
              </c:pt>
              <c:pt idx="5">
                <c:v>9.0277777777777732</c:v>
              </c:pt>
              <c:pt idx="6">
                <c:v>1.7592592592592544</c:v>
              </c:pt>
              <c:pt idx="7">
                <c:v>3.3333333333333321</c:v>
              </c:pt>
              <c:pt idx="8">
                <c:v>10.694444444444445</c:v>
              </c:pt>
              <c:pt idx="9">
                <c:v>3.7499999999999982</c:v>
              </c:pt>
              <c:pt idx="10">
                <c:v>-6.1111111111111116</c:v>
              </c:pt>
              <c:pt idx="11">
                <c:v>11.80555555555555</c:v>
              </c:pt>
              <c:pt idx="12">
                <c:v>4.4444444444444402</c:v>
              </c:pt>
              <c:pt idx="13">
                <c:v>4.5370370370370345</c:v>
              </c:pt>
              <c:pt idx="14">
                <c:v>13.84259259259259</c:v>
              </c:pt>
              <c:pt idx="15">
                <c:v>2.9166666666666661</c:v>
              </c:pt>
              <c:pt idx="16">
                <c:v>1.3888888888888882</c:v>
              </c:pt>
              <c:pt idx="17">
                <c:v>10</c:v>
              </c:pt>
            </c:numLit>
          </c:val>
          <c:extLst>
            <c:ext xmlns:c16="http://schemas.microsoft.com/office/drawing/2014/chart" uri="{C3380CC4-5D6E-409C-BE32-E72D297353CC}">
              <c16:uniqueId val="{00000000-252A-4517-9769-AC42FCE65697}"/>
            </c:ext>
          </c:extLst>
        </c:ser>
        <c:dLbls>
          <c:showLegendKey val="0"/>
          <c:showVal val="0"/>
          <c:showCatName val="0"/>
          <c:showSerName val="0"/>
          <c:showPercent val="0"/>
          <c:showBubbleSize val="0"/>
        </c:dLbls>
        <c:gapWidth val="150"/>
        <c:axId val="651459832"/>
        <c:axId val="1"/>
      </c:barChart>
      <c:catAx>
        <c:axId val="651459832"/>
        <c:scaling>
          <c:orientation val="minMax"/>
        </c:scaling>
        <c:delete val="0"/>
        <c:axPos val="l"/>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1"/>
        <c:crosses val="autoZero"/>
        <c:auto val="1"/>
        <c:lblAlgn val="ctr"/>
        <c:lblOffset val="100"/>
        <c:noMultiLvlLbl val="0"/>
      </c:catAx>
      <c:valAx>
        <c:axId val="1"/>
        <c:scaling>
          <c:orientation val="minMax"/>
          <c:max val="17.5"/>
          <c:min val="-7.5"/>
        </c:scaling>
        <c:delete val="0"/>
        <c:axPos val="b"/>
        <c:title>
          <c:tx>
            <c:rich>
              <a:bodyPr rot="0" vert="horz"/>
              <a:lstStyle/>
              <a:p>
                <a:pPr>
                  <a:defRPr sz="1000" b="1" i="0" u="none" strike="noStrike" baseline="0">
                    <a:solidFill>
                      <a:srgbClr val="000000"/>
                    </a:solidFill>
                    <a:latin typeface="Droid Sans"/>
                    <a:ea typeface="Droid Sans"/>
                    <a:cs typeface="Lucida Sans"/>
                  </a:defRPr>
                </a:pPr>
                <a:r>
                  <a:rPr lang="zh-CN" sz="1000" b="1" i="0" u="none" strike="noStrike" baseline="0">
                    <a:solidFill>
                      <a:srgbClr val="000000"/>
                    </a:solidFill>
                    <a:latin typeface="Droid Sans"/>
                    <a:ea typeface="Droid Sans"/>
                    <a:cs typeface="Lucida Sans"/>
                  </a:rPr>
                  <a:t>% </a:t>
                </a:r>
                <a:r>
                  <a:rPr lang="zh-CN" sz="1000" b="1" i="0" u="none" strike="noStrike" baseline="0">
                    <a:solidFill>
                      <a:srgbClr val="000000"/>
                    </a:solidFill>
                    <a:latin typeface="Times New Roman"/>
                    <a:ea typeface="Droid Sans"/>
                    <a:cs typeface="Lucida Sans"/>
                  </a:rPr>
                  <a:t>Increase</a:t>
                </a:r>
                <a:r>
                  <a:rPr lang="zh-CN" sz="1000" b="1" i="0" u="none" strike="noStrike" baseline="0">
                    <a:solidFill>
                      <a:srgbClr val="000000"/>
                    </a:solidFill>
                    <a:latin typeface="Droid Sans"/>
                    <a:ea typeface="Droid Sans"/>
                    <a:cs typeface="Lucida Sans"/>
                  </a:rPr>
                  <a:t> of pH</a:t>
                </a:r>
              </a:p>
            </c:rich>
          </c:tx>
          <c:overlay val="0"/>
          <c:spPr>
            <a:ln>
              <a:noFill/>
            </a:ln>
          </c:spPr>
        </c:title>
        <c:numFmt formatCode="0.00" sourceLinked="0"/>
        <c:majorTickMark val="out"/>
        <c:minorTickMark val="none"/>
        <c:tickLblPos val="nextTo"/>
        <c:txPr>
          <a:bodyPr/>
          <a:lstStyle/>
          <a:p>
            <a:pPr>
              <a:defRPr sz="1000" b="0" i="0" u="none" strike="noStrike" baseline="0">
                <a:solidFill>
                  <a:srgbClr val="000000"/>
                </a:solidFill>
                <a:latin typeface="Times New Roman"/>
                <a:ea typeface="Droid Sans"/>
                <a:cs typeface="Lucida Sans"/>
              </a:defRPr>
            </a:pPr>
            <a:endParaRPr lang="en-US"/>
          </a:p>
        </c:txPr>
        <c:crossAx val="651459832"/>
        <c:crosses val="autoZero"/>
        <c:crossBetween val="between"/>
        <c:majorUnit val="2.5"/>
      </c:valAx>
      <c:spPr>
        <a:solidFill>
          <a:srgbClr val="FFFFFF"/>
        </a:solidFill>
      </c:spPr>
    </c:plotArea>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66597"/>
          <c:y val="0.12084499999999999"/>
          <c:w val="0.79759239999999998"/>
          <c:h val="0.60379340000000004"/>
        </c:manualLayout>
      </c:layout>
      <c:barChart>
        <c:barDir val="col"/>
        <c:grouping val="clustered"/>
        <c:varyColors val="0"/>
        <c:ser>
          <c:idx val="0"/>
          <c:order val="0"/>
          <c:tx>
            <c:v>15T/Ha</c:v>
          </c:tx>
          <c:spPr>
            <a:solidFill>
              <a:srgbClr val="61616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1.3966666666666665</c:v>
              </c:pt>
              <c:pt idx="1">
                <c:v>1.4000000000000001</c:v>
              </c:pt>
              <c:pt idx="2">
                <c:v>1.3846666666666667</c:v>
              </c:pt>
              <c:pt idx="3">
                <c:v>1.3833333333333335</c:v>
              </c:pt>
              <c:pt idx="4">
                <c:v>1.3593333333333335</c:v>
              </c:pt>
              <c:pt idx="5">
                <c:v>1.3533333333333335</c:v>
              </c:pt>
            </c:numLit>
          </c:val>
          <c:extLst>
            <c:ext xmlns:c16="http://schemas.microsoft.com/office/drawing/2014/chart" uri="{C3380CC4-5D6E-409C-BE32-E72D297353CC}">
              <c16:uniqueId val="{00000000-CA42-41E5-A65A-D16B724C46BD}"/>
            </c:ext>
          </c:extLst>
        </c:ser>
        <c:ser>
          <c:idx val="1"/>
          <c:order val="1"/>
          <c:tx>
            <c:v>20T/Ha</c:v>
          </c:tx>
          <c:spPr>
            <a:solidFill>
              <a:srgbClr val="B3B3B3"/>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1.38</c:v>
              </c:pt>
              <c:pt idx="1">
                <c:v>1.37</c:v>
              </c:pt>
              <c:pt idx="2">
                <c:v>1.37</c:v>
              </c:pt>
              <c:pt idx="3">
                <c:v>1.3733333333333333</c:v>
              </c:pt>
              <c:pt idx="4">
                <c:v>1.36</c:v>
              </c:pt>
              <c:pt idx="5">
                <c:v>1.3633333333333333</c:v>
              </c:pt>
            </c:numLit>
          </c:val>
          <c:extLst>
            <c:ext xmlns:c16="http://schemas.microsoft.com/office/drawing/2014/chart" uri="{C3380CC4-5D6E-409C-BE32-E72D297353CC}">
              <c16:uniqueId val="{00000001-CA42-41E5-A65A-D16B724C46BD}"/>
            </c:ext>
          </c:extLst>
        </c:ser>
        <c:ser>
          <c:idx val="2"/>
          <c:order val="2"/>
          <c:tx>
            <c:v>25T/Ha</c:v>
          </c:tx>
          <c:spPr>
            <a:solidFill>
              <a:srgbClr val="81818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1.3633333333333335</c:v>
              </c:pt>
              <c:pt idx="1">
                <c:v>1.2933333333333332</c:v>
              </c:pt>
              <c:pt idx="2">
                <c:v>1.32</c:v>
              </c:pt>
              <c:pt idx="3">
                <c:v>1.29</c:v>
              </c:pt>
              <c:pt idx="4">
                <c:v>1.3</c:v>
              </c:pt>
              <c:pt idx="5">
                <c:v>1.2966666666666669</c:v>
              </c:pt>
            </c:numLit>
          </c:val>
          <c:extLst>
            <c:ext xmlns:c16="http://schemas.microsoft.com/office/drawing/2014/chart" uri="{C3380CC4-5D6E-409C-BE32-E72D297353CC}">
              <c16:uniqueId val="{00000002-CA42-41E5-A65A-D16B724C46BD}"/>
            </c:ext>
          </c:extLst>
        </c:ser>
        <c:dLbls>
          <c:showLegendKey val="0"/>
          <c:showVal val="0"/>
          <c:showCatName val="0"/>
          <c:showSerName val="0"/>
          <c:showPercent val="0"/>
          <c:showBubbleSize val="0"/>
        </c:dLbls>
        <c:gapWidth val="150"/>
        <c:axId val="651460912"/>
        <c:axId val="1"/>
      </c:barChart>
      <c:catAx>
        <c:axId val="651460912"/>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a:t>BD (Mg m-3)</a:t>
                </a:r>
              </a:p>
            </c:rich>
          </c:tx>
          <c:overlay val="0"/>
          <c:spPr>
            <a:ln>
              <a:noFill/>
            </a:ln>
          </c:spPr>
        </c:title>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651460912"/>
        <c:crosses val="autoZero"/>
        <c:crossBetween val="between"/>
      </c:valAx>
      <c:spPr>
        <a:solidFill>
          <a:srgbClr val="FFFFFF"/>
        </a:solidFill>
      </c:spPr>
    </c:plotArea>
    <c:legend>
      <c:legendPos val="r"/>
      <c:layout>
        <c:manualLayout>
          <c:xMode val="edge"/>
          <c:yMode val="edge"/>
          <c:x val="0.73495847000000003"/>
          <c:y val="2.2192677000000001E-2"/>
          <c:w val="0.21958114000000001"/>
          <c:h val="0.22375327"/>
        </c:manualLayout>
      </c:layout>
      <c:overlay val="0"/>
      <c:spPr>
        <a:noFill/>
        <a:ln>
          <a:noFill/>
        </a:ln>
      </c:spPr>
      <c:txPr>
        <a:bodyPr/>
        <a:lstStyle/>
        <a:p>
          <a:pPr>
            <a:defRPr sz="1000" b="0" i="0" u="none" strike="noStrike" baseline="0">
              <a:solidFill>
                <a:srgbClr val="000000"/>
              </a:solidFill>
              <a:latin typeface="Droid Sans"/>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20732999999999"/>
          <c:y val="0.15241072"/>
          <c:w val="0.77423609999999998"/>
          <c:h val="0.57871585999999997"/>
        </c:manualLayout>
      </c:layout>
      <c:barChart>
        <c:barDir val="col"/>
        <c:grouping val="clustered"/>
        <c:varyColors val="0"/>
        <c:ser>
          <c:idx val="0"/>
          <c:order val="0"/>
          <c:tx>
            <c:v>15T/Ha</c:v>
          </c:tx>
          <c:spPr>
            <a:solidFill>
              <a:srgbClr val="61616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34.493333333333332</c:v>
              </c:pt>
              <c:pt idx="1">
                <c:v>35.646666666666668</c:v>
              </c:pt>
              <c:pt idx="2">
                <c:v>36.356666666666669</c:v>
              </c:pt>
              <c:pt idx="3">
                <c:v>35.633333333333333</c:v>
              </c:pt>
              <c:pt idx="4">
                <c:v>36.25</c:v>
              </c:pt>
              <c:pt idx="5">
                <c:v>36.813333333333333</c:v>
              </c:pt>
            </c:numLit>
          </c:val>
          <c:extLst>
            <c:ext xmlns:c16="http://schemas.microsoft.com/office/drawing/2014/chart" uri="{C3380CC4-5D6E-409C-BE32-E72D297353CC}">
              <c16:uniqueId val="{00000000-95D1-4CB8-BA73-D8D8213A27D6}"/>
            </c:ext>
          </c:extLst>
        </c:ser>
        <c:ser>
          <c:idx val="1"/>
          <c:order val="1"/>
          <c:tx>
            <c:v>20T/Ha</c:v>
          </c:tx>
          <c:spPr>
            <a:solidFill>
              <a:srgbClr val="B3B3B3"/>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35.026666666666671</c:v>
              </c:pt>
              <c:pt idx="1">
                <c:v>35.129999999999995</c:v>
              </c:pt>
              <c:pt idx="2">
                <c:v>35.04666666666666</c:v>
              </c:pt>
              <c:pt idx="3">
                <c:v>35.306666666666665</c:v>
              </c:pt>
              <c:pt idx="4">
                <c:v>36.340000000000003</c:v>
              </c:pt>
              <c:pt idx="5">
                <c:v>36.619999999999997</c:v>
              </c:pt>
            </c:numLit>
          </c:val>
          <c:extLst>
            <c:ext xmlns:c16="http://schemas.microsoft.com/office/drawing/2014/chart" uri="{C3380CC4-5D6E-409C-BE32-E72D297353CC}">
              <c16:uniqueId val="{00000001-95D1-4CB8-BA73-D8D8213A27D6}"/>
            </c:ext>
          </c:extLst>
        </c:ser>
        <c:ser>
          <c:idx val="2"/>
          <c:order val="2"/>
          <c:tx>
            <c:v>25T/Ha</c:v>
          </c:tx>
          <c:spPr>
            <a:solidFill>
              <a:srgbClr val="81818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36.466666666666669</c:v>
              </c:pt>
              <c:pt idx="1">
                <c:v>41.77</c:v>
              </c:pt>
              <c:pt idx="2">
                <c:v>41.07</c:v>
              </c:pt>
              <c:pt idx="3">
                <c:v>42.023333333333333</c:v>
              </c:pt>
              <c:pt idx="4">
                <c:v>41.303333333333335</c:v>
              </c:pt>
              <c:pt idx="5">
                <c:v>40.493333333333332</c:v>
              </c:pt>
            </c:numLit>
          </c:val>
          <c:extLst>
            <c:ext xmlns:c16="http://schemas.microsoft.com/office/drawing/2014/chart" uri="{C3380CC4-5D6E-409C-BE32-E72D297353CC}">
              <c16:uniqueId val="{00000002-95D1-4CB8-BA73-D8D8213A27D6}"/>
            </c:ext>
          </c:extLst>
        </c:ser>
        <c:dLbls>
          <c:showLegendKey val="0"/>
          <c:showVal val="0"/>
          <c:showCatName val="0"/>
          <c:showSerName val="0"/>
          <c:showPercent val="0"/>
          <c:showBubbleSize val="0"/>
        </c:dLbls>
        <c:gapWidth val="150"/>
        <c:axId val="651461632"/>
        <c:axId val="1"/>
      </c:barChart>
      <c:catAx>
        <c:axId val="651461632"/>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a:t>MWHC (%)</a:t>
                </a:r>
              </a:p>
            </c:rich>
          </c:tx>
          <c:overlay val="0"/>
          <c:spPr>
            <a:ln>
              <a:noFill/>
            </a:ln>
          </c:spPr>
        </c:title>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651461632"/>
        <c:crosses val="autoZero"/>
        <c:crossBetween val="between"/>
      </c:valAx>
      <c:spPr>
        <a:solidFill>
          <a:srgbClr val="FFFFFF"/>
        </a:solidFill>
      </c:spPr>
    </c:plotArea>
    <c:legend>
      <c:legendPos val="r"/>
      <c:layout>
        <c:manualLayout>
          <c:xMode val="edge"/>
          <c:yMode val="edge"/>
          <c:x val="0.71705896000000002"/>
          <c:y val="4.0535275000000001E-3"/>
          <c:w val="0.22000766999999999"/>
          <c:h val="0.19317545"/>
        </c:manualLayout>
      </c:layout>
      <c:overlay val="0"/>
      <c:spPr>
        <a:noFill/>
        <a:ln>
          <a:noFill/>
        </a:ln>
      </c:spPr>
      <c:txPr>
        <a:bodyPr/>
        <a:lstStyle/>
        <a:p>
          <a:pPr>
            <a:defRPr sz="1000" b="0" i="0" u="none" strike="noStrike" baseline="0">
              <a:solidFill>
                <a:srgbClr val="000000"/>
              </a:solidFill>
              <a:latin typeface="Droid Sans"/>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23</Pages>
  <Words>5465</Words>
  <Characters>31157</Characters>
  <Application>Microsoft Office Word</Application>
  <DocSecurity>0</DocSecurity>
  <Lines>259</Lines>
  <Paragraphs>73</Paragraphs>
  <ScaleCrop>false</ScaleCrop>
  <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 S C</dc:creator>
  <cp:lastModifiedBy>Editor-23</cp:lastModifiedBy>
  <cp:revision>10</cp:revision>
  <dcterms:created xsi:type="dcterms:W3CDTF">2024-12-19T04:24:00Z</dcterms:created>
  <dcterms:modified xsi:type="dcterms:W3CDTF">2024-12-27T09:06:00Z</dcterms:modified>
</cp:coreProperties>
</file>