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E79AC" w14:textId="77777777" w:rsidR="00754C9A" w:rsidRDefault="00754C9A" w:rsidP="00441B6F">
      <w:pPr>
        <w:pStyle w:val="Title"/>
        <w:spacing w:after="0"/>
        <w:jc w:val="both"/>
        <w:rPr>
          <w:rFonts w:ascii="Arial" w:hAnsi="Arial" w:cs="Arial"/>
        </w:rPr>
      </w:pPr>
    </w:p>
    <w:p w14:paraId="62A9BBF9" w14:textId="6414996D" w:rsidR="007C357D" w:rsidRDefault="00623A29" w:rsidP="00441B6F">
      <w:pPr>
        <w:pStyle w:val="Author"/>
        <w:spacing w:line="240" w:lineRule="auto"/>
        <w:jc w:val="both"/>
        <w:rPr>
          <w:rFonts w:ascii="Arial" w:hAnsi="Arial" w:cs="Arial"/>
          <w:bCs/>
          <w:iCs/>
          <w:kern w:val="28"/>
          <w:sz w:val="36"/>
        </w:rPr>
      </w:pPr>
      <w:r w:rsidRPr="00623A29">
        <w:rPr>
          <w:rFonts w:ascii="Arial" w:hAnsi="Arial" w:cs="Arial"/>
          <w:bCs/>
          <w:iCs/>
          <w:kern w:val="28"/>
          <w:sz w:val="36"/>
        </w:rPr>
        <w:t>Biomechanical Assessment of Patients with Unilateral Total Knee Arthroplasty: Preliminary Comparative Study Between Fixed and Rotating Tibial Plateau Prostheses Using the 2-Minute Walk Test (2MWT)</w:t>
      </w:r>
    </w:p>
    <w:p w14:paraId="339009A1" w14:textId="77777777" w:rsidR="00396D41" w:rsidRPr="007C357D" w:rsidRDefault="00396D41" w:rsidP="00441B6F">
      <w:pPr>
        <w:pStyle w:val="Author"/>
        <w:spacing w:line="240" w:lineRule="auto"/>
        <w:jc w:val="both"/>
        <w:rPr>
          <w:rFonts w:ascii="Arial" w:hAnsi="Arial" w:cs="Arial"/>
          <w:bCs/>
          <w:iCs/>
          <w:kern w:val="28"/>
          <w:sz w:val="36"/>
        </w:rPr>
      </w:pPr>
    </w:p>
    <w:p w14:paraId="3D226AED" w14:textId="77777777" w:rsidR="00A622B2" w:rsidRDefault="00A622B2" w:rsidP="00441B6F">
      <w:pPr>
        <w:pStyle w:val="Copyright"/>
        <w:spacing w:after="0" w:line="240" w:lineRule="auto"/>
        <w:jc w:val="both"/>
        <w:rPr>
          <w:rFonts w:ascii="Arial" w:hAnsi="Arial" w:cs="Arial"/>
        </w:rPr>
      </w:pPr>
    </w:p>
    <w:p w14:paraId="541D635D" w14:textId="28040437" w:rsidR="00B01FCD" w:rsidRPr="00FB3A86" w:rsidRDefault="00000000" w:rsidP="00441B6F">
      <w:pPr>
        <w:pStyle w:val="Copyright"/>
        <w:spacing w:after="0" w:line="240" w:lineRule="auto"/>
        <w:jc w:val="both"/>
        <w:rPr>
          <w:rFonts w:ascii="Arial" w:hAnsi="Arial" w:cs="Arial"/>
        </w:rPr>
        <w:sectPr w:rsidR="00B01FCD" w:rsidRPr="00FB3A86" w:rsidSect="00A622B2">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0679C067">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2A01A5CC" w14:textId="5A6DDC48" w:rsidR="00581F69" w:rsidRPr="00FB3A86"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05525F91" w14:textId="77777777" w:rsidTr="001E44FE">
        <w:tc>
          <w:tcPr>
            <w:tcW w:w="9576" w:type="dxa"/>
            <w:shd w:val="clear" w:color="auto" w:fill="F2F2F2"/>
          </w:tcPr>
          <w:p w14:paraId="2306A8D1" w14:textId="77777777" w:rsidR="00581F69"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617259" w:rsidRPr="00617259">
              <w:rPr>
                <w:rFonts w:ascii="Arial" w:eastAsia="Calibri" w:hAnsi="Arial" w:cs="Arial"/>
                <w:szCs w:val="22"/>
              </w:rPr>
              <w:t>To identify the biomechanical differences between two types of prostheses (posterior-stabilized prosthesis with a fixed tibial plateau base and congruent prosthesis with a rotating tibial plateau) through functional performance measured by the 2-Minute Walk Test using the G-Sensor® inertial sensor (BTS Bioengineering S.p.A., Italy).</w:t>
            </w:r>
          </w:p>
          <w:p w14:paraId="7C009409" w14:textId="77777777" w:rsidR="00581F69" w:rsidRDefault="00BA1B01" w:rsidP="00581F69">
            <w:pPr>
              <w:pStyle w:val="Body"/>
              <w:spacing w:after="0"/>
              <w:rPr>
                <w:rFonts w:ascii="Arial" w:eastAsia="Calibri" w:hAnsi="Arial" w:cs="Arial"/>
                <w:bCs/>
                <w:szCs w:val="22"/>
              </w:rPr>
            </w:pPr>
            <w:r w:rsidRPr="00BA1B01">
              <w:rPr>
                <w:rFonts w:ascii="Arial" w:eastAsia="Calibri" w:hAnsi="Arial" w:cs="Arial"/>
                <w:b/>
                <w:szCs w:val="22"/>
              </w:rPr>
              <w:t>Study design</w:t>
            </w:r>
            <w:r w:rsidR="008349AE">
              <w:rPr>
                <w:rFonts w:ascii="Arial" w:eastAsia="Calibri" w:hAnsi="Arial" w:cs="Arial"/>
                <w:b/>
                <w:szCs w:val="22"/>
              </w:rPr>
              <w:t xml:space="preserve">: </w:t>
            </w:r>
            <w:r w:rsidR="008349AE">
              <w:rPr>
                <w:rFonts w:ascii="Arial" w:eastAsia="Calibri" w:hAnsi="Arial" w:cs="Arial"/>
                <w:bCs/>
                <w:szCs w:val="22"/>
              </w:rPr>
              <w:t xml:space="preserve">A prospective, observational, and comparative study with assessments conducted at two time points: 12 to 24 months after surgery. </w:t>
            </w:r>
          </w:p>
          <w:p w14:paraId="7DC9FFAF" w14:textId="77777777" w:rsidR="009B144D" w:rsidRDefault="00BA1B01" w:rsidP="00581F69">
            <w:pPr>
              <w:pStyle w:val="Body"/>
              <w:spacing w:after="0"/>
              <w:rPr>
                <w:rFonts w:ascii="Arial" w:eastAsia="Calibri" w:hAnsi="Arial" w:cs="Arial"/>
                <w:szCs w:val="22"/>
                <w:lang w:val="pt-BR"/>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02607D" w:rsidRPr="0002607D">
              <w:rPr>
                <w:rFonts w:ascii="Arial" w:eastAsia="Calibri" w:hAnsi="Arial" w:cs="Arial"/>
                <w:szCs w:val="22"/>
              </w:rPr>
              <w:t>This study was carried out in a tertiary hospital</w:t>
            </w:r>
            <w:r w:rsidR="0002607D">
              <w:rPr>
                <w:rFonts w:ascii="Arial" w:eastAsia="Calibri" w:hAnsi="Arial" w:cs="Arial"/>
                <w:szCs w:val="22"/>
              </w:rPr>
              <w:t xml:space="preserve"> </w:t>
            </w:r>
            <w:r w:rsidR="00BA0822" w:rsidRPr="00BA0822">
              <w:rPr>
                <w:rFonts w:ascii="Arial" w:eastAsia="Calibri" w:hAnsi="Arial" w:cs="Arial"/>
                <w:szCs w:val="22"/>
                <w:lang w:val="pt-BR"/>
              </w:rPr>
              <w:t>in</w:t>
            </w:r>
            <w:r w:rsidR="00E934A9">
              <w:rPr>
                <w:rFonts w:ascii="Arial" w:eastAsia="Calibri" w:hAnsi="Arial" w:cs="Arial"/>
                <w:szCs w:val="22"/>
                <w:lang w:val="pt-BR"/>
              </w:rPr>
              <w:t xml:space="preserve"> </w:t>
            </w:r>
            <w:r w:rsidR="00E934A9" w:rsidRPr="00E934A9">
              <w:rPr>
                <w:rFonts w:ascii="Arial" w:eastAsia="Calibri" w:hAnsi="Arial" w:cs="Arial"/>
                <w:szCs w:val="22"/>
              </w:rPr>
              <w:t>collaboration with a private university in the state of Goiás, Brazil</w:t>
            </w:r>
            <w:r w:rsidR="00E934A9">
              <w:rPr>
                <w:rFonts w:ascii="Arial" w:eastAsia="Calibri" w:hAnsi="Arial" w:cs="Arial"/>
                <w:szCs w:val="22"/>
              </w:rPr>
              <w:t xml:space="preserve">, </w:t>
            </w:r>
            <w:r w:rsidR="00BA0822" w:rsidRPr="00BA0822">
              <w:rPr>
                <w:rFonts w:ascii="Arial" w:eastAsia="Calibri" w:hAnsi="Arial" w:cs="Arial"/>
                <w:szCs w:val="22"/>
                <w:lang w:val="pt-BR"/>
              </w:rPr>
              <w:t>between March 2022 and December</w:t>
            </w:r>
            <w:r w:rsidR="009B144D">
              <w:rPr>
                <w:rFonts w:ascii="Arial" w:eastAsia="Calibri" w:hAnsi="Arial" w:cs="Arial"/>
                <w:szCs w:val="22"/>
                <w:lang w:val="pt-BR"/>
              </w:rPr>
              <w:t xml:space="preserve"> </w:t>
            </w:r>
            <w:r w:rsidR="00BA0822" w:rsidRPr="00BA0822">
              <w:rPr>
                <w:rFonts w:ascii="Arial" w:eastAsia="Calibri" w:hAnsi="Arial" w:cs="Arial"/>
                <w:szCs w:val="22"/>
                <w:lang w:val="pt-BR"/>
              </w:rPr>
              <w:t>2024</w:t>
            </w:r>
            <w:r w:rsidR="00BA0822">
              <w:rPr>
                <w:rFonts w:ascii="Arial" w:eastAsia="Calibri" w:hAnsi="Arial" w:cs="Arial"/>
                <w:szCs w:val="22"/>
                <w:lang w:val="pt-BR"/>
              </w:rPr>
              <w:t>.</w:t>
            </w:r>
          </w:p>
          <w:p w14:paraId="52B66B2D" w14:textId="77777777" w:rsidR="009B144D" w:rsidRDefault="00BA1B01" w:rsidP="00581F69">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8F4897" w:rsidRPr="008F4897">
              <w:rPr>
                <w:rFonts w:ascii="Arial" w:eastAsia="Calibri" w:hAnsi="Arial" w:cs="Arial"/>
                <w:szCs w:val="22"/>
              </w:rPr>
              <w:t>This study involves the evaluation and comparison of the functional performance of a sample of 36 patients using the 2-Minute Walk Test (2MWT) with an inertial sensor at two distinct time points, 12 to 24 months postoperatively. Patients were characterized by age, sex, BMI, postoperative time, laterality of the operated knee, and type of prosthesis used (fixed plateau or mobile plateau)</w:t>
            </w:r>
            <w:r w:rsidR="008F4897">
              <w:rPr>
                <w:rFonts w:ascii="Arial" w:eastAsia="Calibri" w:hAnsi="Arial" w:cs="Arial"/>
                <w:szCs w:val="22"/>
              </w:rPr>
              <w:t>.</w:t>
            </w:r>
          </w:p>
          <w:p w14:paraId="6CA7098F" w14:textId="2A43C040" w:rsidR="00DF3C25" w:rsidRPr="009B144D" w:rsidRDefault="00BA1B01" w:rsidP="00581F69">
            <w:pPr>
              <w:pStyle w:val="Body"/>
              <w:spacing w:after="0"/>
              <w:rPr>
                <w:rFonts w:ascii="Arial" w:eastAsia="Calibri" w:hAnsi="Arial" w:cs="Arial"/>
                <w:szCs w:val="22"/>
                <w:lang w:val="pt-BR"/>
              </w:rPr>
            </w:pPr>
            <w:r w:rsidRPr="00BA1B01">
              <w:rPr>
                <w:rFonts w:ascii="Arial" w:eastAsia="Calibri" w:hAnsi="Arial" w:cs="Arial"/>
                <w:b/>
                <w:bCs/>
                <w:szCs w:val="22"/>
              </w:rPr>
              <w:t>Results:</w:t>
            </w:r>
            <w:r w:rsidRPr="00BA1B01">
              <w:rPr>
                <w:rFonts w:ascii="Arial" w:eastAsia="Calibri" w:hAnsi="Arial" w:cs="Arial"/>
                <w:szCs w:val="22"/>
              </w:rPr>
              <w:t xml:space="preserve"> </w:t>
            </w:r>
            <w:r w:rsidR="00DF3C25" w:rsidRPr="00DF3C25">
              <w:rPr>
                <w:rFonts w:ascii="Arial" w:eastAsia="Calibri" w:hAnsi="Arial" w:cs="Arial"/>
                <w:szCs w:val="22"/>
                <w:lang w:val="pt-BR"/>
              </w:rPr>
              <w:t xml:space="preserve">The study included 36 participants (21 women, 15 men; mean age 69.38 years, BMI 30.46), with 24 undergoing right knee </w:t>
            </w:r>
            <w:proofErr w:type="gramStart"/>
            <w:r w:rsidR="00DF3C25" w:rsidRPr="00DF3C25">
              <w:rPr>
                <w:rFonts w:ascii="Arial" w:eastAsia="Calibri" w:hAnsi="Arial" w:cs="Arial"/>
                <w:szCs w:val="22"/>
                <w:lang w:val="pt-BR"/>
              </w:rPr>
              <w:t>arthroplasty</w:t>
            </w:r>
            <w:proofErr w:type="gramEnd"/>
            <w:r w:rsidR="00DF3C25" w:rsidRPr="00DF3C25">
              <w:rPr>
                <w:rFonts w:ascii="Arial" w:eastAsia="Calibri" w:hAnsi="Arial" w:cs="Arial"/>
                <w:szCs w:val="22"/>
                <w:lang w:val="pt-BR"/>
              </w:rPr>
              <w:t xml:space="preserve">. Half received fixed and half rotating tibial plateau prostheses. Postoperative assessments at 17.31 and 42.80 months showed no significant differences in gait parameters between prosthesis types or sides. Pearson’s correlation revealed a strong negative relationship between test duration, cadence, and speed for rotating prostheses (r = -0.67/-0.66, </w:t>
            </w:r>
            <w:r w:rsidR="00205E7D" w:rsidRPr="00205E7D">
              <w:rPr>
                <w:rFonts w:ascii="Arial" w:eastAsia="Calibri" w:hAnsi="Arial" w:cs="Arial"/>
                <w:i/>
                <w:iCs/>
                <w:szCs w:val="22"/>
                <w:lang w:val="pt-BR"/>
              </w:rPr>
              <w:t xml:space="preserve">P </w:t>
            </w:r>
            <w:r w:rsidR="00DF3C25" w:rsidRPr="00205E7D">
              <w:rPr>
                <w:rFonts w:ascii="Arial" w:eastAsia="Calibri" w:hAnsi="Arial" w:cs="Arial"/>
                <w:i/>
                <w:iCs/>
                <w:szCs w:val="22"/>
                <w:lang w:val="pt-BR"/>
              </w:rPr>
              <w:t>= .001</w:t>
            </w:r>
            <w:r w:rsidR="00DF3C25" w:rsidRPr="00DF3C25">
              <w:rPr>
                <w:rFonts w:ascii="Arial" w:eastAsia="Calibri" w:hAnsi="Arial" w:cs="Arial"/>
                <w:szCs w:val="22"/>
                <w:lang w:val="pt-BR"/>
              </w:rPr>
              <w:t xml:space="preserve">) and between duration and speed for fixed prostheses (r = -0.8, </w:t>
            </w:r>
            <w:r w:rsidR="00205E7D" w:rsidRPr="00205E7D">
              <w:rPr>
                <w:rFonts w:ascii="Arial" w:eastAsia="Calibri" w:hAnsi="Arial" w:cs="Arial"/>
                <w:i/>
                <w:iCs/>
                <w:szCs w:val="22"/>
                <w:lang w:val="pt-BR"/>
              </w:rPr>
              <w:t>P</w:t>
            </w:r>
            <w:r w:rsidR="00DF3C25" w:rsidRPr="00205E7D">
              <w:rPr>
                <w:rFonts w:ascii="Arial" w:eastAsia="Calibri" w:hAnsi="Arial" w:cs="Arial"/>
                <w:i/>
                <w:iCs/>
                <w:szCs w:val="22"/>
                <w:lang w:val="pt-BR"/>
              </w:rPr>
              <w:t>&lt;.001</w:t>
            </w:r>
            <w:r w:rsidR="00DF3C25" w:rsidRPr="00DF3C25">
              <w:rPr>
                <w:rFonts w:ascii="Arial" w:eastAsia="Calibri" w:hAnsi="Arial" w:cs="Arial"/>
                <w:szCs w:val="22"/>
                <w:lang w:val="pt-BR"/>
              </w:rPr>
              <w:t>)</w:t>
            </w:r>
            <w:r w:rsidR="00DF3C25">
              <w:rPr>
                <w:rFonts w:ascii="Arial" w:eastAsia="Calibri" w:hAnsi="Arial" w:cs="Arial"/>
                <w:szCs w:val="22"/>
                <w:lang w:val="pt-BR"/>
              </w:rPr>
              <w:t xml:space="preserve">. </w:t>
            </w:r>
          </w:p>
          <w:p w14:paraId="129F537B" w14:textId="7E16FFFE" w:rsidR="00505F06" w:rsidRPr="000C625B" w:rsidRDefault="00BA1B01" w:rsidP="000C625B">
            <w:pPr>
              <w:pStyle w:val="Body"/>
              <w:rPr>
                <w:rFonts w:ascii="Arial" w:eastAsia="Calibri" w:hAnsi="Arial" w:cs="Arial"/>
                <w:szCs w:val="22"/>
                <w:lang w:val="pt-BR"/>
              </w:rPr>
            </w:pPr>
            <w:r w:rsidRPr="00BA1B01">
              <w:rPr>
                <w:rFonts w:ascii="Arial" w:eastAsia="Calibri" w:hAnsi="Arial" w:cs="Arial"/>
                <w:b/>
                <w:bCs/>
                <w:szCs w:val="22"/>
              </w:rPr>
              <w:t>Conclusion:</w:t>
            </w:r>
            <w:r w:rsidR="00B54275">
              <w:rPr>
                <w:rFonts w:ascii="Arial" w:eastAsia="Calibri" w:hAnsi="Arial" w:cs="Arial"/>
                <w:b/>
                <w:bCs/>
                <w:szCs w:val="22"/>
              </w:rPr>
              <w:t xml:space="preserve"> </w:t>
            </w:r>
            <w:r w:rsidR="00B54275" w:rsidRPr="00B54275">
              <w:rPr>
                <w:rFonts w:ascii="Arial" w:eastAsia="Calibri" w:hAnsi="Arial" w:cs="Arial"/>
                <w:szCs w:val="22"/>
                <w:lang w:val="pt-BR"/>
              </w:rPr>
              <w:t>This study found no significant functional differences between fixed and rotating tibial plateau prostheses using the 2-Minute Walk Test. Both implants restored knee mobility effectively, emphasizing the utility of inertial sensors for clinical assessment. Further research with larger samples is needed to confirm these findings.</w:t>
            </w:r>
          </w:p>
        </w:tc>
      </w:tr>
    </w:tbl>
    <w:p w14:paraId="4428F4E6" w14:textId="77777777" w:rsidR="00636EB2" w:rsidRDefault="00636EB2" w:rsidP="00441B6F">
      <w:pPr>
        <w:pStyle w:val="Body"/>
        <w:spacing w:after="0"/>
        <w:rPr>
          <w:rFonts w:ascii="Arial" w:hAnsi="Arial" w:cs="Arial"/>
          <w:i/>
        </w:rPr>
      </w:pPr>
    </w:p>
    <w:p w14:paraId="025F1CFC" w14:textId="76E2FB08" w:rsidR="0024282C" w:rsidRPr="00E932D2" w:rsidRDefault="00A24E7E" w:rsidP="00441B6F">
      <w:pPr>
        <w:pStyle w:val="Body"/>
        <w:spacing w:after="0"/>
        <w:rPr>
          <w:rFonts w:ascii="Arial" w:hAnsi="Arial" w:cs="Arial"/>
          <w:i/>
        </w:rPr>
      </w:pPr>
      <w:r>
        <w:rPr>
          <w:rFonts w:ascii="Arial" w:hAnsi="Arial" w:cs="Arial"/>
          <w:i/>
        </w:rPr>
        <w:t xml:space="preserve">Keywords: </w:t>
      </w:r>
      <w:r w:rsidR="00085216">
        <w:rPr>
          <w:rFonts w:ascii="Arial" w:hAnsi="Arial" w:cs="Arial"/>
          <w:i/>
        </w:rPr>
        <w:t>P</w:t>
      </w:r>
      <w:r w:rsidR="00085216" w:rsidRPr="00D466A6">
        <w:rPr>
          <w:rFonts w:ascii="Arial" w:hAnsi="Arial" w:cs="Arial"/>
          <w:i/>
        </w:rPr>
        <w:t>ostoperative Period</w:t>
      </w:r>
      <w:r w:rsidR="00085216">
        <w:rPr>
          <w:rFonts w:ascii="Arial" w:hAnsi="Arial" w:cs="Arial"/>
          <w:i/>
        </w:rPr>
        <w:t xml:space="preserve">; </w:t>
      </w:r>
      <w:r w:rsidR="00205E7D" w:rsidRPr="00C83887">
        <w:rPr>
          <w:rFonts w:ascii="Arial" w:hAnsi="Arial" w:cs="Arial"/>
          <w:i/>
        </w:rPr>
        <w:t>Gait Analysis</w:t>
      </w:r>
      <w:r w:rsidR="00205E7D">
        <w:rPr>
          <w:rFonts w:ascii="Arial" w:hAnsi="Arial" w:cs="Arial"/>
          <w:i/>
        </w:rPr>
        <w:t xml:space="preserve">; </w:t>
      </w:r>
      <w:r w:rsidR="00085216" w:rsidRPr="005804B6">
        <w:rPr>
          <w:rFonts w:ascii="Arial" w:hAnsi="Arial" w:cs="Arial"/>
          <w:i/>
        </w:rPr>
        <w:t>Rehabilitation</w:t>
      </w:r>
      <w:r w:rsidR="00085216">
        <w:rPr>
          <w:rFonts w:ascii="Arial" w:hAnsi="Arial" w:cs="Arial"/>
          <w:i/>
        </w:rPr>
        <w:t xml:space="preserve">; </w:t>
      </w:r>
      <w:r w:rsidR="00085216" w:rsidRPr="003F141C">
        <w:rPr>
          <w:rFonts w:ascii="Arial" w:hAnsi="Arial" w:cs="Arial"/>
          <w:i/>
        </w:rPr>
        <w:t>Physical Functional Performance</w:t>
      </w:r>
      <w:r w:rsidR="00085216">
        <w:rPr>
          <w:rFonts w:ascii="Arial" w:hAnsi="Arial" w:cs="Arial"/>
          <w:i/>
        </w:rPr>
        <w:t xml:space="preserve">.  </w:t>
      </w:r>
    </w:p>
    <w:p w14:paraId="15E79C22" w14:textId="77777777" w:rsidR="00505F06" w:rsidRPr="00A24E7E" w:rsidRDefault="00505F06" w:rsidP="00441B6F">
      <w:pPr>
        <w:pStyle w:val="Body"/>
        <w:spacing w:after="0"/>
        <w:rPr>
          <w:rFonts w:ascii="Arial" w:hAnsi="Arial" w:cs="Arial"/>
          <w:i/>
        </w:rPr>
      </w:pPr>
    </w:p>
    <w:p w14:paraId="715D7AC0" w14:textId="6DCBBA42"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2A3B03A6" w14:textId="77777777" w:rsidR="00790ADA" w:rsidRPr="00FB3A86" w:rsidRDefault="00790ADA" w:rsidP="00441B6F">
      <w:pPr>
        <w:pStyle w:val="AbstHead"/>
        <w:spacing w:after="0"/>
        <w:jc w:val="both"/>
        <w:rPr>
          <w:rFonts w:ascii="Arial" w:hAnsi="Arial" w:cs="Arial"/>
        </w:rPr>
      </w:pPr>
    </w:p>
    <w:p w14:paraId="7610ABCE" w14:textId="32A993C0" w:rsidR="002A4E6A" w:rsidRPr="002A4E6A" w:rsidRDefault="002A4E6A" w:rsidP="002A4E6A">
      <w:pPr>
        <w:pStyle w:val="Body"/>
        <w:rPr>
          <w:rFonts w:ascii="Arial" w:eastAsia="Calibri" w:hAnsi="Arial" w:cs="Arial"/>
          <w:szCs w:val="22"/>
          <w:lang w:val="pt-BR"/>
        </w:rPr>
      </w:pPr>
      <w:r w:rsidRPr="002A4E6A">
        <w:rPr>
          <w:rFonts w:ascii="Arial" w:eastAsia="Calibri" w:hAnsi="Arial" w:cs="Arial"/>
          <w:szCs w:val="22"/>
          <w:lang w:val="pt-BR"/>
        </w:rPr>
        <w:t xml:space="preserve">The progressive musculoskeletal condition is common, and a large portion of patients lacks access to proper diagnosis and treatment (Prieto-Alhambra et al., 2014). It causes pain, limitations in functional capacity, and a consequent reduction in quality of life (Neogi, 2013). Its origin can be classified as primary or secondary. Primary causes, often unclear, are associated with genetic factors, age-related changes, ethnic variations, and biomechanical aspects (Schofield et al., 2018). Secondary causes include post-traumatic, dysplastic, </w:t>
      </w:r>
      <w:r w:rsidRPr="002A4E6A">
        <w:rPr>
          <w:rFonts w:ascii="Arial" w:eastAsia="Calibri" w:hAnsi="Arial" w:cs="Arial"/>
          <w:szCs w:val="22"/>
          <w:lang w:val="pt-BR"/>
        </w:rPr>
        <w:lastRenderedPageBreak/>
        <w:t>infectious, inflammatory, or biochemical origins that are not yet fully understood (Silverwood et al., 2015), or even a combination of these factors (Felson, 2013).</w:t>
      </w:r>
    </w:p>
    <w:p w14:paraId="789BECA7" w14:textId="77777777" w:rsidR="002A4E6A" w:rsidRDefault="002A4E6A" w:rsidP="002A4E6A">
      <w:pPr>
        <w:pStyle w:val="Body"/>
        <w:spacing w:after="0"/>
        <w:rPr>
          <w:rFonts w:ascii="Arial" w:eastAsia="Calibri" w:hAnsi="Arial" w:cs="Arial"/>
          <w:szCs w:val="22"/>
          <w:lang w:val="pt-BR"/>
        </w:rPr>
      </w:pPr>
      <w:r w:rsidRPr="002A4E6A">
        <w:rPr>
          <w:rFonts w:ascii="Arial" w:eastAsia="Calibri" w:hAnsi="Arial" w:cs="Arial"/>
          <w:szCs w:val="22"/>
          <w:lang w:val="pt-BR"/>
        </w:rPr>
        <w:t>Osteoarthritis is characterized by a dynamic imbalance between tissue repair and destruction within the synovial tissues (Hunter, Prieto-Alhambra, and Arden, 2014). During compositional changes, cartilage loses its integrity (Loeser, Collins, and Diekman, 2016), increasing its susceptibility to physical stresses or loads that patients experience during simple activities, such as walking. In an attempt at repair, chondrocyte hypertrophy occurs, leading to increased synthetic activity. However, inflammatory content is generated, exacerbating the degradation process over years of pathogenesis (Hsia et al., 2018).</w:t>
      </w:r>
    </w:p>
    <w:p w14:paraId="15EEAC0D" w14:textId="77777777" w:rsidR="00F82709" w:rsidRPr="002A4E6A" w:rsidRDefault="00F82709" w:rsidP="002A4E6A">
      <w:pPr>
        <w:pStyle w:val="Body"/>
        <w:spacing w:after="0"/>
        <w:rPr>
          <w:rFonts w:ascii="Arial" w:eastAsia="Calibri" w:hAnsi="Arial" w:cs="Arial"/>
          <w:szCs w:val="22"/>
          <w:lang w:val="pt-BR"/>
        </w:rPr>
      </w:pPr>
    </w:p>
    <w:p w14:paraId="10D2B563" w14:textId="77777777" w:rsidR="002A4E6A" w:rsidRDefault="002A4E6A" w:rsidP="002A4E6A">
      <w:pPr>
        <w:pStyle w:val="Body"/>
        <w:spacing w:after="0"/>
        <w:rPr>
          <w:rFonts w:ascii="Arial" w:eastAsia="Calibri" w:hAnsi="Arial" w:cs="Arial"/>
          <w:szCs w:val="22"/>
          <w:lang w:val="pt-BR"/>
        </w:rPr>
      </w:pPr>
      <w:r w:rsidRPr="002A4E6A">
        <w:rPr>
          <w:rFonts w:ascii="Arial" w:eastAsia="Calibri" w:hAnsi="Arial" w:cs="Arial"/>
          <w:szCs w:val="22"/>
          <w:lang w:val="pt-BR"/>
        </w:rPr>
        <w:t>Among treatment options, knee arthroplasty surgery is considered a resource for advanced clinical conditions, aiming to restore joint functionality and improve patients' quality of life (Abdul et al., 2015). Regarding the evolution of prosthetic materials and design, the surgeon must determine the type of knee prosthesis during the preoperative evaluation based on the patient’s case, considering factors such as the need for greater or lesser prosthesis constraint, mobility of the tibial plateau, preservation or removal of the posterior cruciate ligament, and cemented or uncemented fixation (Dall’Oca et al., 2017), to ensure joint congruence and greater resistance to stress and load (Causero et al., 2014).</w:t>
      </w:r>
    </w:p>
    <w:p w14:paraId="2362FB19" w14:textId="77777777" w:rsidR="00F82709" w:rsidRPr="002A4E6A" w:rsidRDefault="00F82709" w:rsidP="002A4E6A">
      <w:pPr>
        <w:pStyle w:val="Body"/>
        <w:spacing w:after="0"/>
        <w:rPr>
          <w:rFonts w:ascii="Arial" w:eastAsia="Calibri" w:hAnsi="Arial" w:cs="Arial"/>
          <w:szCs w:val="22"/>
          <w:lang w:val="pt-BR"/>
        </w:rPr>
      </w:pPr>
    </w:p>
    <w:p w14:paraId="7E854E09" w14:textId="77777777" w:rsidR="002A4E6A" w:rsidRDefault="002A4E6A" w:rsidP="002A4E6A">
      <w:pPr>
        <w:pStyle w:val="Body"/>
        <w:spacing w:after="0"/>
        <w:rPr>
          <w:rFonts w:ascii="Arial" w:eastAsia="Calibri" w:hAnsi="Arial" w:cs="Arial"/>
          <w:szCs w:val="22"/>
          <w:lang w:val="pt-BR"/>
        </w:rPr>
      </w:pPr>
      <w:r w:rsidRPr="002A4E6A">
        <w:rPr>
          <w:rFonts w:ascii="Arial" w:eastAsia="Calibri" w:hAnsi="Arial" w:cs="Arial"/>
          <w:szCs w:val="22"/>
          <w:lang w:val="pt-BR"/>
        </w:rPr>
        <w:t>The postoperative period of knee arthroplasty influences the evolution of functional performance, both in the patient's subjective perception and in objective tests evaluated through indicators such as quality of life, walking speed, and knee range of motion, with the most significant progress observed after the first year (Bonnefoy-Mazure et al., 2017). The knee replacement surgery contributes to the functional recovery of the lower limbs, promoting significant improvements in gait and balance within the first three months post-surgery. However, beyond this period, no further progression in balance is observed when specifically evaluated through the Timed Up and Go and single-leg support tests (Tsubosaka et al., 2020).</w:t>
      </w:r>
    </w:p>
    <w:p w14:paraId="618C1B5E" w14:textId="77777777" w:rsidR="00F82709" w:rsidRPr="002A4E6A" w:rsidRDefault="00F82709" w:rsidP="002A4E6A">
      <w:pPr>
        <w:pStyle w:val="Body"/>
        <w:spacing w:after="0"/>
        <w:rPr>
          <w:rFonts w:ascii="Arial" w:eastAsia="Calibri" w:hAnsi="Arial" w:cs="Arial"/>
          <w:szCs w:val="22"/>
          <w:lang w:val="pt-BR"/>
        </w:rPr>
      </w:pPr>
    </w:p>
    <w:p w14:paraId="5B0F9C83" w14:textId="496E7DFC" w:rsidR="002A4E6A" w:rsidRPr="002A4E6A" w:rsidRDefault="002A4E6A" w:rsidP="002A4E6A">
      <w:pPr>
        <w:pStyle w:val="Body"/>
        <w:spacing w:after="0"/>
        <w:rPr>
          <w:rFonts w:ascii="Arial" w:eastAsia="Calibri" w:hAnsi="Arial" w:cs="Arial"/>
          <w:szCs w:val="22"/>
          <w:lang w:val="pt-BR"/>
        </w:rPr>
      </w:pPr>
      <w:r w:rsidRPr="002A4E6A">
        <w:rPr>
          <w:rFonts w:ascii="Arial" w:eastAsia="Calibri" w:hAnsi="Arial" w:cs="Arial"/>
          <w:szCs w:val="22"/>
          <w:lang w:val="pt-BR"/>
        </w:rPr>
        <w:t>The objective of the present study is to evaluate and compare the functional performance of patients undergoing primary knee arthroplasty with two types of knee prostheses (posterior-stabilized prosthesis with a fixed tibial plateau base and congruent prosthesis with a rotating tibial plateau) for the treatment of advanced knee osteoarthritis using the 2-Minute Walk Test with the G-Sensor® inertial sensor (BTS Bioengineering S.p.A., Italy) in two distinct evaluations, corresponding to 12 and 24 months postoperatively</w:t>
      </w:r>
      <w:r w:rsidR="005309D6">
        <w:rPr>
          <w:rFonts w:ascii="Arial" w:eastAsia="Calibri" w:hAnsi="Arial" w:cs="Arial"/>
          <w:szCs w:val="22"/>
          <w:lang w:val="pt-BR"/>
        </w:rPr>
        <w:t xml:space="preserve">. </w:t>
      </w:r>
    </w:p>
    <w:p w14:paraId="35720BE7" w14:textId="00F44781" w:rsidR="00790ADA" w:rsidRPr="00FB3A86" w:rsidRDefault="00790ADA" w:rsidP="002A4E6A">
      <w:pPr>
        <w:pStyle w:val="Body"/>
        <w:spacing w:after="0"/>
        <w:rPr>
          <w:rFonts w:ascii="Arial" w:hAnsi="Arial" w:cs="Arial"/>
        </w:rPr>
      </w:pPr>
    </w:p>
    <w:p w14:paraId="733F7E3F" w14:textId="317FEC21" w:rsidR="007F7B32" w:rsidRDefault="00902823" w:rsidP="00441B6F">
      <w:pPr>
        <w:pStyle w:val="AbstHead"/>
        <w:spacing w:after="0"/>
        <w:jc w:val="both"/>
        <w:rPr>
          <w:rFonts w:ascii="Arial" w:hAnsi="Arial" w:cs="Arial"/>
        </w:rPr>
      </w:pPr>
      <w:r>
        <w:rPr>
          <w:rFonts w:ascii="Arial" w:hAnsi="Arial" w:cs="Arial"/>
        </w:rPr>
        <w:t xml:space="preserve">2. </w:t>
      </w:r>
      <w:r w:rsidR="006B57D0">
        <w:rPr>
          <w:rFonts w:ascii="Arial" w:hAnsi="Arial" w:cs="Arial"/>
        </w:rPr>
        <w:t>methodology</w:t>
      </w:r>
      <w:r w:rsidR="007F7B32">
        <w:rPr>
          <w:rFonts w:ascii="Arial" w:hAnsi="Arial" w:cs="Arial"/>
        </w:rPr>
        <w:t xml:space="preserve"> </w:t>
      </w:r>
    </w:p>
    <w:p w14:paraId="65DB3537" w14:textId="77777777" w:rsidR="00790ADA" w:rsidRPr="00FB3A86" w:rsidRDefault="00790ADA" w:rsidP="00441B6F">
      <w:pPr>
        <w:pStyle w:val="AbstHead"/>
        <w:spacing w:after="0"/>
        <w:jc w:val="both"/>
        <w:rPr>
          <w:rFonts w:ascii="Arial" w:hAnsi="Arial" w:cs="Arial"/>
        </w:rPr>
      </w:pPr>
    </w:p>
    <w:p w14:paraId="3442ED62" w14:textId="735D2056" w:rsidR="004B2663" w:rsidRPr="004B2663" w:rsidRDefault="00F3426F" w:rsidP="004B2663">
      <w:pPr>
        <w:pStyle w:val="Body"/>
        <w:rPr>
          <w:rFonts w:ascii="Arial" w:eastAsia="Calibri" w:hAnsi="Arial" w:cs="Arial"/>
          <w:szCs w:val="22"/>
          <w:lang w:val="pt-BR"/>
        </w:rPr>
      </w:pPr>
      <w:r w:rsidRPr="00F3426F">
        <w:rPr>
          <w:rFonts w:ascii="Arial" w:eastAsia="Calibri" w:hAnsi="Arial" w:cs="Arial"/>
          <w:szCs w:val="22"/>
        </w:rPr>
        <w:t>The study participants were recruited from a tertiary hospital</w:t>
      </w:r>
      <w:r>
        <w:rPr>
          <w:rFonts w:ascii="Arial" w:eastAsia="Calibri" w:hAnsi="Arial" w:cs="Arial"/>
          <w:szCs w:val="22"/>
        </w:rPr>
        <w:t xml:space="preserve">, </w:t>
      </w:r>
      <w:r w:rsidR="004B2663" w:rsidRPr="004B2663">
        <w:rPr>
          <w:rFonts w:ascii="Arial" w:eastAsia="Calibri" w:hAnsi="Arial" w:cs="Arial"/>
          <w:szCs w:val="22"/>
          <w:lang w:val="pt-BR"/>
        </w:rPr>
        <w:t>located in the state of Goiás, in the city of Goiânia, Brazil. The initial sample of this study consisted of 36 patients who had already undergone total knee arthroplasty. The sample size calculation was based on the findings of Tsubosaka et al. (2020) in a repeated-measures analysis of variance, using a minimum treatment mean difference of 0.2, a standard deviation of 0.3, a statistical power of 80%, and a significance level of .05. Based on these parameters, the total sample size was estimated to be 54 patients.</w:t>
      </w:r>
    </w:p>
    <w:p w14:paraId="0699A66A" w14:textId="11B53FD1" w:rsidR="004B2663" w:rsidRDefault="004B2663" w:rsidP="004B2663">
      <w:pPr>
        <w:pStyle w:val="Body"/>
        <w:spacing w:after="0"/>
        <w:rPr>
          <w:rFonts w:ascii="Arial" w:eastAsia="Calibri" w:hAnsi="Arial" w:cs="Arial"/>
          <w:szCs w:val="22"/>
          <w:lang w:val="pt-BR"/>
        </w:rPr>
      </w:pPr>
      <w:r w:rsidRPr="004B2663">
        <w:rPr>
          <w:rFonts w:ascii="Arial" w:eastAsia="Calibri" w:hAnsi="Arial" w:cs="Arial"/>
          <w:szCs w:val="22"/>
          <w:lang w:val="pt-BR"/>
        </w:rPr>
        <w:t>Data collection was conducted following approval from the Research Ethics Committee</w:t>
      </w:r>
      <w:r w:rsidR="007C5EF6">
        <w:rPr>
          <w:rFonts w:ascii="Arial" w:eastAsia="Calibri" w:hAnsi="Arial" w:cs="Arial"/>
          <w:szCs w:val="22"/>
          <w:lang w:val="pt-BR"/>
        </w:rPr>
        <w:t xml:space="preserve">. </w:t>
      </w:r>
      <w:r w:rsidRPr="004B2663">
        <w:rPr>
          <w:rFonts w:ascii="Arial" w:eastAsia="Calibri" w:hAnsi="Arial" w:cs="Arial"/>
          <w:szCs w:val="22"/>
          <w:lang w:val="pt-BR"/>
        </w:rPr>
        <w:t xml:space="preserve"> Patients underwent a screening and evaluation protocol that included the Timed Up and Go (TUG) test, Walk test, and 2-Minute Walk Test. All participants were informed beforehand about potential risks and discomforts associated with participation. Although the study presented a low level of risk, as it involved non-invasive procedures in the fields of </w:t>
      </w:r>
      <w:r w:rsidRPr="004B2663">
        <w:rPr>
          <w:rFonts w:ascii="Arial" w:eastAsia="Calibri" w:hAnsi="Arial" w:cs="Arial"/>
          <w:szCs w:val="22"/>
          <w:lang w:val="pt-BR"/>
        </w:rPr>
        <w:lastRenderedPageBreak/>
        <w:t>Orthopedics and Physiotherapy, some discomforts could occur, such as muscle fatigue, cramps, or falls during testing.</w:t>
      </w:r>
    </w:p>
    <w:p w14:paraId="4FE48151" w14:textId="77777777" w:rsidR="00C91FDC" w:rsidRPr="004B2663" w:rsidRDefault="00C91FDC" w:rsidP="004B2663">
      <w:pPr>
        <w:pStyle w:val="Body"/>
        <w:spacing w:after="0"/>
        <w:rPr>
          <w:rFonts w:ascii="Arial" w:eastAsia="Calibri" w:hAnsi="Arial" w:cs="Arial"/>
          <w:szCs w:val="22"/>
          <w:lang w:val="pt-BR"/>
        </w:rPr>
      </w:pPr>
    </w:p>
    <w:p w14:paraId="4F91F3DE" w14:textId="19AEFF32" w:rsidR="004B2663" w:rsidRPr="004B2663" w:rsidRDefault="004B2663" w:rsidP="004B2663">
      <w:pPr>
        <w:pStyle w:val="Body"/>
        <w:spacing w:after="0"/>
        <w:rPr>
          <w:rFonts w:ascii="Arial" w:eastAsia="Calibri" w:hAnsi="Arial" w:cs="Arial"/>
          <w:szCs w:val="22"/>
          <w:lang w:val="pt-BR"/>
        </w:rPr>
      </w:pPr>
      <w:r w:rsidRPr="004B2663">
        <w:rPr>
          <w:rFonts w:ascii="Arial" w:eastAsia="Calibri" w:hAnsi="Arial" w:cs="Arial"/>
          <w:szCs w:val="22"/>
          <w:lang w:val="pt-BR"/>
        </w:rPr>
        <w:t xml:space="preserve">If any discomfort arose during the study, participants would be referred to </w:t>
      </w:r>
      <w:r w:rsidR="00BD1927">
        <w:rPr>
          <w:rFonts w:ascii="Arial" w:eastAsia="Calibri" w:hAnsi="Arial" w:cs="Arial"/>
          <w:szCs w:val="22"/>
          <w:lang w:val="pt-BR"/>
        </w:rPr>
        <w:t xml:space="preserve">in </w:t>
      </w:r>
      <w:r w:rsidR="007C5EF6">
        <w:rPr>
          <w:rFonts w:ascii="Arial" w:eastAsia="Calibri" w:hAnsi="Arial" w:cs="Arial"/>
          <w:szCs w:val="22"/>
          <w:lang w:val="pt-BR"/>
        </w:rPr>
        <w:t>hospital</w:t>
      </w:r>
      <w:r w:rsidRPr="004B2663">
        <w:rPr>
          <w:rFonts w:ascii="Arial" w:eastAsia="Calibri" w:hAnsi="Arial" w:cs="Arial"/>
          <w:szCs w:val="22"/>
          <w:lang w:val="pt-BR"/>
        </w:rPr>
        <w:t xml:space="preserve"> outpatient clinic, where they would be attended to according to internal protocols and regulations, previously agreed upon with the institution's management. To minimize potential risks, patients were given sufficient time to adapt to the laboratory environment and familiarize themselves with the research team.</w:t>
      </w:r>
    </w:p>
    <w:p w14:paraId="2A48C970" w14:textId="77777777" w:rsidR="00790ADA" w:rsidRPr="00FB3A86" w:rsidRDefault="00790ADA" w:rsidP="00441B6F">
      <w:pPr>
        <w:pStyle w:val="Body"/>
        <w:spacing w:after="0"/>
        <w:rPr>
          <w:rFonts w:ascii="Arial" w:hAnsi="Arial" w:cs="Arial"/>
        </w:rPr>
      </w:pPr>
    </w:p>
    <w:p w14:paraId="08373339" w14:textId="77777777" w:rsidR="00694432" w:rsidRDefault="00694432" w:rsidP="00694432">
      <w:pPr>
        <w:pStyle w:val="Body"/>
        <w:spacing w:after="0"/>
        <w:rPr>
          <w:rFonts w:ascii="Arial" w:hAnsi="Arial" w:cs="Arial"/>
          <w:b/>
          <w:sz w:val="22"/>
        </w:rPr>
      </w:pPr>
      <w:r w:rsidRPr="00C30A0F">
        <w:rPr>
          <w:rFonts w:ascii="Arial" w:hAnsi="Arial" w:cs="Arial"/>
          <w:b/>
          <w:caps/>
          <w:sz w:val="22"/>
        </w:rPr>
        <w:t xml:space="preserve">2.1 </w:t>
      </w:r>
      <w:r w:rsidRPr="003414F3">
        <w:rPr>
          <w:rFonts w:ascii="Arial" w:hAnsi="Arial" w:cs="Arial"/>
          <w:b/>
          <w:sz w:val="22"/>
        </w:rPr>
        <w:t xml:space="preserve">Eligibility criteria </w:t>
      </w:r>
    </w:p>
    <w:p w14:paraId="6988491B" w14:textId="77777777" w:rsidR="0003188F" w:rsidRDefault="0003188F" w:rsidP="00694432">
      <w:pPr>
        <w:pStyle w:val="Body"/>
        <w:spacing w:after="0"/>
        <w:rPr>
          <w:rFonts w:ascii="Arial" w:hAnsi="Arial" w:cs="Arial"/>
          <w:b/>
          <w:sz w:val="22"/>
        </w:rPr>
      </w:pPr>
    </w:p>
    <w:p w14:paraId="697A838F" w14:textId="333572B4" w:rsidR="0003188F" w:rsidRPr="0003188F" w:rsidRDefault="0003188F" w:rsidP="0003188F">
      <w:pPr>
        <w:pStyle w:val="Body"/>
        <w:spacing w:after="0"/>
        <w:rPr>
          <w:rFonts w:ascii="Arial" w:hAnsi="Arial" w:cs="Arial"/>
          <w:bCs/>
          <w:lang w:val="pt-BR"/>
        </w:rPr>
      </w:pPr>
      <w:r w:rsidRPr="0003188F">
        <w:rPr>
          <w:rFonts w:ascii="Arial" w:hAnsi="Arial" w:cs="Arial"/>
          <w:bCs/>
          <w:lang w:val="pt-BR"/>
        </w:rPr>
        <w:t>For the inclusion criteria, participants were required to have a diagnosis of advanced knee osteoarthritis classified as grade ≥4 on the Kellgren and Lawrence scale, be between 50 and 80 years of age, and be undergoing their first surgery for the treatment of osteoarthritis.</w:t>
      </w:r>
      <w:r>
        <w:rPr>
          <w:rFonts w:ascii="Arial" w:hAnsi="Arial" w:cs="Arial"/>
          <w:bCs/>
          <w:lang w:val="pt-BR"/>
        </w:rPr>
        <w:t xml:space="preserve"> </w:t>
      </w:r>
      <w:r w:rsidRPr="0003188F">
        <w:rPr>
          <w:rFonts w:ascii="Arial" w:hAnsi="Arial" w:cs="Arial"/>
          <w:bCs/>
          <w:lang w:val="pt-BR"/>
        </w:rPr>
        <w:t>Exclusion criteria included the presence of neurodegenerative diseases, secondary osteoarthritis, prior knee surgeries, a history of knee fractures in the last 12 months, hip arthroplasty, pre- or postoperative infection, comorbidities that could hinder adequate rehabilitation and recovery after surgery, and having undergone knee revision arthroplasties.</w:t>
      </w:r>
    </w:p>
    <w:p w14:paraId="41D1F3D6" w14:textId="77777777" w:rsidR="00505F06" w:rsidRDefault="00505F06" w:rsidP="00441B6F">
      <w:pPr>
        <w:pStyle w:val="Body"/>
        <w:spacing w:after="0"/>
        <w:rPr>
          <w:rFonts w:ascii="Arial" w:hAnsi="Arial" w:cs="Arial"/>
        </w:rPr>
      </w:pPr>
    </w:p>
    <w:p w14:paraId="31FCBCD0" w14:textId="77777777" w:rsidR="008C59D6" w:rsidRDefault="008C59D6" w:rsidP="008C59D6">
      <w:pPr>
        <w:pStyle w:val="Body"/>
        <w:spacing w:after="0"/>
        <w:rPr>
          <w:rFonts w:ascii="Arial" w:hAnsi="Arial" w:cs="Arial"/>
          <w:b/>
          <w:sz w:val="22"/>
        </w:rPr>
      </w:pPr>
      <w:r w:rsidRPr="00C30A0F">
        <w:rPr>
          <w:rFonts w:ascii="Arial" w:hAnsi="Arial" w:cs="Arial"/>
          <w:b/>
          <w:caps/>
          <w:sz w:val="22"/>
        </w:rPr>
        <w:t>2.</w:t>
      </w:r>
      <w:r>
        <w:rPr>
          <w:rFonts w:ascii="Arial" w:hAnsi="Arial" w:cs="Arial"/>
          <w:b/>
          <w:caps/>
          <w:sz w:val="22"/>
        </w:rPr>
        <w:t xml:space="preserve">2 </w:t>
      </w:r>
      <w:r w:rsidRPr="003414F3">
        <w:rPr>
          <w:rFonts w:ascii="Arial" w:hAnsi="Arial" w:cs="Arial"/>
          <w:b/>
          <w:sz w:val="22"/>
        </w:rPr>
        <w:t xml:space="preserve">Patient assessment </w:t>
      </w:r>
    </w:p>
    <w:p w14:paraId="5A7BD9C5" w14:textId="77777777" w:rsidR="00601699" w:rsidRDefault="00601699" w:rsidP="008C59D6">
      <w:pPr>
        <w:pStyle w:val="Body"/>
        <w:spacing w:after="0"/>
        <w:rPr>
          <w:rFonts w:ascii="Arial" w:hAnsi="Arial" w:cs="Arial"/>
          <w:b/>
          <w:sz w:val="22"/>
        </w:rPr>
      </w:pPr>
    </w:p>
    <w:p w14:paraId="751594F8" w14:textId="55D4A9BB" w:rsidR="00601699" w:rsidRDefault="00455E8E" w:rsidP="008C59D6">
      <w:pPr>
        <w:pStyle w:val="Body"/>
        <w:spacing w:after="0"/>
        <w:rPr>
          <w:rFonts w:ascii="Arial" w:hAnsi="Arial" w:cs="Arial"/>
          <w:bCs/>
        </w:rPr>
      </w:pPr>
      <w:r w:rsidRPr="00455E8E">
        <w:rPr>
          <w:rFonts w:ascii="Arial" w:hAnsi="Arial" w:cs="Arial"/>
          <w:bCs/>
        </w:rPr>
        <w:t>Functional performance assessment was conducted using the 2-Minute Walk Test with the inertial sensor (G-Sensor®, BTS Bioengineering S.p.A., Italy), validated according to the protocol described by Brooks et al. (2011). Participants were instructed to walk at their normal speed along a 10-meter path marked by two red cones, as shown in Image 1. The entire time was timed by the researchers, with no stops, using the inertial sensor (G-Sensor®, BTS Bioengineering S.p.A., Italy) positioned on the lumbar region (specifically at the L2 level) with an elastic strap (</w:t>
      </w:r>
      <w:proofErr w:type="spellStart"/>
      <w:r w:rsidRPr="00455E8E">
        <w:rPr>
          <w:rFonts w:ascii="Arial" w:hAnsi="Arial" w:cs="Arial"/>
          <w:bCs/>
        </w:rPr>
        <w:t>Vroey</w:t>
      </w:r>
      <w:proofErr w:type="spellEnd"/>
      <w:r w:rsidRPr="00455E8E">
        <w:rPr>
          <w:rFonts w:ascii="Arial" w:hAnsi="Arial" w:cs="Arial"/>
          <w:bCs/>
        </w:rPr>
        <w:t xml:space="preserve"> et al., 2018).</w:t>
      </w:r>
    </w:p>
    <w:p w14:paraId="4102919C" w14:textId="69D9A16C" w:rsidR="00455E8E" w:rsidRDefault="00E619FA" w:rsidP="008C59D6">
      <w:pPr>
        <w:pStyle w:val="Body"/>
        <w:spacing w:after="0"/>
        <w:rPr>
          <w:rFonts w:ascii="Arial" w:hAnsi="Arial" w:cs="Arial"/>
          <w:bCs/>
        </w:rPr>
      </w:pPr>
      <w:r>
        <w:rPr>
          <w:rFonts w:ascii="Arial" w:hAnsi="Arial" w:cs="Arial"/>
          <w:bCs/>
        </w:rPr>
        <w:t xml:space="preserve"> </w:t>
      </w:r>
    </w:p>
    <w:p w14:paraId="7504DF8D" w14:textId="342F2A82" w:rsidR="00E619FA" w:rsidRDefault="00E619FA" w:rsidP="00E619FA">
      <w:pPr>
        <w:pStyle w:val="Body"/>
        <w:spacing w:after="0"/>
        <w:jc w:val="center"/>
        <w:rPr>
          <w:rFonts w:ascii="Arial" w:hAnsi="Arial" w:cs="Arial"/>
          <w:bCs/>
        </w:rPr>
      </w:pPr>
      <w:r w:rsidRPr="00AF5EBF">
        <w:rPr>
          <w:noProof/>
          <w:lang w:val="pt-BR"/>
        </w:rPr>
        <w:drawing>
          <wp:inline distT="0" distB="0" distL="0" distR="0" wp14:anchorId="107E817D" wp14:editId="603A5E18">
            <wp:extent cx="1702718" cy="2270235"/>
            <wp:effectExtent l="0" t="0" r="0" b="0"/>
            <wp:docPr id="452839072" name="Imagem 8" descr="Uma imagem contendo no interior, pequeno, homem, computer&#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39072" name="Imagem 8" descr="Uma imagem contendo no interior, pequeno, homem, computer&#10;&#10;Descrição gerad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8177" cy="2277513"/>
                    </a:xfrm>
                    <a:prstGeom prst="rect">
                      <a:avLst/>
                    </a:prstGeom>
                    <a:noFill/>
                    <a:ln>
                      <a:noFill/>
                    </a:ln>
                  </pic:spPr>
                </pic:pic>
              </a:graphicData>
            </a:graphic>
          </wp:inline>
        </w:drawing>
      </w:r>
    </w:p>
    <w:p w14:paraId="3C4F2513" w14:textId="77777777" w:rsidR="00E111E6" w:rsidRPr="00AF5EBF" w:rsidRDefault="00E111E6" w:rsidP="00E111E6">
      <w:pPr>
        <w:adjustRightInd w:val="0"/>
        <w:jc w:val="center"/>
        <w:rPr>
          <w:lang w:val="pt-BR"/>
        </w:rPr>
      </w:pPr>
      <w:r>
        <w:rPr>
          <w:rFonts w:ascii="Arial" w:hAnsi="Arial" w:cs="Arial"/>
          <w:b/>
          <w:bCs/>
          <w:szCs w:val="22"/>
        </w:rPr>
        <w:t>Fig.</w:t>
      </w:r>
      <w:r w:rsidRPr="008247A6">
        <w:rPr>
          <w:rFonts w:ascii="Arial" w:hAnsi="Arial" w:cs="Arial"/>
          <w:b/>
          <w:bCs/>
          <w:szCs w:val="22"/>
        </w:rPr>
        <w:t xml:space="preserve"> 1</w:t>
      </w:r>
      <w:r>
        <w:rPr>
          <w:rFonts w:ascii="Arial" w:hAnsi="Arial" w:cs="Arial"/>
          <w:b/>
          <w:bCs/>
          <w:szCs w:val="22"/>
        </w:rPr>
        <w:t>.</w:t>
      </w:r>
      <w:r w:rsidRPr="008247A6">
        <w:rPr>
          <w:rFonts w:ascii="Arial" w:hAnsi="Arial" w:cs="Arial"/>
          <w:b/>
          <w:bCs/>
          <w:szCs w:val="22"/>
        </w:rPr>
        <w:t xml:space="preserve"> </w:t>
      </w:r>
      <w:r w:rsidRPr="00581782">
        <w:rPr>
          <w:rFonts w:ascii="Arial" w:hAnsi="Arial" w:cs="Arial"/>
          <w:b/>
          <w:bCs/>
        </w:rPr>
        <w:t>Patient undergoing the collection of the 2 MWT with the respective demarcation on the floor to guide the test</w:t>
      </w:r>
    </w:p>
    <w:p w14:paraId="6F67A2A1" w14:textId="77777777" w:rsidR="00E619FA" w:rsidRPr="00455E8E" w:rsidRDefault="00E619FA" w:rsidP="00E619FA">
      <w:pPr>
        <w:pStyle w:val="Body"/>
        <w:spacing w:after="0"/>
        <w:jc w:val="center"/>
        <w:rPr>
          <w:rFonts w:ascii="Arial" w:hAnsi="Arial" w:cs="Arial"/>
          <w:bCs/>
        </w:rPr>
      </w:pPr>
    </w:p>
    <w:p w14:paraId="1F3C5F52" w14:textId="77C2E8DB" w:rsidR="00505F06" w:rsidRDefault="00FC1CFE" w:rsidP="00441B6F">
      <w:pPr>
        <w:pStyle w:val="Body"/>
        <w:spacing w:after="0"/>
        <w:rPr>
          <w:rFonts w:ascii="Arial" w:hAnsi="Arial" w:cs="Arial"/>
        </w:rPr>
      </w:pPr>
      <w:r w:rsidRPr="00FC1CFE">
        <w:rPr>
          <w:rFonts w:ascii="Arial" w:hAnsi="Arial" w:cs="Arial"/>
        </w:rPr>
        <w:t>The portable G-sensor is a wireless inertial sensor system for analyzing human movement (</w:t>
      </w:r>
      <w:proofErr w:type="spellStart"/>
      <w:r w:rsidRPr="00FC1CFE">
        <w:rPr>
          <w:rFonts w:ascii="Arial" w:hAnsi="Arial" w:cs="Arial"/>
        </w:rPr>
        <w:t>Sankarpandi</w:t>
      </w:r>
      <w:proofErr w:type="spellEnd"/>
      <w:r w:rsidRPr="00FC1CFE">
        <w:rPr>
          <w:rFonts w:ascii="Arial" w:hAnsi="Arial" w:cs="Arial"/>
        </w:rPr>
        <w:t xml:space="preserve"> et al., 2017). The sensors are controlled by a data recording unit (up to 16 elements) through ZigBee-type radio communication. Each sensor has dimensions of 62mm × 36mm × 16mm, weighs 60g, and consists of a three-axis accelerometer (maximum range of ±6g), a three-axis gyroscope (full scale ±300°/s), and a three-axis magnetometer (full </w:t>
      </w:r>
      <w:r w:rsidRPr="00FC1CFE">
        <w:rPr>
          <w:rFonts w:ascii="Arial" w:hAnsi="Arial" w:cs="Arial"/>
        </w:rPr>
        <w:lastRenderedPageBreak/>
        <w:t>scale ±6 Gauss). This device is calibrated with gravitational acceleration immediately after manufacturing. For this study, only one device was used to collect data at a sampling frequency of 50Hz. The inertial sensor data were transmitted via Bluetooth to a computer and processed using proprietary software (BTS G-STUDIO, version: 2.6.12.0), which automatically provided the parameters (Galli et al., 2015).</w:t>
      </w:r>
    </w:p>
    <w:p w14:paraId="0BF809D8" w14:textId="77777777" w:rsidR="00FC1CFE" w:rsidRDefault="00FC1CFE" w:rsidP="00441B6F">
      <w:pPr>
        <w:pStyle w:val="Body"/>
        <w:spacing w:after="0"/>
        <w:rPr>
          <w:rFonts w:ascii="Arial" w:hAnsi="Arial" w:cs="Arial"/>
        </w:rPr>
      </w:pPr>
    </w:p>
    <w:p w14:paraId="50599DDF" w14:textId="77777777" w:rsidR="00CC06C7" w:rsidRDefault="00CC06C7" w:rsidP="00CC06C7">
      <w:pPr>
        <w:pStyle w:val="Body"/>
        <w:spacing w:after="0"/>
        <w:rPr>
          <w:rFonts w:ascii="Arial" w:hAnsi="Arial" w:cs="Arial"/>
        </w:rPr>
      </w:pPr>
      <w:r w:rsidRPr="00C30A0F">
        <w:rPr>
          <w:rFonts w:ascii="Arial" w:hAnsi="Arial" w:cs="Arial"/>
          <w:b/>
          <w:caps/>
          <w:sz w:val="22"/>
        </w:rPr>
        <w:t>2.</w:t>
      </w:r>
      <w:r>
        <w:rPr>
          <w:rFonts w:ascii="Arial" w:hAnsi="Arial" w:cs="Arial"/>
          <w:b/>
          <w:caps/>
          <w:sz w:val="22"/>
        </w:rPr>
        <w:t>3</w:t>
      </w:r>
      <w:r w:rsidRPr="00C30A0F">
        <w:rPr>
          <w:rFonts w:ascii="Arial" w:hAnsi="Arial" w:cs="Arial"/>
          <w:b/>
          <w:caps/>
          <w:sz w:val="22"/>
        </w:rPr>
        <w:t xml:space="preserve"> </w:t>
      </w:r>
      <w:r w:rsidRPr="001A753B">
        <w:rPr>
          <w:rFonts w:ascii="Arial" w:hAnsi="Arial" w:cs="Arial"/>
          <w:b/>
          <w:sz w:val="22"/>
        </w:rPr>
        <w:t>Statistical analysis</w:t>
      </w:r>
      <w:r w:rsidRPr="00FB3A86">
        <w:rPr>
          <w:rFonts w:ascii="Arial" w:hAnsi="Arial" w:cs="Arial"/>
        </w:rPr>
        <w:t xml:space="preserve"> </w:t>
      </w:r>
    </w:p>
    <w:p w14:paraId="2750082E" w14:textId="36DDDE51" w:rsidR="00790ADA" w:rsidRDefault="00AA4EA4" w:rsidP="00441B6F">
      <w:pPr>
        <w:pStyle w:val="Body"/>
        <w:spacing w:after="0"/>
        <w:rPr>
          <w:rFonts w:ascii="Arial" w:hAnsi="Arial" w:cs="Arial"/>
        </w:rPr>
      </w:pPr>
      <w:r w:rsidRPr="00AA4EA4">
        <w:rPr>
          <w:rFonts w:ascii="Arial" w:hAnsi="Arial" w:cs="Arial"/>
        </w:rPr>
        <w:t xml:space="preserve">Normality of the data was assessed using the Kolmogorov-Smirnov test. The walk test parameter data were presented as mean and standard deviation (SD). To explore the impact of prosthesis type (fixed or rotating) and laterality (operated knee vs. non-operated knee) on the walk test variables, a two-factor analysis of variance (ANOVA) was performed. Additionally, an intra-group Pearson correlation test was conducted to analyze the relationship between temporal parameters (analysis duration, speed, and cadence) and pelvic symmetry (rotation, tilt, and obliquity). All analyses were performed using the statistical software SPSS 19 (IBM, USA), and statistical significance was set at </w:t>
      </w:r>
      <w:r w:rsidRPr="00AA4EA4">
        <w:rPr>
          <w:rFonts w:ascii="Arial" w:hAnsi="Arial" w:cs="Arial"/>
          <w:i/>
          <w:iCs/>
        </w:rPr>
        <w:t>P&lt; .05</w:t>
      </w:r>
      <w:r w:rsidRPr="00AA4EA4">
        <w:rPr>
          <w:rFonts w:ascii="Arial" w:hAnsi="Arial" w:cs="Arial"/>
        </w:rPr>
        <w:t>.</w:t>
      </w:r>
    </w:p>
    <w:p w14:paraId="6C110405" w14:textId="77777777" w:rsidR="00CC06C7" w:rsidRPr="00FB3A86" w:rsidRDefault="00CC06C7" w:rsidP="00441B6F">
      <w:pPr>
        <w:pStyle w:val="Body"/>
        <w:spacing w:after="0"/>
        <w:rPr>
          <w:rFonts w:ascii="Arial" w:hAnsi="Arial" w:cs="Arial"/>
        </w:rPr>
      </w:pPr>
    </w:p>
    <w:p w14:paraId="44569910"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493AD82C" w14:textId="77777777" w:rsidR="00790ADA" w:rsidRPr="00FB3A86" w:rsidRDefault="00790ADA" w:rsidP="00441B6F">
      <w:pPr>
        <w:pStyle w:val="Head1"/>
        <w:spacing w:after="0"/>
        <w:jc w:val="both"/>
        <w:rPr>
          <w:rFonts w:ascii="Arial" w:hAnsi="Arial" w:cs="Arial"/>
        </w:rPr>
      </w:pPr>
    </w:p>
    <w:p w14:paraId="6B70C539" w14:textId="77777777" w:rsidR="00A33E8E" w:rsidRDefault="00A33E8E" w:rsidP="00A33E8E">
      <w:pPr>
        <w:pStyle w:val="Body"/>
        <w:spacing w:after="0"/>
        <w:rPr>
          <w:rFonts w:ascii="Arial" w:hAnsi="Arial" w:cs="Arial"/>
          <w:lang w:val="pt-BR"/>
        </w:rPr>
      </w:pPr>
      <w:r w:rsidRPr="00A33E8E">
        <w:rPr>
          <w:rFonts w:ascii="Arial" w:hAnsi="Arial" w:cs="Arial"/>
          <w:lang w:val="pt-BR"/>
        </w:rPr>
        <w:t>The study included a total of 36 participants, comprising 21 women and 15 men. The participants had a mean age of 69.38 years, a mean weight of 77.8 kg, and a mean height of 1.60 meters, resulting in an average body mass index (BMI) of 30.46. Regarding laterality, the majority of participants (24 individuals) underwent procedures on the right knee, while 12 participants underwent procedures on the left knee. As for the type of implant used, 18 patients received a fixed tibial plateau prosthesis, and the other 18 were treated with a rotating tibial plateau prosthesis.</w:t>
      </w:r>
    </w:p>
    <w:p w14:paraId="04578493" w14:textId="77777777" w:rsidR="00A33E8E" w:rsidRPr="00A33E8E" w:rsidRDefault="00A33E8E" w:rsidP="00A33E8E">
      <w:pPr>
        <w:pStyle w:val="Body"/>
        <w:spacing w:after="0"/>
        <w:rPr>
          <w:rFonts w:ascii="Arial" w:hAnsi="Arial" w:cs="Arial"/>
          <w:lang w:val="pt-BR"/>
        </w:rPr>
      </w:pPr>
    </w:p>
    <w:p w14:paraId="604B1F6E" w14:textId="77777777" w:rsidR="00A33E8E" w:rsidRDefault="00A33E8E" w:rsidP="00A33E8E">
      <w:pPr>
        <w:pStyle w:val="Body"/>
        <w:spacing w:after="0"/>
        <w:rPr>
          <w:rFonts w:ascii="Arial" w:hAnsi="Arial" w:cs="Arial"/>
          <w:lang w:val="pt-BR"/>
        </w:rPr>
      </w:pPr>
      <w:r w:rsidRPr="00A33E8E">
        <w:rPr>
          <w:rFonts w:ascii="Arial" w:hAnsi="Arial" w:cs="Arial"/>
          <w:lang w:val="pt-BR"/>
        </w:rPr>
        <w:t>Postoperative follow-up assessments were conducted at two distinct time points. The average postoperative period for the first evaluation was 17.31 months, while the second evaluation occurred, on average, 42.80 months after surgery. These data provide a comprehensive overview of the participants' characteristics and the timeline of the assessments, allowing for a detailed analysis of the results based on the type of implant and postoperative progression.</w:t>
      </w:r>
    </w:p>
    <w:p w14:paraId="3E9ED56A" w14:textId="77777777" w:rsidR="00A33E8E" w:rsidRPr="00A33E8E" w:rsidRDefault="00A33E8E" w:rsidP="00A33E8E">
      <w:pPr>
        <w:pStyle w:val="Body"/>
        <w:spacing w:after="0"/>
        <w:rPr>
          <w:rFonts w:ascii="Arial" w:hAnsi="Arial" w:cs="Arial"/>
          <w:lang w:val="pt-BR"/>
        </w:rPr>
      </w:pPr>
    </w:p>
    <w:p w14:paraId="70D8B1B6" w14:textId="77777777" w:rsidR="004608DD" w:rsidRPr="004608DD" w:rsidRDefault="00A33E8E" w:rsidP="004608DD">
      <w:pPr>
        <w:pStyle w:val="Body"/>
        <w:rPr>
          <w:lang w:val="pt-BR"/>
        </w:rPr>
      </w:pPr>
      <w:r w:rsidRPr="00A33E8E">
        <w:rPr>
          <w:rFonts w:ascii="Arial" w:hAnsi="Arial" w:cs="Arial"/>
          <w:lang w:val="pt-BR"/>
        </w:rPr>
        <w:t>The means and standard deviations (SD) of the walk test variables between the groups are shown in Table 1. ANOVA revealed no differences between the groups or laterality for the stance phase variables</w:t>
      </w:r>
      <w:r w:rsidR="0083026F">
        <w:rPr>
          <w:rFonts w:ascii="Arial" w:hAnsi="Arial" w:cs="Arial"/>
          <w:lang w:val="pt-BR"/>
        </w:rPr>
        <w:t xml:space="preserve"> </w:t>
      </w:r>
      <w:r w:rsidR="004542DF">
        <w:rPr>
          <w:position w:val="2"/>
        </w:rPr>
        <w:t>(</w:t>
      </w:r>
      <w:r w:rsidR="004542DF">
        <w:rPr>
          <w:i/>
          <w:position w:val="2"/>
        </w:rPr>
        <w:t>F</w:t>
      </w:r>
      <w:r w:rsidR="004542DF">
        <w:rPr>
          <w:sz w:val="16"/>
        </w:rPr>
        <w:t>(1,70)</w:t>
      </w:r>
      <w:r w:rsidR="004542DF">
        <w:rPr>
          <w:spacing w:val="1"/>
          <w:sz w:val="16"/>
        </w:rPr>
        <w:t xml:space="preserve"> </w:t>
      </w:r>
      <w:r w:rsidR="004542DF">
        <w:rPr>
          <w:position w:val="2"/>
        </w:rPr>
        <w:t xml:space="preserve">= 1,589, </w:t>
      </w:r>
      <w:r w:rsidR="004542DF">
        <w:rPr>
          <w:i/>
          <w:position w:val="2"/>
        </w:rPr>
        <w:t xml:space="preserve">p </w:t>
      </w:r>
      <w:r w:rsidR="004542DF">
        <w:rPr>
          <w:position w:val="2"/>
        </w:rPr>
        <w:t xml:space="preserve">= ,21; </w:t>
      </w:r>
      <w:r w:rsidR="004542DF">
        <w:rPr>
          <w:i/>
          <w:position w:val="2"/>
        </w:rPr>
        <w:t>F</w:t>
      </w:r>
      <w:r w:rsidR="004542DF">
        <w:rPr>
          <w:sz w:val="16"/>
        </w:rPr>
        <w:t>(1,70)</w:t>
      </w:r>
      <w:r w:rsidR="004542DF">
        <w:rPr>
          <w:spacing w:val="1"/>
          <w:sz w:val="16"/>
        </w:rPr>
        <w:t xml:space="preserve"> </w:t>
      </w:r>
      <w:r w:rsidR="004542DF">
        <w:rPr>
          <w:position w:val="2"/>
        </w:rPr>
        <w:t xml:space="preserve">= ,738, </w:t>
      </w:r>
      <w:r w:rsidR="004542DF">
        <w:rPr>
          <w:i/>
          <w:position w:val="2"/>
        </w:rPr>
        <w:t xml:space="preserve">p </w:t>
      </w:r>
      <w:r w:rsidR="004542DF">
        <w:rPr>
          <w:position w:val="2"/>
        </w:rPr>
        <w:t>= ,39</w:t>
      </w:r>
      <w:r w:rsidR="004542DF">
        <w:rPr>
          <w:spacing w:val="1"/>
          <w:position w:val="2"/>
        </w:rPr>
        <w:t xml:space="preserve"> </w:t>
      </w:r>
      <w:r w:rsidR="00966141" w:rsidRPr="00966141">
        <w:rPr>
          <w:position w:val="2"/>
        </w:rPr>
        <w:t>respectively</w:t>
      </w:r>
      <w:r w:rsidR="004542DF">
        <w:rPr>
          <w:position w:val="2"/>
        </w:rPr>
        <w:t>),</w:t>
      </w:r>
      <w:r w:rsidR="004542DF">
        <w:rPr>
          <w:spacing w:val="5"/>
          <w:position w:val="2"/>
        </w:rPr>
        <w:t xml:space="preserve"> Left Double Support</w:t>
      </w:r>
      <w:r w:rsidR="004542DF">
        <w:rPr>
          <w:spacing w:val="4"/>
          <w:position w:val="2"/>
        </w:rPr>
        <w:t xml:space="preserve"> </w:t>
      </w:r>
      <w:r w:rsidR="004542DF">
        <w:rPr>
          <w:position w:val="2"/>
        </w:rPr>
        <w:t>(</w:t>
      </w:r>
      <w:r w:rsidR="004542DF">
        <w:rPr>
          <w:i/>
          <w:position w:val="2"/>
        </w:rPr>
        <w:t>F</w:t>
      </w:r>
      <w:r w:rsidR="004542DF">
        <w:rPr>
          <w:sz w:val="16"/>
        </w:rPr>
        <w:t>(1,70)</w:t>
      </w:r>
      <w:r w:rsidR="004542DF">
        <w:rPr>
          <w:spacing w:val="24"/>
          <w:sz w:val="16"/>
        </w:rPr>
        <w:t xml:space="preserve"> </w:t>
      </w:r>
      <w:r w:rsidR="004542DF">
        <w:rPr>
          <w:position w:val="2"/>
        </w:rPr>
        <w:t>=</w:t>
      </w:r>
      <w:r w:rsidR="004542DF">
        <w:rPr>
          <w:spacing w:val="2"/>
          <w:position w:val="2"/>
        </w:rPr>
        <w:t xml:space="preserve"> </w:t>
      </w:r>
      <w:r w:rsidR="004542DF">
        <w:rPr>
          <w:position w:val="2"/>
        </w:rPr>
        <w:t>2,718,</w:t>
      </w:r>
      <w:r w:rsidR="004542DF">
        <w:rPr>
          <w:spacing w:val="5"/>
          <w:position w:val="2"/>
        </w:rPr>
        <w:t xml:space="preserve"> </w:t>
      </w:r>
      <w:r w:rsidR="004542DF">
        <w:rPr>
          <w:i/>
          <w:position w:val="2"/>
        </w:rPr>
        <w:t>p</w:t>
      </w:r>
      <w:r w:rsidR="004542DF">
        <w:rPr>
          <w:i/>
          <w:spacing w:val="3"/>
          <w:position w:val="2"/>
        </w:rPr>
        <w:t xml:space="preserve"> </w:t>
      </w:r>
      <w:r w:rsidR="004542DF">
        <w:rPr>
          <w:position w:val="2"/>
        </w:rPr>
        <w:t>=</w:t>
      </w:r>
      <w:r w:rsidR="004542DF">
        <w:rPr>
          <w:spacing w:val="4"/>
          <w:position w:val="2"/>
        </w:rPr>
        <w:t xml:space="preserve"> </w:t>
      </w:r>
      <w:r w:rsidR="004542DF">
        <w:rPr>
          <w:position w:val="2"/>
        </w:rPr>
        <w:t>,1;</w:t>
      </w:r>
      <w:r w:rsidR="004542DF">
        <w:rPr>
          <w:spacing w:val="5"/>
          <w:position w:val="2"/>
        </w:rPr>
        <w:t xml:space="preserve"> </w:t>
      </w:r>
      <w:r w:rsidR="004542DF">
        <w:rPr>
          <w:i/>
          <w:position w:val="2"/>
        </w:rPr>
        <w:t>F</w:t>
      </w:r>
      <w:r w:rsidR="004542DF">
        <w:rPr>
          <w:sz w:val="16"/>
        </w:rPr>
        <w:t>(1,70)</w:t>
      </w:r>
      <w:r w:rsidR="004542DF">
        <w:rPr>
          <w:spacing w:val="24"/>
          <w:sz w:val="16"/>
        </w:rPr>
        <w:t xml:space="preserve"> </w:t>
      </w:r>
      <w:r w:rsidR="004542DF">
        <w:rPr>
          <w:position w:val="2"/>
        </w:rPr>
        <w:t>=</w:t>
      </w:r>
      <w:r w:rsidR="004542DF">
        <w:rPr>
          <w:spacing w:val="3"/>
          <w:position w:val="2"/>
        </w:rPr>
        <w:t xml:space="preserve"> </w:t>
      </w:r>
      <w:r w:rsidR="004542DF">
        <w:rPr>
          <w:position w:val="2"/>
        </w:rPr>
        <w:t>,425,</w:t>
      </w:r>
      <w:r w:rsidR="004542DF">
        <w:rPr>
          <w:spacing w:val="6"/>
          <w:position w:val="2"/>
        </w:rPr>
        <w:t xml:space="preserve"> </w:t>
      </w:r>
      <w:r w:rsidR="004542DF">
        <w:rPr>
          <w:i/>
          <w:position w:val="2"/>
        </w:rPr>
        <w:t>p</w:t>
      </w:r>
      <w:r w:rsidR="004542DF">
        <w:rPr>
          <w:i/>
          <w:spacing w:val="6"/>
          <w:position w:val="2"/>
        </w:rPr>
        <w:t xml:space="preserve"> </w:t>
      </w:r>
      <w:r w:rsidR="004542DF">
        <w:rPr>
          <w:position w:val="2"/>
        </w:rPr>
        <w:t>=</w:t>
      </w:r>
      <w:r w:rsidR="004542DF">
        <w:rPr>
          <w:spacing w:val="3"/>
          <w:position w:val="2"/>
        </w:rPr>
        <w:t xml:space="preserve"> </w:t>
      </w:r>
      <w:r w:rsidR="004542DF">
        <w:rPr>
          <w:position w:val="2"/>
        </w:rPr>
        <w:t>,5</w:t>
      </w:r>
      <w:r w:rsidR="004542DF">
        <w:rPr>
          <w:spacing w:val="5"/>
          <w:position w:val="2"/>
        </w:rPr>
        <w:t xml:space="preserve"> </w:t>
      </w:r>
      <w:r w:rsidR="00966141" w:rsidRPr="00966141">
        <w:rPr>
          <w:position w:val="2"/>
        </w:rPr>
        <w:t>respectively</w:t>
      </w:r>
      <w:r w:rsidR="004542DF">
        <w:rPr>
          <w:position w:val="2"/>
        </w:rPr>
        <w:t>),</w:t>
      </w:r>
      <w:r w:rsidR="004542DF">
        <w:rPr>
          <w:spacing w:val="3"/>
          <w:position w:val="2"/>
        </w:rPr>
        <w:t xml:space="preserve"> Left Single Support</w:t>
      </w:r>
      <w:r w:rsidR="004542DF">
        <w:rPr>
          <w:spacing w:val="4"/>
          <w:position w:val="2"/>
        </w:rPr>
        <w:t xml:space="preserve"> </w:t>
      </w:r>
      <w:r w:rsidR="004542DF">
        <w:rPr>
          <w:position w:val="2"/>
        </w:rPr>
        <w:t>(</w:t>
      </w:r>
      <w:r w:rsidR="004542DF">
        <w:rPr>
          <w:i/>
          <w:position w:val="2"/>
        </w:rPr>
        <w:t>F</w:t>
      </w:r>
      <w:r w:rsidR="004542DF">
        <w:rPr>
          <w:sz w:val="16"/>
        </w:rPr>
        <w:t>(1,70)</w:t>
      </w:r>
      <w:r w:rsidR="004542DF">
        <w:rPr>
          <w:spacing w:val="21"/>
          <w:sz w:val="16"/>
        </w:rPr>
        <w:t xml:space="preserve"> </w:t>
      </w:r>
      <w:r w:rsidR="004542DF">
        <w:rPr>
          <w:position w:val="2"/>
        </w:rPr>
        <w:t xml:space="preserve">= ,966), </w:t>
      </w:r>
      <w:r w:rsidR="004542DF">
        <w:rPr>
          <w:spacing w:val="1"/>
          <w:position w:val="2"/>
        </w:rPr>
        <w:t xml:space="preserve"> </w:t>
      </w:r>
      <w:r w:rsidR="004542DF">
        <w:rPr>
          <w:i/>
          <w:position w:val="2"/>
        </w:rPr>
        <w:t>p</w:t>
      </w:r>
      <w:r w:rsidR="004542DF">
        <w:rPr>
          <w:i/>
          <w:spacing w:val="1"/>
          <w:position w:val="2"/>
        </w:rPr>
        <w:t xml:space="preserve"> </w:t>
      </w:r>
      <w:r w:rsidR="004542DF">
        <w:rPr>
          <w:position w:val="2"/>
        </w:rPr>
        <w:t>= ,32;</w:t>
      </w:r>
      <w:r w:rsidR="004542DF">
        <w:rPr>
          <w:spacing w:val="2"/>
          <w:position w:val="2"/>
        </w:rPr>
        <w:t xml:space="preserve"> </w:t>
      </w:r>
      <w:r w:rsidR="004542DF">
        <w:rPr>
          <w:i/>
          <w:position w:val="2"/>
        </w:rPr>
        <w:t>F</w:t>
      </w:r>
      <w:r w:rsidR="004542DF">
        <w:rPr>
          <w:sz w:val="16"/>
        </w:rPr>
        <w:t>(1,70)</w:t>
      </w:r>
      <w:r w:rsidR="004542DF">
        <w:rPr>
          <w:spacing w:val="21"/>
          <w:sz w:val="16"/>
        </w:rPr>
        <w:t xml:space="preserve"> </w:t>
      </w:r>
      <w:r w:rsidR="004542DF">
        <w:rPr>
          <w:position w:val="2"/>
        </w:rPr>
        <w:t>= ,336,</w:t>
      </w:r>
      <w:r w:rsidR="004542DF">
        <w:rPr>
          <w:spacing w:val="1"/>
          <w:position w:val="2"/>
        </w:rPr>
        <w:t xml:space="preserve"> </w:t>
      </w:r>
      <w:r w:rsidR="004542DF">
        <w:rPr>
          <w:i/>
          <w:position w:val="2"/>
        </w:rPr>
        <w:t>p</w:t>
      </w:r>
      <w:r w:rsidR="004542DF">
        <w:rPr>
          <w:i/>
          <w:spacing w:val="1"/>
          <w:position w:val="2"/>
        </w:rPr>
        <w:t xml:space="preserve"> </w:t>
      </w:r>
      <w:r w:rsidR="004542DF">
        <w:rPr>
          <w:position w:val="2"/>
        </w:rPr>
        <w:t>= ,56</w:t>
      </w:r>
      <w:r w:rsidR="004542DF">
        <w:rPr>
          <w:spacing w:val="1"/>
          <w:position w:val="2"/>
        </w:rPr>
        <w:t xml:space="preserve"> </w:t>
      </w:r>
      <w:r w:rsidR="00966141" w:rsidRPr="00966141">
        <w:rPr>
          <w:position w:val="2"/>
        </w:rPr>
        <w:t>respectively</w:t>
      </w:r>
      <w:r w:rsidR="004542DF">
        <w:rPr>
          <w:position w:val="2"/>
        </w:rPr>
        <w:t>);</w:t>
      </w:r>
      <w:r w:rsidR="004542DF">
        <w:rPr>
          <w:spacing w:val="3"/>
          <w:position w:val="2"/>
        </w:rPr>
        <w:t xml:space="preserve"> </w:t>
      </w:r>
      <w:r w:rsidR="004542DF">
        <w:rPr>
          <w:position w:val="2"/>
        </w:rPr>
        <w:t>left Swing (</w:t>
      </w:r>
      <w:r w:rsidR="004542DF">
        <w:rPr>
          <w:i/>
          <w:position w:val="2"/>
        </w:rPr>
        <w:t>F</w:t>
      </w:r>
      <w:r w:rsidR="004542DF">
        <w:rPr>
          <w:sz w:val="16"/>
        </w:rPr>
        <w:t>(1,70)</w:t>
      </w:r>
      <w:r w:rsidR="004542DF">
        <w:rPr>
          <w:spacing w:val="21"/>
          <w:sz w:val="16"/>
        </w:rPr>
        <w:t xml:space="preserve"> </w:t>
      </w:r>
      <w:r w:rsidR="004542DF">
        <w:rPr>
          <w:position w:val="2"/>
        </w:rPr>
        <w:t>= 2,369,</w:t>
      </w:r>
      <w:r w:rsidR="004542DF">
        <w:rPr>
          <w:spacing w:val="1"/>
          <w:position w:val="2"/>
        </w:rPr>
        <w:t xml:space="preserve"> </w:t>
      </w:r>
      <w:r w:rsidR="004542DF">
        <w:rPr>
          <w:i/>
          <w:position w:val="2"/>
        </w:rPr>
        <w:t>p</w:t>
      </w:r>
      <w:r w:rsidR="004542DF">
        <w:rPr>
          <w:i/>
          <w:spacing w:val="1"/>
          <w:position w:val="2"/>
        </w:rPr>
        <w:t xml:space="preserve"> </w:t>
      </w:r>
      <w:r w:rsidR="004542DF">
        <w:rPr>
          <w:position w:val="2"/>
        </w:rPr>
        <w:t>= ,12;</w:t>
      </w:r>
      <w:r w:rsidR="004542DF">
        <w:rPr>
          <w:spacing w:val="2"/>
          <w:position w:val="2"/>
        </w:rPr>
        <w:t xml:space="preserve"> </w:t>
      </w:r>
      <w:r w:rsidR="004542DF">
        <w:rPr>
          <w:i/>
          <w:position w:val="2"/>
        </w:rPr>
        <w:t>F</w:t>
      </w:r>
      <w:r w:rsidR="004542DF">
        <w:rPr>
          <w:sz w:val="16"/>
        </w:rPr>
        <w:t>(1,70)</w:t>
      </w:r>
      <w:r w:rsidR="004542DF">
        <w:rPr>
          <w:vertAlign w:val="subscript"/>
        </w:rPr>
        <w:t xml:space="preserve"> </w:t>
      </w:r>
      <w:r w:rsidR="004542DF">
        <w:rPr>
          <w:position w:val="2"/>
        </w:rPr>
        <w:t xml:space="preserve">= ,395, </w:t>
      </w:r>
      <w:r w:rsidR="004542DF">
        <w:rPr>
          <w:i/>
          <w:position w:val="2"/>
        </w:rPr>
        <w:t xml:space="preserve">p </w:t>
      </w:r>
      <w:r w:rsidR="004542DF">
        <w:rPr>
          <w:position w:val="2"/>
        </w:rPr>
        <w:t xml:space="preserve">= ,53 </w:t>
      </w:r>
      <w:r w:rsidR="00966141" w:rsidRPr="00966141">
        <w:rPr>
          <w:position w:val="2"/>
        </w:rPr>
        <w:t>respectively</w:t>
      </w:r>
      <w:r w:rsidR="004542DF">
        <w:rPr>
          <w:position w:val="2"/>
        </w:rPr>
        <w:t>); Gait Cycle(</w:t>
      </w:r>
      <w:r w:rsidR="004542DF">
        <w:rPr>
          <w:i/>
          <w:position w:val="2"/>
        </w:rPr>
        <w:t>F</w:t>
      </w:r>
      <w:r w:rsidR="004542DF">
        <w:rPr>
          <w:sz w:val="16"/>
        </w:rPr>
        <w:t xml:space="preserve">(1,70) </w:t>
      </w:r>
      <w:r w:rsidR="004542DF">
        <w:rPr>
          <w:position w:val="2"/>
        </w:rPr>
        <w:t xml:space="preserve">= ,907, </w:t>
      </w:r>
      <w:r w:rsidR="004542DF">
        <w:rPr>
          <w:i/>
          <w:position w:val="2"/>
        </w:rPr>
        <w:t xml:space="preserve">p </w:t>
      </w:r>
      <w:r w:rsidR="004542DF">
        <w:rPr>
          <w:position w:val="2"/>
        </w:rPr>
        <w:t xml:space="preserve">= ,34; </w:t>
      </w:r>
      <w:r w:rsidR="004542DF">
        <w:rPr>
          <w:i/>
          <w:position w:val="2"/>
        </w:rPr>
        <w:t>F</w:t>
      </w:r>
      <w:r w:rsidR="004542DF">
        <w:rPr>
          <w:sz w:val="16"/>
        </w:rPr>
        <w:t xml:space="preserve">(1,70) </w:t>
      </w:r>
      <w:r w:rsidR="004542DF">
        <w:rPr>
          <w:position w:val="2"/>
        </w:rPr>
        <w:t xml:space="preserve">= ,357, </w:t>
      </w:r>
      <w:r w:rsidR="004542DF">
        <w:rPr>
          <w:i/>
          <w:position w:val="2"/>
        </w:rPr>
        <w:t xml:space="preserve">p </w:t>
      </w:r>
      <w:r w:rsidR="004542DF">
        <w:rPr>
          <w:position w:val="2"/>
        </w:rPr>
        <w:t>= ,9</w:t>
      </w:r>
      <w:r w:rsidR="004542DF">
        <w:rPr>
          <w:spacing w:val="1"/>
          <w:position w:val="2"/>
        </w:rPr>
        <w:t xml:space="preserve"> </w:t>
      </w:r>
      <w:r w:rsidR="00966141" w:rsidRPr="00966141">
        <w:rPr>
          <w:position w:val="2"/>
        </w:rPr>
        <w:t>respectively</w:t>
      </w:r>
      <w:r w:rsidR="004542DF">
        <w:rPr>
          <w:position w:val="2"/>
        </w:rPr>
        <w:t>),</w:t>
      </w:r>
      <w:r w:rsidR="004542DF">
        <w:rPr>
          <w:spacing w:val="1"/>
          <w:position w:val="2"/>
        </w:rPr>
        <w:t xml:space="preserve"> </w:t>
      </w:r>
      <w:r w:rsidR="004542DF">
        <w:rPr>
          <w:position w:val="2"/>
        </w:rPr>
        <w:t>Step Length</w:t>
      </w:r>
      <w:r w:rsidR="004542DF">
        <w:rPr>
          <w:spacing w:val="1"/>
          <w:position w:val="2"/>
        </w:rPr>
        <w:t xml:space="preserve"> </w:t>
      </w:r>
      <w:r w:rsidR="004542DF">
        <w:rPr>
          <w:position w:val="2"/>
        </w:rPr>
        <w:t>(</w:t>
      </w:r>
      <w:r w:rsidR="004542DF">
        <w:rPr>
          <w:i/>
          <w:position w:val="2"/>
        </w:rPr>
        <w:t>F</w:t>
      </w:r>
      <w:r w:rsidR="004542DF">
        <w:rPr>
          <w:sz w:val="16"/>
        </w:rPr>
        <w:t>(1,70)</w:t>
      </w:r>
      <w:r w:rsidR="004542DF">
        <w:rPr>
          <w:spacing w:val="1"/>
          <w:sz w:val="16"/>
        </w:rPr>
        <w:t xml:space="preserve"> </w:t>
      </w:r>
      <w:r w:rsidR="004542DF">
        <w:rPr>
          <w:position w:val="2"/>
        </w:rPr>
        <w:t>=</w:t>
      </w:r>
      <w:r w:rsidR="004542DF">
        <w:rPr>
          <w:spacing w:val="1"/>
          <w:position w:val="2"/>
        </w:rPr>
        <w:t xml:space="preserve"> </w:t>
      </w:r>
      <w:r w:rsidR="004542DF">
        <w:rPr>
          <w:position w:val="2"/>
        </w:rPr>
        <w:t>,150,</w:t>
      </w:r>
      <w:r w:rsidR="004542DF">
        <w:rPr>
          <w:spacing w:val="1"/>
          <w:position w:val="2"/>
        </w:rPr>
        <w:t xml:space="preserve"> </w:t>
      </w:r>
      <w:r w:rsidR="004542DF">
        <w:rPr>
          <w:i/>
          <w:position w:val="2"/>
        </w:rPr>
        <w:t>p</w:t>
      </w:r>
      <w:r w:rsidR="004542DF">
        <w:rPr>
          <w:i/>
          <w:spacing w:val="1"/>
          <w:position w:val="2"/>
        </w:rPr>
        <w:t xml:space="preserve"> </w:t>
      </w:r>
      <w:r w:rsidR="004542DF">
        <w:rPr>
          <w:position w:val="2"/>
        </w:rPr>
        <w:t>=</w:t>
      </w:r>
      <w:r w:rsidR="004542DF">
        <w:rPr>
          <w:spacing w:val="1"/>
          <w:position w:val="2"/>
        </w:rPr>
        <w:t xml:space="preserve"> </w:t>
      </w:r>
      <w:r w:rsidR="004542DF">
        <w:rPr>
          <w:position w:val="2"/>
        </w:rPr>
        <w:t>,7;</w:t>
      </w:r>
      <w:r w:rsidR="004542DF">
        <w:rPr>
          <w:spacing w:val="1"/>
          <w:position w:val="2"/>
        </w:rPr>
        <w:t xml:space="preserve"> </w:t>
      </w:r>
      <w:r w:rsidR="004542DF">
        <w:rPr>
          <w:i/>
          <w:position w:val="2"/>
        </w:rPr>
        <w:t>F</w:t>
      </w:r>
      <w:r w:rsidR="004542DF">
        <w:rPr>
          <w:sz w:val="16"/>
        </w:rPr>
        <w:t>(1,70)</w:t>
      </w:r>
      <w:r w:rsidR="004542DF">
        <w:rPr>
          <w:spacing w:val="1"/>
          <w:sz w:val="16"/>
        </w:rPr>
        <w:t xml:space="preserve"> </w:t>
      </w:r>
      <w:r w:rsidR="004542DF">
        <w:rPr>
          <w:position w:val="2"/>
        </w:rPr>
        <w:t>=</w:t>
      </w:r>
      <w:r w:rsidR="004542DF">
        <w:rPr>
          <w:spacing w:val="1"/>
          <w:position w:val="2"/>
        </w:rPr>
        <w:t xml:space="preserve"> </w:t>
      </w:r>
      <w:r w:rsidR="004542DF">
        <w:rPr>
          <w:position w:val="2"/>
        </w:rPr>
        <w:t>,110,</w:t>
      </w:r>
      <w:r w:rsidR="004542DF">
        <w:rPr>
          <w:spacing w:val="1"/>
          <w:position w:val="2"/>
        </w:rPr>
        <w:t xml:space="preserve"> </w:t>
      </w:r>
      <w:r w:rsidR="004542DF">
        <w:rPr>
          <w:i/>
          <w:position w:val="2"/>
        </w:rPr>
        <w:t>p</w:t>
      </w:r>
      <w:r w:rsidR="004542DF">
        <w:rPr>
          <w:i/>
          <w:spacing w:val="1"/>
          <w:position w:val="2"/>
        </w:rPr>
        <w:t xml:space="preserve"> </w:t>
      </w:r>
      <w:r w:rsidR="004542DF">
        <w:rPr>
          <w:position w:val="2"/>
        </w:rPr>
        <w:t>=</w:t>
      </w:r>
      <w:r w:rsidR="004542DF">
        <w:rPr>
          <w:spacing w:val="1"/>
          <w:position w:val="2"/>
        </w:rPr>
        <w:t xml:space="preserve"> </w:t>
      </w:r>
      <w:r w:rsidR="004542DF">
        <w:rPr>
          <w:position w:val="2"/>
        </w:rPr>
        <w:t>,9</w:t>
      </w:r>
      <w:r w:rsidR="004542DF">
        <w:rPr>
          <w:spacing w:val="1"/>
          <w:position w:val="2"/>
        </w:rPr>
        <w:t xml:space="preserve"> </w:t>
      </w:r>
      <w:r w:rsidR="00966141" w:rsidRPr="00966141">
        <w:t>respectively</w:t>
      </w:r>
      <w:r w:rsidR="004542DF">
        <w:t>).</w:t>
      </w:r>
      <w:r w:rsidR="004608DD">
        <w:t xml:space="preserve"> </w:t>
      </w:r>
      <w:r w:rsidR="004608DD" w:rsidRPr="004608DD">
        <w:rPr>
          <w:lang w:val="pt-BR"/>
        </w:rPr>
        <w:t>These results indicate that the type of prosthesis, whether fixed or rotating plateau, combined with the laterality of the operated knee, shows no significant differences among the variables.</w:t>
      </w:r>
    </w:p>
    <w:p w14:paraId="4426963E" w14:textId="77777777" w:rsidR="004608DD" w:rsidRDefault="004608DD" w:rsidP="004608DD">
      <w:pPr>
        <w:pStyle w:val="Body"/>
        <w:spacing w:after="0"/>
        <w:rPr>
          <w:lang w:val="pt-BR"/>
        </w:rPr>
      </w:pPr>
      <w:r w:rsidRPr="004608DD">
        <w:rPr>
          <w:lang w:val="pt-BR"/>
        </w:rPr>
        <w:t>Regarding Pearson's correlation, we observed that the test analysis duration is strongly related to cadence and speed in the rotating prosthesis group (r = -0.67, p = 0.001, and r = -0.66, p = 0.001, respectively). This means that the longer the time taken to complete the test, the lower the speed and cadence. However, in the fixed prosthesis group, only speed showed a strong correlation with test execution time (r = -0.8, p &lt; 0.001).</w:t>
      </w:r>
    </w:p>
    <w:p w14:paraId="2B12AA4B" w14:textId="77777777" w:rsidR="004608DD" w:rsidRPr="004608DD" w:rsidRDefault="004608DD" w:rsidP="004608DD">
      <w:pPr>
        <w:pStyle w:val="Body"/>
        <w:spacing w:after="0"/>
        <w:rPr>
          <w:lang w:val="pt-BR"/>
        </w:rPr>
      </w:pPr>
    </w:p>
    <w:p w14:paraId="175E9D92" w14:textId="77777777" w:rsidR="004608DD" w:rsidRPr="004608DD" w:rsidRDefault="004608DD" w:rsidP="004608DD">
      <w:pPr>
        <w:pStyle w:val="Body"/>
        <w:spacing w:after="0"/>
        <w:rPr>
          <w:lang w:val="pt-BR"/>
        </w:rPr>
      </w:pPr>
      <w:r w:rsidRPr="004608DD">
        <w:rPr>
          <w:lang w:val="pt-BR"/>
        </w:rPr>
        <w:t xml:space="preserve">Another interesting point to note is that only in patients with a fixed prosthesis was there a negative correlation between cadence and pelvic rotation. In other words, the greater the pelvic rotation exerted by patients with a fixed knee prosthesis, the lower the cadence. In </w:t>
      </w:r>
      <w:r w:rsidRPr="004608DD">
        <w:rPr>
          <w:lang w:val="pt-BR"/>
        </w:rPr>
        <w:lastRenderedPageBreak/>
        <w:t>contrast, in the rotating prosthesis group, no correlation was found between temporal parameters (analysis duration, cadence, and speed) and pelvic movements (tilt, rotation, and obliquity).</w:t>
      </w:r>
    </w:p>
    <w:p w14:paraId="5EA428F4" w14:textId="258552FC" w:rsidR="00790ADA" w:rsidRDefault="00F52919" w:rsidP="00441B6F">
      <w:pPr>
        <w:pStyle w:val="Body"/>
        <w:spacing w:after="0"/>
        <w:rPr>
          <w:rFonts w:ascii="Arial" w:hAnsi="Arial" w:cs="Arial"/>
        </w:rPr>
      </w:pPr>
      <w:r>
        <w:rPr>
          <w:rFonts w:ascii="Arial" w:hAnsi="Arial" w:cs="Arial"/>
          <w:lang w:val="pt-BR"/>
        </w:rPr>
        <w:t xml:space="preserve"> </w:t>
      </w:r>
    </w:p>
    <w:p w14:paraId="5AC40DC1" w14:textId="5A1BE852" w:rsidR="00863BD3" w:rsidRDefault="009500A6" w:rsidP="000F790D">
      <w:pPr>
        <w:tabs>
          <w:tab w:val="left" w:pos="1080"/>
        </w:tabs>
        <w:jc w:val="center"/>
        <w:rPr>
          <w:rFonts w:ascii="Arial" w:hAnsi="Arial"/>
          <w:b/>
        </w:rPr>
      </w:pPr>
      <w:r>
        <w:rPr>
          <w:rFonts w:ascii="Arial" w:hAnsi="Arial"/>
          <w:b/>
        </w:rPr>
        <w:t>Table 1.</w:t>
      </w:r>
      <w:r w:rsidR="000F790D">
        <w:rPr>
          <w:rFonts w:ascii="Arial" w:hAnsi="Arial"/>
          <w:b/>
        </w:rPr>
        <w:t xml:space="preserve"> </w:t>
      </w:r>
      <w:r w:rsidR="000F790D" w:rsidRPr="000F790D">
        <w:rPr>
          <w:rFonts w:ascii="Arial" w:hAnsi="Arial"/>
          <w:b/>
        </w:rPr>
        <w:t>Walk test parameters between groups</w:t>
      </w:r>
    </w:p>
    <w:p w14:paraId="2E507B48" w14:textId="77777777" w:rsidR="00863BD3" w:rsidRPr="00DC3180" w:rsidRDefault="00863BD3" w:rsidP="00441B6F">
      <w:pPr>
        <w:tabs>
          <w:tab w:val="left" w:pos="1080"/>
        </w:tabs>
        <w:jc w:val="both"/>
        <w:rPr>
          <w:rFonts w:ascii="Arial" w:hAnsi="Arial"/>
          <w:b/>
        </w:rPr>
      </w:pPr>
    </w:p>
    <w:tbl>
      <w:tblPr>
        <w:tblW w:w="6362" w:type="dxa"/>
        <w:jc w:val="center"/>
        <w:tblCellMar>
          <w:left w:w="70" w:type="dxa"/>
          <w:right w:w="70" w:type="dxa"/>
        </w:tblCellMar>
        <w:tblLook w:val="04A0" w:firstRow="1" w:lastRow="0" w:firstColumn="1" w:lastColumn="0" w:noHBand="0" w:noVBand="1"/>
      </w:tblPr>
      <w:tblGrid>
        <w:gridCol w:w="1918"/>
        <w:gridCol w:w="1455"/>
        <w:gridCol w:w="1327"/>
        <w:gridCol w:w="1662"/>
      </w:tblGrid>
      <w:tr w:rsidR="00F06099" w:rsidRPr="00382143" w14:paraId="73C7E9B4" w14:textId="77777777" w:rsidTr="0076730A">
        <w:trPr>
          <w:trHeight w:val="500"/>
          <w:jc w:val="center"/>
        </w:trPr>
        <w:tc>
          <w:tcPr>
            <w:tcW w:w="1918" w:type="dxa"/>
            <w:tcBorders>
              <w:top w:val="single" w:sz="4" w:space="0" w:color="000000"/>
              <w:left w:val="nil"/>
              <w:bottom w:val="single" w:sz="4" w:space="0" w:color="000000"/>
              <w:right w:val="nil"/>
            </w:tcBorders>
            <w:shd w:val="clear" w:color="auto" w:fill="auto"/>
            <w:noWrap/>
            <w:vAlign w:val="center"/>
            <w:hideMark/>
          </w:tcPr>
          <w:p w14:paraId="50215F1F"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single" w:sz="4" w:space="0" w:color="000000"/>
              <w:left w:val="nil"/>
              <w:bottom w:val="single" w:sz="4" w:space="0" w:color="000000"/>
              <w:right w:val="nil"/>
            </w:tcBorders>
            <w:shd w:val="clear" w:color="auto" w:fill="auto"/>
            <w:noWrap/>
            <w:vAlign w:val="center"/>
            <w:hideMark/>
          </w:tcPr>
          <w:p w14:paraId="2B4B0360"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Prosthesis </w:t>
            </w:r>
          </w:p>
        </w:tc>
        <w:tc>
          <w:tcPr>
            <w:tcW w:w="1327" w:type="dxa"/>
            <w:tcBorders>
              <w:top w:val="single" w:sz="4" w:space="0" w:color="000000"/>
              <w:left w:val="nil"/>
              <w:bottom w:val="single" w:sz="4" w:space="0" w:color="000000"/>
              <w:right w:val="nil"/>
            </w:tcBorders>
            <w:shd w:val="clear" w:color="auto" w:fill="auto"/>
            <w:noWrap/>
            <w:vAlign w:val="center"/>
            <w:hideMark/>
          </w:tcPr>
          <w:p w14:paraId="77CD4EEA"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Mean </w:t>
            </w:r>
          </w:p>
        </w:tc>
        <w:tc>
          <w:tcPr>
            <w:tcW w:w="1662" w:type="dxa"/>
            <w:tcBorders>
              <w:top w:val="single" w:sz="4" w:space="0" w:color="000000"/>
              <w:left w:val="nil"/>
              <w:bottom w:val="single" w:sz="4" w:space="0" w:color="000000"/>
              <w:right w:val="nil"/>
            </w:tcBorders>
            <w:shd w:val="clear" w:color="auto" w:fill="auto"/>
            <w:vAlign w:val="center"/>
            <w:hideMark/>
          </w:tcPr>
          <w:p w14:paraId="1A596D6F"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Standard</w:t>
            </w:r>
            <w:r w:rsidRPr="00382143">
              <w:rPr>
                <w:rFonts w:ascii="Calibri" w:hAnsi="Calibri" w:cs="Calibri"/>
                <w:b/>
                <w:bCs/>
                <w:color w:val="000000"/>
                <w:lang w:val="pt-BR" w:eastAsia="pt-BR"/>
              </w:rPr>
              <w:br/>
              <w:t>Deviation (SD)</w:t>
            </w:r>
          </w:p>
        </w:tc>
      </w:tr>
      <w:tr w:rsidR="00F06099" w:rsidRPr="00382143" w14:paraId="08976F90"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575D88F0"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Left Support Phase </w:t>
            </w:r>
          </w:p>
        </w:tc>
        <w:tc>
          <w:tcPr>
            <w:tcW w:w="1455" w:type="dxa"/>
            <w:tcBorders>
              <w:top w:val="nil"/>
              <w:left w:val="nil"/>
              <w:bottom w:val="nil"/>
              <w:right w:val="nil"/>
            </w:tcBorders>
            <w:shd w:val="clear" w:color="D9D9D9" w:fill="D9D9D9"/>
            <w:noWrap/>
            <w:vAlign w:val="center"/>
            <w:hideMark/>
          </w:tcPr>
          <w:p w14:paraId="3A5B446B"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5A5C7F8E"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59,6647</w:t>
            </w:r>
          </w:p>
        </w:tc>
        <w:tc>
          <w:tcPr>
            <w:tcW w:w="1662" w:type="dxa"/>
            <w:tcBorders>
              <w:top w:val="nil"/>
              <w:left w:val="nil"/>
              <w:bottom w:val="nil"/>
              <w:right w:val="nil"/>
            </w:tcBorders>
            <w:shd w:val="clear" w:color="D9D9D9" w:fill="D9D9D9"/>
            <w:noWrap/>
            <w:vAlign w:val="center"/>
            <w:hideMark/>
          </w:tcPr>
          <w:p w14:paraId="29965DC1"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4,10443</w:t>
            </w:r>
          </w:p>
        </w:tc>
      </w:tr>
      <w:tr w:rsidR="00F06099" w:rsidRPr="00382143" w14:paraId="3D1EFB19"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349F8E80"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682A9E43"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46066168"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61,2705</w:t>
            </w:r>
          </w:p>
        </w:tc>
        <w:tc>
          <w:tcPr>
            <w:tcW w:w="1662" w:type="dxa"/>
            <w:tcBorders>
              <w:top w:val="nil"/>
              <w:left w:val="nil"/>
              <w:bottom w:val="nil"/>
              <w:right w:val="nil"/>
            </w:tcBorders>
            <w:shd w:val="clear" w:color="auto" w:fill="auto"/>
            <w:noWrap/>
            <w:vAlign w:val="center"/>
            <w:hideMark/>
          </w:tcPr>
          <w:p w14:paraId="7DD3B04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3,74463</w:t>
            </w:r>
          </w:p>
        </w:tc>
      </w:tr>
      <w:tr w:rsidR="00F06099" w:rsidRPr="00382143" w14:paraId="69F4B2B6"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6893BD6E"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Left Double Support </w:t>
            </w:r>
          </w:p>
        </w:tc>
        <w:tc>
          <w:tcPr>
            <w:tcW w:w="1455" w:type="dxa"/>
            <w:tcBorders>
              <w:top w:val="nil"/>
              <w:left w:val="nil"/>
              <w:bottom w:val="nil"/>
              <w:right w:val="nil"/>
            </w:tcBorders>
            <w:shd w:val="clear" w:color="D9D9D9" w:fill="D9D9D9"/>
            <w:noWrap/>
            <w:vAlign w:val="center"/>
            <w:hideMark/>
          </w:tcPr>
          <w:p w14:paraId="06D70C8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0307D87B"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10,0182</w:t>
            </w:r>
          </w:p>
        </w:tc>
        <w:tc>
          <w:tcPr>
            <w:tcW w:w="1662" w:type="dxa"/>
            <w:tcBorders>
              <w:top w:val="nil"/>
              <w:left w:val="nil"/>
              <w:bottom w:val="nil"/>
              <w:right w:val="nil"/>
            </w:tcBorders>
            <w:shd w:val="clear" w:color="D9D9D9" w:fill="D9D9D9"/>
            <w:noWrap/>
            <w:vAlign w:val="center"/>
            <w:hideMark/>
          </w:tcPr>
          <w:p w14:paraId="5F08A6D2"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2,72458</w:t>
            </w:r>
          </w:p>
        </w:tc>
      </w:tr>
      <w:tr w:rsidR="00F06099" w:rsidRPr="00382143" w14:paraId="67CD86C8"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6B78DA97" w14:textId="77777777" w:rsidR="00F06099" w:rsidRPr="00382143" w:rsidRDefault="00F06099" w:rsidP="00FA7056">
            <w:pPr>
              <w:jc w:val="center"/>
              <w:rPr>
                <w:rFonts w:ascii="Calibri" w:hAnsi="Calibri" w:cs="Calibri"/>
                <w:color w:val="000000"/>
                <w:lang w:val="pt-BR" w:eastAsia="pt-BR"/>
              </w:rPr>
            </w:pPr>
          </w:p>
        </w:tc>
        <w:tc>
          <w:tcPr>
            <w:tcW w:w="1455" w:type="dxa"/>
            <w:tcBorders>
              <w:top w:val="nil"/>
              <w:left w:val="nil"/>
              <w:bottom w:val="nil"/>
              <w:right w:val="nil"/>
            </w:tcBorders>
            <w:shd w:val="clear" w:color="auto" w:fill="auto"/>
            <w:noWrap/>
            <w:vAlign w:val="center"/>
            <w:hideMark/>
          </w:tcPr>
          <w:p w14:paraId="1666B0F8"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7C9FD2F6"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10,537</w:t>
            </w:r>
          </w:p>
        </w:tc>
        <w:tc>
          <w:tcPr>
            <w:tcW w:w="1662" w:type="dxa"/>
            <w:tcBorders>
              <w:top w:val="nil"/>
              <w:left w:val="nil"/>
              <w:bottom w:val="nil"/>
              <w:right w:val="nil"/>
            </w:tcBorders>
            <w:shd w:val="clear" w:color="auto" w:fill="auto"/>
            <w:noWrap/>
            <w:vAlign w:val="center"/>
            <w:hideMark/>
          </w:tcPr>
          <w:p w14:paraId="1A6D2267"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2,54496</w:t>
            </w:r>
          </w:p>
        </w:tc>
      </w:tr>
      <w:tr w:rsidR="00F06099" w:rsidRPr="00382143" w14:paraId="3BB140A9"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52B89DCB"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Left Single Support </w:t>
            </w:r>
          </w:p>
        </w:tc>
        <w:tc>
          <w:tcPr>
            <w:tcW w:w="1455" w:type="dxa"/>
            <w:tcBorders>
              <w:top w:val="nil"/>
              <w:left w:val="nil"/>
              <w:bottom w:val="nil"/>
              <w:right w:val="nil"/>
            </w:tcBorders>
            <w:shd w:val="clear" w:color="D9D9D9" w:fill="D9D9D9"/>
            <w:noWrap/>
            <w:vAlign w:val="center"/>
            <w:hideMark/>
          </w:tcPr>
          <w:p w14:paraId="0F8A473F"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46DBEED6"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41,0371</w:t>
            </w:r>
          </w:p>
        </w:tc>
        <w:tc>
          <w:tcPr>
            <w:tcW w:w="1662" w:type="dxa"/>
            <w:tcBorders>
              <w:top w:val="nil"/>
              <w:left w:val="nil"/>
              <w:bottom w:val="nil"/>
              <w:right w:val="nil"/>
            </w:tcBorders>
            <w:shd w:val="clear" w:color="D9D9D9" w:fill="D9D9D9"/>
            <w:noWrap/>
            <w:vAlign w:val="center"/>
            <w:hideMark/>
          </w:tcPr>
          <w:p w14:paraId="7E66755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6,69893</w:t>
            </w:r>
          </w:p>
        </w:tc>
      </w:tr>
      <w:tr w:rsidR="00F06099" w:rsidRPr="00382143" w14:paraId="1C2C7750"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1A0A5F26" w14:textId="77777777" w:rsidR="00F06099" w:rsidRPr="00382143" w:rsidRDefault="00F06099" w:rsidP="00FA7056">
            <w:pPr>
              <w:jc w:val="center"/>
              <w:rPr>
                <w:rFonts w:ascii="Calibri" w:hAnsi="Calibri" w:cs="Calibri"/>
                <w:color w:val="000000"/>
                <w:lang w:val="pt-BR" w:eastAsia="pt-BR"/>
              </w:rPr>
            </w:pPr>
          </w:p>
        </w:tc>
        <w:tc>
          <w:tcPr>
            <w:tcW w:w="1455" w:type="dxa"/>
            <w:tcBorders>
              <w:top w:val="nil"/>
              <w:left w:val="nil"/>
              <w:bottom w:val="nil"/>
              <w:right w:val="nil"/>
            </w:tcBorders>
            <w:shd w:val="clear" w:color="auto" w:fill="auto"/>
            <w:noWrap/>
            <w:vAlign w:val="center"/>
            <w:hideMark/>
          </w:tcPr>
          <w:p w14:paraId="1AF100C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2AB7D98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39,862</w:t>
            </w:r>
          </w:p>
        </w:tc>
        <w:tc>
          <w:tcPr>
            <w:tcW w:w="1662" w:type="dxa"/>
            <w:tcBorders>
              <w:top w:val="nil"/>
              <w:left w:val="nil"/>
              <w:bottom w:val="nil"/>
              <w:right w:val="nil"/>
            </w:tcBorders>
            <w:shd w:val="clear" w:color="auto" w:fill="auto"/>
            <w:noWrap/>
            <w:vAlign w:val="center"/>
            <w:hideMark/>
          </w:tcPr>
          <w:p w14:paraId="6A2157A6"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3,41849</w:t>
            </w:r>
          </w:p>
        </w:tc>
      </w:tr>
      <w:tr w:rsidR="00F06099" w:rsidRPr="00382143" w14:paraId="29818B7D"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70EA0323"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Left Swing </w:t>
            </w:r>
          </w:p>
        </w:tc>
        <w:tc>
          <w:tcPr>
            <w:tcW w:w="1455" w:type="dxa"/>
            <w:tcBorders>
              <w:top w:val="nil"/>
              <w:left w:val="nil"/>
              <w:bottom w:val="nil"/>
              <w:right w:val="nil"/>
            </w:tcBorders>
            <w:shd w:val="clear" w:color="D9D9D9" w:fill="D9D9D9"/>
            <w:noWrap/>
            <w:vAlign w:val="center"/>
            <w:hideMark/>
          </w:tcPr>
          <w:p w14:paraId="5C875611"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4EFDA9D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40,7465</w:t>
            </w:r>
          </w:p>
        </w:tc>
        <w:tc>
          <w:tcPr>
            <w:tcW w:w="1662" w:type="dxa"/>
            <w:tcBorders>
              <w:top w:val="nil"/>
              <w:left w:val="nil"/>
              <w:bottom w:val="nil"/>
              <w:right w:val="nil"/>
            </w:tcBorders>
            <w:shd w:val="clear" w:color="D9D9D9" w:fill="D9D9D9"/>
            <w:noWrap/>
            <w:vAlign w:val="center"/>
            <w:hideMark/>
          </w:tcPr>
          <w:p w14:paraId="746A350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3,59969</w:t>
            </w:r>
          </w:p>
        </w:tc>
      </w:tr>
      <w:tr w:rsidR="00F06099" w:rsidRPr="00382143" w14:paraId="25C3651B" w14:textId="77777777" w:rsidTr="0076730A">
        <w:trPr>
          <w:trHeight w:val="265"/>
          <w:jc w:val="center"/>
        </w:trPr>
        <w:tc>
          <w:tcPr>
            <w:tcW w:w="1918" w:type="dxa"/>
            <w:tcBorders>
              <w:top w:val="nil"/>
              <w:left w:val="nil"/>
              <w:bottom w:val="nil"/>
              <w:right w:val="nil"/>
            </w:tcBorders>
            <w:shd w:val="clear" w:color="auto" w:fill="auto"/>
            <w:noWrap/>
            <w:vAlign w:val="center"/>
            <w:hideMark/>
          </w:tcPr>
          <w:p w14:paraId="69D0FF91" w14:textId="77777777" w:rsidR="00F06099" w:rsidRPr="00382143" w:rsidRDefault="00F06099" w:rsidP="00FA7056">
            <w:pPr>
              <w:jc w:val="center"/>
              <w:rPr>
                <w:rFonts w:ascii="Calibri" w:hAnsi="Calibri" w:cs="Calibri"/>
                <w:color w:val="000000"/>
                <w:lang w:val="pt-BR" w:eastAsia="pt-BR"/>
              </w:rPr>
            </w:pPr>
          </w:p>
        </w:tc>
        <w:tc>
          <w:tcPr>
            <w:tcW w:w="1455" w:type="dxa"/>
            <w:tcBorders>
              <w:top w:val="nil"/>
              <w:left w:val="nil"/>
              <w:bottom w:val="nil"/>
              <w:right w:val="nil"/>
            </w:tcBorders>
            <w:shd w:val="clear" w:color="auto" w:fill="auto"/>
            <w:noWrap/>
            <w:vAlign w:val="center"/>
            <w:hideMark/>
          </w:tcPr>
          <w:p w14:paraId="11E9509E"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3EC6894D"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38,8</w:t>
            </w:r>
          </w:p>
        </w:tc>
        <w:tc>
          <w:tcPr>
            <w:tcW w:w="1662" w:type="dxa"/>
            <w:tcBorders>
              <w:top w:val="nil"/>
              <w:left w:val="nil"/>
              <w:bottom w:val="nil"/>
              <w:right w:val="nil"/>
            </w:tcBorders>
            <w:shd w:val="clear" w:color="auto" w:fill="auto"/>
            <w:noWrap/>
            <w:vAlign w:val="center"/>
            <w:hideMark/>
          </w:tcPr>
          <w:p w14:paraId="618E28E3"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3,54356</w:t>
            </w:r>
          </w:p>
        </w:tc>
      </w:tr>
      <w:tr w:rsidR="00F06099" w:rsidRPr="00382143" w14:paraId="2302C4B7"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540A9213"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Right Support Phase </w:t>
            </w:r>
          </w:p>
        </w:tc>
        <w:tc>
          <w:tcPr>
            <w:tcW w:w="1455" w:type="dxa"/>
            <w:tcBorders>
              <w:top w:val="nil"/>
              <w:left w:val="nil"/>
              <w:bottom w:val="nil"/>
              <w:right w:val="nil"/>
            </w:tcBorders>
            <w:shd w:val="clear" w:color="D9D9D9" w:fill="D9D9D9"/>
            <w:noWrap/>
            <w:vAlign w:val="center"/>
            <w:hideMark/>
          </w:tcPr>
          <w:p w14:paraId="3492D7DE"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007027E2"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59,4971</w:t>
            </w:r>
          </w:p>
        </w:tc>
        <w:tc>
          <w:tcPr>
            <w:tcW w:w="1662" w:type="dxa"/>
            <w:tcBorders>
              <w:top w:val="nil"/>
              <w:left w:val="nil"/>
              <w:bottom w:val="nil"/>
              <w:right w:val="nil"/>
            </w:tcBorders>
            <w:shd w:val="clear" w:color="D9D9D9" w:fill="D9D9D9"/>
            <w:noWrap/>
            <w:vAlign w:val="center"/>
            <w:hideMark/>
          </w:tcPr>
          <w:p w14:paraId="69B6C07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2,66816</w:t>
            </w:r>
          </w:p>
        </w:tc>
      </w:tr>
      <w:tr w:rsidR="00F06099" w:rsidRPr="00382143" w14:paraId="571F7243"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3C416EDB"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3546A140"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71A4D7F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60,0005</w:t>
            </w:r>
          </w:p>
        </w:tc>
        <w:tc>
          <w:tcPr>
            <w:tcW w:w="1662" w:type="dxa"/>
            <w:tcBorders>
              <w:top w:val="nil"/>
              <w:left w:val="nil"/>
              <w:bottom w:val="nil"/>
              <w:right w:val="nil"/>
            </w:tcBorders>
            <w:shd w:val="clear" w:color="auto" w:fill="auto"/>
            <w:noWrap/>
            <w:vAlign w:val="center"/>
            <w:hideMark/>
          </w:tcPr>
          <w:p w14:paraId="5BFEC02D"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3,62996</w:t>
            </w:r>
          </w:p>
        </w:tc>
      </w:tr>
      <w:tr w:rsidR="00F06099" w:rsidRPr="00382143" w14:paraId="040D36C7"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6C6F4E1A"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Right Double Support </w:t>
            </w:r>
          </w:p>
        </w:tc>
        <w:tc>
          <w:tcPr>
            <w:tcW w:w="1455" w:type="dxa"/>
            <w:tcBorders>
              <w:top w:val="nil"/>
              <w:left w:val="nil"/>
              <w:bottom w:val="nil"/>
              <w:right w:val="nil"/>
            </w:tcBorders>
            <w:shd w:val="clear" w:color="D9D9D9" w:fill="D9D9D9"/>
            <w:noWrap/>
            <w:vAlign w:val="center"/>
            <w:hideMark/>
          </w:tcPr>
          <w:p w14:paraId="05142C8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71FC7B2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9,07</w:t>
            </w:r>
          </w:p>
        </w:tc>
        <w:tc>
          <w:tcPr>
            <w:tcW w:w="1662" w:type="dxa"/>
            <w:tcBorders>
              <w:top w:val="nil"/>
              <w:left w:val="nil"/>
              <w:bottom w:val="nil"/>
              <w:right w:val="nil"/>
            </w:tcBorders>
            <w:shd w:val="clear" w:color="D9D9D9" w:fill="D9D9D9"/>
            <w:noWrap/>
            <w:vAlign w:val="center"/>
            <w:hideMark/>
          </w:tcPr>
          <w:p w14:paraId="7E0E422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2,38795</w:t>
            </w:r>
          </w:p>
        </w:tc>
      </w:tr>
      <w:tr w:rsidR="00F06099" w:rsidRPr="00382143" w14:paraId="213188F5"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09FB2AF7"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03AC01D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78CEC90D"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10,654</w:t>
            </w:r>
          </w:p>
        </w:tc>
        <w:tc>
          <w:tcPr>
            <w:tcW w:w="1662" w:type="dxa"/>
            <w:tcBorders>
              <w:top w:val="nil"/>
              <w:left w:val="nil"/>
              <w:bottom w:val="nil"/>
              <w:right w:val="nil"/>
            </w:tcBorders>
            <w:shd w:val="clear" w:color="auto" w:fill="auto"/>
            <w:noWrap/>
            <w:vAlign w:val="center"/>
            <w:hideMark/>
          </w:tcPr>
          <w:p w14:paraId="3003E9E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3,16307</w:t>
            </w:r>
          </w:p>
        </w:tc>
      </w:tr>
      <w:tr w:rsidR="00F06099" w:rsidRPr="00382143" w14:paraId="579F7181"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045FD568"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Right Single Support </w:t>
            </w:r>
          </w:p>
        </w:tc>
        <w:tc>
          <w:tcPr>
            <w:tcW w:w="1455" w:type="dxa"/>
            <w:tcBorders>
              <w:top w:val="nil"/>
              <w:left w:val="nil"/>
              <w:bottom w:val="nil"/>
              <w:right w:val="nil"/>
            </w:tcBorders>
            <w:shd w:val="clear" w:color="D9D9D9" w:fill="D9D9D9"/>
            <w:noWrap/>
            <w:vAlign w:val="center"/>
            <w:hideMark/>
          </w:tcPr>
          <w:p w14:paraId="6B8AA54F"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40F4C02F"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40,3088</w:t>
            </w:r>
          </w:p>
        </w:tc>
        <w:tc>
          <w:tcPr>
            <w:tcW w:w="1662" w:type="dxa"/>
            <w:tcBorders>
              <w:top w:val="nil"/>
              <w:left w:val="nil"/>
              <w:bottom w:val="nil"/>
              <w:right w:val="nil"/>
            </w:tcBorders>
            <w:shd w:val="clear" w:color="D9D9D9" w:fill="D9D9D9"/>
            <w:noWrap/>
            <w:vAlign w:val="center"/>
            <w:hideMark/>
          </w:tcPr>
          <w:p w14:paraId="087DA7E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3,6152</w:t>
            </w:r>
          </w:p>
        </w:tc>
      </w:tr>
      <w:tr w:rsidR="00F06099" w:rsidRPr="00382143" w14:paraId="76E64946"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1AD2563B"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1242CC4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27A3BE80"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39,308</w:t>
            </w:r>
          </w:p>
        </w:tc>
        <w:tc>
          <w:tcPr>
            <w:tcW w:w="1662" w:type="dxa"/>
            <w:tcBorders>
              <w:top w:val="nil"/>
              <w:left w:val="nil"/>
              <w:bottom w:val="nil"/>
              <w:right w:val="nil"/>
            </w:tcBorders>
            <w:shd w:val="clear" w:color="auto" w:fill="auto"/>
            <w:noWrap/>
            <w:vAlign w:val="center"/>
            <w:hideMark/>
          </w:tcPr>
          <w:p w14:paraId="4FCFEDE5"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4,73844</w:t>
            </w:r>
          </w:p>
        </w:tc>
      </w:tr>
      <w:tr w:rsidR="00F06099" w:rsidRPr="00382143" w14:paraId="0A2B85C2"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7B95EF86"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Right Swing </w:t>
            </w:r>
          </w:p>
        </w:tc>
        <w:tc>
          <w:tcPr>
            <w:tcW w:w="1455" w:type="dxa"/>
            <w:tcBorders>
              <w:top w:val="nil"/>
              <w:left w:val="nil"/>
              <w:bottom w:val="nil"/>
              <w:right w:val="nil"/>
            </w:tcBorders>
            <w:shd w:val="clear" w:color="D9D9D9" w:fill="D9D9D9"/>
            <w:noWrap/>
            <w:vAlign w:val="center"/>
            <w:hideMark/>
          </w:tcPr>
          <w:p w14:paraId="4212D380"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6748BE06"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40,5088</w:t>
            </w:r>
          </w:p>
        </w:tc>
        <w:tc>
          <w:tcPr>
            <w:tcW w:w="1662" w:type="dxa"/>
            <w:tcBorders>
              <w:top w:val="nil"/>
              <w:left w:val="nil"/>
              <w:bottom w:val="nil"/>
              <w:right w:val="nil"/>
            </w:tcBorders>
            <w:shd w:val="clear" w:color="D9D9D9" w:fill="D9D9D9"/>
            <w:noWrap/>
            <w:vAlign w:val="center"/>
            <w:hideMark/>
          </w:tcPr>
          <w:p w14:paraId="6CAED4ED"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2,68201</w:t>
            </w:r>
          </w:p>
        </w:tc>
      </w:tr>
      <w:tr w:rsidR="00F06099" w:rsidRPr="00382143" w14:paraId="5A23BBEB"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42B7081E"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02BF39E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7D1DD01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40,0285</w:t>
            </w:r>
          </w:p>
        </w:tc>
        <w:tc>
          <w:tcPr>
            <w:tcW w:w="1662" w:type="dxa"/>
            <w:tcBorders>
              <w:top w:val="nil"/>
              <w:left w:val="nil"/>
              <w:bottom w:val="nil"/>
              <w:right w:val="nil"/>
            </w:tcBorders>
            <w:shd w:val="clear" w:color="auto" w:fill="auto"/>
            <w:noWrap/>
            <w:vAlign w:val="center"/>
            <w:hideMark/>
          </w:tcPr>
          <w:p w14:paraId="7BC54638"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3,54284</w:t>
            </w:r>
          </w:p>
        </w:tc>
      </w:tr>
      <w:tr w:rsidR="00F06099" w:rsidRPr="00382143" w14:paraId="644A9A3C"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27ECFDAA"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Stopping Phase </w:t>
            </w:r>
          </w:p>
        </w:tc>
        <w:tc>
          <w:tcPr>
            <w:tcW w:w="1455" w:type="dxa"/>
            <w:tcBorders>
              <w:top w:val="nil"/>
              <w:left w:val="nil"/>
              <w:bottom w:val="nil"/>
              <w:right w:val="nil"/>
            </w:tcBorders>
            <w:shd w:val="clear" w:color="D9D9D9" w:fill="D9D9D9"/>
            <w:noWrap/>
            <w:vAlign w:val="center"/>
            <w:hideMark/>
          </w:tcPr>
          <w:p w14:paraId="49CC2DB0"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390184FE"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32,7824</w:t>
            </w:r>
          </w:p>
        </w:tc>
        <w:tc>
          <w:tcPr>
            <w:tcW w:w="1662" w:type="dxa"/>
            <w:tcBorders>
              <w:top w:val="nil"/>
              <w:left w:val="nil"/>
              <w:bottom w:val="nil"/>
              <w:right w:val="nil"/>
            </w:tcBorders>
            <w:shd w:val="clear" w:color="D9D9D9" w:fill="D9D9D9"/>
            <w:noWrap/>
            <w:vAlign w:val="center"/>
            <w:hideMark/>
          </w:tcPr>
          <w:p w14:paraId="0A57C5C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7,53195</w:t>
            </w:r>
          </w:p>
        </w:tc>
      </w:tr>
      <w:tr w:rsidR="00F06099" w:rsidRPr="00382143" w14:paraId="529E169F"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1D0BEC2E"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6D70684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0C5CE47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31,56</w:t>
            </w:r>
          </w:p>
        </w:tc>
        <w:tc>
          <w:tcPr>
            <w:tcW w:w="1662" w:type="dxa"/>
            <w:tcBorders>
              <w:top w:val="nil"/>
              <w:left w:val="nil"/>
              <w:bottom w:val="nil"/>
              <w:right w:val="nil"/>
            </w:tcBorders>
            <w:shd w:val="clear" w:color="auto" w:fill="auto"/>
            <w:noWrap/>
            <w:vAlign w:val="center"/>
            <w:hideMark/>
          </w:tcPr>
          <w:p w14:paraId="62B4F168"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9,36878</w:t>
            </w:r>
          </w:p>
        </w:tc>
      </w:tr>
      <w:tr w:rsidR="00F06099" w:rsidRPr="00382143" w14:paraId="14D248BE"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15D6A48F"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Cadence </w:t>
            </w:r>
          </w:p>
        </w:tc>
        <w:tc>
          <w:tcPr>
            <w:tcW w:w="1455" w:type="dxa"/>
            <w:tcBorders>
              <w:top w:val="nil"/>
              <w:left w:val="nil"/>
              <w:bottom w:val="nil"/>
              <w:right w:val="nil"/>
            </w:tcBorders>
            <w:shd w:val="clear" w:color="D9D9D9" w:fill="D9D9D9"/>
            <w:noWrap/>
            <w:vAlign w:val="center"/>
            <w:hideMark/>
          </w:tcPr>
          <w:p w14:paraId="6673D0C6"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041D1912"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96,1447</w:t>
            </w:r>
          </w:p>
        </w:tc>
        <w:tc>
          <w:tcPr>
            <w:tcW w:w="1662" w:type="dxa"/>
            <w:tcBorders>
              <w:top w:val="nil"/>
              <w:left w:val="nil"/>
              <w:bottom w:val="nil"/>
              <w:right w:val="nil"/>
            </w:tcBorders>
            <w:shd w:val="clear" w:color="D9D9D9" w:fill="D9D9D9"/>
            <w:noWrap/>
            <w:vAlign w:val="center"/>
            <w:hideMark/>
          </w:tcPr>
          <w:p w14:paraId="6B57728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10,4493</w:t>
            </w:r>
          </w:p>
        </w:tc>
      </w:tr>
      <w:tr w:rsidR="00F06099" w:rsidRPr="00382143" w14:paraId="06DD518E"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623D5971"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669D3BA2"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3905B22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98,7745</w:t>
            </w:r>
          </w:p>
        </w:tc>
        <w:tc>
          <w:tcPr>
            <w:tcW w:w="1662" w:type="dxa"/>
            <w:tcBorders>
              <w:top w:val="nil"/>
              <w:left w:val="nil"/>
              <w:bottom w:val="nil"/>
              <w:right w:val="nil"/>
            </w:tcBorders>
            <w:shd w:val="clear" w:color="auto" w:fill="auto"/>
            <w:noWrap/>
            <w:vAlign w:val="center"/>
            <w:hideMark/>
          </w:tcPr>
          <w:p w14:paraId="2A908F7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13,27879</w:t>
            </w:r>
          </w:p>
        </w:tc>
      </w:tr>
      <w:tr w:rsidR="00F06099" w:rsidRPr="00382143" w14:paraId="3EADB898"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738E6F54"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Speed </w:t>
            </w:r>
          </w:p>
        </w:tc>
        <w:tc>
          <w:tcPr>
            <w:tcW w:w="1455" w:type="dxa"/>
            <w:tcBorders>
              <w:top w:val="nil"/>
              <w:left w:val="nil"/>
              <w:bottom w:val="nil"/>
              <w:right w:val="nil"/>
            </w:tcBorders>
            <w:shd w:val="clear" w:color="D9D9D9" w:fill="D9D9D9"/>
            <w:noWrap/>
            <w:vAlign w:val="center"/>
            <w:hideMark/>
          </w:tcPr>
          <w:p w14:paraId="3A51D2F1"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701630E7"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0,9482</w:t>
            </w:r>
          </w:p>
        </w:tc>
        <w:tc>
          <w:tcPr>
            <w:tcW w:w="1662" w:type="dxa"/>
            <w:tcBorders>
              <w:top w:val="nil"/>
              <w:left w:val="nil"/>
              <w:bottom w:val="nil"/>
              <w:right w:val="nil"/>
            </w:tcBorders>
            <w:shd w:val="clear" w:color="D9D9D9" w:fill="D9D9D9"/>
            <w:noWrap/>
            <w:vAlign w:val="center"/>
            <w:hideMark/>
          </w:tcPr>
          <w:p w14:paraId="1E5F077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0,20559</w:t>
            </w:r>
          </w:p>
        </w:tc>
      </w:tr>
      <w:tr w:rsidR="00F06099" w:rsidRPr="00382143" w14:paraId="2F455157"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298F75B0"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7FA2ABF0"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1EAB0F93"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0,969</w:t>
            </w:r>
          </w:p>
        </w:tc>
        <w:tc>
          <w:tcPr>
            <w:tcW w:w="1662" w:type="dxa"/>
            <w:tcBorders>
              <w:top w:val="nil"/>
              <w:left w:val="nil"/>
              <w:bottom w:val="nil"/>
              <w:right w:val="nil"/>
            </w:tcBorders>
            <w:shd w:val="clear" w:color="auto" w:fill="auto"/>
            <w:noWrap/>
            <w:vAlign w:val="center"/>
            <w:hideMark/>
          </w:tcPr>
          <w:p w14:paraId="238137C5"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0,20131</w:t>
            </w:r>
          </w:p>
        </w:tc>
      </w:tr>
      <w:tr w:rsidR="00F06099" w:rsidRPr="00382143" w14:paraId="314F679C"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114E491B"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Inclination Symmetry </w:t>
            </w:r>
          </w:p>
        </w:tc>
        <w:tc>
          <w:tcPr>
            <w:tcW w:w="1455" w:type="dxa"/>
            <w:tcBorders>
              <w:top w:val="nil"/>
              <w:left w:val="nil"/>
              <w:bottom w:val="nil"/>
              <w:right w:val="nil"/>
            </w:tcBorders>
            <w:shd w:val="clear" w:color="D9D9D9" w:fill="D9D9D9"/>
            <w:noWrap/>
            <w:vAlign w:val="center"/>
            <w:hideMark/>
          </w:tcPr>
          <w:p w14:paraId="035743C4"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45CF571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54,9647</w:t>
            </w:r>
          </w:p>
        </w:tc>
        <w:tc>
          <w:tcPr>
            <w:tcW w:w="1662" w:type="dxa"/>
            <w:tcBorders>
              <w:top w:val="nil"/>
              <w:left w:val="nil"/>
              <w:bottom w:val="nil"/>
              <w:right w:val="nil"/>
            </w:tcBorders>
            <w:shd w:val="clear" w:color="D9D9D9" w:fill="D9D9D9"/>
            <w:noWrap/>
            <w:vAlign w:val="center"/>
            <w:hideMark/>
          </w:tcPr>
          <w:p w14:paraId="3E4D29F5"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24,51374</w:t>
            </w:r>
          </w:p>
        </w:tc>
      </w:tr>
      <w:tr w:rsidR="00F06099" w:rsidRPr="00382143" w14:paraId="13611CC1"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4E4689B6"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031DF43F"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2F2FC24B"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46,6275</w:t>
            </w:r>
          </w:p>
        </w:tc>
        <w:tc>
          <w:tcPr>
            <w:tcW w:w="1662" w:type="dxa"/>
            <w:tcBorders>
              <w:top w:val="nil"/>
              <w:left w:val="nil"/>
              <w:bottom w:val="nil"/>
              <w:right w:val="nil"/>
            </w:tcBorders>
            <w:shd w:val="clear" w:color="auto" w:fill="auto"/>
            <w:noWrap/>
            <w:vAlign w:val="center"/>
            <w:hideMark/>
          </w:tcPr>
          <w:p w14:paraId="563D93EF"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23,43925</w:t>
            </w:r>
          </w:p>
        </w:tc>
      </w:tr>
      <w:tr w:rsidR="00F06099" w:rsidRPr="00382143" w14:paraId="1DDCD59E"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0F98E54B"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Obliquity Symmetry </w:t>
            </w:r>
          </w:p>
        </w:tc>
        <w:tc>
          <w:tcPr>
            <w:tcW w:w="1455" w:type="dxa"/>
            <w:tcBorders>
              <w:top w:val="nil"/>
              <w:left w:val="nil"/>
              <w:bottom w:val="nil"/>
              <w:right w:val="nil"/>
            </w:tcBorders>
            <w:shd w:val="clear" w:color="D9D9D9" w:fill="D9D9D9"/>
            <w:noWrap/>
            <w:vAlign w:val="center"/>
            <w:hideMark/>
          </w:tcPr>
          <w:p w14:paraId="77A1252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7C1BC1ED"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92,2647</w:t>
            </w:r>
          </w:p>
        </w:tc>
        <w:tc>
          <w:tcPr>
            <w:tcW w:w="1662" w:type="dxa"/>
            <w:tcBorders>
              <w:top w:val="nil"/>
              <w:left w:val="nil"/>
              <w:bottom w:val="nil"/>
              <w:right w:val="nil"/>
            </w:tcBorders>
            <w:shd w:val="clear" w:color="D9D9D9" w:fill="D9D9D9"/>
            <w:noWrap/>
            <w:vAlign w:val="center"/>
            <w:hideMark/>
          </w:tcPr>
          <w:p w14:paraId="4FEBA31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5,98832</w:t>
            </w:r>
          </w:p>
        </w:tc>
      </w:tr>
      <w:tr w:rsidR="00F06099" w:rsidRPr="00382143" w14:paraId="683D9F60" w14:textId="77777777" w:rsidTr="0076730A">
        <w:trPr>
          <w:trHeight w:val="249"/>
          <w:jc w:val="center"/>
        </w:trPr>
        <w:tc>
          <w:tcPr>
            <w:tcW w:w="1918" w:type="dxa"/>
            <w:tcBorders>
              <w:top w:val="nil"/>
              <w:left w:val="nil"/>
              <w:bottom w:val="nil"/>
              <w:right w:val="nil"/>
            </w:tcBorders>
            <w:shd w:val="clear" w:color="auto" w:fill="auto"/>
            <w:noWrap/>
            <w:vAlign w:val="center"/>
            <w:hideMark/>
          </w:tcPr>
          <w:p w14:paraId="3BFBD894"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nil"/>
              <w:right w:val="nil"/>
            </w:tcBorders>
            <w:shd w:val="clear" w:color="auto" w:fill="auto"/>
            <w:noWrap/>
            <w:vAlign w:val="center"/>
            <w:hideMark/>
          </w:tcPr>
          <w:p w14:paraId="47B078D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nil"/>
              <w:right w:val="nil"/>
            </w:tcBorders>
            <w:shd w:val="clear" w:color="auto" w:fill="auto"/>
            <w:noWrap/>
            <w:vAlign w:val="center"/>
            <w:hideMark/>
          </w:tcPr>
          <w:p w14:paraId="58197A9E"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87,555</w:t>
            </w:r>
          </w:p>
        </w:tc>
        <w:tc>
          <w:tcPr>
            <w:tcW w:w="1662" w:type="dxa"/>
            <w:tcBorders>
              <w:top w:val="nil"/>
              <w:left w:val="nil"/>
              <w:bottom w:val="nil"/>
              <w:right w:val="nil"/>
            </w:tcBorders>
            <w:shd w:val="clear" w:color="auto" w:fill="auto"/>
            <w:noWrap/>
            <w:vAlign w:val="center"/>
            <w:hideMark/>
          </w:tcPr>
          <w:p w14:paraId="6481F269"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16,57492</w:t>
            </w:r>
          </w:p>
        </w:tc>
      </w:tr>
      <w:tr w:rsidR="00F06099" w:rsidRPr="00382143" w14:paraId="00F2E2FA" w14:textId="77777777" w:rsidTr="0076730A">
        <w:trPr>
          <w:trHeight w:val="249"/>
          <w:jc w:val="center"/>
        </w:trPr>
        <w:tc>
          <w:tcPr>
            <w:tcW w:w="1918" w:type="dxa"/>
            <w:tcBorders>
              <w:top w:val="nil"/>
              <w:left w:val="nil"/>
              <w:bottom w:val="nil"/>
              <w:right w:val="nil"/>
            </w:tcBorders>
            <w:shd w:val="clear" w:color="D9D9D9" w:fill="D9D9D9"/>
            <w:noWrap/>
            <w:vAlign w:val="center"/>
            <w:hideMark/>
          </w:tcPr>
          <w:p w14:paraId="1F182209" w14:textId="77777777" w:rsidR="00F06099" w:rsidRPr="00382143" w:rsidRDefault="00F06099" w:rsidP="00FA7056">
            <w:pPr>
              <w:jc w:val="center"/>
              <w:rPr>
                <w:rFonts w:ascii="Calibri" w:hAnsi="Calibri" w:cs="Calibri"/>
                <w:b/>
                <w:bCs/>
                <w:color w:val="000000"/>
                <w:lang w:val="pt-BR" w:eastAsia="pt-BR"/>
              </w:rPr>
            </w:pPr>
            <w:r w:rsidRPr="00382143">
              <w:rPr>
                <w:rFonts w:ascii="Calibri" w:hAnsi="Calibri" w:cs="Calibri"/>
                <w:b/>
                <w:bCs/>
                <w:color w:val="000000"/>
                <w:lang w:val="pt-BR" w:eastAsia="pt-BR"/>
              </w:rPr>
              <w:t xml:space="preserve">Rotation Symmetry </w:t>
            </w:r>
          </w:p>
        </w:tc>
        <w:tc>
          <w:tcPr>
            <w:tcW w:w="1455" w:type="dxa"/>
            <w:tcBorders>
              <w:top w:val="nil"/>
              <w:left w:val="nil"/>
              <w:bottom w:val="nil"/>
              <w:right w:val="nil"/>
            </w:tcBorders>
            <w:shd w:val="clear" w:color="D9D9D9" w:fill="D9D9D9"/>
            <w:noWrap/>
            <w:vAlign w:val="center"/>
            <w:hideMark/>
          </w:tcPr>
          <w:p w14:paraId="7BDE65EB"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Fixed </w:t>
            </w:r>
          </w:p>
        </w:tc>
        <w:tc>
          <w:tcPr>
            <w:tcW w:w="1327" w:type="dxa"/>
            <w:tcBorders>
              <w:top w:val="nil"/>
              <w:left w:val="nil"/>
              <w:bottom w:val="nil"/>
              <w:right w:val="nil"/>
            </w:tcBorders>
            <w:shd w:val="clear" w:color="D9D9D9" w:fill="D9D9D9"/>
            <w:noWrap/>
            <w:vAlign w:val="center"/>
            <w:hideMark/>
          </w:tcPr>
          <w:p w14:paraId="1DF8E07C"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93,9824</w:t>
            </w:r>
          </w:p>
        </w:tc>
        <w:tc>
          <w:tcPr>
            <w:tcW w:w="1662" w:type="dxa"/>
            <w:tcBorders>
              <w:top w:val="nil"/>
              <w:left w:val="nil"/>
              <w:bottom w:val="nil"/>
              <w:right w:val="nil"/>
            </w:tcBorders>
            <w:shd w:val="clear" w:color="D9D9D9" w:fill="D9D9D9"/>
            <w:noWrap/>
            <w:vAlign w:val="center"/>
            <w:hideMark/>
          </w:tcPr>
          <w:p w14:paraId="6FC8AF1D"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6,67177</w:t>
            </w:r>
          </w:p>
        </w:tc>
      </w:tr>
      <w:tr w:rsidR="00F06099" w:rsidRPr="00382143" w14:paraId="6D201F94" w14:textId="77777777" w:rsidTr="0076730A">
        <w:trPr>
          <w:trHeight w:val="249"/>
          <w:jc w:val="center"/>
        </w:trPr>
        <w:tc>
          <w:tcPr>
            <w:tcW w:w="1918" w:type="dxa"/>
            <w:tcBorders>
              <w:top w:val="nil"/>
              <w:left w:val="nil"/>
              <w:bottom w:val="single" w:sz="4" w:space="0" w:color="000000"/>
              <w:right w:val="nil"/>
            </w:tcBorders>
            <w:shd w:val="clear" w:color="auto" w:fill="auto"/>
            <w:noWrap/>
            <w:vAlign w:val="center"/>
            <w:hideMark/>
          </w:tcPr>
          <w:p w14:paraId="00FA329E" w14:textId="77777777" w:rsidR="00F06099" w:rsidRPr="00382143" w:rsidRDefault="00F06099" w:rsidP="00FA7056">
            <w:pPr>
              <w:jc w:val="center"/>
              <w:rPr>
                <w:rFonts w:ascii="Calibri" w:hAnsi="Calibri" w:cs="Calibri"/>
                <w:b/>
                <w:bCs/>
                <w:color w:val="000000"/>
                <w:lang w:val="pt-BR" w:eastAsia="pt-BR"/>
              </w:rPr>
            </w:pPr>
          </w:p>
        </w:tc>
        <w:tc>
          <w:tcPr>
            <w:tcW w:w="1455" w:type="dxa"/>
            <w:tcBorders>
              <w:top w:val="nil"/>
              <w:left w:val="nil"/>
              <w:bottom w:val="single" w:sz="4" w:space="0" w:color="000000"/>
              <w:right w:val="nil"/>
            </w:tcBorders>
            <w:shd w:val="clear" w:color="auto" w:fill="auto"/>
            <w:noWrap/>
            <w:vAlign w:val="center"/>
            <w:hideMark/>
          </w:tcPr>
          <w:p w14:paraId="197487CE"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 xml:space="preserve">Rotatory </w:t>
            </w:r>
          </w:p>
        </w:tc>
        <w:tc>
          <w:tcPr>
            <w:tcW w:w="1327" w:type="dxa"/>
            <w:tcBorders>
              <w:top w:val="nil"/>
              <w:left w:val="nil"/>
              <w:bottom w:val="single" w:sz="4" w:space="0" w:color="000000"/>
              <w:right w:val="nil"/>
            </w:tcBorders>
            <w:shd w:val="clear" w:color="auto" w:fill="auto"/>
            <w:noWrap/>
            <w:vAlign w:val="center"/>
            <w:hideMark/>
          </w:tcPr>
          <w:p w14:paraId="268AB5DA"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94,465</w:t>
            </w:r>
          </w:p>
        </w:tc>
        <w:tc>
          <w:tcPr>
            <w:tcW w:w="1662" w:type="dxa"/>
            <w:tcBorders>
              <w:top w:val="nil"/>
              <w:left w:val="nil"/>
              <w:bottom w:val="single" w:sz="4" w:space="0" w:color="000000"/>
              <w:right w:val="nil"/>
            </w:tcBorders>
            <w:shd w:val="clear" w:color="auto" w:fill="auto"/>
            <w:noWrap/>
            <w:vAlign w:val="center"/>
            <w:hideMark/>
          </w:tcPr>
          <w:p w14:paraId="326F2661" w14:textId="77777777" w:rsidR="00F06099" w:rsidRPr="00382143" w:rsidRDefault="00F06099" w:rsidP="00FA7056">
            <w:pPr>
              <w:jc w:val="center"/>
              <w:rPr>
                <w:rFonts w:ascii="Calibri" w:hAnsi="Calibri" w:cs="Calibri"/>
                <w:color w:val="000000"/>
                <w:lang w:val="pt-BR" w:eastAsia="pt-BR"/>
              </w:rPr>
            </w:pPr>
            <w:r w:rsidRPr="00382143">
              <w:rPr>
                <w:rFonts w:ascii="Calibri" w:hAnsi="Calibri" w:cs="Calibri"/>
                <w:color w:val="000000"/>
                <w:lang w:val="pt-BR" w:eastAsia="pt-BR"/>
              </w:rPr>
              <w:t>6,96361</w:t>
            </w:r>
          </w:p>
        </w:tc>
      </w:tr>
    </w:tbl>
    <w:p w14:paraId="69B67822" w14:textId="77777777" w:rsidR="00376BBE" w:rsidRDefault="00376BBE" w:rsidP="00441B6F">
      <w:pPr>
        <w:pStyle w:val="Body"/>
        <w:spacing w:after="0"/>
        <w:rPr>
          <w:rFonts w:ascii="Arial" w:hAnsi="Arial" w:cs="Arial"/>
        </w:rPr>
      </w:pPr>
    </w:p>
    <w:p w14:paraId="3A8ACABC" w14:textId="77777777" w:rsidR="00D042D3" w:rsidRDefault="00D042D3" w:rsidP="00D042D3">
      <w:pPr>
        <w:pStyle w:val="Body"/>
        <w:spacing w:after="0"/>
        <w:rPr>
          <w:rFonts w:ascii="Arial" w:hAnsi="Arial" w:cs="Arial"/>
          <w:lang w:val="pt-BR"/>
        </w:rPr>
      </w:pPr>
      <w:r w:rsidRPr="00D042D3">
        <w:rPr>
          <w:rFonts w:ascii="Arial" w:hAnsi="Arial" w:cs="Arial"/>
          <w:lang w:val="pt-BR"/>
        </w:rPr>
        <w:t>The results obtained demonstrated that there was no significant difference between the fixed and rotating plateau bases in terms of functional performance, as measured by the 2MWT. This test is a modification of the 12-Minute Walk Test, validated for patients who may face difficulties performing the original test after surgical interventions (Butland et al., 1982). The statistical analysis revealed no significant differences between the groups regarding the studied variables. Both sets of data suggest that the bases, regardless of the plateau type, are effective in restoring knee function and improving patient mobility, with neither being significantly superior to the other.</w:t>
      </w:r>
    </w:p>
    <w:p w14:paraId="7923D8D6" w14:textId="77777777" w:rsidR="00D042D3" w:rsidRPr="00D042D3" w:rsidRDefault="00D042D3" w:rsidP="00D042D3">
      <w:pPr>
        <w:pStyle w:val="Body"/>
        <w:spacing w:after="0"/>
        <w:rPr>
          <w:rFonts w:ascii="Arial" w:hAnsi="Arial" w:cs="Arial"/>
          <w:lang w:val="pt-BR"/>
        </w:rPr>
      </w:pPr>
    </w:p>
    <w:p w14:paraId="3020C49E" w14:textId="1709628A" w:rsidR="00D042D3" w:rsidRDefault="00D042D3" w:rsidP="00D042D3">
      <w:pPr>
        <w:pStyle w:val="Body"/>
        <w:spacing w:after="0"/>
        <w:rPr>
          <w:rFonts w:ascii="Arial" w:hAnsi="Arial" w:cs="Arial"/>
          <w:lang w:val="pt-BR"/>
        </w:rPr>
      </w:pPr>
      <w:r w:rsidRPr="00D042D3">
        <w:rPr>
          <w:rFonts w:ascii="Arial" w:hAnsi="Arial" w:cs="Arial"/>
          <w:lang w:val="pt-BR"/>
        </w:rPr>
        <w:t>This statistical aspect is particularly relevant to the scientific literature, as gait analysis after knee joint arthroplasty is essential for understanding recovery progress. Gait is directly linked to maintaining an active and autonomous lifestyle (Steffen, Hacker, and Mollinger, 2002).</w:t>
      </w:r>
      <w:r>
        <w:rPr>
          <w:rFonts w:ascii="Arial" w:hAnsi="Arial" w:cs="Arial"/>
          <w:lang w:val="pt-BR"/>
        </w:rPr>
        <w:t xml:space="preserve"> </w:t>
      </w:r>
      <w:r w:rsidRPr="00D042D3">
        <w:rPr>
          <w:rFonts w:ascii="Arial" w:hAnsi="Arial" w:cs="Arial"/>
          <w:lang w:val="pt-BR"/>
        </w:rPr>
        <w:t xml:space="preserve">The practical importance of this study lies in its potential to guide surgeons and </w:t>
      </w:r>
      <w:r w:rsidRPr="00D042D3">
        <w:rPr>
          <w:rFonts w:ascii="Arial" w:hAnsi="Arial" w:cs="Arial"/>
          <w:lang w:val="pt-BR"/>
        </w:rPr>
        <w:lastRenderedPageBreak/>
        <w:t>healthcare teams in the doctor-patient relationship, justifying the procedure and the possible post-surgical outcomes for different plateau types. This allows for a tailored approach based on the patient's individual characteristics and specific needs, as well as the possibility of applying this test in clinical settings to create more precise medical protocols and interventions (Yuksel et al., 2017).</w:t>
      </w:r>
    </w:p>
    <w:p w14:paraId="57AD9F4A" w14:textId="77777777" w:rsidR="00D042D3" w:rsidRPr="00D042D3" w:rsidRDefault="00D042D3" w:rsidP="00D042D3">
      <w:pPr>
        <w:pStyle w:val="Body"/>
        <w:spacing w:after="0"/>
        <w:rPr>
          <w:rFonts w:ascii="Arial" w:hAnsi="Arial" w:cs="Arial"/>
          <w:lang w:val="pt-BR"/>
        </w:rPr>
      </w:pPr>
    </w:p>
    <w:p w14:paraId="7423B0BF" w14:textId="77777777" w:rsidR="00D042D3" w:rsidRDefault="00D042D3" w:rsidP="00D042D3">
      <w:pPr>
        <w:pStyle w:val="Body"/>
        <w:spacing w:after="0"/>
        <w:rPr>
          <w:rFonts w:ascii="Arial" w:hAnsi="Arial" w:cs="Arial"/>
          <w:lang w:val="pt-BR"/>
        </w:rPr>
      </w:pPr>
      <w:r w:rsidRPr="00D042D3">
        <w:rPr>
          <w:rFonts w:ascii="Arial" w:hAnsi="Arial" w:cs="Arial"/>
          <w:lang w:val="pt-BR"/>
        </w:rPr>
        <w:t>The investigation of functional mobility in patients is currently a subject of interest in clinical studies. Some studies confirm the absence of differences in the range of motion (ROM) between the two prosthesis groups, as observed in the preliminary sample of the present study. For example, a comprehensive meta-analysis including 74 randomized controlled trials (RCTs) and 11,116 procedures found no significant differences between mobile bearing (MB) and fixed bearing (FB) groups regarding ROM, Knee Society Score (KSS), or complication rates. These results suggest that both implants are effective in restoring knee function and improving patients' quality of life (Bloch et al., 2019).</w:t>
      </w:r>
    </w:p>
    <w:p w14:paraId="4C4A169A" w14:textId="77777777" w:rsidR="00D042D3" w:rsidRPr="00D042D3" w:rsidRDefault="00D042D3" w:rsidP="00D042D3">
      <w:pPr>
        <w:pStyle w:val="Body"/>
        <w:spacing w:after="0"/>
        <w:rPr>
          <w:rFonts w:ascii="Arial" w:hAnsi="Arial" w:cs="Arial"/>
          <w:lang w:val="pt-BR"/>
        </w:rPr>
      </w:pPr>
    </w:p>
    <w:p w14:paraId="184076F1" w14:textId="77777777" w:rsidR="00D042D3" w:rsidRDefault="00D042D3" w:rsidP="00D042D3">
      <w:pPr>
        <w:pStyle w:val="Body"/>
        <w:spacing w:after="0"/>
        <w:rPr>
          <w:rFonts w:ascii="Arial" w:hAnsi="Arial" w:cs="Arial"/>
          <w:lang w:val="pt-BR"/>
        </w:rPr>
      </w:pPr>
      <w:r w:rsidRPr="00D042D3">
        <w:rPr>
          <w:rFonts w:ascii="Arial" w:hAnsi="Arial" w:cs="Arial"/>
          <w:lang w:val="pt-BR"/>
        </w:rPr>
        <w:t>Another original study evaluated the Walk Test variables in patients with mobile and fixed plateau implants and found no significant differences between the groups (Bourne et al., 2010). The Pearson correlation analysis revealed that the test duration was strongly related to cadence and speed in the rotating prosthesis group. Additionally, only in patients with fixed prostheses was there a negative correlation between cadence and pelvic rotation (Callaghan et al., 2001). However, a major limitation of that study for current analyses is that it is over 20 years old, during which significant advances in measuring these variables have been made (Pin, 2014).</w:t>
      </w:r>
    </w:p>
    <w:p w14:paraId="6B348824" w14:textId="77777777" w:rsidR="00D042D3" w:rsidRPr="00D042D3" w:rsidRDefault="00D042D3" w:rsidP="00D042D3">
      <w:pPr>
        <w:pStyle w:val="Body"/>
        <w:spacing w:after="0"/>
        <w:rPr>
          <w:rFonts w:ascii="Arial" w:hAnsi="Arial" w:cs="Arial"/>
          <w:lang w:val="pt-BR"/>
        </w:rPr>
      </w:pPr>
    </w:p>
    <w:p w14:paraId="7C1FB039" w14:textId="77777777" w:rsidR="00D042D3" w:rsidRPr="00D042D3" w:rsidRDefault="00D042D3" w:rsidP="00D042D3">
      <w:pPr>
        <w:pStyle w:val="Body"/>
        <w:spacing w:after="0"/>
        <w:rPr>
          <w:rFonts w:ascii="Arial" w:hAnsi="Arial" w:cs="Arial"/>
          <w:lang w:val="pt-BR"/>
        </w:rPr>
      </w:pPr>
      <w:r w:rsidRPr="00D042D3">
        <w:rPr>
          <w:rFonts w:ascii="Arial" w:hAnsi="Arial" w:cs="Arial"/>
          <w:lang w:val="pt-BR"/>
        </w:rPr>
        <w:t>One limitation of the present study was the absence of numerical scales to assess pain scores. Patients undergoing this type of surgical intervention may experience chronic or acute pain during daily activities or even while performing controlled tests. Such scales provide a simple representation ranging from no pain (score of 0) to maximum pain (score of 10), which could help contextualize post-surgical sensitivity (Stratford and Spadoni, 2001).</w:t>
      </w:r>
    </w:p>
    <w:p w14:paraId="1E5288C3" w14:textId="77777777" w:rsidR="00E053D0" w:rsidRDefault="00E053D0" w:rsidP="00441B6F">
      <w:pPr>
        <w:pStyle w:val="Body"/>
        <w:spacing w:after="0"/>
        <w:rPr>
          <w:rFonts w:ascii="Arial" w:hAnsi="Arial" w:cs="Arial"/>
        </w:rPr>
      </w:pPr>
    </w:p>
    <w:p w14:paraId="5F555C55" w14:textId="77777777" w:rsidR="00790ADA" w:rsidRPr="00FB3A86" w:rsidRDefault="00790ADA" w:rsidP="00441B6F">
      <w:pPr>
        <w:pStyle w:val="Body"/>
        <w:spacing w:after="0"/>
        <w:rPr>
          <w:rFonts w:ascii="Arial" w:hAnsi="Arial" w:cs="Arial"/>
        </w:rPr>
      </w:pPr>
    </w:p>
    <w:p w14:paraId="68C40B42"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43F0CFC6" w14:textId="77777777" w:rsidR="00790ADA" w:rsidRPr="00FB3A86" w:rsidRDefault="00790ADA" w:rsidP="00441B6F">
      <w:pPr>
        <w:pStyle w:val="ConcHead"/>
        <w:spacing w:after="0"/>
        <w:jc w:val="both"/>
        <w:rPr>
          <w:rFonts w:ascii="Arial" w:hAnsi="Arial" w:cs="Arial"/>
        </w:rPr>
      </w:pPr>
    </w:p>
    <w:p w14:paraId="7934A86D" w14:textId="77777777" w:rsidR="000B02D9" w:rsidRDefault="000B02D9" w:rsidP="000B02D9">
      <w:pPr>
        <w:pStyle w:val="Body"/>
        <w:spacing w:after="0"/>
        <w:rPr>
          <w:rFonts w:ascii="Arial" w:hAnsi="Arial" w:cs="Arial"/>
          <w:lang w:val="pt-BR"/>
        </w:rPr>
      </w:pPr>
      <w:r w:rsidRPr="000B02D9">
        <w:rPr>
          <w:rFonts w:ascii="Arial" w:hAnsi="Arial" w:cs="Arial"/>
          <w:lang w:val="pt-BR"/>
        </w:rPr>
        <w:t>The results of this preliminary study demonstrate that there was no significant difference between fixed and rotating tibial plateau prostheses in terms of functional performance, as measured by the 2-Minute Walk Test (2MWT). Both types of implants proved effective in restoring knee mobility and functionality in patients undergoing total knee arthroplasty. Furthermore, the findings highlight the importance of using objective tools, such as inertial sensors, for functional evaluation and identifying variables correlated with performance, such as cadence, speed, and pelvic parameters.</w:t>
      </w:r>
    </w:p>
    <w:p w14:paraId="6D5BC356" w14:textId="77777777" w:rsidR="000B02D9" w:rsidRPr="000B02D9" w:rsidRDefault="000B02D9" w:rsidP="000B02D9">
      <w:pPr>
        <w:pStyle w:val="Body"/>
        <w:spacing w:after="0"/>
        <w:rPr>
          <w:rFonts w:ascii="Arial" w:hAnsi="Arial" w:cs="Arial"/>
          <w:lang w:val="pt-BR"/>
        </w:rPr>
      </w:pPr>
    </w:p>
    <w:p w14:paraId="742E454C" w14:textId="77777777" w:rsidR="000B02D9" w:rsidRDefault="000B02D9" w:rsidP="000B02D9">
      <w:pPr>
        <w:pStyle w:val="Body"/>
        <w:spacing w:after="0"/>
        <w:rPr>
          <w:rFonts w:ascii="Arial" w:hAnsi="Arial" w:cs="Arial"/>
          <w:lang w:val="pt-BR"/>
        </w:rPr>
      </w:pPr>
      <w:r w:rsidRPr="000B02D9">
        <w:rPr>
          <w:rFonts w:ascii="Arial" w:hAnsi="Arial" w:cs="Arial"/>
          <w:lang w:val="pt-BR"/>
        </w:rPr>
        <w:t>Although the type of prosthesis did not significantly influence the gait parameters analyzed, a strong negative correlation was observed between test execution time and cadence/speed in the rotating prosthesis group, while in the fixed prosthesis group, this relationship extended to pelvic rotation. These results align with the current literature and emphasize the viability of both prostheses in functional recovery, with neither being superior to the other.</w:t>
      </w:r>
    </w:p>
    <w:p w14:paraId="3BFA323A" w14:textId="77777777" w:rsidR="000B02D9" w:rsidRPr="000B02D9" w:rsidRDefault="000B02D9" w:rsidP="000B02D9">
      <w:pPr>
        <w:pStyle w:val="Body"/>
        <w:spacing w:after="0"/>
        <w:rPr>
          <w:rFonts w:ascii="Arial" w:hAnsi="Arial" w:cs="Arial"/>
          <w:lang w:val="pt-BR"/>
        </w:rPr>
      </w:pPr>
    </w:p>
    <w:p w14:paraId="2E255D6F" w14:textId="77777777" w:rsidR="000B02D9" w:rsidRPr="000B02D9" w:rsidRDefault="000B02D9" w:rsidP="000B02D9">
      <w:pPr>
        <w:pStyle w:val="Body"/>
        <w:spacing w:after="0"/>
        <w:rPr>
          <w:rFonts w:ascii="Arial" w:hAnsi="Arial" w:cs="Arial"/>
          <w:lang w:val="pt-BR"/>
        </w:rPr>
      </w:pPr>
      <w:r w:rsidRPr="000B02D9">
        <w:rPr>
          <w:rFonts w:ascii="Arial" w:hAnsi="Arial" w:cs="Arial"/>
          <w:lang w:val="pt-BR"/>
        </w:rPr>
        <w:t xml:space="preserve">This study contributes to clinical practice by providing relevant information to guide implant selection, considering patients' individual characteristics. Moreover, it highlights the potential of the 2MWT combined with inertial sensors as a practical tool for clinical monitoring and decision-making in outpatient clinics and rehabilitation centers. Future studies with larger samples and longer follow-up periods are needed to confirm these findings and further </w:t>
      </w:r>
      <w:r w:rsidRPr="000B02D9">
        <w:rPr>
          <w:rFonts w:ascii="Arial" w:hAnsi="Arial" w:cs="Arial"/>
          <w:lang w:val="pt-BR"/>
        </w:rPr>
        <w:lastRenderedPageBreak/>
        <w:t>explore the relationships between biomechanical parameters and functional outcomes in different populations.</w:t>
      </w:r>
    </w:p>
    <w:p w14:paraId="59C4C04F" w14:textId="77777777" w:rsidR="00790ADA" w:rsidRPr="00FB3A86" w:rsidRDefault="00790ADA" w:rsidP="00441B6F">
      <w:pPr>
        <w:pStyle w:val="Body"/>
        <w:spacing w:after="0"/>
        <w:rPr>
          <w:rFonts w:ascii="Arial" w:hAnsi="Arial" w:cs="Arial"/>
        </w:rPr>
      </w:pPr>
    </w:p>
    <w:p w14:paraId="252EDF4B" w14:textId="77777777" w:rsidR="00DE44BF" w:rsidRDefault="00DE44BF" w:rsidP="00DE44BF">
      <w:pPr>
        <w:pStyle w:val="ReferHead"/>
        <w:spacing w:after="0"/>
        <w:jc w:val="both"/>
        <w:rPr>
          <w:rFonts w:ascii="Arial" w:hAnsi="Arial" w:cs="Arial"/>
          <w:b w:val="0"/>
          <w:caps w:val="0"/>
          <w:sz w:val="20"/>
        </w:rPr>
      </w:pPr>
    </w:p>
    <w:p w14:paraId="1238FE84" w14:textId="77777777" w:rsidR="00DE44BF" w:rsidRDefault="00DE44BF" w:rsidP="00DE44BF">
      <w:pPr>
        <w:pStyle w:val="ReferHead"/>
        <w:spacing w:after="0"/>
        <w:jc w:val="both"/>
        <w:rPr>
          <w:rFonts w:ascii="Arial" w:hAnsi="Arial" w:cs="Arial"/>
          <w:b w:val="0"/>
          <w:caps w:val="0"/>
          <w:sz w:val="20"/>
        </w:rPr>
      </w:pPr>
    </w:p>
    <w:p w14:paraId="2F88BF42" w14:textId="4FFA1535" w:rsidR="00DE44BF" w:rsidRPr="002B685A" w:rsidRDefault="00DE44BF" w:rsidP="00DE44BF">
      <w:pPr>
        <w:pStyle w:val="ReferHead"/>
        <w:spacing w:after="0"/>
        <w:jc w:val="both"/>
        <w:rPr>
          <w:rFonts w:ascii="Arial" w:hAnsi="Arial" w:cs="Arial"/>
          <w:bCs/>
        </w:rPr>
      </w:pPr>
      <w:r>
        <w:rPr>
          <w:rFonts w:ascii="Arial" w:hAnsi="Arial" w:cs="Arial"/>
          <w:bCs/>
        </w:rPr>
        <w:t>Ethical approval</w:t>
      </w:r>
    </w:p>
    <w:p w14:paraId="2C1E0E63" w14:textId="77777777" w:rsidR="00DE44BF" w:rsidRDefault="00DE44BF" w:rsidP="00DE44BF">
      <w:pPr>
        <w:pStyle w:val="ReferHead"/>
        <w:spacing w:after="0"/>
        <w:jc w:val="both"/>
        <w:rPr>
          <w:rFonts w:ascii="Arial" w:hAnsi="Arial" w:cs="Arial"/>
          <w:bCs/>
        </w:rPr>
      </w:pPr>
    </w:p>
    <w:p w14:paraId="181AA36A" w14:textId="134FED40" w:rsidR="00DE44BF" w:rsidRDefault="00DE44BF" w:rsidP="00DE44BF">
      <w:pPr>
        <w:pStyle w:val="ReferHead"/>
        <w:spacing w:after="0"/>
        <w:jc w:val="both"/>
        <w:rPr>
          <w:rFonts w:ascii="Arial" w:hAnsi="Arial" w:cs="Arial"/>
          <w:b w:val="0"/>
          <w:caps w:val="0"/>
          <w:sz w:val="20"/>
          <w:lang w:val="pt-BR"/>
        </w:rPr>
      </w:pPr>
      <w:r w:rsidRPr="004D5F86">
        <w:rPr>
          <w:rFonts w:ascii="Arial" w:hAnsi="Arial" w:cs="Arial"/>
          <w:b w:val="0"/>
          <w:caps w:val="0"/>
          <w:sz w:val="20"/>
          <w:lang w:val="pt-BR"/>
        </w:rPr>
        <w:t>The present study complies with the guidelines and regulatory standards for research involving human beings, formulated by the national health council of the ministry of health, established in october 1996 and updated in resolution 466 in 2012, in brazil. The study was conducted after approval by the ethics committee, under protocol number 6.775.127 and caae certification number: 52052421.9.0000.5076. This is a prospective, observational, and comparative study in which all participants agreed to their participation by signing an informed consent form, acknowledging that the procedure they underwent was voluntary, free of charge, and experimental.</w:t>
      </w:r>
    </w:p>
    <w:p w14:paraId="50FBDCDE" w14:textId="77777777" w:rsidR="00DE44BF" w:rsidRPr="004D5F86" w:rsidRDefault="00DE44BF" w:rsidP="00DE44BF">
      <w:pPr>
        <w:pStyle w:val="ReferHead"/>
        <w:spacing w:after="0"/>
        <w:jc w:val="both"/>
        <w:rPr>
          <w:rFonts w:ascii="Arial" w:hAnsi="Arial" w:cs="Arial"/>
          <w:b w:val="0"/>
          <w:sz w:val="20"/>
          <w:lang w:val="pt-BR"/>
        </w:rPr>
      </w:pPr>
    </w:p>
    <w:p w14:paraId="695515CD" w14:textId="00615EBD" w:rsidR="00DE44BF" w:rsidRPr="004D5F86" w:rsidRDefault="00DE44BF" w:rsidP="00DE44BF">
      <w:pPr>
        <w:pStyle w:val="ReferHead"/>
        <w:spacing w:after="0"/>
        <w:jc w:val="both"/>
        <w:rPr>
          <w:rFonts w:ascii="Arial" w:hAnsi="Arial" w:cs="Arial"/>
          <w:b w:val="0"/>
          <w:sz w:val="20"/>
          <w:lang w:val="pt-BR"/>
        </w:rPr>
      </w:pPr>
      <w:r w:rsidRPr="004D5F86">
        <w:rPr>
          <w:rFonts w:ascii="Arial" w:hAnsi="Arial" w:cs="Arial"/>
          <w:b w:val="0"/>
          <w:caps w:val="0"/>
          <w:sz w:val="20"/>
          <w:lang w:val="pt-BR"/>
        </w:rPr>
        <w:t xml:space="preserve">All participants had access to all relevant information and were permitted to withdraw from the research or revoke their consent at any time without any prejudice or harm. Additionally, the absolute confidentiality of participants' identities was ensured, based on ethical principles of confidentiality and privacy. </w:t>
      </w:r>
      <w:r w:rsidR="00B00B82" w:rsidRPr="00B00B82">
        <w:rPr>
          <w:rFonts w:ascii="Arial" w:hAnsi="Arial" w:cs="Arial"/>
          <w:b w:val="0"/>
          <w:caps w:val="0"/>
          <w:sz w:val="20"/>
        </w:rPr>
        <w:t xml:space="preserve">The study was carried out at a tertiary referral hospital specializing in rehabilitation, in partnership with a private university in the interior of </w:t>
      </w:r>
      <w:proofErr w:type="gramStart"/>
      <w:r w:rsidR="00B00B82" w:rsidRPr="00B00B82">
        <w:rPr>
          <w:rFonts w:ascii="Arial" w:hAnsi="Arial" w:cs="Arial"/>
          <w:b w:val="0"/>
          <w:caps w:val="0"/>
          <w:sz w:val="20"/>
        </w:rPr>
        <w:t>Goiá</w:t>
      </w:r>
      <w:r w:rsidR="00B00B82">
        <w:rPr>
          <w:rFonts w:ascii="Arial" w:hAnsi="Arial" w:cs="Arial"/>
          <w:b w:val="0"/>
          <w:caps w:val="0"/>
          <w:sz w:val="20"/>
        </w:rPr>
        <w:t xml:space="preserve">s, </w:t>
      </w:r>
      <w:r w:rsidR="00B00B82" w:rsidRPr="00B00B82">
        <w:rPr>
          <w:rFonts w:ascii="Arial" w:hAnsi="Arial" w:cs="Arial"/>
          <w:caps w:val="0"/>
          <w:sz w:val="20"/>
          <w:lang w:val="pt-BR"/>
        </w:rPr>
        <w:t xml:space="preserve"> </w:t>
      </w:r>
      <w:r w:rsidRPr="004D5F86">
        <w:rPr>
          <w:rFonts w:ascii="Arial" w:hAnsi="Arial" w:cs="Arial"/>
          <w:b w:val="0"/>
          <w:caps w:val="0"/>
          <w:sz w:val="20"/>
          <w:lang w:val="pt-BR"/>
        </w:rPr>
        <w:t>possesses</w:t>
      </w:r>
      <w:proofErr w:type="gramEnd"/>
      <w:r w:rsidRPr="004D5F86">
        <w:rPr>
          <w:rFonts w:ascii="Arial" w:hAnsi="Arial" w:cs="Arial"/>
          <w:b w:val="0"/>
          <w:caps w:val="0"/>
          <w:sz w:val="20"/>
          <w:lang w:val="pt-BR"/>
        </w:rPr>
        <w:t xml:space="preserve"> the technical and infrastructural capacity, as well as sufficient institutional support, to ensure the successful completion of the project. This included a fully equipped motion analysis laboratory with the portable and wireless g-walk inertial sensor (gsensor, bts bioengineering s.p.a., italy).</w:t>
      </w:r>
    </w:p>
    <w:p w14:paraId="00323B8F" w14:textId="77777777" w:rsidR="00DE44BF" w:rsidRDefault="00DE44BF" w:rsidP="00DE44BF">
      <w:pPr>
        <w:pStyle w:val="ReferHead"/>
        <w:spacing w:after="0"/>
        <w:jc w:val="both"/>
        <w:rPr>
          <w:rFonts w:ascii="Arial" w:hAnsi="Arial" w:cs="Arial"/>
        </w:rPr>
      </w:pPr>
    </w:p>
    <w:p w14:paraId="22238783" w14:textId="77777777" w:rsidR="00DE44BF" w:rsidRDefault="00DE44BF" w:rsidP="00DE44BF">
      <w:pPr>
        <w:pStyle w:val="ReferHead"/>
        <w:spacing w:after="0"/>
        <w:jc w:val="both"/>
        <w:rPr>
          <w:rFonts w:ascii="Arial" w:hAnsi="Arial" w:cs="Arial"/>
        </w:rPr>
      </w:pPr>
      <w:r w:rsidRPr="00FB3A86">
        <w:rPr>
          <w:rFonts w:ascii="Arial" w:hAnsi="Arial" w:cs="Arial"/>
        </w:rPr>
        <w:t>References</w:t>
      </w:r>
    </w:p>
    <w:p w14:paraId="481266A9" w14:textId="77777777" w:rsidR="00DE44BF" w:rsidRDefault="00DE44BF" w:rsidP="00DE44BF">
      <w:pPr>
        <w:pStyle w:val="Body"/>
        <w:spacing w:after="0"/>
      </w:pPr>
    </w:p>
    <w:p w14:paraId="04F940DB" w14:textId="77777777" w:rsidR="00DE44BF" w:rsidRPr="00DE44BF" w:rsidRDefault="00DE44BF" w:rsidP="00DE44BF">
      <w:pPr>
        <w:jc w:val="both"/>
        <w:rPr>
          <w:rFonts w:ascii="Arial" w:hAnsi="Arial" w:cs="Arial"/>
        </w:rPr>
      </w:pPr>
      <w:r w:rsidRPr="00DE44BF">
        <w:rPr>
          <w:rFonts w:ascii="Arial" w:hAnsi="Arial" w:cs="Arial"/>
        </w:rPr>
        <w:t xml:space="preserve">Prieto-Alhambra, D., Judge, A., Javaid, M. K., Cooper, C., Diez-Perez, A., &amp; Arden, N. K. (2014). Incidence and risk factors for clinically diagnosed knee, hip and hand osteoarthritis: Influences of age, gender and osteoarthritis affecting other joints. </w:t>
      </w:r>
      <w:r w:rsidRPr="00DE44BF">
        <w:rPr>
          <w:rFonts w:ascii="Arial" w:hAnsi="Arial" w:cs="Arial"/>
          <w:i/>
          <w:iCs/>
        </w:rPr>
        <w:t>Annals of the Rheumatic Diseases, 73</w:t>
      </w:r>
      <w:r w:rsidRPr="00DE44BF">
        <w:rPr>
          <w:rFonts w:ascii="Arial" w:hAnsi="Arial" w:cs="Arial"/>
        </w:rPr>
        <w:t>(9), 1659–1664. https://doi.org/10.1136/annrheumdis-2013-203355</w:t>
      </w:r>
    </w:p>
    <w:p w14:paraId="6939D4C4" w14:textId="77777777" w:rsidR="00DE44BF" w:rsidRPr="00DE44BF" w:rsidRDefault="00DE44BF" w:rsidP="00DE44BF">
      <w:pPr>
        <w:jc w:val="both"/>
        <w:rPr>
          <w:rFonts w:ascii="Arial" w:hAnsi="Arial" w:cs="Arial"/>
        </w:rPr>
      </w:pPr>
    </w:p>
    <w:p w14:paraId="6AA460C8" w14:textId="77777777" w:rsidR="00DE44BF" w:rsidRPr="00DE44BF" w:rsidRDefault="00DE44BF" w:rsidP="00DE44BF">
      <w:pPr>
        <w:jc w:val="both"/>
        <w:rPr>
          <w:rFonts w:ascii="Arial" w:hAnsi="Arial" w:cs="Arial"/>
        </w:rPr>
      </w:pPr>
      <w:proofErr w:type="spellStart"/>
      <w:r w:rsidRPr="00DE44BF">
        <w:rPr>
          <w:rFonts w:ascii="Arial" w:hAnsi="Arial" w:cs="Arial"/>
        </w:rPr>
        <w:t>Neogi</w:t>
      </w:r>
      <w:proofErr w:type="spellEnd"/>
      <w:r w:rsidRPr="00DE44BF">
        <w:rPr>
          <w:rFonts w:ascii="Arial" w:hAnsi="Arial" w:cs="Arial"/>
        </w:rPr>
        <w:t xml:space="preserve">, T. (2013). The epidemiology and impact of pain in osteoarthritis. </w:t>
      </w:r>
      <w:r w:rsidRPr="00DE44BF">
        <w:rPr>
          <w:rFonts w:ascii="Arial" w:hAnsi="Arial" w:cs="Arial"/>
          <w:i/>
          <w:iCs/>
        </w:rPr>
        <w:t>Osteoarthritis and Cartilage, 21</w:t>
      </w:r>
      <w:r w:rsidRPr="00DE44BF">
        <w:rPr>
          <w:rFonts w:ascii="Arial" w:hAnsi="Arial" w:cs="Arial"/>
        </w:rPr>
        <w:t>(9), 1145–1153. https://doi.org/10.1016/j.joca.2013.03.018</w:t>
      </w:r>
    </w:p>
    <w:p w14:paraId="3F21C2FB" w14:textId="77777777" w:rsidR="00DE44BF" w:rsidRPr="00DE44BF" w:rsidRDefault="00DE44BF" w:rsidP="00DE44BF">
      <w:pPr>
        <w:jc w:val="both"/>
        <w:rPr>
          <w:rFonts w:ascii="Arial" w:hAnsi="Arial" w:cs="Arial"/>
        </w:rPr>
      </w:pPr>
    </w:p>
    <w:p w14:paraId="0D41E75C" w14:textId="77777777" w:rsidR="00DE44BF" w:rsidRPr="00DE44BF" w:rsidRDefault="00DE44BF" w:rsidP="00DE44BF">
      <w:pPr>
        <w:jc w:val="both"/>
        <w:rPr>
          <w:rFonts w:ascii="Arial" w:hAnsi="Arial" w:cs="Arial"/>
        </w:rPr>
      </w:pPr>
      <w:r w:rsidRPr="00DE44BF">
        <w:rPr>
          <w:rFonts w:ascii="Arial" w:hAnsi="Arial" w:cs="Arial"/>
        </w:rPr>
        <w:t xml:space="preserve">Schofield, D., Cunich, M., Shrestha, R. N., et al. (2018). The long-term economic impacts of arthritis through lost productive life years: Results from an Australian microsimulation model. </w:t>
      </w:r>
      <w:r w:rsidRPr="00DE44BF">
        <w:rPr>
          <w:rFonts w:ascii="Arial" w:hAnsi="Arial" w:cs="Arial"/>
          <w:i/>
          <w:iCs/>
        </w:rPr>
        <w:t>BMC Public Health, 18,</w:t>
      </w:r>
      <w:r w:rsidRPr="00DE44BF">
        <w:rPr>
          <w:rFonts w:ascii="Arial" w:hAnsi="Arial" w:cs="Arial"/>
        </w:rPr>
        <w:t xml:space="preserve"> 654. https://doi.org/10.1186/s12889-018-5553-7</w:t>
      </w:r>
    </w:p>
    <w:p w14:paraId="34557589" w14:textId="77777777" w:rsidR="00DE44BF" w:rsidRPr="00DE44BF" w:rsidRDefault="00DE44BF" w:rsidP="00DE44BF">
      <w:pPr>
        <w:jc w:val="both"/>
        <w:rPr>
          <w:rFonts w:ascii="Arial" w:hAnsi="Arial" w:cs="Arial"/>
        </w:rPr>
      </w:pPr>
    </w:p>
    <w:p w14:paraId="4D8ADCB0" w14:textId="77777777" w:rsidR="00DE44BF" w:rsidRPr="00DE44BF" w:rsidRDefault="00DE44BF" w:rsidP="00DE44BF">
      <w:pPr>
        <w:jc w:val="both"/>
        <w:rPr>
          <w:rFonts w:ascii="Arial" w:hAnsi="Arial" w:cs="Arial"/>
          <w:lang w:val="pt-BR"/>
        </w:rPr>
      </w:pPr>
      <w:r w:rsidRPr="00DE44BF">
        <w:rPr>
          <w:rFonts w:ascii="Arial" w:hAnsi="Arial" w:cs="Arial"/>
          <w:lang w:val="pt-BR"/>
        </w:rPr>
        <w:t xml:space="preserve">Silverwood, V., Blagojevic-Bucknall, M., Jinks, C., Jordan, J. L., Protheroe, J., &amp; Jordan, K. P. (2015). Evidence on risk factors for knee osteoarthritis in older adults: A systematic review and meta-analysis. </w:t>
      </w:r>
      <w:r w:rsidRPr="00DE44BF">
        <w:rPr>
          <w:rFonts w:ascii="Arial" w:hAnsi="Arial" w:cs="Arial"/>
          <w:i/>
          <w:iCs/>
          <w:lang w:val="pt-BR"/>
        </w:rPr>
        <w:t>Osteoarthritis and Cartilage, 23</w:t>
      </w:r>
      <w:r w:rsidRPr="00DE44BF">
        <w:rPr>
          <w:rFonts w:ascii="Arial" w:hAnsi="Arial" w:cs="Arial"/>
          <w:lang w:val="pt-BR"/>
        </w:rPr>
        <w:t>(4), 507–515. https://doi.org/10.1016/j.joca.2014.11.01</w:t>
      </w:r>
    </w:p>
    <w:p w14:paraId="6341368F" w14:textId="77777777" w:rsidR="00DE44BF" w:rsidRPr="00DE44BF" w:rsidRDefault="00DE44BF" w:rsidP="00DE44BF">
      <w:pPr>
        <w:jc w:val="both"/>
        <w:rPr>
          <w:rFonts w:ascii="Arial" w:hAnsi="Arial" w:cs="Arial"/>
          <w:lang w:val="pt-BR"/>
        </w:rPr>
      </w:pPr>
    </w:p>
    <w:p w14:paraId="57D6F7FF" w14:textId="77777777" w:rsidR="00DE44BF" w:rsidRPr="00DE44BF" w:rsidRDefault="00DE44BF" w:rsidP="00DE44BF">
      <w:pPr>
        <w:jc w:val="both"/>
        <w:rPr>
          <w:rFonts w:ascii="Arial" w:hAnsi="Arial" w:cs="Arial"/>
        </w:rPr>
      </w:pPr>
      <w:r w:rsidRPr="00DE44BF">
        <w:rPr>
          <w:rFonts w:ascii="Arial" w:hAnsi="Arial" w:cs="Arial"/>
        </w:rPr>
        <w:t xml:space="preserve">Felson, D. (2013). Osteoarthritis as a disease of mechanics. </w:t>
      </w:r>
      <w:r w:rsidRPr="00DE44BF">
        <w:rPr>
          <w:rFonts w:ascii="Arial" w:hAnsi="Arial" w:cs="Arial"/>
          <w:i/>
          <w:iCs/>
        </w:rPr>
        <w:t>Osteoarthritis and Cartilage, 21</w:t>
      </w:r>
      <w:r w:rsidRPr="00DE44BF">
        <w:rPr>
          <w:rFonts w:ascii="Arial" w:hAnsi="Arial" w:cs="Arial"/>
        </w:rPr>
        <w:t>(1), 10–15. https://doi.org/10.1016/j.joca.2012.09.012</w:t>
      </w:r>
    </w:p>
    <w:p w14:paraId="6CF4C8A0" w14:textId="77777777" w:rsidR="00DE44BF" w:rsidRPr="00DE44BF" w:rsidRDefault="00DE44BF" w:rsidP="00DE44BF">
      <w:pPr>
        <w:jc w:val="both"/>
        <w:rPr>
          <w:rFonts w:ascii="Arial" w:hAnsi="Arial" w:cs="Arial"/>
        </w:rPr>
      </w:pPr>
    </w:p>
    <w:p w14:paraId="05C19DE9" w14:textId="77777777" w:rsidR="00DE44BF" w:rsidRPr="00DE44BF" w:rsidRDefault="00DE44BF" w:rsidP="00DE44BF">
      <w:pPr>
        <w:jc w:val="both"/>
        <w:rPr>
          <w:rFonts w:ascii="Arial" w:hAnsi="Arial" w:cs="Arial"/>
        </w:rPr>
      </w:pPr>
      <w:r w:rsidRPr="00A622B2">
        <w:rPr>
          <w:rFonts w:ascii="Arial" w:hAnsi="Arial" w:cs="Arial"/>
          <w:lang w:val="de-DE"/>
        </w:rPr>
        <w:t xml:space="preserve">Hunter, D., Prieto-Alhambra, D., &amp; Arden, N. (2014). </w:t>
      </w:r>
      <w:r w:rsidRPr="00DE44BF">
        <w:rPr>
          <w:rFonts w:ascii="Arial" w:hAnsi="Arial" w:cs="Arial"/>
          <w:i/>
          <w:iCs/>
        </w:rPr>
        <w:t>Osteoarthritis: The facts</w:t>
      </w:r>
      <w:r w:rsidRPr="00DE44BF">
        <w:rPr>
          <w:rFonts w:ascii="Arial" w:hAnsi="Arial" w:cs="Arial"/>
        </w:rPr>
        <w:t xml:space="preserve"> (2nd ed.). Oxford: Oxford University Press.</w:t>
      </w:r>
    </w:p>
    <w:p w14:paraId="6FD3A9D1" w14:textId="77777777" w:rsidR="00DE44BF" w:rsidRPr="00DE44BF" w:rsidRDefault="00DE44BF" w:rsidP="00DE44BF">
      <w:pPr>
        <w:jc w:val="both"/>
        <w:rPr>
          <w:rFonts w:ascii="Arial" w:hAnsi="Arial" w:cs="Arial"/>
        </w:rPr>
      </w:pPr>
    </w:p>
    <w:p w14:paraId="26269D48" w14:textId="77777777" w:rsidR="00DE44BF" w:rsidRPr="00DE44BF" w:rsidRDefault="00DE44BF" w:rsidP="00DE44BF">
      <w:pPr>
        <w:jc w:val="both"/>
        <w:rPr>
          <w:rFonts w:ascii="Arial" w:hAnsi="Arial" w:cs="Arial"/>
        </w:rPr>
      </w:pPr>
      <w:r w:rsidRPr="00DE44BF">
        <w:rPr>
          <w:rFonts w:ascii="Arial" w:hAnsi="Arial" w:cs="Arial"/>
        </w:rPr>
        <w:lastRenderedPageBreak/>
        <w:t xml:space="preserve">Loeser, R. F., Collins, J. A., &amp; Diekman, B. O. (2016). Ageing and the pathogenesis of osteoarthritis. </w:t>
      </w:r>
      <w:r w:rsidRPr="00DE44BF">
        <w:rPr>
          <w:rFonts w:ascii="Arial" w:hAnsi="Arial" w:cs="Arial"/>
          <w:i/>
          <w:iCs/>
        </w:rPr>
        <w:t>Nature Reviews Rheumatology, 12</w:t>
      </w:r>
      <w:r w:rsidRPr="00DE44BF">
        <w:rPr>
          <w:rFonts w:ascii="Arial" w:hAnsi="Arial" w:cs="Arial"/>
        </w:rPr>
        <w:t xml:space="preserve">(7), 412–420. </w:t>
      </w:r>
      <w:hyperlink r:id="rId15" w:history="1">
        <w:r w:rsidRPr="00DE44BF">
          <w:rPr>
            <w:rStyle w:val="Hyperlink"/>
            <w:rFonts w:ascii="Arial" w:hAnsi="Arial" w:cs="Arial"/>
          </w:rPr>
          <w:t>https://doi.org/10.1038/nrrheum.2016.65</w:t>
        </w:r>
      </w:hyperlink>
    </w:p>
    <w:p w14:paraId="326C8B6E" w14:textId="77777777" w:rsidR="00DE44BF" w:rsidRPr="00DE44BF" w:rsidRDefault="00DE44BF" w:rsidP="00DE44BF">
      <w:pPr>
        <w:jc w:val="both"/>
        <w:rPr>
          <w:rFonts w:ascii="Arial" w:hAnsi="Arial" w:cs="Arial"/>
        </w:rPr>
      </w:pPr>
    </w:p>
    <w:p w14:paraId="092DBE40" w14:textId="77777777" w:rsidR="00DE44BF" w:rsidRPr="00DE44BF" w:rsidRDefault="00DE44BF" w:rsidP="00DE44BF">
      <w:pPr>
        <w:jc w:val="both"/>
        <w:rPr>
          <w:rFonts w:ascii="Arial" w:hAnsi="Arial" w:cs="Arial"/>
        </w:rPr>
      </w:pPr>
      <w:r w:rsidRPr="00DE44BF">
        <w:rPr>
          <w:rFonts w:ascii="Arial" w:hAnsi="Arial" w:cs="Arial"/>
        </w:rPr>
        <w:t xml:space="preserve">Hsia, A. W., Emami, A. J., </w:t>
      </w:r>
      <w:proofErr w:type="spellStart"/>
      <w:r w:rsidRPr="00DE44BF">
        <w:rPr>
          <w:rFonts w:ascii="Arial" w:hAnsi="Arial" w:cs="Arial"/>
        </w:rPr>
        <w:t>Tarke</w:t>
      </w:r>
      <w:proofErr w:type="spellEnd"/>
      <w:r w:rsidRPr="00DE44BF">
        <w:rPr>
          <w:rFonts w:ascii="Arial" w:hAnsi="Arial" w:cs="Arial"/>
        </w:rPr>
        <w:t xml:space="preserve">, F. D., et al. (2018). Osteophytes and fracture calluses share developmental milestones and are diminished by unloading. </w:t>
      </w:r>
      <w:r w:rsidRPr="00DE44BF">
        <w:rPr>
          <w:rFonts w:ascii="Arial" w:hAnsi="Arial" w:cs="Arial"/>
          <w:i/>
          <w:iCs/>
        </w:rPr>
        <w:t xml:space="preserve">Journal of </w:t>
      </w:r>
      <w:proofErr w:type="spellStart"/>
      <w:r w:rsidRPr="00DE44BF">
        <w:rPr>
          <w:rFonts w:ascii="Arial" w:hAnsi="Arial" w:cs="Arial"/>
          <w:i/>
          <w:iCs/>
        </w:rPr>
        <w:t>Orthopaedic</w:t>
      </w:r>
      <w:proofErr w:type="spellEnd"/>
      <w:r w:rsidRPr="00DE44BF">
        <w:rPr>
          <w:rFonts w:ascii="Arial" w:hAnsi="Arial" w:cs="Arial"/>
          <w:i/>
          <w:iCs/>
        </w:rPr>
        <w:t xml:space="preserve"> Research, 36</w:t>
      </w:r>
      <w:r w:rsidRPr="00DE44BF">
        <w:rPr>
          <w:rFonts w:ascii="Arial" w:hAnsi="Arial" w:cs="Arial"/>
        </w:rPr>
        <w:t xml:space="preserve">(3), 699–710. </w:t>
      </w:r>
      <w:hyperlink r:id="rId16" w:history="1">
        <w:r w:rsidRPr="00DE44BF">
          <w:rPr>
            <w:rStyle w:val="Hyperlink"/>
            <w:rFonts w:ascii="Arial" w:hAnsi="Arial" w:cs="Arial"/>
          </w:rPr>
          <w:t>https://doi.org/10.1002/jor.23793</w:t>
        </w:r>
      </w:hyperlink>
    </w:p>
    <w:p w14:paraId="3AE85512" w14:textId="77777777" w:rsidR="00DE44BF" w:rsidRPr="00DE44BF" w:rsidRDefault="00DE44BF" w:rsidP="00DE44BF">
      <w:pPr>
        <w:jc w:val="both"/>
        <w:rPr>
          <w:rFonts w:ascii="Arial" w:hAnsi="Arial" w:cs="Arial"/>
        </w:rPr>
      </w:pPr>
    </w:p>
    <w:p w14:paraId="7E1479BD" w14:textId="77777777" w:rsidR="00DE44BF" w:rsidRPr="00DE44BF" w:rsidRDefault="00DE44BF" w:rsidP="00DE44BF">
      <w:pPr>
        <w:jc w:val="both"/>
        <w:rPr>
          <w:rFonts w:ascii="Arial" w:hAnsi="Arial" w:cs="Arial"/>
        </w:rPr>
      </w:pPr>
      <w:r w:rsidRPr="00DE44BF">
        <w:rPr>
          <w:rFonts w:ascii="Arial" w:hAnsi="Arial" w:cs="Arial"/>
        </w:rPr>
        <w:t xml:space="preserve">Abdul, N., Dixon, D., Walker, A., </w:t>
      </w:r>
      <w:proofErr w:type="spellStart"/>
      <w:r w:rsidRPr="00DE44BF">
        <w:rPr>
          <w:rFonts w:ascii="Arial" w:hAnsi="Arial" w:cs="Arial"/>
        </w:rPr>
        <w:t>Horabin</w:t>
      </w:r>
      <w:proofErr w:type="spellEnd"/>
      <w:r w:rsidRPr="00DE44BF">
        <w:rPr>
          <w:rFonts w:ascii="Arial" w:hAnsi="Arial" w:cs="Arial"/>
        </w:rPr>
        <w:t xml:space="preserve">, J., Smith, N., &amp; Weir, D. J. (2015). Fibrosis is a common outcome following total knee arthroplasty. </w:t>
      </w:r>
      <w:r w:rsidRPr="00DE44BF">
        <w:rPr>
          <w:rFonts w:ascii="Arial" w:hAnsi="Arial" w:cs="Arial"/>
          <w:i/>
          <w:iCs/>
        </w:rPr>
        <w:t>Scientific Reports, 5,</w:t>
      </w:r>
      <w:r w:rsidRPr="00DE44BF">
        <w:rPr>
          <w:rFonts w:ascii="Arial" w:hAnsi="Arial" w:cs="Arial"/>
        </w:rPr>
        <w:t xml:space="preserve"> 16469. https://doi.org/10.1038/srep16469</w:t>
      </w:r>
    </w:p>
    <w:p w14:paraId="728F3E92" w14:textId="77777777" w:rsidR="00DE44BF" w:rsidRPr="00DE44BF" w:rsidRDefault="00DE44BF" w:rsidP="00DE44BF">
      <w:pPr>
        <w:jc w:val="both"/>
        <w:rPr>
          <w:rFonts w:ascii="Arial" w:hAnsi="Arial" w:cs="Arial"/>
        </w:rPr>
      </w:pPr>
    </w:p>
    <w:p w14:paraId="7C604B11" w14:textId="77777777" w:rsidR="00DE44BF" w:rsidRPr="00DE44BF" w:rsidRDefault="00DE44BF" w:rsidP="00DE44BF">
      <w:pPr>
        <w:jc w:val="both"/>
        <w:rPr>
          <w:rFonts w:ascii="Arial" w:hAnsi="Arial" w:cs="Arial"/>
        </w:rPr>
      </w:pPr>
      <w:proofErr w:type="spellStart"/>
      <w:r w:rsidRPr="00DE44BF">
        <w:rPr>
          <w:rFonts w:ascii="Arial" w:hAnsi="Arial" w:cs="Arial"/>
        </w:rPr>
        <w:t>Dall’Oca</w:t>
      </w:r>
      <w:proofErr w:type="spellEnd"/>
      <w:r w:rsidRPr="00DE44BF">
        <w:rPr>
          <w:rFonts w:ascii="Arial" w:hAnsi="Arial" w:cs="Arial"/>
        </w:rPr>
        <w:t xml:space="preserve">, C., Ricci, M., </w:t>
      </w:r>
      <w:proofErr w:type="spellStart"/>
      <w:r w:rsidRPr="00DE44BF">
        <w:rPr>
          <w:rFonts w:ascii="Arial" w:hAnsi="Arial" w:cs="Arial"/>
        </w:rPr>
        <w:t>Vecchini</w:t>
      </w:r>
      <w:proofErr w:type="spellEnd"/>
      <w:r w:rsidRPr="00DE44BF">
        <w:rPr>
          <w:rFonts w:ascii="Arial" w:hAnsi="Arial" w:cs="Arial"/>
        </w:rPr>
        <w:t xml:space="preserve">, E., Gianini, N., </w:t>
      </w:r>
      <w:proofErr w:type="spellStart"/>
      <w:r w:rsidRPr="00DE44BF">
        <w:rPr>
          <w:rFonts w:ascii="Arial" w:hAnsi="Arial" w:cs="Arial"/>
        </w:rPr>
        <w:t>Amberti</w:t>
      </w:r>
      <w:proofErr w:type="spellEnd"/>
      <w:r w:rsidRPr="00DE44BF">
        <w:rPr>
          <w:rFonts w:ascii="Arial" w:hAnsi="Arial" w:cs="Arial"/>
        </w:rPr>
        <w:t xml:space="preserve">, D., </w:t>
      </w:r>
      <w:proofErr w:type="spellStart"/>
      <w:r w:rsidRPr="00DE44BF">
        <w:rPr>
          <w:rFonts w:ascii="Arial" w:hAnsi="Arial" w:cs="Arial"/>
        </w:rPr>
        <w:t>Tromponi</w:t>
      </w:r>
      <w:proofErr w:type="spellEnd"/>
      <w:r w:rsidRPr="00DE44BF">
        <w:rPr>
          <w:rFonts w:ascii="Arial" w:hAnsi="Arial" w:cs="Arial"/>
        </w:rPr>
        <w:t xml:space="preserve">, C., &amp; Magnan, B. (2017). Evolution of TKA design. </w:t>
      </w:r>
      <w:r w:rsidRPr="00DE44BF">
        <w:rPr>
          <w:rFonts w:ascii="Arial" w:hAnsi="Arial" w:cs="Arial"/>
          <w:i/>
          <w:iCs/>
        </w:rPr>
        <w:t xml:space="preserve">Acta Bio Medica: </w:t>
      </w:r>
      <w:proofErr w:type="spellStart"/>
      <w:r w:rsidRPr="00DE44BF">
        <w:rPr>
          <w:rFonts w:ascii="Arial" w:hAnsi="Arial" w:cs="Arial"/>
          <w:i/>
          <w:iCs/>
        </w:rPr>
        <w:t>Atenei</w:t>
      </w:r>
      <w:proofErr w:type="spellEnd"/>
      <w:r w:rsidRPr="00DE44BF">
        <w:rPr>
          <w:rFonts w:ascii="Arial" w:hAnsi="Arial" w:cs="Arial"/>
          <w:i/>
          <w:iCs/>
        </w:rPr>
        <w:t xml:space="preserve"> </w:t>
      </w:r>
      <w:proofErr w:type="spellStart"/>
      <w:r w:rsidRPr="00DE44BF">
        <w:rPr>
          <w:rFonts w:ascii="Arial" w:hAnsi="Arial" w:cs="Arial"/>
          <w:i/>
          <w:iCs/>
        </w:rPr>
        <w:t>Parmensis</w:t>
      </w:r>
      <w:proofErr w:type="spellEnd"/>
      <w:r w:rsidRPr="00DE44BF">
        <w:rPr>
          <w:rFonts w:ascii="Arial" w:hAnsi="Arial" w:cs="Arial"/>
          <w:i/>
          <w:iCs/>
        </w:rPr>
        <w:t>, 8</w:t>
      </w:r>
      <w:r w:rsidRPr="00DE44BF">
        <w:rPr>
          <w:rFonts w:ascii="Arial" w:hAnsi="Arial" w:cs="Arial"/>
        </w:rPr>
        <w:t>(Suppl 2), 17.</w:t>
      </w:r>
    </w:p>
    <w:p w14:paraId="152CB7E6" w14:textId="77777777" w:rsidR="00DE44BF" w:rsidRPr="00DE44BF" w:rsidRDefault="00DE44BF" w:rsidP="00DE44BF">
      <w:pPr>
        <w:jc w:val="both"/>
        <w:rPr>
          <w:rFonts w:ascii="Arial" w:hAnsi="Arial" w:cs="Arial"/>
        </w:rPr>
      </w:pPr>
    </w:p>
    <w:p w14:paraId="6F97BB9B" w14:textId="77777777" w:rsidR="00DE44BF" w:rsidRPr="00DE44BF" w:rsidRDefault="00DE44BF" w:rsidP="00DE44BF">
      <w:pPr>
        <w:jc w:val="both"/>
        <w:rPr>
          <w:rFonts w:ascii="Arial" w:hAnsi="Arial" w:cs="Arial"/>
        </w:rPr>
      </w:pPr>
      <w:proofErr w:type="spellStart"/>
      <w:r w:rsidRPr="00DE44BF">
        <w:rPr>
          <w:rFonts w:ascii="Arial" w:hAnsi="Arial" w:cs="Arial"/>
        </w:rPr>
        <w:t>Causero</w:t>
      </w:r>
      <w:proofErr w:type="spellEnd"/>
      <w:r w:rsidRPr="00DE44BF">
        <w:rPr>
          <w:rFonts w:ascii="Arial" w:hAnsi="Arial" w:cs="Arial"/>
        </w:rPr>
        <w:t xml:space="preserve">, A., Di Benedetto, P. P., Beltrame, A., </w:t>
      </w:r>
      <w:proofErr w:type="spellStart"/>
      <w:r w:rsidRPr="00DE44BF">
        <w:rPr>
          <w:rFonts w:ascii="Arial" w:hAnsi="Arial" w:cs="Arial"/>
        </w:rPr>
        <w:t>Gisonni</w:t>
      </w:r>
      <w:proofErr w:type="spellEnd"/>
      <w:r w:rsidRPr="00DE44BF">
        <w:rPr>
          <w:rFonts w:ascii="Arial" w:hAnsi="Arial" w:cs="Arial"/>
        </w:rPr>
        <w:t xml:space="preserve">, R., </w:t>
      </w:r>
      <w:proofErr w:type="spellStart"/>
      <w:r w:rsidRPr="00DE44BF">
        <w:rPr>
          <w:rFonts w:ascii="Arial" w:hAnsi="Arial" w:cs="Arial"/>
        </w:rPr>
        <w:t>Cainero</w:t>
      </w:r>
      <w:proofErr w:type="spellEnd"/>
      <w:r w:rsidRPr="00DE44BF">
        <w:rPr>
          <w:rFonts w:ascii="Arial" w:hAnsi="Arial" w:cs="Arial"/>
        </w:rPr>
        <w:t xml:space="preserve">, V., &amp; Pagano, M. (2014). Design evolution in total knee replacement: Which is the future? </w:t>
      </w:r>
      <w:r w:rsidRPr="00DE44BF">
        <w:rPr>
          <w:rFonts w:ascii="Arial" w:hAnsi="Arial" w:cs="Arial"/>
          <w:i/>
          <w:iCs/>
        </w:rPr>
        <w:t xml:space="preserve">Acta </w:t>
      </w:r>
      <w:proofErr w:type="spellStart"/>
      <w:r w:rsidRPr="00DE44BF">
        <w:rPr>
          <w:rFonts w:ascii="Arial" w:hAnsi="Arial" w:cs="Arial"/>
          <w:i/>
          <w:iCs/>
        </w:rPr>
        <w:t>Biomedica</w:t>
      </w:r>
      <w:proofErr w:type="spellEnd"/>
      <w:r w:rsidRPr="00DE44BF">
        <w:rPr>
          <w:rFonts w:ascii="Arial" w:hAnsi="Arial" w:cs="Arial"/>
          <w:i/>
          <w:iCs/>
        </w:rPr>
        <w:t>, 85</w:t>
      </w:r>
      <w:r w:rsidRPr="00DE44BF">
        <w:rPr>
          <w:rFonts w:ascii="Arial" w:hAnsi="Arial" w:cs="Arial"/>
        </w:rPr>
        <w:t>(Suppl 2), 5–1.</w:t>
      </w:r>
    </w:p>
    <w:p w14:paraId="2B052D55" w14:textId="77777777" w:rsidR="00DE44BF" w:rsidRPr="00DE44BF" w:rsidRDefault="00DE44BF" w:rsidP="00DE44BF">
      <w:pPr>
        <w:jc w:val="both"/>
        <w:rPr>
          <w:rFonts w:ascii="Arial" w:hAnsi="Arial" w:cs="Arial"/>
        </w:rPr>
      </w:pPr>
    </w:p>
    <w:p w14:paraId="00A8F1D2" w14:textId="77777777" w:rsidR="00DE44BF" w:rsidRPr="00DE44BF" w:rsidRDefault="00DE44BF" w:rsidP="00DE44BF">
      <w:pPr>
        <w:jc w:val="both"/>
        <w:rPr>
          <w:rFonts w:ascii="Arial" w:hAnsi="Arial" w:cs="Arial"/>
        </w:rPr>
      </w:pPr>
      <w:r w:rsidRPr="00DE44BF">
        <w:rPr>
          <w:rFonts w:ascii="Arial" w:hAnsi="Arial" w:cs="Arial"/>
        </w:rPr>
        <w:t xml:space="preserve">Bonnefoy-Mazure, A., Armand, S., Sagawa, Y., </w:t>
      </w:r>
      <w:proofErr w:type="spellStart"/>
      <w:r w:rsidRPr="00DE44BF">
        <w:rPr>
          <w:rFonts w:ascii="Arial" w:hAnsi="Arial" w:cs="Arial"/>
        </w:rPr>
        <w:t>Suvà</w:t>
      </w:r>
      <w:proofErr w:type="spellEnd"/>
      <w:r w:rsidRPr="00DE44BF">
        <w:rPr>
          <w:rFonts w:ascii="Arial" w:hAnsi="Arial" w:cs="Arial"/>
        </w:rPr>
        <w:t xml:space="preserve">, D., </w:t>
      </w:r>
      <w:proofErr w:type="spellStart"/>
      <w:r w:rsidRPr="00DE44BF">
        <w:rPr>
          <w:rFonts w:ascii="Arial" w:hAnsi="Arial" w:cs="Arial"/>
        </w:rPr>
        <w:t>Miozzari</w:t>
      </w:r>
      <w:proofErr w:type="spellEnd"/>
      <w:r w:rsidRPr="00DE44BF">
        <w:rPr>
          <w:rFonts w:ascii="Arial" w:hAnsi="Arial" w:cs="Arial"/>
        </w:rPr>
        <w:t xml:space="preserve">, H., &amp; Turcot, K. (2017). Knee kinematic and clinical outcomes evolution before, 3 months, and 1 year after total knee arthroplasty. </w:t>
      </w:r>
      <w:r w:rsidRPr="00DE44BF">
        <w:rPr>
          <w:rFonts w:ascii="Arial" w:hAnsi="Arial" w:cs="Arial"/>
          <w:i/>
          <w:iCs/>
        </w:rPr>
        <w:t>The Journal of Arthroplasty, 32</w:t>
      </w:r>
      <w:r w:rsidRPr="00DE44BF">
        <w:rPr>
          <w:rFonts w:ascii="Arial" w:hAnsi="Arial" w:cs="Arial"/>
        </w:rPr>
        <w:t>(3), 793–800. https://doi.org/10.1016/j.arth.2016.08.019</w:t>
      </w:r>
    </w:p>
    <w:p w14:paraId="6C51B3E4" w14:textId="77777777" w:rsidR="00DE44BF" w:rsidRPr="00DE44BF" w:rsidRDefault="00DE44BF" w:rsidP="00DE44BF">
      <w:pPr>
        <w:jc w:val="both"/>
        <w:rPr>
          <w:rFonts w:ascii="Arial" w:hAnsi="Arial" w:cs="Arial"/>
        </w:rPr>
      </w:pPr>
    </w:p>
    <w:p w14:paraId="156F3149" w14:textId="77777777" w:rsidR="00DE44BF" w:rsidRPr="00DE44BF" w:rsidRDefault="00DE44BF" w:rsidP="00DE44BF">
      <w:pPr>
        <w:jc w:val="both"/>
        <w:rPr>
          <w:rFonts w:ascii="Arial" w:hAnsi="Arial" w:cs="Arial"/>
        </w:rPr>
      </w:pPr>
      <w:proofErr w:type="spellStart"/>
      <w:r w:rsidRPr="00DE44BF">
        <w:rPr>
          <w:rFonts w:ascii="Arial" w:hAnsi="Arial" w:cs="Arial"/>
        </w:rPr>
        <w:t>Tsubosaka</w:t>
      </w:r>
      <w:proofErr w:type="spellEnd"/>
      <w:r w:rsidRPr="00DE44BF">
        <w:rPr>
          <w:rFonts w:ascii="Arial" w:hAnsi="Arial" w:cs="Arial"/>
        </w:rPr>
        <w:t xml:space="preserve">, M., </w:t>
      </w:r>
      <w:proofErr w:type="spellStart"/>
      <w:r w:rsidRPr="00DE44BF">
        <w:rPr>
          <w:rFonts w:ascii="Arial" w:hAnsi="Arial" w:cs="Arial"/>
        </w:rPr>
        <w:t>Muratsu</w:t>
      </w:r>
      <w:proofErr w:type="spellEnd"/>
      <w:r w:rsidRPr="00DE44BF">
        <w:rPr>
          <w:rFonts w:ascii="Arial" w:hAnsi="Arial" w:cs="Arial"/>
        </w:rPr>
        <w:t xml:space="preserve">, H., Nakano, N., et al. (2020). Sequential changes in lower extremity function after total knee arthroplasty. Journal of </w:t>
      </w:r>
      <w:proofErr w:type="spellStart"/>
      <w:r w:rsidRPr="00DE44BF">
        <w:rPr>
          <w:rFonts w:ascii="Arial" w:hAnsi="Arial" w:cs="Arial"/>
        </w:rPr>
        <w:t>Orthopaedic</w:t>
      </w:r>
      <w:proofErr w:type="spellEnd"/>
      <w:r w:rsidRPr="00DE44BF">
        <w:rPr>
          <w:rFonts w:ascii="Arial" w:hAnsi="Arial" w:cs="Arial"/>
        </w:rPr>
        <w:t xml:space="preserve"> Surgery, 28(1), 1–8. https://doi.org/10.1177/2309499020965645</w:t>
      </w:r>
    </w:p>
    <w:p w14:paraId="65C27B7C" w14:textId="77777777" w:rsidR="00DE44BF" w:rsidRPr="00DE44BF" w:rsidRDefault="00DE44BF" w:rsidP="00DE44BF">
      <w:pPr>
        <w:jc w:val="both"/>
        <w:rPr>
          <w:rFonts w:ascii="Arial" w:hAnsi="Arial" w:cs="Arial"/>
        </w:rPr>
      </w:pPr>
    </w:p>
    <w:p w14:paraId="71082633" w14:textId="77777777" w:rsidR="00DE44BF" w:rsidRPr="00DE44BF" w:rsidRDefault="00DE44BF" w:rsidP="00DE44BF">
      <w:pPr>
        <w:jc w:val="both"/>
        <w:rPr>
          <w:rFonts w:ascii="Arial" w:hAnsi="Arial" w:cs="Arial"/>
        </w:rPr>
      </w:pPr>
    </w:p>
    <w:p w14:paraId="60AE70C8" w14:textId="77777777" w:rsidR="00DE44BF" w:rsidRPr="00DE44BF" w:rsidRDefault="00DE44BF" w:rsidP="00DE44BF">
      <w:pPr>
        <w:jc w:val="both"/>
        <w:rPr>
          <w:rFonts w:ascii="Arial" w:hAnsi="Arial" w:cs="Arial"/>
        </w:rPr>
      </w:pPr>
      <w:r w:rsidRPr="00DE44BF">
        <w:rPr>
          <w:rFonts w:ascii="Arial" w:hAnsi="Arial" w:cs="Arial"/>
        </w:rPr>
        <w:t xml:space="preserve">De </w:t>
      </w:r>
      <w:proofErr w:type="spellStart"/>
      <w:r w:rsidRPr="00DE44BF">
        <w:rPr>
          <w:rFonts w:ascii="Arial" w:hAnsi="Arial" w:cs="Arial"/>
        </w:rPr>
        <w:t>Vroey</w:t>
      </w:r>
      <w:proofErr w:type="spellEnd"/>
      <w:r w:rsidRPr="00DE44BF">
        <w:rPr>
          <w:rFonts w:ascii="Arial" w:hAnsi="Arial" w:cs="Arial"/>
        </w:rPr>
        <w:t xml:space="preserve">, H., Staes, F., </w:t>
      </w:r>
      <w:proofErr w:type="spellStart"/>
      <w:r w:rsidRPr="00DE44BF">
        <w:rPr>
          <w:rFonts w:ascii="Arial" w:hAnsi="Arial" w:cs="Arial"/>
        </w:rPr>
        <w:t>Weygers</w:t>
      </w:r>
      <w:proofErr w:type="spellEnd"/>
      <w:r w:rsidRPr="00DE44BF">
        <w:rPr>
          <w:rFonts w:ascii="Arial" w:hAnsi="Arial" w:cs="Arial"/>
        </w:rPr>
        <w:t xml:space="preserve">, I., et al. (2018). The implementation of inertial sensors for the assessment of temporal parameters of gait in the knee arthroplasty population. </w:t>
      </w:r>
      <w:r w:rsidRPr="00DE44BF">
        <w:rPr>
          <w:rFonts w:ascii="Arial" w:hAnsi="Arial" w:cs="Arial"/>
          <w:i/>
          <w:iCs/>
        </w:rPr>
        <w:t>Clinical Biomechanics, 54</w:t>
      </w:r>
      <w:r w:rsidRPr="00DE44BF">
        <w:rPr>
          <w:rFonts w:ascii="Arial" w:hAnsi="Arial" w:cs="Arial"/>
        </w:rPr>
        <w:t xml:space="preserve">(1), 22–27. </w:t>
      </w:r>
      <w:proofErr w:type="spellStart"/>
      <w:r w:rsidRPr="00DE44BF">
        <w:rPr>
          <w:rFonts w:ascii="Arial" w:hAnsi="Arial" w:cs="Arial"/>
        </w:rPr>
        <w:t>Disponível</w:t>
      </w:r>
      <w:proofErr w:type="spellEnd"/>
      <w:r w:rsidRPr="00DE44BF">
        <w:rPr>
          <w:rFonts w:ascii="Arial" w:hAnsi="Arial" w:cs="Arial"/>
        </w:rPr>
        <w:t xml:space="preserve"> </w:t>
      </w:r>
      <w:proofErr w:type="spellStart"/>
      <w:r w:rsidRPr="00DE44BF">
        <w:rPr>
          <w:rFonts w:ascii="Arial" w:hAnsi="Arial" w:cs="Arial"/>
        </w:rPr>
        <w:t>em</w:t>
      </w:r>
      <w:proofErr w:type="spellEnd"/>
      <w:r w:rsidRPr="00DE44BF">
        <w:rPr>
          <w:rFonts w:ascii="Arial" w:hAnsi="Arial" w:cs="Arial"/>
        </w:rPr>
        <w:t xml:space="preserve">: </w:t>
      </w:r>
      <w:hyperlink r:id="rId17" w:tgtFrame="_new" w:history="1">
        <w:r w:rsidRPr="00DE44BF">
          <w:rPr>
            <w:rStyle w:val="Hyperlink"/>
            <w:rFonts w:ascii="Arial" w:hAnsi="Arial" w:cs="Arial"/>
          </w:rPr>
          <w:t>https://www.clinbiomech.com/article/S0268-0033(18)30199-2/fulltext</w:t>
        </w:r>
      </w:hyperlink>
    </w:p>
    <w:p w14:paraId="1F29850C" w14:textId="77777777" w:rsidR="00DE44BF" w:rsidRPr="00DE44BF" w:rsidRDefault="00DE44BF" w:rsidP="00DE44BF">
      <w:pPr>
        <w:jc w:val="both"/>
        <w:rPr>
          <w:rFonts w:ascii="Arial" w:hAnsi="Arial" w:cs="Arial"/>
        </w:rPr>
      </w:pPr>
    </w:p>
    <w:p w14:paraId="16E1CF6A" w14:textId="77777777" w:rsidR="00DE44BF" w:rsidRPr="00DE44BF" w:rsidRDefault="00DE44BF" w:rsidP="00DE44BF">
      <w:pPr>
        <w:jc w:val="both"/>
        <w:rPr>
          <w:rFonts w:ascii="Arial" w:hAnsi="Arial" w:cs="Arial"/>
        </w:rPr>
      </w:pPr>
      <w:proofErr w:type="spellStart"/>
      <w:r w:rsidRPr="00DE44BF">
        <w:rPr>
          <w:rFonts w:ascii="Arial" w:hAnsi="Arial" w:cs="Arial"/>
        </w:rPr>
        <w:t>Sankarpandi</w:t>
      </w:r>
      <w:proofErr w:type="spellEnd"/>
      <w:r w:rsidRPr="00DE44BF">
        <w:rPr>
          <w:rFonts w:ascii="Arial" w:hAnsi="Arial" w:cs="Arial"/>
        </w:rPr>
        <w:t xml:space="preserve">, S. K., Baldwin, A. J., Ray, J., &amp; </w:t>
      </w:r>
      <w:proofErr w:type="spellStart"/>
      <w:r w:rsidRPr="00DE44BF">
        <w:rPr>
          <w:rFonts w:ascii="Arial" w:hAnsi="Arial" w:cs="Arial"/>
        </w:rPr>
        <w:t>Mazzà</w:t>
      </w:r>
      <w:proofErr w:type="spellEnd"/>
      <w:r w:rsidRPr="00DE44BF">
        <w:rPr>
          <w:rFonts w:ascii="Arial" w:hAnsi="Arial" w:cs="Arial"/>
        </w:rPr>
        <w:t xml:space="preserve">, C. (2017). Reliability of inertial sensors in the assessment of patients with vestibular disorders: A feasibility study. </w:t>
      </w:r>
      <w:r w:rsidRPr="00DE44BF">
        <w:rPr>
          <w:rFonts w:ascii="Arial" w:hAnsi="Arial" w:cs="Arial"/>
          <w:i/>
          <w:iCs/>
        </w:rPr>
        <w:t>BMC Ear, Nose and Throat Disorders, 17</w:t>
      </w:r>
      <w:r w:rsidRPr="00DE44BF">
        <w:rPr>
          <w:rFonts w:ascii="Arial" w:hAnsi="Arial" w:cs="Arial"/>
        </w:rPr>
        <w:t xml:space="preserve">(1), 1. </w:t>
      </w:r>
      <w:hyperlink r:id="rId18" w:history="1">
        <w:r w:rsidRPr="00DE44BF">
          <w:rPr>
            <w:rStyle w:val="Hyperlink"/>
            <w:rFonts w:ascii="Arial" w:hAnsi="Arial" w:cs="Arial"/>
          </w:rPr>
          <w:t>https://doi.org/10.1186/s12901-017-0034-z</w:t>
        </w:r>
      </w:hyperlink>
    </w:p>
    <w:p w14:paraId="6FDED5DE" w14:textId="77777777" w:rsidR="00DE44BF" w:rsidRPr="00DE44BF" w:rsidRDefault="00DE44BF" w:rsidP="00DE44BF">
      <w:pPr>
        <w:jc w:val="both"/>
        <w:rPr>
          <w:rFonts w:ascii="Arial" w:hAnsi="Arial" w:cs="Arial"/>
        </w:rPr>
      </w:pPr>
    </w:p>
    <w:p w14:paraId="52BFA6F9" w14:textId="77777777" w:rsidR="00DE44BF" w:rsidRPr="00DE44BF" w:rsidRDefault="00DE44BF" w:rsidP="00DE44BF">
      <w:pPr>
        <w:jc w:val="both"/>
        <w:rPr>
          <w:rStyle w:val="Hyperlink"/>
          <w:rFonts w:ascii="Arial" w:hAnsi="Arial" w:cs="Arial"/>
        </w:rPr>
      </w:pPr>
      <w:r w:rsidRPr="00DE44BF">
        <w:rPr>
          <w:rFonts w:ascii="Arial" w:hAnsi="Arial" w:cs="Arial"/>
        </w:rPr>
        <w:t xml:space="preserve">Galli, M., </w:t>
      </w:r>
      <w:proofErr w:type="spellStart"/>
      <w:r w:rsidRPr="00DE44BF">
        <w:rPr>
          <w:rFonts w:ascii="Arial" w:hAnsi="Arial" w:cs="Arial"/>
        </w:rPr>
        <w:t>Cimolin</w:t>
      </w:r>
      <w:proofErr w:type="spellEnd"/>
      <w:r w:rsidRPr="00DE44BF">
        <w:rPr>
          <w:rFonts w:ascii="Arial" w:hAnsi="Arial" w:cs="Arial"/>
        </w:rPr>
        <w:t xml:space="preserve">, V., </w:t>
      </w:r>
      <w:proofErr w:type="spellStart"/>
      <w:r w:rsidRPr="00DE44BF">
        <w:rPr>
          <w:rFonts w:ascii="Arial" w:hAnsi="Arial" w:cs="Arial"/>
        </w:rPr>
        <w:t>Rigoldi</w:t>
      </w:r>
      <w:proofErr w:type="spellEnd"/>
      <w:r w:rsidRPr="00DE44BF">
        <w:rPr>
          <w:rFonts w:ascii="Arial" w:hAnsi="Arial" w:cs="Arial"/>
        </w:rPr>
        <w:t xml:space="preserve">, C., Kleiner, A., Condoluci, C., &amp; Albertini, G. (2015). Use of the Gait Profile Score for the quantification of gait pattern in Down syndrome. </w:t>
      </w:r>
      <w:r w:rsidRPr="00DE44BF">
        <w:rPr>
          <w:rFonts w:ascii="Arial" w:hAnsi="Arial" w:cs="Arial"/>
          <w:i/>
          <w:iCs/>
        </w:rPr>
        <w:t>Journal of Developmental and Physical Disabilities, 27</w:t>
      </w:r>
      <w:r w:rsidRPr="00DE44BF">
        <w:rPr>
          <w:rFonts w:ascii="Arial" w:hAnsi="Arial" w:cs="Arial"/>
        </w:rPr>
        <w:t xml:space="preserve">(5), 609–615. </w:t>
      </w:r>
      <w:hyperlink r:id="rId19" w:history="1">
        <w:r w:rsidRPr="00DE44BF">
          <w:rPr>
            <w:rStyle w:val="Hyperlink"/>
            <w:rFonts w:ascii="Arial" w:hAnsi="Arial" w:cs="Arial"/>
          </w:rPr>
          <w:t>https://doi.org/10.1007/s10882-015-9440-4</w:t>
        </w:r>
      </w:hyperlink>
    </w:p>
    <w:p w14:paraId="1D758C14" w14:textId="77777777" w:rsidR="00DE44BF" w:rsidRPr="00DE44BF" w:rsidRDefault="00DE44BF" w:rsidP="00DE44BF">
      <w:pPr>
        <w:jc w:val="both"/>
        <w:rPr>
          <w:rStyle w:val="Hyperlink"/>
          <w:rFonts w:ascii="Arial" w:hAnsi="Arial" w:cs="Arial"/>
        </w:rPr>
      </w:pPr>
    </w:p>
    <w:p w14:paraId="418BAB24" w14:textId="77777777" w:rsidR="00DE44BF" w:rsidRPr="00DE44BF" w:rsidRDefault="00DE44BF" w:rsidP="00DE44BF">
      <w:pPr>
        <w:jc w:val="both"/>
        <w:rPr>
          <w:rFonts w:ascii="Arial" w:hAnsi="Arial" w:cs="Arial"/>
        </w:rPr>
      </w:pPr>
      <w:r w:rsidRPr="00DE44BF">
        <w:rPr>
          <w:rFonts w:ascii="Arial" w:hAnsi="Arial" w:cs="Arial"/>
        </w:rPr>
        <w:t xml:space="preserve">Brooks, D., Parsons, J., Hunter, J. P., et al. (2001). The 2-minute walk test as a measure of functional improvement in persons with lower limb amputation. </w:t>
      </w:r>
      <w:r w:rsidRPr="00DE44BF">
        <w:rPr>
          <w:rFonts w:ascii="Arial" w:hAnsi="Arial" w:cs="Arial"/>
          <w:i/>
          <w:iCs/>
        </w:rPr>
        <w:t>Archives of Physical Medicine and Rehabilitation, 82</w:t>
      </w:r>
      <w:r w:rsidRPr="00DE44BF">
        <w:rPr>
          <w:rFonts w:ascii="Arial" w:hAnsi="Arial" w:cs="Arial"/>
        </w:rPr>
        <w:t xml:space="preserve">(11), 1478. </w:t>
      </w:r>
      <w:hyperlink r:id="rId20" w:history="1">
        <w:r w:rsidRPr="00DE44BF">
          <w:rPr>
            <w:rStyle w:val="Hyperlink"/>
            <w:rFonts w:ascii="Arial" w:hAnsi="Arial" w:cs="Arial"/>
          </w:rPr>
          <w:t>https://doi.org/10.1053/apmr.2001.26782</w:t>
        </w:r>
      </w:hyperlink>
    </w:p>
    <w:p w14:paraId="26314FAF" w14:textId="77777777" w:rsidR="00DE44BF" w:rsidRPr="00DE44BF" w:rsidRDefault="00DE44BF" w:rsidP="00DE44BF">
      <w:pPr>
        <w:jc w:val="both"/>
        <w:rPr>
          <w:rFonts w:ascii="Arial" w:hAnsi="Arial" w:cs="Arial"/>
        </w:rPr>
      </w:pPr>
    </w:p>
    <w:p w14:paraId="4CCAAA9D" w14:textId="77777777" w:rsidR="00DE44BF" w:rsidRPr="00DE44BF" w:rsidRDefault="00DE44BF" w:rsidP="00DE44BF">
      <w:pPr>
        <w:jc w:val="both"/>
        <w:rPr>
          <w:rFonts w:ascii="Arial" w:hAnsi="Arial" w:cs="Arial"/>
        </w:rPr>
      </w:pPr>
      <w:r w:rsidRPr="00A622B2">
        <w:rPr>
          <w:rFonts w:ascii="Arial" w:hAnsi="Arial" w:cs="Arial"/>
          <w:lang w:val="de-DE"/>
        </w:rPr>
        <w:t xml:space="preserve">Steffen, T. M., Hacker, T. A., &amp; Mollinger, L. (2002). </w:t>
      </w:r>
      <w:r w:rsidRPr="00DE44BF">
        <w:rPr>
          <w:rFonts w:ascii="Arial" w:hAnsi="Arial" w:cs="Arial"/>
        </w:rPr>
        <w:t xml:space="preserve">Age- and gender-related test performance in community-dwelling elderly people: </w:t>
      </w:r>
      <w:proofErr w:type="gramStart"/>
      <w:r w:rsidRPr="00DE44BF">
        <w:rPr>
          <w:rFonts w:ascii="Arial" w:hAnsi="Arial" w:cs="Arial"/>
        </w:rPr>
        <w:t>Six-minute walk</w:t>
      </w:r>
      <w:proofErr w:type="gramEnd"/>
      <w:r w:rsidRPr="00DE44BF">
        <w:rPr>
          <w:rFonts w:ascii="Arial" w:hAnsi="Arial" w:cs="Arial"/>
        </w:rPr>
        <w:t xml:space="preserve"> test, Berg balance scale, timed up &amp; go test, and gait speeds. </w:t>
      </w:r>
      <w:r w:rsidRPr="00DE44BF">
        <w:rPr>
          <w:rFonts w:ascii="Arial" w:hAnsi="Arial" w:cs="Arial"/>
          <w:i/>
          <w:iCs/>
        </w:rPr>
        <w:t>Physical Therapy, 82</w:t>
      </w:r>
      <w:r w:rsidRPr="00DE44BF">
        <w:rPr>
          <w:rFonts w:ascii="Arial" w:hAnsi="Arial" w:cs="Arial"/>
        </w:rPr>
        <w:t xml:space="preserve">(2), 128. </w:t>
      </w:r>
      <w:hyperlink r:id="rId21" w:history="1">
        <w:r w:rsidRPr="00DE44BF">
          <w:rPr>
            <w:rStyle w:val="Hyperlink"/>
            <w:rFonts w:ascii="Arial" w:hAnsi="Arial" w:cs="Arial"/>
          </w:rPr>
          <w:t>https://doi.org/10.1093/ptj/82.2.128</w:t>
        </w:r>
      </w:hyperlink>
    </w:p>
    <w:p w14:paraId="1600322A" w14:textId="77777777" w:rsidR="00DE44BF" w:rsidRPr="00DE44BF" w:rsidRDefault="00DE44BF" w:rsidP="00DE44BF">
      <w:pPr>
        <w:jc w:val="both"/>
        <w:rPr>
          <w:rFonts w:ascii="Arial" w:hAnsi="Arial" w:cs="Arial"/>
        </w:rPr>
      </w:pPr>
    </w:p>
    <w:p w14:paraId="209122AB" w14:textId="77777777" w:rsidR="00DE44BF" w:rsidRPr="00DE44BF" w:rsidRDefault="00DE44BF" w:rsidP="00DE44BF">
      <w:pPr>
        <w:jc w:val="both"/>
        <w:rPr>
          <w:rFonts w:ascii="Arial" w:hAnsi="Arial" w:cs="Arial"/>
        </w:rPr>
      </w:pPr>
      <w:r w:rsidRPr="00DE44BF">
        <w:rPr>
          <w:rFonts w:ascii="Arial" w:hAnsi="Arial" w:cs="Arial"/>
        </w:rPr>
        <w:lastRenderedPageBreak/>
        <w:t xml:space="preserve">Yuksel, E., Kalkan, S., </w:t>
      </w:r>
      <w:proofErr w:type="spellStart"/>
      <w:r w:rsidRPr="00DE44BF">
        <w:rPr>
          <w:rFonts w:ascii="Arial" w:hAnsi="Arial" w:cs="Arial"/>
        </w:rPr>
        <w:t>Cekmece</w:t>
      </w:r>
      <w:proofErr w:type="spellEnd"/>
      <w:r w:rsidRPr="00DE44BF">
        <w:rPr>
          <w:rFonts w:ascii="Arial" w:hAnsi="Arial" w:cs="Arial"/>
        </w:rPr>
        <w:t xml:space="preserve">, S., Unver, B., &amp; </w:t>
      </w:r>
      <w:proofErr w:type="spellStart"/>
      <w:r w:rsidRPr="00DE44BF">
        <w:rPr>
          <w:rFonts w:ascii="Arial" w:hAnsi="Arial" w:cs="Arial"/>
        </w:rPr>
        <w:t>Karatosun</w:t>
      </w:r>
      <w:proofErr w:type="spellEnd"/>
      <w:r w:rsidRPr="00DE44BF">
        <w:rPr>
          <w:rFonts w:ascii="Arial" w:hAnsi="Arial" w:cs="Arial"/>
        </w:rPr>
        <w:t xml:space="preserve">, V. (2017). Assessing minimal detectable changes and test-retest reliability of the timed up and go test and the 2-minute walk test in patients with total knee arthroplasty. </w:t>
      </w:r>
      <w:r w:rsidRPr="00DE44BF">
        <w:rPr>
          <w:rFonts w:ascii="Arial" w:hAnsi="Arial" w:cs="Arial"/>
          <w:i/>
          <w:iCs/>
        </w:rPr>
        <w:t>The Journal of Arthroplasty</w:t>
      </w:r>
      <w:r w:rsidRPr="00DE44BF">
        <w:rPr>
          <w:rFonts w:ascii="Arial" w:hAnsi="Arial" w:cs="Arial"/>
        </w:rPr>
        <w:t xml:space="preserve">, </w:t>
      </w:r>
      <w:r w:rsidRPr="00DE44BF">
        <w:rPr>
          <w:rFonts w:ascii="Arial" w:hAnsi="Arial" w:cs="Arial"/>
          <w:i/>
          <w:iCs/>
        </w:rPr>
        <w:t>32</w:t>
      </w:r>
      <w:r w:rsidRPr="00DE44BF">
        <w:rPr>
          <w:rFonts w:ascii="Arial" w:hAnsi="Arial" w:cs="Arial"/>
        </w:rPr>
        <w:t xml:space="preserve">(2), 426–430. </w:t>
      </w:r>
      <w:proofErr w:type="gramStart"/>
      <w:r w:rsidRPr="00DE44BF">
        <w:rPr>
          <w:rFonts w:ascii="Arial" w:hAnsi="Arial" w:cs="Arial"/>
        </w:rPr>
        <w:t>doi:10.1016/j.arth</w:t>
      </w:r>
      <w:proofErr w:type="gramEnd"/>
      <w:r w:rsidRPr="00DE44BF">
        <w:rPr>
          <w:rFonts w:ascii="Arial" w:hAnsi="Arial" w:cs="Arial"/>
        </w:rPr>
        <w:t>.2016.07.031</w:t>
      </w:r>
    </w:p>
    <w:p w14:paraId="7AEBB071" w14:textId="77777777" w:rsidR="00DE44BF" w:rsidRPr="00DE44BF" w:rsidRDefault="00DE44BF" w:rsidP="00DE44BF">
      <w:pPr>
        <w:jc w:val="both"/>
        <w:rPr>
          <w:rFonts w:ascii="Arial" w:hAnsi="Arial" w:cs="Arial"/>
        </w:rPr>
      </w:pPr>
    </w:p>
    <w:p w14:paraId="3EDCD357" w14:textId="77777777" w:rsidR="00DE44BF" w:rsidRPr="00DE44BF" w:rsidRDefault="00DE44BF" w:rsidP="00DE44BF">
      <w:pPr>
        <w:jc w:val="both"/>
        <w:rPr>
          <w:rFonts w:ascii="Arial" w:hAnsi="Arial" w:cs="Arial"/>
        </w:rPr>
      </w:pPr>
      <w:r w:rsidRPr="00DE44BF">
        <w:rPr>
          <w:rFonts w:ascii="Arial" w:hAnsi="Arial" w:cs="Arial"/>
        </w:rPr>
        <w:t xml:space="preserve">Bloch, B. V., Palan, J., Shahid, M., &amp; James, P. J. (2019). A new total knee arthroplasty design has significantly better early implant survivorship than a previous gold-standard design—A retrospective analysis of 1,000 cases. </w:t>
      </w:r>
      <w:r w:rsidRPr="00DE44BF">
        <w:rPr>
          <w:rFonts w:ascii="Arial" w:hAnsi="Arial" w:cs="Arial"/>
          <w:i/>
          <w:iCs/>
        </w:rPr>
        <w:t>The Journal of Knee Surgery, 33</w:t>
      </w:r>
      <w:r w:rsidRPr="00DE44BF">
        <w:rPr>
          <w:rFonts w:ascii="Arial" w:hAnsi="Arial" w:cs="Arial"/>
        </w:rPr>
        <w:t xml:space="preserve">(2), 152–157. </w:t>
      </w:r>
      <w:hyperlink r:id="rId22" w:history="1">
        <w:r w:rsidRPr="00DE44BF">
          <w:rPr>
            <w:rStyle w:val="Hyperlink"/>
            <w:rFonts w:ascii="Arial" w:hAnsi="Arial" w:cs="Arial"/>
          </w:rPr>
          <w:t>https://doi.org/10.1055/s-0038-1667316</w:t>
        </w:r>
      </w:hyperlink>
    </w:p>
    <w:p w14:paraId="38A486D9" w14:textId="77777777" w:rsidR="00DE44BF" w:rsidRPr="00DE44BF" w:rsidRDefault="00DE44BF" w:rsidP="00DE44BF">
      <w:pPr>
        <w:jc w:val="both"/>
        <w:rPr>
          <w:rFonts w:ascii="Arial" w:hAnsi="Arial" w:cs="Arial"/>
        </w:rPr>
      </w:pPr>
    </w:p>
    <w:p w14:paraId="1AD60F4C" w14:textId="77777777" w:rsidR="00DE44BF" w:rsidRPr="00DE44BF" w:rsidRDefault="00DE44BF" w:rsidP="00DE44BF">
      <w:pPr>
        <w:jc w:val="both"/>
        <w:rPr>
          <w:rFonts w:ascii="Arial" w:hAnsi="Arial" w:cs="Arial"/>
        </w:rPr>
      </w:pPr>
      <w:r w:rsidRPr="00DE44BF">
        <w:rPr>
          <w:rFonts w:ascii="Arial" w:hAnsi="Arial" w:cs="Arial"/>
        </w:rPr>
        <w:t xml:space="preserve">Pin, T. W. (2014). Psychometric properties of 2-minute walk test: A systematic review. </w:t>
      </w:r>
      <w:r w:rsidRPr="00DE44BF">
        <w:rPr>
          <w:rFonts w:ascii="Arial" w:hAnsi="Arial" w:cs="Arial"/>
          <w:i/>
          <w:iCs/>
        </w:rPr>
        <w:t>Archives of Physical Medicine and Rehabilitation, 95</w:t>
      </w:r>
      <w:r w:rsidRPr="00DE44BF">
        <w:rPr>
          <w:rFonts w:ascii="Arial" w:hAnsi="Arial" w:cs="Arial"/>
        </w:rPr>
        <w:t xml:space="preserve">(9), 1759. </w:t>
      </w:r>
      <w:hyperlink r:id="rId23" w:history="1">
        <w:r w:rsidRPr="00DE44BF">
          <w:rPr>
            <w:rStyle w:val="Hyperlink"/>
            <w:rFonts w:ascii="Arial" w:hAnsi="Arial" w:cs="Arial"/>
          </w:rPr>
          <w:t>https://doi.org/10.1016/j.apmr.2014.04.016</w:t>
        </w:r>
      </w:hyperlink>
    </w:p>
    <w:p w14:paraId="21158FA2" w14:textId="77777777" w:rsidR="00DE44BF" w:rsidRPr="00DE44BF" w:rsidRDefault="00DE44BF" w:rsidP="00DE44BF">
      <w:pPr>
        <w:jc w:val="both"/>
        <w:rPr>
          <w:rFonts w:ascii="Arial" w:hAnsi="Arial" w:cs="Arial"/>
        </w:rPr>
      </w:pPr>
    </w:p>
    <w:p w14:paraId="5333F618" w14:textId="77777777" w:rsidR="00DE44BF" w:rsidRPr="00DE44BF" w:rsidRDefault="00DE44BF" w:rsidP="00DE44BF">
      <w:pPr>
        <w:jc w:val="both"/>
        <w:rPr>
          <w:rFonts w:ascii="Arial" w:hAnsi="Arial" w:cs="Arial"/>
        </w:rPr>
      </w:pPr>
      <w:r w:rsidRPr="00DE44BF">
        <w:rPr>
          <w:rFonts w:ascii="Arial" w:hAnsi="Arial" w:cs="Arial"/>
        </w:rPr>
        <w:t xml:space="preserve">Stratford, P. W., &amp; Spadoni, G. (2001). The reliability, consistency, and clinical application of a numeric pain rating scale. </w:t>
      </w:r>
      <w:r w:rsidRPr="00DE44BF">
        <w:rPr>
          <w:rFonts w:ascii="Arial" w:hAnsi="Arial" w:cs="Arial"/>
          <w:i/>
          <w:iCs/>
        </w:rPr>
        <w:t>Physiotherapy Canada, 53</w:t>
      </w:r>
      <w:r w:rsidRPr="00DE44BF">
        <w:rPr>
          <w:rFonts w:ascii="Arial" w:hAnsi="Arial" w:cs="Arial"/>
        </w:rPr>
        <w:t xml:space="preserve">(2), 88–114. </w:t>
      </w:r>
    </w:p>
    <w:p w14:paraId="283FA509" w14:textId="77777777" w:rsidR="00DE44BF" w:rsidRDefault="00DE44BF" w:rsidP="00A4268B">
      <w:pPr>
        <w:pStyle w:val="Body"/>
        <w:spacing w:after="0"/>
        <w:rPr>
          <w:rFonts w:ascii="Arial" w:hAnsi="Arial" w:cs="Arial"/>
        </w:rPr>
      </w:pPr>
    </w:p>
    <w:p w14:paraId="0CC74523" w14:textId="77777777" w:rsidR="00A4268B" w:rsidRDefault="00A4268B" w:rsidP="00A4268B">
      <w:pPr>
        <w:pStyle w:val="Body"/>
        <w:spacing w:after="0"/>
        <w:rPr>
          <w:rFonts w:ascii="Arial" w:hAnsi="Arial" w:cs="Arial"/>
        </w:rPr>
      </w:pPr>
    </w:p>
    <w:p w14:paraId="46E5CED0" w14:textId="77777777" w:rsidR="00790ADA" w:rsidRPr="00DE44BF" w:rsidRDefault="00790ADA" w:rsidP="00DE44BF">
      <w:pPr>
        <w:pStyle w:val="Body"/>
        <w:spacing w:after="0"/>
        <w:rPr>
          <w:rFonts w:ascii="Arial" w:hAnsi="Arial" w:cs="Arial"/>
        </w:rPr>
      </w:pPr>
    </w:p>
    <w:p w14:paraId="6FB3DE15" w14:textId="175802B3" w:rsidR="004D4277" w:rsidRPr="00DE44BF" w:rsidRDefault="004D4277" w:rsidP="00DE44BF">
      <w:pPr>
        <w:pStyle w:val="Appendix"/>
        <w:spacing w:after="0"/>
        <w:jc w:val="both"/>
        <w:rPr>
          <w:rFonts w:ascii="Arial" w:hAnsi="Arial" w:cs="Arial"/>
          <w:b w:val="0"/>
        </w:rPr>
        <w:sectPr w:rsidR="004D4277" w:rsidRPr="00DE44BF" w:rsidSect="00A622B2">
          <w:headerReference w:type="even" r:id="rId24"/>
          <w:headerReference w:type="default" r:id="rId25"/>
          <w:footerReference w:type="default" r:id="rId26"/>
          <w:headerReference w:type="first" r:id="rId27"/>
          <w:type w:val="continuous"/>
          <w:pgSz w:w="12240" w:h="15840"/>
          <w:pgMar w:top="1440" w:right="2016" w:bottom="2016" w:left="2016" w:header="720" w:footer="1123" w:gutter="0"/>
          <w:cols w:space="720"/>
          <w:docGrid w:linePitch="272"/>
        </w:sectPr>
      </w:pPr>
    </w:p>
    <w:p w14:paraId="625BD0DA" w14:textId="77777777" w:rsidR="00B01FCD" w:rsidRPr="00DE44BF" w:rsidRDefault="00B01FCD" w:rsidP="00DE44BF">
      <w:pPr>
        <w:pStyle w:val="Appendix"/>
        <w:spacing w:after="0"/>
        <w:jc w:val="both"/>
        <w:rPr>
          <w:rFonts w:ascii="Arial" w:hAnsi="Arial" w:cs="Arial"/>
          <w:b w:val="0"/>
        </w:rPr>
      </w:pPr>
    </w:p>
    <w:sectPr w:rsidR="00B01FCD" w:rsidRPr="00DE44BF" w:rsidSect="00A622B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3DA72" w14:textId="77777777" w:rsidR="009143C1" w:rsidRDefault="009143C1" w:rsidP="00C37E61">
      <w:r>
        <w:separator/>
      </w:r>
    </w:p>
  </w:endnote>
  <w:endnote w:type="continuationSeparator" w:id="0">
    <w:p w14:paraId="16883104" w14:textId="77777777" w:rsidR="009143C1" w:rsidRDefault="009143C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7A551" w14:textId="77777777" w:rsidR="00A622B2" w:rsidRDefault="00A62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02350" w14:textId="77777777" w:rsidR="00A622B2" w:rsidRDefault="00A622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0E32" w14:textId="5960C254" w:rsidR="00754C9A" w:rsidRPr="00454346" w:rsidRDefault="00754C9A" w:rsidP="004543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61798"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C0A5D" w14:textId="77777777" w:rsidR="009143C1" w:rsidRDefault="009143C1" w:rsidP="00C37E61">
      <w:r>
        <w:separator/>
      </w:r>
    </w:p>
  </w:footnote>
  <w:footnote w:type="continuationSeparator" w:id="0">
    <w:p w14:paraId="11D7F96E" w14:textId="77777777" w:rsidR="009143C1" w:rsidRDefault="009143C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8054F" w14:textId="6253E5A5" w:rsidR="00A622B2" w:rsidRDefault="00A622B2">
    <w:pPr>
      <w:pStyle w:val="Header"/>
    </w:pPr>
    <w:r>
      <w:rPr>
        <w:noProof/>
      </w:rPr>
      <w:pict w14:anchorId="65F77B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99557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3EAA9" w14:textId="696304B9" w:rsidR="00A622B2" w:rsidRDefault="00A622B2">
    <w:pPr>
      <w:pStyle w:val="Header"/>
    </w:pPr>
    <w:r>
      <w:rPr>
        <w:noProof/>
      </w:rPr>
      <w:pict w14:anchorId="05D221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99558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8890F" w14:textId="3E2BA55C" w:rsidR="00296529" w:rsidRPr="00296529" w:rsidRDefault="00A622B2" w:rsidP="00296529">
    <w:pPr>
      <w:ind w:left="2160"/>
      <w:jc w:val="center"/>
      <w:rPr>
        <w:rFonts w:ascii="Times New Roman" w:eastAsia="Calibri" w:hAnsi="Times New Roman"/>
        <w:i/>
        <w:sz w:val="18"/>
        <w:szCs w:val="22"/>
      </w:rPr>
    </w:pPr>
    <w:r>
      <w:rPr>
        <w:noProof/>
      </w:rPr>
      <w:pict w14:anchorId="2A313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99557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1A5EDE5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44856E6D"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DEA20DE"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9FBB340"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818667B"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B205A6C"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1DDE0" w14:textId="57820606" w:rsidR="00A622B2" w:rsidRDefault="00A622B2">
    <w:pPr>
      <w:pStyle w:val="Header"/>
    </w:pPr>
    <w:r>
      <w:rPr>
        <w:noProof/>
      </w:rPr>
      <w:pict w14:anchorId="4D8A8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995582" o:spid="_x0000_s1029"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5AD5E" w14:textId="5EE4E520" w:rsidR="00A622B2" w:rsidRDefault="00A622B2">
    <w:pPr>
      <w:pStyle w:val="Header"/>
    </w:pPr>
    <w:r>
      <w:rPr>
        <w:noProof/>
      </w:rPr>
      <w:pict w14:anchorId="1A44D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995583" o:sp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2B28" w14:textId="76223B57" w:rsidR="00A622B2" w:rsidRDefault="00A622B2">
    <w:pPr>
      <w:pStyle w:val="Header"/>
    </w:pPr>
    <w:r>
      <w:rPr>
        <w:noProof/>
      </w:rPr>
      <w:pict w14:anchorId="407F7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995581" o:spid="_x0000_s1028"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131795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84425350">
    <w:abstractNumId w:val="15"/>
  </w:num>
  <w:num w:numId="3" w16cid:durableId="1439333411">
    <w:abstractNumId w:val="23"/>
  </w:num>
  <w:num w:numId="4" w16cid:durableId="7991422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287808273">
    <w:abstractNumId w:val="7"/>
  </w:num>
  <w:num w:numId="6" w16cid:durableId="970595309">
    <w:abstractNumId w:val="6"/>
  </w:num>
  <w:num w:numId="7" w16cid:durableId="700667001">
    <w:abstractNumId w:val="1"/>
  </w:num>
  <w:num w:numId="8" w16cid:durableId="1010064457">
    <w:abstractNumId w:val="12"/>
  </w:num>
  <w:num w:numId="9" w16cid:durableId="635649601">
    <w:abstractNumId w:val="25"/>
  </w:num>
  <w:num w:numId="10" w16cid:durableId="210195367">
    <w:abstractNumId w:val="2"/>
  </w:num>
  <w:num w:numId="11" w16cid:durableId="2085300576">
    <w:abstractNumId w:val="18"/>
  </w:num>
  <w:num w:numId="12" w16cid:durableId="1139611610">
    <w:abstractNumId w:val="3"/>
  </w:num>
  <w:num w:numId="13" w16cid:durableId="1761288973">
    <w:abstractNumId w:val="17"/>
  </w:num>
  <w:num w:numId="14" w16cid:durableId="708995404">
    <w:abstractNumId w:val="8"/>
  </w:num>
  <w:num w:numId="15" w16cid:durableId="1717854635">
    <w:abstractNumId w:val="21"/>
  </w:num>
  <w:num w:numId="16" w16cid:durableId="480849216">
    <w:abstractNumId w:val="5"/>
  </w:num>
  <w:num w:numId="17" w16cid:durableId="705835761">
    <w:abstractNumId w:val="22"/>
  </w:num>
  <w:num w:numId="18" w16cid:durableId="1714386523">
    <w:abstractNumId w:val="14"/>
  </w:num>
  <w:num w:numId="19" w16cid:durableId="1872763833">
    <w:abstractNumId w:val="28"/>
  </w:num>
  <w:num w:numId="20" w16cid:durableId="1236206179">
    <w:abstractNumId w:val="11"/>
  </w:num>
  <w:num w:numId="21" w16cid:durableId="1266380257">
    <w:abstractNumId w:val="9"/>
  </w:num>
  <w:num w:numId="22" w16cid:durableId="1879930698">
    <w:abstractNumId w:val="13"/>
  </w:num>
  <w:num w:numId="23" w16cid:durableId="1986350568">
    <w:abstractNumId w:val="19"/>
  </w:num>
  <w:num w:numId="24" w16cid:durableId="2006010114">
    <w:abstractNumId w:val="26"/>
  </w:num>
  <w:num w:numId="25" w16cid:durableId="1936287122">
    <w:abstractNumId w:val="4"/>
  </w:num>
  <w:num w:numId="26" w16cid:durableId="1482699869">
    <w:abstractNumId w:val="16"/>
  </w:num>
  <w:num w:numId="27" w16cid:durableId="881597181">
    <w:abstractNumId w:val="20"/>
  </w:num>
  <w:num w:numId="28" w16cid:durableId="915475167">
    <w:abstractNumId w:val="27"/>
  </w:num>
  <w:num w:numId="29" w16cid:durableId="302277876">
    <w:abstractNumId w:val="24"/>
  </w:num>
  <w:num w:numId="30" w16cid:durableId="344332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7C1"/>
    <w:rsid w:val="00000F8F"/>
    <w:rsid w:val="0002607D"/>
    <w:rsid w:val="00030174"/>
    <w:rsid w:val="0003188F"/>
    <w:rsid w:val="000343D8"/>
    <w:rsid w:val="0004579C"/>
    <w:rsid w:val="00085216"/>
    <w:rsid w:val="000A47FA"/>
    <w:rsid w:val="000A65D3"/>
    <w:rsid w:val="000A6EC8"/>
    <w:rsid w:val="000A7BC1"/>
    <w:rsid w:val="000B02D9"/>
    <w:rsid w:val="000B1E33"/>
    <w:rsid w:val="000C625B"/>
    <w:rsid w:val="000D689F"/>
    <w:rsid w:val="000E7B7B"/>
    <w:rsid w:val="000E7D62"/>
    <w:rsid w:val="000F790D"/>
    <w:rsid w:val="00100C27"/>
    <w:rsid w:val="00103357"/>
    <w:rsid w:val="00123C9F"/>
    <w:rsid w:val="00126190"/>
    <w:rsid w:val="00130F17"/>
    <w:rsid w:val="001320BF"/>
    <w:rsid w:val="00163BC4"/>
    <w:rsid w:val="00191062"/>
    <w:rsid w:val="00192B72"/>
    <w:rsid w:val="001A29D8"/>
    <w:rsid w:val="001A5CAA"/>
    <w:rsid w:val="001B0427"/>
    <w:rsid w:val="001B4AC4"/>
    <w:rsid w:val="001D3A51"/>
    <w:rsid w:val="001E10D2"/>
    <w:rsid w:val="001E25B4"/>
    <w:rsid w:val="001E44FE"/>
    <w:rsid w:val="00200595"/>
    <w:rsid w:val="00204835"/>
    <w:rsid w:val="00205E7D"/>
    <w:rsid w:val="00231920"/>
    <w:rsid w:val="0023195C"/>
    <w:rsid w:val="00233B1A"/>
    <w:rsid w:val="0024282C"/>
    <w:rsid w:val="00245F3D"/>
    <w:rsid w:val="002460DC"/>
    <w:rsid w:val="00250985"/>
    <w:rsid w:val="002556F6"/>
    <w:rsid w:val="00283105"/>
    <w:rsid w:val="00284C4C"/>
    <w:rsid w:val="00287E68"/>
    <w:rsid w:val="00296529"/>
    <w:rsid w:val="002A4E6A"/>
    <w:rsid w:val="002B27FB"/>
    <w:rsid w:val="002B685A"/>
    <w:rsid w:val="002C57D2"/>
    <w:rsid w:val="002E0D56"/>
    <w:rsid w:val="00315186"/>
    <w:rsid w:val="0033343E"/>
    <w:rsid w:val="003512C2"/>
    <w:rsid w:val="00371FB6"/>
    <w:rsid w:val="003763C1"/>
    <w:rsid w:val="00376BBE"/>
    <w:rsid w:val="00377102"/>
    <w:rsid w:val="0039224F"/>
    <w:rsid w:val="00396D41"/>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542DF"/>
    <w:rsid w:val="00454346"/>
    <w:rsid w:val="00455E8E"/>
    <w:rsid w:val="004608DD"/>
    <w:rsid w:val="00471A80"/>
    <w:rsid w:val="004B2663"/>
    <w:rsid w:val="004D305E"/>
    <w:rsid w:val="004D3331"/>
    <w:rsid w:val="004D4277"/>
    <w:rsid w:val="004E5BCC"/>
    <w:rsid w:val="00502516"/>
    <w:rsid w:val="00505F06"/>
    <w:rsid w:val="00506828"/>
    <w:rsid w:val="0053056E"/>
    <w:rsid w:val="005309D6"/>
    <w:rsid w:val="0054293D"/>
    <w:rsid w:val="00546B7E"/>
    <w:rsid w:val="00554FDA"/>
    <w:rsid w:val="005561BC"/>
    <w:rsid w:val="00581F69"/>
    <w:rsid w:val="00596B74"/>
    <w:rsid w:val="005A2DCA"/>
    <w:rsid w:val="005C784C"/>
    <w:rsid w:val="005D17F6"/>
    <w:rsid w:val="005D20F0"/>
    <w:rsid w:val="005E5539"/>
    <w:rsid w:val="00601699"/>
    <w:rsid w:val="00602BF5"/>
    <w:rsid w:val="00605131"/>
    <w:rsid w:val="00617259"/>
    <w:rsid w:val="00617FDD"/>
    <w:rsid w:val="00623A29"/>
    <w:rsid w:val="00633614"/>
    <w:rsid w:val="00633F68"/>
    <w:rsid w:val="00636EB2"/>
    <w:rsid w:val="006375B8"/>
    <w:rsid w:val="0066510A"/>
    <w:rsid w:val="00673F9F"/>
    <w:rsid w:val="00686953"/>
    <w:rsid w:val="00687DEA"/>
    <w:rsid w:val="00687E67"/>
    <w:rsid w:val="00694432"/>
    <w:rsid w:val="006967F7"/>
    <w:rsid w:val="006A250C"/>
    <w:rsid w:val="006B21D3"/>
    <w:rsid w:val="006B57D0"/>
    <w:rsid w:val="006D30FF"/>
    <w:rsid w:val="006D6940"/>
    <w:rsid w:val="006F11EC"/>
    <w:rsid w:val="0070082C"/>
    <w:rsid w:val="007022F3"/>
    <w:rsid w:val="0071370C"/>
    <w:rsid w:val="007369E6"/>
    <w:rsid w:val="00746E59"/>
    <w:rsid w:val="00754C9A"/>
    <w:rsid w:val="0075599A"/>
    <w:rsid w:val="00761D52"/>
    <w:rsid w:val="0076730A"/>
    <w:rsid w:val="0077749E"/>
    <w:rsid w:val="00790ADA"/>
    <w:rsid w:val="007C357D"/>
    <w:rsid w:val="007C5EF6"/>
    <w:rsid w:val="007D2288"/>
    <w:rsid w:val="007E088F"/>
    <w:rsid w:val="007F7B32"/>
    <w:rsid w:val="00804BC2"/>
    <w:rsid w:val="00811BFF"/>
    <w:rsid w:val="0081431A"/>
    <w:rsid w:val="0083026F"/>
    <w:rsid w:val="0083216F"/>
    <w:rsid w:val="008349AE"/>
    <w:rsid w:val="00860000"/>
    <w:rsid w:val="00863BD3"/>
    <w:rsid w:val="008641ED"/>
    <w:rsid w:val="00866D66"/>
    <w:rsid w:val="008671C6"/>
    <w:rsid w:val="00870F9E"/>
    <w:rsid w:val="00875803"/>
    <w:rsid w:val="008B459E"/>
    <w:rsid w:val="008C59D6"/>
    <w:rsid w:val="008E13AE"/>
    <w:rsid w:val="008E1506"/>
    <w:rsid w:val="008E710C"/>
    <w:rsid w:val="008F4897"/>
    <w:rsid w:val="008F69D6"/>
    <w:rsid w:val="00902823"/>
    <w:rsid w:val="009143C1"/>
    <w:rsid w:val="00915CA6"/>
    <w:rsid w:val="009222AA"/>
    <w:rsid w:val="00927834"/>
    <w:rsid w:val="009500A6"/>
    <w:rsid w:val="00956108"/>
    <w:rsid w:val="00957C18"/>
    <w:rsid w:val="009659BA"/>
    <w:rsid w:val="00966141"/>
    <w:rsid w:val="00966B99"/>
    <w:rsid w:val="00983040"/>
    <w:rsid w:val="00996269"/>
    <w:rsid w:val="009A476D"/>
    <w:rsid w:val="009B144D"/>
    <w:rsid w:val="009B2008"/>
    <w:rsid w:val="009B3FB9"/>
    <w:rsid w:val="009C2465"/>
    <w:rsid w:val="009D35A0"/>
    <w:rsid w:val="009D7EB7"/>
    <w:rsid w:val="009E048A"/>
    <w:rsid w:val="009E08E9"/>
    <w:rsid w:val="009E3DB9"/>
    <w:rsid w:val="009E6E35"/>
    <w:rsid w:val="009F0EDA"/>
    <w:rsid w:val="00A03B96"/>
    <w:rsid w:val="00A05B19"/>
    <w:rsid w:val="00A1134E"/>
    <w:rsid w:val="00A16253"/>
    <w:rsid w:val="00A24E7E"/>
    <w:rsid w:val="00A258C3"/>
    <w:rsid w:val="00A33E8E"/>
    <w:rsid w:val="00A347C0"/>
    <w:rsid w:val="00A40609"/>
    <w:rsid w:val="00A4268B"/>
    <w:rsid w:val="00A50FE7"/>
    <w:rsid w:val="00A51431"/>
    <w:rsid w:val="00A539AD"/>
    <w:rsid w:val="00A622B2"/>
    <w:rsid w:val="00A65C00"/>
    <w:rsid w:val="00A801B7"/>
    <w:rsid w:val="00A94063"/>
    <w:rsid w:val="00AA4EA4"/>
    <w:rsid w:val="00AA6219"/>
    <w:rsid w:val="00AA74E0"/>
    <w:rsid w:val="00AB703F"/>
    <w:rsid w:val="00AC6BB8"/>
    <w:rsid w:val="00AE008F"/>
    <w:rsid w:val="00B00B82"/>
    <w:rsid w:val="00B01FCD"/>
    <w:rsid w:val="00B1776C"/>
    <w:rsid w:val="00B30251"/>
    <w:rsid w:val="00B52583"/>
    <w:rsid w:val="00B52896"/>
    <w:rsid w:val="00B54275"/>
    <w:rsid w:val="00B95236"/>
    <w:rsid w:val="00B96BD9"/>
    <w:rsid w:val="00BA0822"/>
    <w:rsid w:val="00BA1B01"/>
    <w:rsid w:val="00BA2641"/>
    <w:rsid w:val="00BA7B64"/>
    <w:rsid w:val="00BB37AA"/>
    <w:rsid w:val="00BC53A0"/>
    <w:rsid w:val="00BD1927"/>
    <w:rsid w:val="00BD2FE5"/>
    <w:rsid w:val="00BE62AD"/>
    <w:rsid w:val="00BF121F"/>
    <w:rsid w:val="00BF1F80"/>
    <w:rsid w:val="00C166EF"/>
    <w:rsid w:val="00C17EB0"/>
    <w:rsid w:val="00C27F5F"/>
    <w:rsid w:val="00C30A0F"/>
    <w:rsid w:val="00C32914"/>
    <w:rsid w:val="00C37E61"/>
    <w:rsid w:val="00C52668"/>
    <w:rsid w:val="00C70F1B"/>
    <w:rsid w:val="00C71A47"/>
    <w:rsid w:val="00C7464C"/>
    <w:rsid w:val="00C82885"/>
    <w:rsid w:val="00C85588"/>
    <w:rsid w:val="00C91FDC"/>
    <w:rsid w:val="00CC06C7"/>
    <w:rsid w:val="00CD6755"/>
    <w:rsid w:val="00CD6856"/>
    <w:rsid w:val="00CE0089"/>
    <w:rsid w:val="00CE543C"/>
    <w:rsid w:val="00CE793C"/>
    <w:rsid w:val="00CF193C"/>
    <w:rsid w:val="00D042D3"/>
    <w:rsid w:val="00D173F1"/>
    <w:rsid w:val="00D606C5"/>
    <w:rsid w:val="00D74CB0"/>
    <w:rsid w:val="00D8295D"/>
    <w:rsid w:val="00D963C2"/>
    <w:rsid w:val="00DC2A65"/>
    <w:rsid w:val="00DD6343"/>
    <w:rsid w:val="00DD7D6C"/>
    <w:rsid w:val="00DE15F0"/>
    <w:rsid w:val="00DE44BF"/>
    <w:rsid w:val="00DE5663"/>
    <w:rsid w:val="00DE78AA"/>
    <w:rsid w:val="00DF3C25"/>
    <w:rsid w:val="00E053D0"/>
    <w:rsid w:val="00E111E6"/>
    <w:rsid w:val="00E15994"/>
    <w:rsid w:val="00E3114E"/>
    <w:rsid w:val="00E31A70"/>
    <w:rsid w:val="00E35B02"/>
    <w:rsid w:val="00E52E4F"/>
    <w:rsid w:val="00E619FA"/>
    <w:rsid w:val="00E66496"/>
    <w:rsid w:val="00E66B35"/>
    <w:rsid w:val="00E66E10"/>
    <w:rsid w:val="00E769F6"/>
    <w:rsid w:val="00E8407C"/>
    <w:rsid w:val="00E84F3C"/>
    <w:rsid w:val="00E932D2"/>
    <w:rsid w:val="00E934A9"/>
    <w:rsid w:val="00EA012C"/>
    <w:rsid w:val="00EC6A55"/>
    <w:rsid w:val="00ED0288"/>
    <w:rsid w:val="00EE52CB"/>
    <w:rsid w:val="00EF581D"/>
    <w:rsid w:val="00EF5E2B"/>
    <w:rsid w:val="00EF7FD8"/>
    <w:rsid w:val="00F06099"/>
    <w:rsid w:val="00F06F59"/>
    <w:rsid w:val="00F17988"/>
    <w:rsid w:val="00F3426F"/>
    <w:rsid w:val="00F469F0"/>
    <w:rsid w:val="00F52919"/>
    <w:rsid w:val="00F53273"/>
    <w:rsid w:val="00F755E4"/>
    <w:rsid w:val="00F77D02"/>
    <w:rsid w:val="00F82709"/>
    <w:rsid w:val="00FB3A86"/>
    <w:rsid w:val="00FC1CFE"/>
    <w:rsid w:val="00FD36C8"/>
    <w:rsid w:val="00FD3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EB8910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BodyText">
    <w:name w:val="Body Text"/>
    <w:basedOn w:val="Normal"/>
    <w:link w:val="BodyTextChar"/>
    <w:semiHidden/>
    <w:unhideWhenUsed/>
    <w:rsid w:val="00A65C00"/>
    <w:pPr>
      <w:spacing w:after="120"/>
    </w:pPr>
  </w:style>
  <w:style w:type="character" w:customStyle="1" w:styleId="BodyTextChar">
    <w:name w:val="Body Text Char"/>
    <w:basedOn w:val="DefaultParagraphFont"/>
    <w:link w:val="BodyText"/>
    <w:semiHidden/>
    <w:rsid w:val="00A65C00"/>
    <w:rPr>
      <w:rFonts w:ascii="Helvetica" w:hAnsi="Helvetica"/>
    </w:rPr>
  </w:style>
  <w:style w:type="paragraph" w:styleId="NormalWeb">
    <w:name w:val="Normal (Web)"/>
    <w:basedOn w:val="Normal"/>
    <w:semiHidden/>
    <w:unhideWhenUsed/>
    <w:rsid w:val="00BA0822"/>
    <w:rPr>
      <w:rFonts w:ascii="Times New Roman" w:hAnsi="Times New Roman"/>
      <w:sz w:val="24"/>
      <w:szCs w:val="24"/>
    </w:rPr>
  </w:style>
  <w:style w:type="character" w:styleId="PlaceholderText">
    <w:name w:val="Placeholder Text"/>
    <w:basedOn w:val="DefaultParagraphFont"/>
    <w:uiPriority w:val="99"/>
    <w:semiHidden/>
    <w:rsid w:val="007137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02267797">
      <w:bodyDiv w:val="1"/>
      <w:marLeft w:val="0"/>
      <w:marRight w:val="0"/>
      <w:marTop w:val="0"/>
      <w:marBottom w:val="0"/>
      <w:divBdr>
        <w:top w:val="none" w:sz="0" w:space="0" w:color="auto"/>
        <w:left w:val="none" w:sz="0" w:space="0" w:color="auto"/>
        <w:bottom w:val="none" w:sz="0" w:space="0" w:color="auto"/>
        <w:right w:val="none" w:sz="0" w:space="0" w:color="auto"/>
      </w:divBdr>
    </w:div>
    <w:div w:id="156461608">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43270075">
      <w:bodyDiv w:val="1"/>
      <w:marLeft w:val="0"/>
      <w:marRight w:val="0"/>
      <w:marTop w:val="0"/>
      <w:marBottom w:val="0"/>
      <w:divBdr>
        <w:top w:val="none" w:sz="0" w:space="0" w:color="auto"/>
        <w:left w:val="none" w:sz="0" w:space="0" w:color="auto"/>
        <w:bottom w:val="none" w:sz="0" w:space="0" w:color="auto"/>
        <w:right w:val="none" w:sz="0" w:space="0" w:color="auto"/>
      </w:divBdr>
    </w:div>
    <w:div w:id="318584554">
      <w:bodyDiv w:val="1"/>
      <w:marLeft w:val="0"/>
      <w:marRight w:val="0"/>
      <w:marTop w:val="0"/>
      <w:marBottom w:val="0"/>
      <w:divBdr>
        <w:top w:val="none" w:sz="0" w:space="0" w:color="auto"/>
        <w:left w:val="none" w:sz="0" w:space="0" w:color="auto"/>
        <w:bottom w:val="none" w:sz="0" w:space="0" w:color="auto"/>
        <w:right w:val="none" w:sz="0" w:space="0" w:color="auto"/>
      </w:divBdr>
    </w:div>
    <w:div w:id="361055412">
      <w:bodyDiv w:val="1"/>
      <w:marLeft w:val="0"/>
      <w:marRight w:val="0"/>
      <w:marTop w:val="0"/>
      <w:marBottom w:val="0"/>
      <w:divBdr>
        <w:top w:val="none" w:sz="0" w:space="0" w:color="auto"/>
        <w:left w:val="none" w:sz="0" w:space="0" w:color="auto"/>
        <w:bottom w:val="none" w:sz="0" w:space="0" w:color="auto"/>
        <w:right w:val="none" w:sz="0" w:space="0" w:color="auto"/>
      </w:divBdr>
    </w:div>
    <w:div w:id="447358736">
      <w:bodyDiv w:val="1"/>
      <w:marLeft w:val="0"/>
      <w:marRight w:val="0"/>
      <w:marTop w:val="0"/>
      <w:marBottom w:val="0"/>
      <w:divBdr>
        <w:top w:val="none" w:sz="0" w:space="0" w:color="auto"/>
        <w:left w:val="none" w:sz="0" w:space="0" w:color="auto"/>
        <w:bottom w:val="none" w:sz="0" w:space="0" w:color="auto"/>
        <w:right w:val="none" w:sz="0" w:space="0" w:color="auto"/>
      </w:divBdr>
    </w:div>
    <w:div w:id="451825434">
      <w:bodyDiv w:val="1"/>
      <w:marLeft w:val="0"/>
      <w:marRight w:val="0"/>
      <w:marTop w:val="0"/>
      <w:marBottom w:val="0"/>
      <w:divBdr>
        <w:top w:val="none" w:sz="0" w:space="0" w:color="auto"/>
        <w:left w:val="none" w:sz="0" w:space="0" w:color="auto"/>
        <w:bottom w:val="none" w:sz="0" w:space="0" w:color="auto"/>
        <w:right w:val="none" w:sz="0" w:space="0" w:color="auto"/>
      </w:divBdr>
    </w:div>
    <w:div w:id="466818599">
      <w:bodyDiv w:val="1"/>
      <w:marLeft w:val="0"/>
      <w:marRight w:val="0"/>
      <w:marTop w:val="0"/>
      <w:marBottom w:val="0"/>
      <w:divBdr>
        <w:top w:val="none" w:sz="0" w:space="0" w:color="auto"/>
        <w:left w:val="none" w:sz="0" w:space="0" w:color="auto"/>
        <w:bottom w:val="none" w:sz="0" w:space="0" w:color="auto"/>
        <w:right w:val="none" w:sz="0" w:space="0" w:color="auto"/>
      </w:divBdr>
    </w:div>
    <w:div w:id="571624272">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95303209">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97793686">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17551444">
      <w:bodyDiv w:val="1"/>
      <w:marLeft w:val="0"/>
      <w:marRight w:val="0"/>
      <w:marTop w:val="0"/>
      <w:marBottom w:val="0"/>
      <w:divBdr>
        <w:top w:val="none" w:sz="0" w:space="0" w:color="auto"/>
        <w:left w:val="none" w:sz="0" w:space="0" w:color="auto"/>
        <w:bottom w:val="none" w:sz="0" w:space="0" w:color="auto"/>
        <w:right w:val="none" w:sz="0" w:space="0" w:color="auto"/>
      </w:divBdr>
    </w:div>
    <w:div w:id="1310670818">
      <w:bodyDiv w:val="1"/>
      <w:marLeft w:val="0"/>
      <w:marRight w:val="0"/>
      <w:marTop w:val="0"/>
      <w:marBottom w:val="0"/>
      <w:divBdr>
        <w:top w:val="none" w:sz="0" w:space="0" w:color="auto"/>
        <w:left w:val="none" w:sz="0" w:space="0" w:color="auto"/>
        <w:bottom w:val="none" w:sz="0" w:space="0" w:color="auto"/>
        <w:right w:val="none" w:sz="0" w:space="0" w:color="auto"/>
      </w:divBdr>
    </w:div>
    <w:div w:id="1419133788">
      <w:bodyDiv w:val="1"/>
      <w:marLeft w:val="0"/>
      <w:marRight w:val="0"/>
      <w:marTop w:val="0"/>
      <w:marBottom w:val="0"/>
      <w:divBdr>
        <w:top w:val="none" w:sz="0" w:space="0" w:color="auto"/>
        <w:left w:val="none" w:sz="0" w:space="0" w:color="auto"/>
        <w:bottom w:val="none" w:sz="0" w:space="0" w:color="auto"/>
        <w:right w:val="none" w:sz="0" w:space="0" w:color="auto"/>
      </w:divBdr>
    </w:div>
    <w:div w:id="1491946068">
      <w:bodyDiv w:val="1"/>
      <w:marLeft w:val="0"/>
      <w:marRight w:val="0"/>
      <w:marTop w:val="0"/>
      <w:marBottom w:val="0"/>
      <w:divBdr>
        <w:top w:val="none" w:sz="0" w:space="0" w:color="auto"/>
        <w:left w:val="none" w:sz="0" w:space="0" w:color="auto"/>
        <w:bottom w:val="none" w:sz="0" w:space="0" w:color="auto"/>
        <w:right w:val="none" w:sz="0" w:space="0" w:color="auto"/>
      </w:divBdr>
    </w:div>
    <w:div w:id="1528787553">
      <w:bodyDiv w:val="1"/>
      <w:marLeft w:val="0"/>
      <w:marRight w:val="0"/>
      <w:marTop w:val="0"/>
      <w:marBottom w:val="0"/>
      <w:divBdr>
        <w:top w:val="none" w:sz="0" w:space="0" w:color="auto"/>
        <w:left w:val="none" w:sz="0" w:space="0" w:color="auto"/>
        <w:bottom w:val="none" w:sz="0" w:space="0" w:color="auto"/>
        <w:right w:val="none" w:sz="0" w:space="0" w:color="auto"/>
      </w:divBdr>
    </w:div>
    <w:div w:id="1538590015">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28790198">
      <w:bodyDiv w:val="1"/>
      <w:marLeft w:val="0"/>
      <w:marRight w:val="0"/>
      <w:marTop w:val="0"/>
      <w:marBottom w:val="0"/>
      <w:divBdr>
        <w:top w:val="none" w:sz="0" w:space="0" w:color="auto"/>
        <w:left w:val="none" w:sz="0" w:space="0" w:color="auto"/>
        <w:bottom w:val="none" w:sz="0" w:space="0" w:color="auto"/>
        <w:right w:val="none" w:sz="0" w:space="0" w:color="auto"/>
      </w:divBdr>
    </w:div>
    <w:div w:id="187160466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67995657">
      <w:bodyDiv w:val="1"/>
      <w:marLeft w:val="0"/>
      <w:marRight w:val="0"/>
      <w:marTop w:val="0"/>
      <w:marBottom w:val="0"/>
      <w:divBdr>
        <w:top w:val="none" w:sz="0" w:space="0" w:color="auto"/>
        <w:left w:val="none" w:sz="0" w:space="0" w:color="auto"/>
        <w:bottom w:val="none" w:sz="0" w:space="0" w:color="auto"/>
        <w:right w:val="none" w:sz="0" w:space="0" w:color="auto"/>
      </w:divBdr>
    </w:div>
    <w:div w:id="2131318492">
      <w:bodyDiv w:val="1"/>
      <w:marLeft w:val="0"/>
      <w:marRight w:val="0"/>
      <w:marTop w:val="0"/>
      <w:marBottom w:val="0"/>
      <w:divBdr>
        <w:top w:val="none" w:sz="0" w:space="0" w:color="auto"/>
        <w:left w:val="none" w:sz="0" w:space="0" w:color="auto"/>
        <w:bottom w:val="none" w:sz="0" w:space="0" w:color="auto"/>
        <w:right w:val="none" w:sz="0" w:space="0" w:color="auto"/>
      </w:divBdr>
    </w:div>
    <w:div w:id="213767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86/s12901-017-0034-z"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doi.org/10.1093/ptj/82.2.12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linbiomech.com/article/S0268-0033(18)30199-2/fulltext"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doi.org/10.1002/jor.23793" TargetMode="External"/><Relationship Id="rId20" Type="http://schemas.openxmlformats.org/officeDocument/2006/relationships/hyperlink" Target="https://doi.org/10.1053/apmr.2001.267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i.org/10.1038/nrrheum.2016.65" TargetMode="External"/><Relationship Id="rId23" Type="http://schemas.openxmlformats.org/officeDocument/2006/relationships/hyperlink" Target="https://doi.org/10.1016/j.apmr.2014.04.016"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07/s10882-015-9440-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doi.org/10.1055/s-0038-1667316" TargetMode="External"/><Relationship Id="rId27"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78</TotalTime>
  <Pages>9</Pages>
  <Words>3915</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26179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82</cp:revision>
  <cp:lastPrinted>1999-07-06T11:00:00Z</cp:lastPrinted>
  <dcterms:created xsi:type="dcterms:W3CDTF">2014-10-25T14:34:00Z</dcterms:created>
  <dcterms:modified xsi:type="dcterms:W3CDTF">2024-12-26T05:33:00Z</dcterms:modified>
</cp:coreProperties>
</file>