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0C4E5" w14:textId="77777777" w:rsidR="00754C9A" w:rsidRDefault="00754C9A" w:rsidP="00441B6F">
      <w:pPr>
        <w:pStyle w:val="Title"/>
        <w:spacing w:after="0"/>
        <w:jc w:val="both"/>
        <w:rPr>
          <w:rFonts w:ascii="Arial" w:hAnsi="Arial" w:cs="Arial"/>
        </w:rPr>
      </w:pPr>
    </w:p>
    <w:p w14:paraId="73C1A7C2" w14:textId="522D0CCF" w:rsidR="007C11E5" w:rsidRPr="007C11E5" w:rsidRDefault="005A28CE" w:rsidP="00441B6F">
      <w:pPr>
        <w:pStyle w:val="Author"/>
        <w:spacing w:line="240" w:lineRule="auto"/>
        <w:jc w:val="both"/>
        <w:rPr>
          <w:rFonts w:ascii="Arial" w:hAnsi="Arial" w:cs="Arial"/>
          <w:bCs/>
          <w:iCs/>
          <w:kern w:val="28"/>
          <w:sz w:val="36"/>
        </w:rPr>
      </w:pPr>
      <w:r w:rsidRPr="005A28CE">
        <w:rPr>
          <w:rFonts w:ascii="Arial" w:hAnsi="Arial" w:cs="Arial"/>
          <w:bCs/>
          <w:iCs/>
          <w:kern w:val="28"/>
          <w:sz w:val="36"/>
        </w:rPr>
        <w:t>Longitudinal Assessment and Comparison of Functional Mobility in Patients Undergoing Unilateral Knee Arthroplasty with Two Types of Prostheses Using the Timed Up and Go (TUG) Test: A Pilot and Preliminary Study</w:t>
      </w:r>
      <w:r w:rsidR="007C11E5">
        <w:rPr>
          <w:rFonts w:ascii="Arial" w:hAnsi="Arial" w:cs="Arial"/>
          <w:bCs/>
          <w:iCs/>
          <w:kern w:val="28"/>
          <w:sz w:val="36"/>
        </w:rPr>
        <w:br/>
      </w:r>
    </w:p>
    <w:p w14:paraId="6C049013" w14:textId="77777777" w:rsidR="00A57BCB" w:rsidRPr="00FB3A86" w:rsidRDefault="00A57BCB" w:rsidP="00AA0773">
      <w:pPr>
        <w:pStyle w:val="Affiliation"/>
        <w:spacing w:after="0" w:line="240" w:lineRule="auto"/>
        <w:rPr>
          <w:rFonts w:ascii="Arial" w:hAnsi="Arial" w:cs="Arial"/>
        </w:rPr>
      </w:pPr>
    </w:p>
    <w:p w14:paraId="5CEA4DD6" w14:textId="77777777" w:rsidR="00B01FCD" w:rsidRPr="00FB3A86" w:rsidRDefault="00000000" w:rsidP="00441B6F">
      <w:pPr>
        <w:pStyle w:val="Copyright"/>
        <w:spacing w:after="0" w:line="240" w:lineRule="auto"/>
        <w:jc w:val="both"/>
        <w:rPr>
          <w:rFonts w:ascii="Arial" w:hAnsi="Arial" w:cs="Arial"/>
        </w:rPr>
        <w:sectPr w:rsidR="00B01FCD" w:rsidRPr="00FB3A86" w:rsidSect="0016770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3B8EB7A">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0D99ED2B" w14:textId="0C1C228F"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652C454A"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098DE160" w14:textId="77777777" w:rsidTr="001E44FE">
        <w:tc>
          <w:tcPr>
            <w:tcW w:w="9576" w:type="dxa"/>
            <w:shd w:val="clear" w:color="auto" w:fill="F2F2F2"/>
          </w:tcPr>
          <w:p w14:paraId="367F61C6" w14:textId="77777777" w:rsidR="004F3F98"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4F3F98" w:rsidRPr="004F3F98">
              <w:rPr>
                <w:rFonts w:ascii="Arial" w:eastAsia="Calibri" w:hAnsi="Arial" w:cs="Arial"/>
                <w:szCs w:val="22"/>
              </w:rPr>
              <w:t>To evaluate and compare the functional mobility of patients undergoing unilateral knee arthroplasty using two types of prostheses: fixed tibial plateau and rotating platform. This study aims to characterize functional mobility patterns and investigate differences between the types of prostheses.</w:t>
            </w:r>
          </w:p>
          <w:p w14:paraId="07BCAC73" w14:textId="41DF3606"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BB4944" w:rsidRPr="00BB4944">
              <w:rPr>
                <w:rFonts w:ascii="Arial" w:eastAsia="Calibri" w:hAnsi="Arial" w:cs="Arial"/>
                <w:szCs w:val="22"/>
              </w:rPr>
              <w:t xml:space="preserve">A prospective, observational, and comparative study with assessments conducted at two time points: </w:t>
            </w:r>
            <w:r w:rsidR="00840976" w:rsidRPr="00840976">
              <w:rPr>
                <w:rFonts w:ascii="Arial" w:eastAsia="Calibri" w:hAnsi="Arial" w:cs="Arial"/>
                <w:szCs w:val="22"/>
              </w:rPr>
              <w:t>2 to 24 months after surgery</w:t>
            </w:r>
            <w:r w:rsidR="00840976">
              <w:rPr>
                <w:rFonts w:ascii="Arial" w:eastAsia="Calibri" w:hAnsi="Arial" w:cs="Arial"/>
                <w:szCs w:val="22"/>
              </w:rPr>
              <w:t>.</w:t>
            </w:r>
          </w:p>
          <w:p w14:paraId="6C3059A4" w14:textId="70A3E7F1"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532CBD" w:rsidRPr="00532CBD">
              <w:rPr>
                <w:rFonts w:ascii="Arial" w:eastAsia="Calibri" w:hAnsi="Arial" w:cs="Arial"/>
                <w:szCs w:val="22"/>
              </w:rPr>
              <w:t xml:space="preserve">Conducted at </w:t>
            </w:r>
            <w:r w:rsidR="00220E80" w:rsidRPr="00220E80">
              <w:rPr>
                <w:rFonts w:ascii="Arial" w:eastAsia="Calibri" w:hAnsi="Arial" w:cs="Arial"/>
                <w:szCs w:val="22"/>
              </w:rPr>
              <w:t>a tertiary hospital</w:t>
            </w:r>
            <w:r w:rsidR="00220E80">
              <w:rPr>
                <w:rFonts w:ascii="Arial" w:eastAsia="Calibri" w:hAnsi="Arial" w:cs="Arial"/>
                <w:szCs w:val="22"/>
              </w:rPr>
              <w:t xml:space="preserve"> </w:t>
            </w:r>
            <w:r w:rsidR="00532CBD" w:rsidRPr="00532CBD">
              <w:rPr>
                <w:rFonts w:ascii="Arial" w:eastAsia="Calibri" w:hAnsi="Arial" w:cs="Arial"/>
                <w:szCs w:val="22"/>
              </w:rPr>
              <w:t xml:space="preserve">for </w:t>
            </w:r>
            <w:r w:rsidR="00C01232">
              <w:rPr>
                <w:rFonts w:ascii="Arial" w:eastAsia="Calibri" w:hAnsi="Arial" w:cs="Arial"/>
                <w:szCs w:val="22"/>
              </w:rPr>
              <w:t>r</w:t>
            </w:r>
            <w:r w:rsidR="00532CBD" w:rsidRPr="00532CBD">
              <w:rPr>
                <w:rFonts w:ascii="Arial" w:eastAsia="Calibri" w:hAnsi="Arial" w:cs="Arial"/>
                <w:szCs w:val="22"/>
              </w:rPr>
              <w:t xml:space="preserve">ehabilitation and </w:t>
            </w:r>
            <w:r w:rsidR="00C01232">
              <w:rPr>
                <w:rFonts w:ascii="Arial" w:eastAsia="Calibri" w:hAnsi="Arial" w:cs="Arial"/>
                <w:szCs w:val="22"/>
              </w:rPr>
              <w:t>r</w:t>
            </w:r>
            <w:r w:rsidR="00532CBD" w:rsidRPr="00532CBD">
              <w:rPr>
                <w:rFonts w:ascii="Arial" w:eastAsia="Calibri" w:hAnsi="Arial" w:cs="Arial"/>
                <w:szCs w:val="22"/>
              </w:rPr>
              <w:t>eadaptation</w:t>
            </w:r>
            <w:r w:rsidR="00220E80">
              <w:rPr>
                <w:rFonts w:ascii="Arial" w:eastAsia="Calibri" w:hAnsi="Arial" w:cs="Arial"/>
                <w:szCs w:val="22"/>
              </w:rPr>
              <w:t xml:space="preserve">, </w:t>
            </w:r>
            <w:r w:rsidR="00532CBD" w:rsidRPr="00532CBD">
              <w:rPr>
                <w:rFonts w:ascii="Arial" w:eastAsia="Calibri" w:hAnsi="Arial" w:cs="Arial"/>
                <w:szCs w:val="22"/>
              </w:rPr>
              <w:t xml:space="preserve">in partnership with </w:t>
            </w:r>
            <w:r w:rsidR="00C01232">
              <w:rPr>
                <w:rFonts w:ascii="Arial" w:eastAsia="Calibri" w:hAnsi="Arial" w:cs="Arial"/>
                <w:szCs w:val="22"/>
              </w:rPr>
              <w:t>a</w:t>
            </w:r>
            <w:r w:rsidR="00C01232" w:rsidRPr="00C01232">
              <w:rPr>
                <w:rFonts w:ascii="Arial" w:eastAsia="Calibri" w:hAnsi="Arial" w:cs="Arial"/>
                <w:szCs w:val="22"/>
              </w:rPr>
              <w:t xml:space="preserve"> private university</w:t>
            </w:r>
            <w:r w:rsidR="00C01232">
              <w:rPr>
                <w:rFonts w:ascii="Arial" w:eastAsia="Calibri" w:hAnsi="Arial" w:cs="Arial"/>
                <w:szCs w:val="22"/>
              </w:rPr>
              <w:t xml:space="preserve"> </w:t>
            </w:r>
            <w:r w:rsidR="00532CBD" w:rsidRPr="00532CBD">
              <w:rPr>
                <w:rFonts w:ascii="Arial" w:eastAsia="Calibri" w:hAnsi="Arial" w:cs="Arial"/>
                <w:szCs w:val="22"/>
              </w:rPr>
              <w:t>from March 2022 to December 2024.</w:t>
            </w:r>
          </w:p>
          <w:p w14:paraId="001C5332" w14:textId="77777777" w:rsidR="00CA6FF0"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CA6FF0" w:rsidRPr="00CA6FF0">
              <w:rPr>
                <w:rFonts w:ascii="Arial" w:eastAsia="Calibri" w:hAnsi="Arial" w:cs="Arial"/>
                <w:szCs w:val="22"/>
              </w:rPr>
              <w:t>Thirty-six patients who had previously undergone unilateral knee arthroplasty were included, equally divided between fixed and rotating platform prostheses. The Timed Up and Go (TUG) test, performed with the G-WALK inertial sensor, was used to capture 15 functional mobility variables across two time points. Statistical analyses included variance tests and correlations to identify changes between time points and groups.</w:t>
            </w:r>
          </w:p>
          <w:p w14:paraId="0A631BF9" w14:textId="090AC810" w:rsidR="00FB4D72" w:rsidRDefault="00BA1B01" w:rsidP="00441B6F">
            <w:pPr>
              <w:pStyle w:val="Body"/>
              <w:spacing w:after="0"/>
              <w:rPr>
                <w:rFonts w:ascii="Arial" w:eastAsia="Calibri" w:hAnsi="Arial" w:cs="Arial"/>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FB4D72" w:rsidRPr="00FB4D72">
              <w:rPr>
                <w:rFonts w:ascii="Arial" w:eastAsia="Calibri" w:hAnsi="Arial" w:cs="Arial"/>
                <w:szCs w:val="22"/>
              </w:rPr>
              <w:t>The mean TUG time increased from 14.47 ± 3.03 seconds to 15.24 ± 3.85 seconds, without statistical significance (</w:t>
            </w:r>
            <w:r w:rsidR="007D0BE2" w:rsidRPr="007D0BE2">
              <w:rPr>
                <w:rFonts w:ascii="Arial" w:eastAsia="Calibri" w:hAnsi="Arial" w:cs="Arial"/>
                <w:i/>
                <w:iCs/>
                <w:szCs w:val="22"/>
              </w:rPr>
              <w:t>P</w:t>
            </w:r>
            <w:r w:rsidR="00FB4D72" w:rsidRPr="007D0BE2">
              <w:rPr>
                <w:rFonts w:ascii="Arial" w:eastAsia="Calibri" w:hAnsi="Arial" w:cs="Arial"/>
                <w:i/>
                <w:iCs/>
                <w:szCs w:val="22"/>
              </w:rPr>
              <w:t>=.301</w:t>
            </w:r>
            <w:r w:rsidR="00FB4D72" w:rsidRPr="00FB4D72">
              <w:rPr>
                <w:rFonts w:ascii="Arial" w:eastAsia="Calibri" w:hAnsi="Arial" w:cs="Arial"/>
                <w:szCs w:val="22"/>
              </w:rPr>
              <w:t>). However, the Sit-to-Stand phase showed a significant reduction in duration (</w:t>
            </w:r>
            <w:r w:rsidR="007D0BE2" w:rsidRPr="007D0BE2">
              <w:rPr>
                <w:rFonts w:ascii="Arial" w:eastAsia="Calibri" w:hAnsi="Arial" w:cs="Arial"/>
                <w:i/>
                <w:iCs/>
                <w:szCs w:val="22"/>
              </w:rPr>
              <w:t>P</w:t>
            </w:r>
            <w:r w:rsidR="00FB4D72" w:rsidRPr="007D0BE2">
              <w:rPr>
                <w:rFonts w:ascii="Arial" w:eastAsia="Calibri" w:hAnsi="Arial" w:cs="Arial"/>
                <w:i/>
                <w:iCs/>
                <w:szCs w:val="22"/>
              </w:rPr>
              <w:t>=.036</w:t>
            </w:r>
            <w:r w:rsidR="00FB4D72" w:rsidRPr="00FB4D72">
              <w:rPr>
                <w:rFonts w:ascii="Arial" w:eastAsia="Calibri" w:hAnsi="Arial" w:cs="Arial"/>
                <w:szCs w:val="22"/>
              </w:rPr>
              <w:t>). The turning phase demonstrated significant improvements in both duration (</w:t>
            </w:r>
            <w:r w:rsidR="007D0BE2" w:rsidRPr="007D0BE2">
              <w:rPr>
                <w:rFonts w:ascii="Arial" w:eastAsia="Calibri" w:hAnsi="Arial" w:cs="Arial"/>
                <w:i/>
                <w:iCs/>
                <w:szCs w:val="22"/>
              </w:rPr>
              <w:t>P</w:t>
            </w:r>
            <w:r w:rsidR="00FB4D72" w:rsidRPr="007D0BE2">
              <w:rPr>
                <w:rFonts w:ascii="Arial" w:eastAsia="Calibri" w:hAnsi="Arial" w:cs="Arial"/>
                <w:i/>
                <w:iCs/>
                <w:szCs w:val="22"/>
              </w:rPr>
              <w:t>&lt;.001</w:t>
            </w:r>
            <w:r w:rsidR="00FB4D72" w:rsidRPr="00FB4D72">
              <w:rPr>
                <w:rFonts w:ascii="Arial" w:eastAsia="Calibri" w:hAnsi="Arial" w:cs="Arial"/>
                <w:szCs w:val="22"/>
              </w:rPr>
              <w:t>) and speed (</w:t>
            </w:r>
            <w:r w:rsidR="007D0BE2" w:rsidRPr="007D0BE2">
              <w:rPr>
                <w:rFonts w:ascii="Arial" w:eastAsia="Calibri" w:hAnsi="Arial" w:cs="Arial"/>
                <w:i/>
                <w:iCs/>
                <w:szCs w:val="22"/>
              </w:rPr>
              <w:t>P</w:t>
            </w:r>
            <w:r w:rsidR="00FB4D72" w:rsidRPr="007D0BE2">
              <w:rPr>
                <w:rFonts w:ascii="Arial" w:eastAsia="Calibri" w:hAnsi="Arial" w:cs="Arial"/>
                <w:i/>
                <w:iCs/>
                <w:szCs w:val="22"/>
              </w:rPr>
              <w:t>&lt;.001</w:t>
            </w:r>
            <w:r w:rsidR="00FB4D72" w:rsidRPr="00FB4D72">
              <w:rPr>
                <w:rFonts w:ascii="Arial" w:eastAsia="Calibri" w:hAnsi="Arial" w:cs="Arial"/>
                <w:szCs w:val="22"/>
              </w:rPr>
              <w:t>). No statistically significant differences were observed between prosthesis types in most variables.</w:t>
            </w:r>
          </w:p>
          <w:p w14:paraId="6843BBF0" w14:textId="73817F58"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AD7CF5" w:rsidRPr="00AD7CF5">
              <w:rPr>
                <w:rFonts w:ascii="Arial" w:eastAsia="Calibri" w:hAnsi="Arial" w:cs="Arial"/>
                <w:szCs w:val="22"/>
              </w:rPr>
              <w:t>Despite specific improvements over time, fixed and rotating platform prostheses showed largely comparable functional performance. The use of inertial sensors proved to be a promising tool for large-scale clinical assessments, enabling more detailed analyses of functional mobility. Future studies should include both subjective and objective evaluations for a more comprehensive understanding of functional recovery after knee arthroplasty.</w:t>
            </w:r>
          </w:p>
        </w:tc>
      </w:tr>
    </w:tbl>
    <w:p w14:paraId="230BC4AB" w14:textId="77777777" w:rsidR="00636EB2" w:rsidRDefault="00636EB2" w:rsidP="00441B6F">
      <w:pPr>
        <w:pStyle w:val="Body"/>
        <w:spacing w:after="0"/>
        <w:rPr>
          <w:rFonts w:ascii="Arial" w:hAnsi="Arial" w:cs="Arial"/>
          <w:i/>
        </w:rPr>
      </w:pPr>
    </w:p>
    <w:p w14:paraId="15848EB8" w14:textId="458B6D03" w:rsidR="00A24E7E" w:rsidRDefault="00A24E7E" w:rsidP="00441B6F">
      <w:pPr>
        <w:pStyle w:val="Body"/>
        <w:spacing w:after="0"/>
        <w:rPr>
          <w:rFonts w:ascii="Arial" w:hAnsi="Arial" w:cs="Arial"/>
          <w:i/>
        </w:rPr>
      </w:pPr>
      <w:r>
        <w:rPr>
          <w:rFonts w:ascii="Arial" w:hAnsi="Arial" w:cs="Arial"/>
          <w:i/>
        </w:rPr>
        <w:t>Keywords:</w:t>
      </w:r>
      <w:r w:rsidR="00C83887">
        <w:rPr>
          <w:rFonts w:ascii="Arial" w:hAnsi="Arial" w:cs="Arial"/>
          <w:i/>
        </w:rPr>
        <w:t xml:space="preserve"> </w:t>
      </w:r>
      <w:r w:rsidR="00C83887" w:rsidRPr="00C83887">
        <w:rPr>
          <w:rFonts w:ascii="Arial" w:hAnsi="Arial" w:cs="Arial"/>
          <w:i/>
        </w:rPr>
        <w:t>Gait Analysis</w:t>
      </w:r>
      <w:r w:rsidR="00F45485">
        <w:rPr>
          <w:rFonts w:ascii="Arial" w:hAnsi="Arial" w:cs="Arial"/>
          <w:i/>
        </w:rPr>
        <w:t>;</w:t>
      </w:r>
      <w:r w:rsidR="00D466A6">
        <w:rPr>
          <w:rFonts w:ascii="Arial" w:hAnsi="Arial" w:cs="Arial"/>
          <w:i/>
        </w:rPr>
        <w:t xml:space="preserve"> P</w:t>
      </w:r>
      <w:r w:rsidR="00D466A6" w:rsidRPr="00D466A6">
        <w:rPr>
          <w:rFonts w:ascii="Arial" w:hAnsi="Arial" w:cs="Arial"/>
          <w:i/>
        </w:rPr>
        <w:t>ostoperative Period</w:t>
      </w:r>
      <w:r w:rsidR="00F45485">
        <w:rPr>
          <w:rFonts w:ascii="Arial" w:hAnsi="Arial" w:cs="Arial"/>
          <w:i/>
        </w:rPr>
        <w:t>;</w:t>
      </w:r>
      <w:r w:rsidR="00D466A6">
        <w:rPr>
          <w:rFonts w:ascii="Arial" w:hAnsi="Arial" w:cs="Arial"/>
          <w:i/>
        </w:rPr>
        <w:t xml:space="preserve"> </w:t>
      </w:r>
      <w:r w:rsidR="005804B6" w:rsidRPr="005804B6">
        <w:rPr>
          <w:rFonts w:ascii="Arial" w:hAnsi="Arial" w:cs="Arial"/>
          <w:i/>
        </w:rPr>
        <w:t>Rehabilitation</w:t>
      </w:r>
      <w:r w:rsidR="00F45485">
        <w:rPr>
          <w:rFonts w:ascii="Arial" w:hAnsi="Arial" w:cs="Arial"/>
          <w:i/>
        </w:rPr>
        <w:t>;</w:t>
      </w:r>
      <w:r w:rsidR="003F141C">
        <w:rPr>
          <w:rFonts w:ascii="Arial" w:hAnsi="Arial" w:cs="Arial"/>
          <w:i/>
        </w:rPr>
        <w:t xml:space="preserve"> </w:t>
      </w:r>
      <w:r w:rsidR="003F141C" w:rsidRPr="003F141C">
        <w:rPr>
          <w:rFonts w:ascii="Arial" w:hAnsi="Arial" w:cs="Arial"/>
          <w:i/>
        </w:rPr>
        <w:t>Physical Functional Performance</w:t>
      </w:r>
      <w:r w:rsidR="003F141C">
        <w:rPr>
          <w:rFonts w:ascii="Arial" w:hAnsi="Arial" w:cs="Arial"/>
          <w:i/>
        </w:rPr>
        <w:t xml:space="preserve">. </w:t>
      </w:r>
      <w:r>
        <w:rPr>
          <w:rFonts w:ascii="Arial" w:hAnsi="Arial" w:cs="Arial"/>
          <w:i/>
        </w:rPr>
        <w:t xml:space="preserve"> </w:t>
      </w:r>
    </w:p>
    <w:p w14:paraId="7D92ADE8" w14:textId="77777777" w:rsidR="0024282C" w:rsidRDefault="0024282C" w:rsidP="00441B6F">
      <w:pPr>
        <w:pStyle w:val="Body"/>
        <w:spacing w:after="0"/>
        <w:rPr>
          <w:rFonts w:ascii="Arial" w:hAnsi="Arial" w:cs="Arial"/>
          <w:i/>
          <w:sz w:val="18"/>
        </w:rPr>
      </w:pPr>
    </w:p>
    <w:p w14:paraId="7F26A499" w14:textId="77777777" w:rsidR="00505F06" w:rsidRPr="00A24E7E" w:rsidRDefault="00505F06" w:rsidP="00441B6F">
      <w:pPr>
        <w:pStyle w:val="Body"/>
        <w:spacing w:after="0"/>
        <w:rPr>
          <w:rFonts w:ascii="Arial" w:hAnsi="Arial" w:cs="Arial"/>
          <w:i/>
        </w:rPr>
      </w:pPr>
    </w:p>
    <w:p w14:paraId="08858396" w14:textId="63899DB4"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0515CAAB" w14:textId="77777777" w:rsidR="00790ADA" w:rsidRPr="00FB3A86" w:rsidRDefault="00790ADA" w:rsidP="00441B6F">
      <w:pPr>
        <w:pStyle w:val="AbstHead"/>
        <w:spacing w:after="0"/>
        <w:jc w:val="both"/>
        <w:rPr>
          <w:rFonts w:ascii="Arial" w:hAnsi="Arial" w:cs="Arial"/>
        </w:rPr>
      </w:pPr>
    </w:p>
    <w:p w14:paraId="3D77249E" w14:textId="68563866" w:rsidR="00536BC8" w:rsidRPr="00536BC8" w:rsidRDefault="00536BC8" w:rsidP="00536BC8">
      <w:pPr>
        <w:pStyle w:val="AbstHead"/>
        <w:jc w:val="both"/>
        <w:rPr>
          <w:rFonts w:ascii="Arial" w:hAnsi="Arial" w:cs="Arial"/>
          <w:b w:val="0"/>
          <w:caps w:val="0"/>
          <w:sz w:val="20"/>
        </w:rPr>
      </w:pPr>
      <w:r w:rsidRPr="00536BC8">
        <w:rPr>
          <w:rFonts w:ascii="Arial" w:hAnsi="Arial" w:cs="Arial"/>
          <w:b w:val="0"/>
          <w:caps w:val="0"/>
          <w:sz w:val="20"/>
        </w:rPr>
        <w:t xml:space="preserve">Knee osteoarthritis is characterized by structural modifications of the articular cartilage and subchondral bone, as well as other anatomical structures, such as Hoffa's fat pad, synovium, ligaments, and muscles. It is the most common progressive musculoskeletal condition (Primorac et al. 2020). </w:t>
      </w:r>
      <w:r w:rsidR="00FC18C9" w:rsidRPr="00536BC8">
        <w:rPr>
          <w:rFonts w:ascii="Arial" w:hAnsi="Arial" w:cs="Arial"/>
          <w:b w:val="0"/>
          <w:caps w:val="0"/>
          <w:sz w:val="20"/>
        </w:rPr>
        <w:t>Etiology</w:t>
      </w:r>
      <w:r w:rsidRPr="00536BC8">
        <w:rPr>
          <w:rFonts w:ascii="Arial" w:hAnsi="Arial" w:cs="Arial"/>
          <w:b w:val="0"/>
          <w:caps w:val="0"/>
          <w:sz w:val="20"/>
        </w:rPr>
        <w:t xml:space="preserve"> can be divided into primary and secondary causes. Primary causes are often poorly defined, involving genetic factors, chronological age-related </w:t>
      </w:r>
      <w:r w:rsidRPr="00536BC8">
        <w:rPr>
          <w:rFonts w:ascii="Arial" w:hAnsi="Arial" w:cs="Arial"/>
          <w:b w:val="0"/>
          <w:caps w:val="0"/>
          <w:sz w:val="20"/>
        </w:rPr>
        <w:lastRenderedPageBreak/>
        <w:t>changes, ethnicity, and biomechanical factors. Secondary causes include post-traumatic, dysplastic, infectious, inflammatory, or poorly understood biochemical etiologies (Kohn et al., 2016) or a combination of these (Felson, 2013). Knee osteoarthritis leads approximately 10% of individuals around the age of 60 to physical disability, directly impacting their functionality and quality of life (</w:t>
      </w:r>
      <w:proofErr w:type="spellStart"/>
      <w:r w:rsidRPr="00536BC8">
        <w:rPr>
          <w:rFonts w:ascii="Arial" w:hAnsi="Arial" w:cs="Arial"/>
          <w:b w:val="0"/>
          <w:caps w:val="0"/>
          <w:sz w:val="20"/>
        </w:rPr>
        <w:t>Wagenmakers</w:t>
      </w:r>
      <w:proofErr w:type="spellEnd"/>
      <w:r w:rsidRPr="00536BC8">
        <w:rPr>
          <w:rFonts w:ascii="Arial" w:hAnsi="Arial" w:cs="Arial"/>
          <w:b w:val="0"/>
          <w:caps w:val="0"/>
          <w:sz w:val="20"/>
        </w:rPr>
        <w:t xml:space="preserve"> et al.</w:t>
      </w:r>
      <w:r w:rsidR="00F117CF">
        <w:rPr>
          <w:rFonts w:ascii="Arial" w:hAnsi="Arial" w:cs="Arial"/>
          <w:b w:val="0"/>
          <w:caps w:val="0"/>
          <w:sz w:val="20"/>
        </w:rPr>
        <w:t xml:space="preserve"> </w:t>
      </w:r>
      <w:r w:rsidRPr="00536BC8">
        <w:rPr>
          <w:rFonts w:ascii="Arial" w:hAnsi="Arial" w:cs="Arial"/>
          <w:b w:val="0"/>
          <w:caps w:val="0"/>
          <w:sz w:val="20"/>
        </w:rPr>
        <w:t>2008).</w:t>
      </w:r>
    </w:p>
    <w:p w14:paraId="779E23AA" w14:textId="41D999CF" w:rsidR="00536BC8" w:rsidRPr="00536BC8" w:rsidRDefault="00536BC8" w:rsidP="00536BC8">
      <w:pPr>
        <w:pStyle w:val="AbstHead"/>
        <w:jc w:val="both"/>
        <w:rPr>
          <w:rFonts w:ascii="Arial" w:hAnsi="Arial" w:cs="Arial"/>
          <w:b w:val="0"/>
          <w:caps w:val="0"/>
          <w:sz w:val="20"/>
        </w:rPr>
      </w:pPr>
      <w:r w:rsidRPr="00536BC8">
        <w:rPr>
          <w:rFonts w:ascii="Arial" w:hAnsi="Arial" w:cs="Arial"/>
          <w:b w:val="0"/>
          <w:caps w:val="0"/>
          <w:sz w:val="20"/>
        </w:rPr>
        <w:t>This condition causes pain, functional limitations, and a consequent decrease in quality of life, being a significant cause of functional limitation worldwide (Silverwood et al.</w:t>
      </w:r>
      <w:r w:rsidR="001916DD">
        <w:rPr>
          <w:rFonts w:ascii="Arial" w:hAnsi="Arial" w:cs="Arial"/>
          <w:b w:val="0"/>
          <w:caps w:val="0"/>
          <w:sz w:val="20"/>
        </w:rPr>
        <w:t xml:space="preserve"> </w:t>
      </w:r>
      <w:r w:rsidRPr="00536BC8">
        <w:rPr>
          <w:rFonts w:ascii="Arial" w:hAnsi="Arial" w:cs="Arial"/>
          <w:b w:val="0"/>
          <w:caps w:val="0"/>
          <w:sz w:val="20"/>
        </w:rPr>
        <w:t>2015). Moreover, patients with knee osteoarthritis (OA) represent one of the leading causes of disability, significantly impacting mobility and daily quality of life, highlighting the importance of conducting studies on this pathology, especially considering its significant impact on daily mobility and quality of life (T. Vos et al</w:t>
      </w:r>
      <w:r w:rsidR="001916DD">
        <w:rPr>
          <w:rFonts w:ascii="Arial" w:hAnsi="Arial" w:cs="Arial"/>
          <w:b w:val="0"/>
          <w:caps w:val="0"/>
          <w:sz w:val="20"/>
        </w:rPr>
        <w:t xml:space="preserve">. </w:t>
      </w:r>
      <w:r w:rsidRPr="00536BC8">
        <w:rPr>
          <w:rFonts w:ascii="Arial" w:hAnsi="Arial" w:cs="Arial"/>
          <w:b w:val="0"/>
          <w:caps w:val="0"/>
          <w:sz w:val="20"/>
        </w:rPr>
        <w:t>2012). Treatment involves conservative therapies, including rehabilitation, physical therapy, medication, and surgical therapies such as osteotomy, arthroscopy, and knee arthroplasty (Wang and Ma</w:t>
      </w:r>
      <w:r w:rsidR="00847EC4">
        <w:rPr>
          <w:rFonts w:ascii="Arial" w:hAnsi="Arial" w:cs="Arial"/>
          <w:b w:val="0"/>
          <w:caps w:val="0"/>
          <w:sz w:val="20"/>
        </w:rPr>
        <w:t xml:space="preserve">. </w:t>
      </w:r>
      <w:r w:rsidRPr="00536BC8">
        <w:rPr>
          <w:rFonts w:ascii="Arial" w:hAnsi="Arial" w:cs="Arial"/>
          <w:b w:val="0"/>
          <w:caps w:val="0"/>
          <w:sz w:val="20"/>
        </w:rPr>
        <w:t>2022). Knee arthroplasty is considered a safe, cost-effective, and efficient surgical treatment method for knee osteoarthritis (Wang and Ma</w:t>
      </w:r>
      <w:r w:rsidR="001916DD">
        <w:rPr>
          <w:rFonts w:ascii="Arial" w:hAnsi="Arial" w:cs="Arial"/>
          <w:b w:val="0"/>
          <w:caps w:val="0"/>
          <w:sz w:val="20"/>
        </w:rPr>
        <w:t xml:space="preserve">. </w:t>
      </w:r>
      <w:r w:rsidRPr="00536BC8">
        <w:rPr>
          <w:rFonts w:ascii="Arial" w:hAnsi="Arial" w:cs="Arial"/>
          <w:b w:val="0"/>
          <w:caps w:val="0"/>
          <w:sz w:val="20"/>
        </w:rPr>
        <w:t>2022). Regarding projections for the number of arthroplasty procedures performed, in the United States, more than 500,000 total knee arthroplasties (TKAs) are performed annually to relieve pain associated with OA, with future projections indicating that by 2030, over 3.48 million TKAs will be performed annually (Kurtz S</w:t>
      </w:r>
      <w:r w:rsidR="00847EC4">
        <w:rPr>
          <w:rFonts w:ascii="Arial" w:hAnsi="Arial" w:cs="Arial"/>
          <w:b w:val="0"/>
          <w:caps w:val="0"/>
          <w:sz w:val="20"/>
        </w:rPr>
        <w:t>.</w:t>
      </w:r>
      <w:r w:rsidRPr="00536BC8">
        <w:rPr>
          <w:rFonts w:ascii="Arial" w:hAnsi="Arial" w:cs="Arial"/>
          <w:b w:val="0"/>
          <w:caps w:val="0"/>
          <w:sz w:val="20"/>
        </w:rPr>
        <w:t xml:space="preserve"> 2007).</w:t>
      </w:r>
    </w:p>
    <w:p w14:paraId="7641BDC3" w14:textId="0A0C34BA" w:rsidR="00536BC8" w:rsidRPr="00536BC8" w:rsidRDefault="00536BC8" w:rsidP="00536BC8">
      <w:pPr>
        <w:pStyle w:val="AbstHead"/>
        <w:jc w:val="both"/>
        <w:rPr>
          <w:rFonts w:ascii="Arial" w:hAnsi="Arial" w:cs="Arial"/>
          <w:b w:val="0"/>
          <w:caps w:val="0"/>
          <w:sz w:val="20"/>
        </w:rPr>
      </w:pPr>
      <w:r w:rsidRPr="00536BC8">
        <w:rPr>
          <w:rFonts w:ascii="Arial" w:hAnsi="Arial" w:cs="Arial"/>
          <w:b w:val="0"/>
          <w:caps w:val="0"/>
          <w:sz w:val="20"/>
        </w:rPr>
        <w:t>When opting for surgical treatment with knee arthroplasty, the surgeon must determine during the preoperative evaluation the type of knee prosthesis appropriate for the patient's case, considering factors such as the need for greater or lesser prosthesis constraint, tibial plateau mobility, preservation or sacrifice of the posterior cruciate ligament, and fixation with or without cement (Lan S.</w:t>
      </w:r>
      <w:r w:rsidR="001916DD">
        <w:rPr>
          <w:rFonts w:ascii="Arial" w:hAnsi="Arial" w:cs="Arial"/>
          <w:b w:val="0"/>
          <w:caps w:val="0"/>
          <w:sz w:val="20"/>
        </w:rPr>
        <w:t xml:space="preserve"> </w:t>
      </w:r>
      <w:r w:rsidRPr="00536BC8">
        <w:rPr>
          <w:rFonts w:ascii="Arial" w:hAnsi="Arial" w:cs="Arial"/>
          <w:b w:val="0"/>
          <w:caps w:val="0"/>
          <w:sz w:val="20"/>
        </w:rPr>
        <w:t>2024) to ensure joint congruence and greater resistance to stress and weight (</w:t>
      </w:r>
      <w:proofErr w:type="spellStart"/>
      <w:r w:rsidRPr="00536BC8">
        <w:rPr>
          <w:rFonts w:ascii="Arial" w:hAnsi="Arial" w:cs="Arial"/>
          <w:b w:val="0"/>
          <w:caps w:val="0"/>
          <w:sz w:val="20"/>
        </w:rPr>
        <w:t>Causero</w:t>
      </w:r>
      <w:proofErr w:type="spellEnd"/>
      <w:r w:rsidRPr="00536BC8">
        <w:rPr>
          <w:rFonts w:ascii="Arial" w:hAnsi="Arial" w:cs="Arial"/>
          <w:b w:val="0"/>
          <w:caps w:val="0"/>
          <w:sz w:val="20"/>
        </w:rPr>
        <w:t xml:space="preserve"> et al.</w:t>
      </w:r>
      <w:r w:rsidR="001916DD">
        <w:rPr>
          <w:rFonts w:ascii="Arial" w:hAnsi="Arial" w:cs="Arial"/>
          <w:b w:val="0"/>
          <w:caps w:val="0"/>
          <w:sz w:val="20"/>
        </w:rPr>
        <w:t xml:space="preserve"> </w:t>
      </w:r>
      <w:r w:rsidRPr="00536BC8">
        <w:rPr>
          <w:rFonts w:ascii="Arial" w:hAnsi="Arial" w:cs="Arial"/>
          <w:b w:val="0"/>
          <w:caps w:val="0"/>
          <w:sz w:val="20"/>
        </w:rPr>
        <w:t>2014). However, objective gait assessments are not part of routine clinical evaluations, and gait difficulties in osteoarthritis are not sufficiently captured by numerical outcome measures, complicating the objective medical analysis of the patient's condition (</w:t>
      </w:r>
      <w:proofErr w:type="spellStart"/>
      <w:r w:rsidRPr="00536BC8">
        <w:rPr>
          <w:rFonts w:ascii="Arial" w:hAnsi="Arial" w:cs="Arial"/>
          <w:b w:val="0"/>
          <w:caps w:val="0"/>
          <w:sz w:val="20"/>
        </w:rPr>
        <w:t>Terwee</w:t>
      </w:r>
      <w:proofErr w:type="spellEnd"/>
      <w:r w:rsidRPr="00536BC8">
        <w:rPr>
          <w:rFonts w:ascii="Arial" w:hAnsi="Arial" w:cs="Arial"/>
          <w:b w:val="0"/>
          <w:caps w:val="0"/>
          <w:sz w:val="20"/>
        </w:rPr>
        <w:t xml:space="preserve"> CB et al.</w:t>
      </w:r>
      <w:r w:rsidR="001916DD">
        <w:rPr>
          <w:rFonts w:ascii="Arial" w:hAnsi="Arial" w:cs="Arial"/>
          <w:b w:val="0"/>
          <w:caps w:val="0"/>
          <w:sz w:val="20"/>
        </w:rPr>
        <w:t xml:space="preserve"> </w:t>
      </w:r>
      <w:r w:rsidRPr="00536BC8">
        <w:rPr>
          <w:rFonts w:ascii="Arial" w:hAnsi="Arial" w:cs="Arial"/>
          <w:b w:val="0"/>
          <w:caps w:val="0"/>
          <w:sz w:val="20"/>
        </w:rPr>
        <w:t>2006).</w:t>
      </w:r>
    </w:p>
    <w:p w14:paraId="23FBA692" w14:textId="0270F608" w:rsidR="00536BC8" w:rsidRPr="00536BC8" w:rsidRDefault="00536BC8" w:rsidP="00536BC8">
      <w:pPr>
        <w:pStyle w:val="AbstHead"/>
        <w:jc w:val="both"/>
        <w:rPr>
          <w:rFonts w:ascii="Arial" w:hAnsi="Arial" w:cs="Arial"/>
          <w:b w:val="0"/>
          <w:caps w:val="0"/>
          <w:sz w:val="20"/>
        </w:rPr>
      </w:pPr>
      <w:r w:rsidRPr="00536BC8">
        <w:rPr>
          <w:rFonts w:ascii="Arial" w:hAnsi="Arial" w:cs="Arial"/>
          <w:b w:val="0"/>
          <w:caps w:val="0"/>
          <w:sz w:val="20"/>
        </w:rPr>
        <w:t>The postoperative period of knee arthroplasty also influences performance improvement, whether in terms of patient perception or outcome evaluation tests, using quality-of-life indices, gait speed, and knee range of motion, particularly from one year postoperatively (Bonnefoy-Mazur et al., 2017). Some authors indicate that knee arthroplasty restores lower limb function, with significant improvements in gait and balance after three months postoperatively, without additional improvement or balance changes beyond this period, considering only the Timed Up and Go and single-leg support tests (</w:t>
      </w:r>
      <w:proofErr w:type="spellStart"/>
      <w:r w:rsidRPr="00536BC8">
        <w:rPr>
          <w:rFonts w:ascii="Arial" w:hAnsi="Arial" w:cs="Arial"/>
          <w:b w:val="0"/>
          <w:caps w:val="0"/>
          <w:sz w:val="20"/>
        </w:rPr>
        <w:t>Tsubosaka</w:t>
      </w:r>
      <w:proofErr w:type="spellEnd"/>
      <w:r w:rsidRPr="00536BC8">
        <w:rPr>
          <w:rFonts w:ascii="Arial" w:hAnsi="Arial" w:cs="Arial"/>
          <w:b w:val="0"/>
          <w:caps w:val="0"/>
          <w:sz w:val="20"/>
        </w:rPr>
        <w:t xml:space="preserve"> et al., 2020).</w:t>
      </w:r>
    </w:p>
    <w:p w14:paraId="7CD4533C" w14:textId="4E1FD395" w:rsidR="00536BC8" w:rsidRPr="00536BC8" w:rsidRDefault="00536BC8" w:rsidP="00536BC8">
      <w:pPr>
        <w:pStyle w:val="AbstHead"/>
        <w:jc w:val="both"/>
        <w:rPr>
          <w:rFonts w:ascii="Arial" w:hAnsi="Arial" w:cs="Arial"/>
          <w:b w:val="0"/>
          <w:caps w:val="0"/>
          <w:sz w:val="20"/>
        </w:rPr>
      </w:pPr>
      <w:r w:rsidRPr="00536BC8">
        <w:rPr>
          <w:rFonts w:ascii="Arial" w:hAnsi="Arial" w:cs="Arial"/>
          <w:b w:val="0"/>
          <w:caps w:val="0"/>
          <w:sz w:val="20"/>
        </w:rPr>
        <w:t>We hypothesize that patients undergoing knee arthroplasty will show changes in functional mobility, especially in the knee joint with the prosthesis, and that these changes will become progressively evident over time. Characterizing functional mobility in this population using inertial sensors has practical implications as a basis for proposing surgical approaches tailored to prostheses that have less impact on improving functional mobility. This approach is scarcely available in the current scientific literature, despite the prevalence of articles using self-reported assessment tests to establish postoperative outcomes of knee arthroplasty, which have limitations as they are based on patient perception (Schenkman M, 2002). An alternative approach involves measuring outcomes based on performance, such as the 6-minute walk test (6MW) and Timed-Up-and-Go (TUG) (Stratford PW, 2006).</w:t>
      </w:r>
    </w:p>
    <w:p w14:paraId="6CF9F4C3" w14:textId="77777777" w:rsidR="00536BC8" w:rsidRDefault="00536BC8" w:rsidP="00536BC8">
      <w:pPr>
        <w:pStyle w:val="AbstHead"/>
        <w:spacing w:after="0"/>
        <w:jc w:val="both"/>
        <w:rPr>
          <w:rFonts w:ascii="Arial" w:hAnsi="Arial" w:cs="Arial"/>
          <w:b w:val="0"/>
          <w:caps w:val="0"/>
          <w:sz w:val="20"/>
        </w:rPr>
      </w:pPr>
      <w:r w:rsidRPr="00536BC8">
        <w:rPr>
          <w:rFonts w:ascii="Arial" w:hAnsi="Arial" w:cs="Arial"/>
          <w:b w:val="0"/>
          <w:caps w:val="0"/>
          <w:sz w:val="20"/>
        </w:rPr>
        <w:t xml:space="preserve">This study aims to evaluate and compare the functional mobility of patients undergoing unilateral knee arthroplasty with two types of prostheses using the Timed Up and Go (TUG) test. Through statistical analysis, it will also characterize the functional mobility patterns of patients undergoing posterior-stabilized knee arthroplasty with a fixed tibial plateau base and </w:t>
      </w:r>
      <w:r w:rsidRPr="00536BC8">
        <w:rPr>
          <w:rFonts w:ascii="Arial" w:hAnsi="Arial" w:cs="Arial"/>
          <w:b w:val="0"/>
          <w:caps w:val="0"/>
          <w:sz w:val="20"/>
        </w:rPr>
        <w:lastRenderedPageBreak/>
        <w:t>posterior-congruent knee arthroplasty with a rotating tibial plateau. Finally, it offers the possibility to compare the functional mobility patterns of patients who underwent the two types of prostheses, which is particularly important given the limited number of publications evaluating and comparing functional mobility using a follow-up approach in patients undergoing unilateral knee arthroplasty with different prosthesis types.</w:t>
      </w:r>
    </w:p>
    <w:p w14:paraId="40F61DFE" w14:textId="77777777" w:rsidR="00536BC8" w:rsidRDefault="00536BC8" w:rsidP="00536BC8">
      <w:pPr>
        <w:pStyle w:val="AbstHead"/>
        <w:spacing w:after="0"/>
        <w:jc w:val="both"/>
        <w:rPr>
          <w:rFonts w:ascii="Arial" w:hAnsi="Arial" w:cs="Arial"/>
          <w:b w:val="0"/>
          <w:caps w:val="0"/>
          <w:sz w:val="20"/>
        </w:rPr>
      </w:pPr>
    </w:p>
    <w:p w14:paraId="66154B7C" w14:textId="2D6584E3" w:rsidR="007F7B32" w:rsidRDefault="00902823" w:rsidP="00536BC8">
      <w:pPr>
        <w:pStyle w:val="AbstHead"/>
        <w:spacing w:after="0"/>
        <w:jc w:val="both"/>
        <w:rPr>
          <w:rFonts w:ascii="Arial" w:hAnsi="Arial" w:cs="Arial"/>
        </w:rPr>
      </w:pPr>
      <w:r>
        <w:rPr>
          <w:rFonts w:ascii="Arial" w:hAnsi="Arial" w:cs="Arial"/>
        </w:rPr>
        <w:t xml:space="preserve">2. </w:t>
      </w:r>
      <w:r w:rsidR="006B57D0">
        <w:rPr>
          <w:rFonts w:ascii="Arial" w:hAnsi="Arial" w:cs="Arial"/>
        </w:rPr>
        <w:t>methodology</w:t>
      </w:r>
    </w:p>
    <w:p w14:paraId="59FDD034" w14:textId="77777777" w:rsidR="00790ADA" w:rsidRPr="00FB3A86" w:rsidRDefault="00790ADA" w:rsidP="00441B6F">
      <w:pPr>
        <w:pStyle w:val="AbstHead"/>
        <w:spacing w:after="0"/>
        <w:jc w:val="both"/>
        <w:rPr>
          <w:rFonts w:ascii="Arial" w:hAnsi="Arial" w:cs="Arial"/>
        </w:rPr>
      </w:pPr>
    </w:p>
    <w:p w14:paraId="4392E3F7" w14:textId="127D5983" w:rsidR="00D95205" w:rsidRDefault="004A74FA" w:rsidP="00D95205">
      <w:pPr>
        <w:pStyle w:val="Body"/>
        <w:spacing w:after="0"/>
        <w:rPr>
          <w:rFonts w:ascii="Arial" w:hAnsi="Arial" w:cs="Arial"/>
          <w:lang w:val="pt-BR"/>
        </w:rPr>
      </w:pPr>
      <w:r w:rsidRPr="004A74FA">
        <w:rPr>
          <w:rFonts w:ascii="Arial" w:hAnsi="Arial" w:cs="Arial"/>
          <w:lang w:val="pt-BR"/>
        </w:rPr>
        <w:t>The patients were selected from a tertiary hospital in the state of Goiás, Brazil.</w:t>
      </w:r>
      <w:r>
        <w:rPr>
          <w:rFonts w:ascii="Arial" w:hAnsi="Arial" w:cs="Arial"/>
          <w:lang w:val="pt-BR"/>
        </w:rPr>
        <w:t xml:space="preserve"> </w:t>
      </w:r>
      <w:r w:rsidR="00D95205" w:rsidRPr="00D95205">
        <w:rPr>
          <w:rFonts w:ascii="Arial" w:hAnsi="Arial" w:cs="Arial"/>
          <w:lang w:val="pt-BR"/>
        </w:rPr>
        <w:t>The sample for this preliminary study consisted of 36 patients who had previously undergone total knee arthroplasty. The sample size was determined based on the results of a repeated measures analysis of variance by Tsubosaka et al. (2020), with a minimal difference between treatment means of 0.2, a standard deviation of 0.3, a test power of 80%, and an alpha of 0.05. The total sample size estimated for definitive results was established at 54 patients.</w:t>
      </w:r>
    </w:p>
    <w:p w14:paraId="7ADEA46E" w14:textId="77777777" w:rsidR="001A753B" w:rsidRPr="00D95205" w:rsidRDefault="001A753B" w:rsidP="00D95205">
      <w:pPr>
        <w:pStyle w:val="Body"/>
        <w:spacing w:after="0"/>
        <w:rPr>
          <w:rFonts w:ascii="Arial" w:hAnsi="Arial" w:cs="Arial"/>
          <w:lang w:val="pt-BR"/>
        </w:rPr>
      </w:pPr>
    </w:p>
    <w:p w14:paraId="75405CA9" w14:textId="0D68412C" w:rsidR="00D95205" w:rsidRDefault="00D95205" w:rsidP="00D95205">
      <w:pPr>
        <w:pStyle w:val="Body"/>
        <w:spacing w:after="0"/>
        <w:rPr>
          <w:rFonts w:ascii="Arial" w:hAnsi="Arial" w:cs="Arial"/>
          <w:lang w:val="pt-BR"/>
        </w:rPr>
      </w:pPr>
      <w:r w:rsidRPr="00D95205">
        <w:rPr>
          <w:rFonts w:ascii="Arial" w:hAnsi="Arial" w:cs="Arial"/>
          <w:lang w:val="pt-BR"/>
        </w:rPr>
        <w:t>The patient assessment was conducted after approval by the Ethics and Research Committee and consisted of a screening and evaluation protocol in which patients were assessed using the Timed Up and Go (TUG) test. Participants were informed about potential discomfort or risks. Initially, this research presented minimal risks to participants; however, being a multidisciplinary study involving Orthopedics and Physical Therapy, subjects could experience some discomforts, such as muscle fatigue, falls, or cramps during the evaluation.</w:t>
      </w:r>
    </w:p>
    <w:p w14:paraId="21DC94C0" w14:textId="77777777" w:rsidR="001A753B" w:rsidRPr="00D95205" w:rsidRDefault="001A753B" w:rsidP="00D95205">
      <w:pPr>
        <w:pStyle w:val="Body"/>
        <w:spacing w:after="0"/>
        <w:rPr>
          <w:rFonts w:ascii="Arial" w:hAnsi="Arial" w:cs="Arial"/>
          <w:lang w:val="pt-BR"/>
        </w:rPr>
      </w:pPr>
    </w:p>
    <w:p w14:paraId="70E4D39B" w14:textId="3ADE7195" w:rsidR="007B4E31" w:rsidRDefault="00D95205" w:rsidP="00D95205">
      <w:pPr>
        <w:pStyle w:val="Body"/>
        <w:spacing w:after="0"/>
        <w:rPr>
          <w:rFonts w:ascii="Arial" w:hAnsi="Arial" w:cs="Arial"/>
          <w:lang w:val="pt-BR"/>
        </w:rPr>
      </w:pPr>
      <w:r w:rsidRPr="00D95205">
        <w:rPr>
          <w:rFonts w:ascii="Arial" w:hAnsi="Arial" w:cs="Arial"/>
          <w:lang w:val="pt-BR"/>
        </w:rPr>
        <w:t>In the event of discomforts during participation in the research, subjects would be referred to the outpatient clinic</w:t>
      </w:r>
      <w:r w:rsidR="00502F67">
        <w:rPr>
          <w:rFonts w:ascii="Arial" w:hAnsi="Arial" w:cs="Arial"/>
          <w:lang w:val="pt-BR"/>
        </w:rPr>
        <w:t xml:space="preserve">, </w:t>
      </w:r>
      <w:r w:rsidRPr="00D95205">
        <w:rPr>
          <w:rFonts w:ascii="Arial" w:hAnsi="Arial" w:cs="Arial"/>
          <w:lang w:val="pt-BR"/>
        </w:rPr>
        <w:t>where they would be attended to in accordance with the institution's procedures and regulations, as agreed upon with the institution's director. Since the evaluation procedures in the fields of orthopedics and physical therapy were non-invasive, protective measures to minimize risks included providing patients with time to familiarize themselves with the laboratory and professionals</w:t>
      </w:r>
      <w:r w:rsidR="007B4E31">
        <w:rPr>
          <w:rFonts w:ascii="Arial" w:hAnsi="Arial" w:cs="Arial"/>
          <w:lang w:val="pt-BR"/>
        </w:rPr>
        <w:t>.</w:t>
      </w:r>
    </w:p>
    <w:p w14:paraId="412FA8BE" w14:textId="1D9E7F08" w:rsidR="00D95205" w:rsidRPr="00D95205" w:rsidRDefault="00D95205" w:rsidP="00D95205">
      <w:pPr>
        <w:pStyle w:val="Body"/>
        <w:spacing w:after="0"/>
        <w:rPr>
          <w:rFonts w:ascii="Arial" w:hAnsi="Arial" w:cs="Arial"/>
          <w:lang w:val="pt-BR"/>
        </w:rPr>
      </w:pPr>
    </w:p>
    <w:p w14:paraId="5C6969D9" w14:textId="77777777" w:rsidR="00D95205" w:rsidRPr="00D95205" w:rsidRDefault="00D95205" w:rsidP="00D95205">
      <w:pPr>
        <w:pStyle w:val="Body"/>
        <w:spacing w:after="0"/>
        <w:rPr>
          <w:rFonts w:ascii="Arial" w:hAnsi="Arial" w:cs="Arial"/>
          <w:lang w:val="pt-BR"/>
        </w:rPr>
      </w:pPr>
      <w:r w:rsidRPr="00D95205">
        <w:rPr>
          <w:rFonts w:ascii="Arial" w:hAnsi="Arial" w:cs="Arial"/>
          <w:lang w:val="pt-BR"/>
        </w:rPr>
        <w:t>If patients reported muscle fatigue or cramps at any time, the evaluations would be interrupted. To minimize the risk of falls, the tests were conducted in appropriate locations with experienced professionals positioned beside the patients to ensure immediate medical assistance if needed. The evaluations were conducted by professionals in the fields of orthopedics and physical therapy, and during motor assessments, participants were accompanied by at least one volunteer and the professional, who remained positioned beside them throughout the evaluation.</w:t>
      </w:r>
    </w:p>
    <w:p w14:paraId="3DBDD720" w14:textId="77777777" w:rsidR="00D95205" w:rsidRDefault="00D95205" w:rsidP="00441B6F">
      <w:pPr>
        <w:pStyle w:val="Body"/>
        <w:spacing w:after="0"/>
        <w:rPr>
          <w:rFonts w:ascii="Arial" w:hAnsi="Arial" w:cs="Arial"/>
        </w:rPr>
      </w:pPr>
    </w:p>
    <w:p w14:paraId="51D1183C" w14:textId="4D9B0B25" w:rsidR="00AA74E0" w:rsidRDefault="00AA74E0" w:rsidP="00441B6F">
      <w:pPr>
        <w:pStyle w:val="Body"/>
        <w:spacing w:after="0"/>
        <w:rPr>
          <w:rFonts w:ascii="Arial" w:hAnsi="Arial" w:cs="Arial"/>
          <w:b/>
          <w:sz w:val="22"/>
        </w:rPr>
      </w:pPr>
      <w:r w:rsidRPr="00C30A0F">
        <w:rPr>
          <w:rFonts w:ascii="Arial" w:hAnsi="Arial" w:cs="Arial"/>
          <w:b/>
          <w:caps/>
          <w:sz w:val="22"/>
        </w:rPr>
        <w:t xml:space="preserve">2.1 </w:t>
      </w:r>
      <w:r w:rsidR="003414F3" w:rsidRPr="003414F3">
        <w:rPr>
          <w:rFonts w:ascii="Arial" w:hAnsi="Arial" w:cs="Arial"/>
          <w:b/>
          <w:sz w:val="22"/>
        </w:rPr>
        <w:t xml:space="preserve">Eligibility criteria </w:t>
      </w:r>
    </w:p>
    <w:p w14:paraId="6226A3D2" w14:textId="77777777" w:rsidR="00914368" w:rsidRDefault="00914368" w:rsidP="00441B6F">
      <w:pPr>
        <w:pStyle w:val="Body"/>
        <w:spacing w:after="0"/>
        <w:rPr>
          <w:rFonts w:ascii="Arial" w:hAnsi="Arial" w:cs="Arial"/>
          <w:b/>
          <w:sz w:val="22"/>
        </w:rPr>
      </w:pPr>
    </w:p>
    <w:p w14:paraId="3A812A76" w14:textId="77777777" w:rsidR="00914368" w:rsidRPr="00914368" w:rsidRDefault="00914368" w:rsidP="00914368">
      <w:pPr>
        <w:pStyle w:val="Body"/>
        <w:spacing w:after="0"/>
        <w:rPr>
          <w:rFonts w:ascii="Arial" w:hAnsi="Arial" w:cs="Arial"/>
          <w:lang w:val="pt-BR"/>
        </w:rPr>
      </w:pPr>
      <w:r w:rsidRPr="00914368">
        <w:rPr>
          <w:rFonts w:ascii="Arial" w:hAnsi="Arial" w:cs="Arial"/>
          <w:lang w:val="pt-BR"/>
        </w:rPr>
        <w:t>For the inclusion criteria, individuals must be classified with advanced knee osteoarthritis with a Kellgren and Lawrence classification of ≥4, be aged between 50 and 80 years, and have undergone their first surgery for osteoarthritis. Regarding the exclusion criteria, individuals must not present neurodegenerative diseases, secondary osteoarthritis, previous knee surgery, a history of knee fracture within the last 12 months, hip arthroplasty, a history of pre- or post-operative infection, comorbidities that impair proper recovery and post-operative rehabilitation, or a history of knee revision arthroplasty.</w:t>
      </w:r>
    </w:p>
    <w:p w14:paraId="27224F6E" w14:textId="77777777" w:rsidR="00914368" w:rsidRDefault="00914368" w:rsidP="00441B6F">
      <w:pPr>
        <w:pStyle w:val="Body"/>
        <w:spacing w:after="0"/>
        <w:rPr>
          <w:rFonts w:ascii="Arial" w:hAnsi="Arial" w:cs="Arial"/>
        </w:rPr>
      </w:pPr>
    </w:p>
    <w:p w14:paraId="5D9B8BBD" w14:textId="77777777" w:rsidR="00505F06" w:rsidRDefault="00505F06" w:rsidP="00441B6F">
      <w:pPr>
        <w:pStyle w:val="Body"/>
        <w:spacing w:after="0"/>
        <w:rPr>
          <w:rFonts w:ascii="Arial" w:hAnsi="Arial" w:cs="Arial"/>
        </w:rPr>
      </w:pPr>
    </w:p>
    <w:p w14:paraId="2493F0F4" w14:textId="4B060C3D" w:rsidR="003414F3" w:rsidRDefault="00BC2628" w:rsidP="00BC2628">
      <w:pPr>
        <w:pStyle w:val="Body"/>
        <w:spacing w:after="0"/>
        <w:rPr>
          <w:rFonts w:ascii="Arial" w:hAnsi="Arial" w:cs="Arial"/>
          <w:b/>
          <w:sz w:val="22"/>
        </w:rPr>
      </w:pPr>
      <w:r w:rsidRPr="00C30A0F">
        <w:rPr>
          <w:rFonts w:ascii="Arial" w:hAnsi="Arial" w:cs="Arial"/>
          <w:b/>
          <w:caps/>
          <w:sz w:val="22"/>
        </w:rPr>
        <w:t>2.</w:t>
      </w:r>
      <w:r w:rsidR="003414F3">
        <w:rPr>
          <w:rFonts w:ascii="Arial" w:hAnsi="Arial" w:cs="Arial"/>
          <w:b/>
          <w:caps/>
          <w:sz w:val="22"/>
        </w:rPr>
        <w:t xml:space="preserve">2 </w:t>
      </w:r>
      <w:r w:rsidR="003414F3" w:rsidRPr="003414F3">
        <w:rPr>
          <w:rFonts w:ascii="Arial" w:hAnsi="Arial" w:cs="Arial"/>
          <w:b/>
          <w:sz w:val="22"/>
        </w:rPr>
        <w:t xml:space="preserve">Patient assessment </w:t>
      </w:r>
    </w:p>
    <w:p w14:paraId="53EE5401" w14:textId="77777777" w:rsidR="00EF54B4" w:rsidRPr="00EF54B4" w:rsidRDefault="00EF54B4" w:rsidP="00BC2628">
      <w:pPr>
        <w:pStyle w:val="Body"/>
        <w:spacing w:after="0"/>
        <w:rPr>
          <w:rFonts w:ascii="Arial" w:hAnsi="Arial" w:cs="Arial"/>
          <w:bCs/>
          <w:sz w:val="22"/>
        </w:rPr>
      </w:pPr>
    </w:p>
    <w:p w14:paraId="281F5AFA" w14:textId="77777777" w:rsidR="00EF54B4" w:rsidRPr="003D78F5" w:rsidRDefault="00EF54B4" w:rsidP="00EF54B4">
      <w:pPr>
        <w:pStyle w:val="Body"/>
        <w:spacing w:after="0"/>
        <w:rPr>
          <w:rFonts w:ascii="Arial" w:hAnsi="Arial" w:cs="Arial"/>
          <w:bCs/>
          <w:lang w:val="pt-BR"/>
        </w:rPr>
      </w:pPr>
      <w:r w:rsidRPr="00EF54B4">
        <w:rPr>
          <w:rFonts w:ascii="Arial" w:hAnsi="Arial" w:cs="Arial"/>
          <w:bCs/>
          <w:lang w:val="pt-BR"/>
        </w:rPr>
        <w:t xml:space="preserve">The evaluation process was conducted with a maximum duration of 30 minutes per day. Subjects were assessed during the TUG test using an inertial sensor (G-Walk). Throughout the entire test procedure, this sensor captured and stored all 15 variables related to </w:t>
      </w:r>
      <w:r w:rsidRPr="00EF54B4">
        <w:rPr>
          <w:rFonts w:ascii="Arial" w:hAnsi="Arial" w:cs="Arial"/>
          <w:bCs/>
          <w:lang w:val="pt-BR"/>
        </w:rPr>
        <w:lastRenderedPageBreak/>
        <w:t>functional mobility parameters. The average of three TUG measurements was taken. The assessment was performed at two time points: an initial post-surgical evaluation (on average 12 months after surgery) and a second evaluation two years after the surgical intervention. Initially, an identification form was completed, and anthropometric data were measured (body mass, height, and body mass index).</w:t>
      </w:r>
    </w:p>
    <w:p w14:paraId="129A509B" w14:textId="77777777" w:rsidR="00EF54B4" w:rsidRPr="00EF54B4" w:rsidRDefault="00EF54B4" w:rsidP="00EF54B4">
      <w:pPr>
        <w:pStyle w:val="Body"/>
        <w:spacing w:after="0"/>
        <w:rPr>
          <w:rFonts w:ascii="Arial" w:hAnsi="Arial" w:cs="Arial"/>
          <w:bCs/>
          <w:lang w:val="pt-BR"/>
        </w:rPr>
      </w:pPr>
    </w:p>
    <w:p w14:paraId="3C4F4598" w14:textId="77777777" w:rsidR="0015714E" w:rsidRPr="003D78F5" w:rsidRDefault="00EF54B4" w:rsidP="00EF54B4">
      <w:pPr>
        <w:pStyle w:val="Body"/>
        <w:spacing w:after="0"/>
        <w:rPr>
          <w:rFonts w:ascii="Arial" w:hAnsi="Arial" w:cs="Arial"/>
          <w:bCs/>
          <w:lang w:val="pt-BR"/>
        </w:rPr>
      </w:pPr>
      <w:r w:rsidRPr="00EF54B4">
        <w:rPr>
          <w:rFonts w:ascii="Arial" w:hAnsi="Arial" w:cs="Arial"/>
          <w:bCs/>
          <w:lang w:val="pt-BR"/>
        </w:rPr>
        <w:t>To analyze functional mobility parameters, the Timed Up and Go (TUG) test was used. This test quantifies, in seconds, the time it takes for an individual to perform a task consisting of standing up from a standardized chair without armrests, walking three meters, turning around, walking back toward the chair, and sitting down again (Posiadlo &amp; Richardson, 1991). Subjects were instructed to perform the test at a self-selected pace in a manner that was safe for them to avoid the risk of falling. The test was performed twice, with the first serving as familiarization. Data collection was conducted using a portable G-sensor positioned at the L5 vertebra level. This is a wireless inertial sensor system designed for human motion analysis.</w:t>
      </w:r>
    </w:p>
    <w:p w14:paraId="24D66D7D" w14:textId="77777777" w:rsidR="0015714E" w:rsidRPr="003D78F5" w:rsidRDefault="0015714E" w:rsidP="00EF54B4">
      <w:pPr>
        <w:pStyle w:val="Body"/>
        <w:spacing w:after="0"/>
        <w:rPr>
          <w:rFonts w:ascii="Arial" w:hAnsi="Arial" w:cs="Arial"/>
          <w:bCs/>
          <w:lang w:val="pt-BR"/>
        </w:rPr>
      </w:pPr>
    </w:p>
    <w:p w14:paraId="55F1E849" w14:textId="34AB25D0" w:rsidR="00EF54B4" w:rsidRPr="00EF54B4" w:rsidRDefault="00EF54B4" w:rsidP="00EF54B4">
      <w:pPr>
        <w:pStyle w:val="Body"/>
        <w:spacing w:after="0"/>
        <w:rPr>
          <w:rFonts w:ascii="Arial" w:hAnsi="Arial" w:cs="Arial"/>
          <w:bCs/>
          <w:lang w:val="pt-BR"/>
        </w:rPr>
      </w:pPr>
      <w:r w:rsidRPr="00EF54B4">
        <w:rPr>
          <w:rFonts w:ascii="Arial" w:hAnsi="Arial" w:cs="Arial"/>
          <w:bCs/>
          <w:lang w:val="pt-BR"/>
        </w:rPr>
        <w:t>The sensors are controlled by a data recording unit (up to 16 elements) via ZigBee radio communication. Each sensor has dimensions of 62mm × 36mm × 16mm, a weight of 60g, and is composed of a three-axis accelerometer (maximum scale of ±6g), a three-axis gyroscope (full scale of ±300°/s), and a three-axis magnetometer (full scale of ±6 Gauss). This device is calibrated with gravitational acceleration immediately after manufacturing. For this study, only one device was used, collecting data at a sampling frequency of 50Hz. The inertial sensor data were transmitted via Bluetooth to a computer and processed using proprietary software (BTS G-STUDIO, version 2.6.12.0), which automatically provided the parameters (Galli et al., 2015).</w:t>
      </w:r>
    </w:p>
    <w:p w14:paraId="37D405FB" w14:textId="77777777" w:rsidR="00EF54B4" w:rsidRPr="00EF54B4" w:rsidRDefault="00EF54B4" w:rsidP="00BC2628">
      <w:pPr>
        <w:pStyle w:val="Body"/>
        <w:spacing w:after="0"/>
        <w:rPr>
          <w:rFonts w:ascii="Arial" w:hAnsi="Arial" w:cs="Arial"/>
          <w:b/>
          <w:sz w:val="22"/>
        </w:rPr>
      </w:pPr>
    </w:p>
    <w:p w14:paraId="5707B555" w14:textId="72889AF4" w:rsidR="00BC2628" w:rsidRDefault="00BC2628" w:rsidP="00BC2628">
      <w:pPr>
        <w:pStyle w:val="Body"/>
        <w:spacing w:after="0"/>
        <w:rPr>
          <w:rFonts w:ascii="Arial" w:hAnsi="Arial" w:cs="Arial"/>
        </w:rPr>
      </w:pPr>
      <w:r w:rsidRPr="00C30A0F">
        <w:rPr>
          <w:rFonts w:ascii="Arial" w:hAnsi="Arial" w:cs="Arial"/>
          <w:b/>
          <w:caps/>
          <w:sz w:val="22"/>
        </w:rPr>
        <w:t>2.</w:t>
      </w:r>
      <w:r w:rsidR="003414F3">
        <w:rPr>
          <w:rFonts w:ascii="Arial" w:hAnsi="Arial" w:cs="Arial"/>
          <w:b/>
          <w:caps/>
          <w:sz w:val="22"/>
        </w:rPr>
        <w:t>3</w:t>
      </w:r>
      <w:r w:rsidRPr="00C30A0F">
        <w:rPr>
          <w:rFonts w:ascii="Arial" w:hAnsi="Arial" w:cs="Arial"/>
          <w:b/>
          <w:caps/>
          <w:sz w:val="22"/>
        </w:rPr>
        <w:t xml:space="preserve"> </w:t>
      </w:r>
      <w:r w:rsidR="001A753B" w:rsidRPr="001A753B">
        <w:rPr>
          <w:rFonts w:ascii="Arial" w:hAnsi="Arial" w:cs="Arial"/>
          <w:b/>
          <w:sz w:val="22"/>
        </w:rPr>
        <w:t>Statistical analysis</w:t>
      </w:r>
      <w:r w:rsidRPr="00FB3A86">
        <w:rPr>
          <w:rFonts w:ascii="Arial" w:hAnsi="Arial" w:cs="Arial"/>
        </w:rPr>
        <w:t xml:space="preserve"> </w:t>
      </w:r>
    </w:p>
    <w:p w14:paraId="6A317CA3" w14:textId="77777777" w:rsidR="00BC2628" w:rsidRDefault="00BC2628" w:rsidP="00441B6F">
      <w:pPr>
        <w:pStyle w:val="Body"/>
        <w:spacing w:after="0"/>
        <w:rPr>
          <w:rFonts w:ascii="Arial" w:hAnsi="Arial" w:cs="Arial"/>
        </w:rPr>
      </w:pPr>
    </w:p>
    <w:p w14:paraId="772B7D28" w14:textId="181C4756" w:rsidR="007F76FB" w:rsidRDefault="009A29EF" w:rsidP="00441B6F">
      <w:pPr>
        <w:pStyle w:val="Body"/>
        <w:spacing w:after="0"/>
        <w:rPr>
          <w:rFonts w:ascii="Arial" w:hAnsi="Arial" w:cs="Arial"/>
        </w:rPr>
      </w:pPr>
      <w:r>
        <w:rPr>
          <w:rFonts w:ascii="Arial" w:hAnsi="Arial" w:cs="Arial"/>
        </w:rPr>
        <w:t>D</w:t>
      </w:r>
      <w:r w:rsidRPr="009A29EF">
        <w:rPr>
          <w:rFonts w:ascii="Arial" w:hAnsi="Arial" w:cs="Arial"/>
        </w:rPr>
        <w:t>escriptive statistics were provided using mean and standard deviation or median and interquartile range. A two-factor analysis of variance (ANOVA) was performed to compare differences between prosthesis types (dependent variable) and the TUG test (independent variable). In cases of sphericity violation, values were adjusted using a base-10 logarithm, and if violations persisted, the Kruskal-</w:t>
      </w:r>
      <w:proofErr w:type="gramStart"/>
      <w:r w:rsidRPr="009A29EF">
        <w:rPr>
          <w:rFonts w:ascii="Arial" w:hAnsi="Arial" w:cs="Arial"/>
        </w:rPr>
        <w:t>Wallis</w:t>
      </w:r>
      <w:proofErr w:type="gramEnd"/>
      <w:r w:rsidRPr="009A29EF">
        <w:rPr>
          <w:rFonts w:ascii="Arial" w:hAnsi="Arial" w:cs="Arial"/>
        </w:rPr>
        <w:t xml:space="preserve"> test was applied. A t-test or Mann-Whitney test, in the case of non-parametric data, was used to compare independent variables between prosthesis types. The relationship between functional mobility, postoperative time, and prosthesis type was analyzed using Pearson's correlation test or its non-parametric counterpart, Spearman's correlation test. Analyses were conducted using the SPSS statistical software version 19 (IBM), considering a p-value </w:t>
      </w:r>
      <w:r w:rsidR="00D813F2">
        <w:rPr>
          <w:rFonts w:ascii="Arial" w:hAnsi="Arial" w:cs="Arial"/>
        </w:rPr>
        <w:t>(</w:t>
      </w:r>
      <w:r w:rsidR="00D813F2" w:rsidRPr="00D813F2">
        <w:rPr>
          <w:rFonts w:ascii="Arial" w:hAnsi="Arial" w:cs="Arial"/>
          <w:i/>
          <w:iCs/>
        </w:rPr>
        <w:t>P</w:t>
      </w:r>
      <w:r w:rsidRPr="00D813F2">
        <w:rPr>
          <w:rFonts w:ascii="Arial" w:hAnsi="Arial" w:cs="Arial"/>
          <w:i/>
          <w:iCs/>
        </w:rPr>
        <w:t>&lt;.05</w:t>
      </w:r>
      <w:r w:rsidR="00D813F2">
        <w:rPr>
          <w:rFonts w:ascii="Arial" w:hAnsi="Arial" w:cs="Arial"/>
        </w:rPr>
        <w:t>)</w:t>
      </w:r>
      <w:r w:rsidRPr="009A29EF">
        <w:rPr>
          <w:rFonts w:ascii="Arial" w:hAnsi="Arial" w:cs="Arial"/>
        </w:rPr>
        <w:t xml:space="preserve"> as the threshold for statistical significance.</w:t>
      </w:r>
    </w:p>
    <w:p w14:paraId="58536895" w14:textId="77777777" w:rsidR="00790ADA" w:rsidRPr="00FB3A86" w:rsidRDefault="00790ADA" w:rsidP="00441B6F">
      <w:pPr>
        <w:pStyle w:val="Body"/>
        <w:spacing w:after="0"/>
        <w:rPr>
          <w:rFonts w:ascii="Arial" w:hAnsi="Arial" w:cs="Arial"/>
        </w:rPr>
      </w:pPr>
    </w:p>
    <w:p w14:paraId="12E00BC6"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38307722" w14:textId="77777777" w:rsidR="00790ADA" w:rsidRPr="00FB3A86" w:rsidRDefault="00790ADA" w:rsidP="00441B6F">
      <w:pPr>
        <w:pStyle w:val="Head1"/>
        <w:spacing w:after="0"/>
        <w:jc w:val="both"/>
        <w:rPr>
          <w:rFonts w:ascii="Arial" w:hAnsi="Arial" w:cs="Arial"/>
        </w:rPr>
      </w:pPr>
    </w:p>
    <w:p w14:paraId="0A087360" w14:textId="30D10B3D" w:rsidR="00790ADA" w:rsidRDefault="001D7FC7" w:rsidP="00441B6F">
      <w:pPr>
        <w:pStyle w:val="Body"/>
        <w:spacing w:after="0"/>
        <w:rPr>
          <w:rFonts w:ascii="Arial" w:hAnsi="Arial" w:cs="Arial"/>
        </w:rPr>
      </w:pPr>
      <w:r w:rsidRPr="001D7FC7">
        <w:rPr>
          <w:rFonts w:ascii="Arial" w:hAnsi="Arial" w:cs="Arial"/>
        </w:rPr>
        <w:t>Data collection was conducted with research participants, and the sample was characterized according to the data presented in Table 1. The analysis of the results revealed that the average time for the Timed Up and Go (TUG) test increased from 14.47 ± 3.03 seconds to 15.24 ± 3.85 seconds. However, this change was not statistically significant according to Wilk's Lambda test, for both the collection time factor (</w:t>
      </w:r>
      <w:r w:rsidR="00910526" w:rsidRPr="00910526">
        <w:rPr>
          <w:rFonts w:ascii="Arial" w:hAnsi="Arial" w:cs="Arial"/>
          <w:i/>
          <w:iCs/>
        </w:rPr>
        <w:t>P</w:t>
      </w:r>
      <w:r w:rsidRPr="00910526">
        <w:rPr>
          <w:rFonts w:ascii="Arial" w:hAnsi="Arial" w:cs="Arial"/>
          <w:i/>
          <w:iCs/>
        </w:rPr>
        <w:t>=.301</w:t>
      </w:r>
      <w:r w:rsidRPr="001D7FC7">
        <w:rPr>
          <w:rFonts w:ascii="Arial" w:hAnsi="Arial" w:cs="Arial"/>
        </w:rPr>
        <w:t>) and the type of prosthesis used (</w:t>
      </w:r>
      <w:r w:rsidR="00910526" w:rsidRPr="00910526">
        <w:rPr>
          <w:rFonts w:ascii="Arial" w:hAnsi="Arial" w:cs="Arial"/>
          <w:i/>
          <w:iCs/>
        </w:rPr>
        <w:t>P</w:t>
      </w:r>
      <w:r w:rsidRPr="00910526">
        <w:rPr>
          <w:rFonts w:ascii="Arial" w:hAnsi="Arial" w:cs="Arial"/>
          <w:i/>
          <w:iCs/>
        </w:rPr>
        <w:t>=.456</w:t>
      </w:r>
      <w:r w:rsidRPr="001D7FC7">
        <w:rPr>
          <w:rFonts w:ascii="Arial" w:hAnsi="Arial" w:cs="Arial"/>
        </w:rPr>
        <w:t>). This suggests that although there was an increase in the time required to perform the TUG, the observed differences over time or between prosthesis types (fixed and rotating) were not sufficiently large to be considered statistically significant.</w:t>
      </w:r>
    </w:p>
    <w:p w14:paraId="31C3391A" w14:textId="77777777" w:rsidR="00712B1B" w:rsidRDefault="00712B1B" w:rsidP="00441B6F">
      <w:pPr>
        <w:pStyle w:val="Body"/>
        <w:spacing w:after="0"/>
        <w:rPr>
          <w:rFonts w:ascii="Arial" w:hAnsi="Arial" w:cs="Arial"/>
        </w:rPr>
      </w:pPr>
    </w:p>
    <w:p w14:paraId="279095A4" w14:textId="4BE1FAAE" w:rsidR="00712B1B" w:rsidRDefault="00712B1B" w:rsidP="00712B1B">
      <w:pPr>
        <w:tabs>
          <w:tab w:val="left" w:pos="1080"/>
        </w:tabs>
        <w:jc w:val="both"/>
        <w:rPr>
          <w:rFonts w:ascii="Arial" w:hAnsi="Arial"/>
          <w:b/>
        </w:rPr>
      </w:pPr>
      <w:r>
        <w:rPr>
          <w:rFonts w:ascii="Arial" w:hAnsi="Arial"/>
          <w:b/>
        </w:rPr>
        <w:t>Table 1.</w:t>
      </w:r>
      <w:r w:rsidRPr="00DC3180">
        <w:rPr>
          <w:rFonts w:ascii="Arial" w:hAnsi="Arial"/>
          <w:b/>
        </w:rPr>
        <w:tab/>
      </w:r>
      <w:r w:rsidR="008C34C6" w:rsidRPr="008C34C6">
        <w:rPr>
          <w:rFonts w:ascii="Arial" w:hAnsi="Arial"/>
          <w:b/>
        </w:rPr>
        <w:t>Characterization of the sample of patients participating in the study</w:t>
      </w:r>
    </w:p>
    <w:p w14:paraId="4F693C1C" w14:textId="77777777" w:rsidR="008C268B" w:rsidRDefault="008C268B" w:rsidP="00712B1B">
      <w:pPr>
        <w:tabs>
          <w:tab w:val="left" w:pos="1080"/>
        </w:tabs>
        <w:jc w:val="both"/>
        <w:rPr>
          <w:rFonts w:ascii="Arial" w:hAnsi="Arial"/>
          <w:b/>
        </w:rPr>
      </w:pPr>
    </w:p>
    <w:tbl>
      <w:tblPr>
        <w:tblW w:w="8448" w:type="dxa"/>
        <w:tblInd w:w="217" w:type="dxa"/>
        <w:tblLayout w:type="fixed"/>
        <w:tblLook w:val="0000" w:firstRow="0" w:lastRow="0" w:firstColumn="0" w:lastColumn="0" w:noHBand="0" w:noVBand="0"/>
      </w:tblPr>
      <w:tblGrid>
        <w:gridCol w:w="2908"/>
        <w:gridCol w:w="4324"/>
        <w:gridCol w:w="1216"/>
      </w:tblGrid>
      <w:tr w:rsidR="008C268B" w14:paraId="27C499B5" w14:textId="77777777" w:rsidTr="001004B8">
        <w:trPr>
          <w:trHeight w:val="184"/>
        </w:trPr>
        <w:tc>
          <w:tcPr>
            <w:tcW w:w="2908" w:type="dxa"/>
            <w:tcBorders>
              <w:top w:val="single" w:sz="8" w:space="0" w:color="000000"/>
              <w:left w:val="nil"/>
              <w:bottom w:val="single" w:sz="8" w:space="0" w:color="000000"/>
              <w:right w:val="nil"/>
            </w:tcBorders>
            <w:shd w:val="clear" w:color="auto" w:fill="auto"/>
          </w:tcPr>
          <w:p w14:paraId="40D138C0" w14:textId="1CE645E3" w:rsidR="008C268B" w:rsidRDefault="008C268B" w:rsidP="000A55F0">
            <w:pPr>
              <w:spacing w:line="360" w:lineRule="auto"/>
              <w:jc w:val="both"/>
              <w:rPr>
                <w:rFonts w:ascii="Arial" w:eastAsia="Arial" w:hAnsi="Arial" w:cs="Arial"/>
                <w:b/>
                <w:color w:val="000000"/>
              </w:rPr>
            </w:pPr>
            <w:r>
              <w:rPr>
                <w:rFonts w:ascii="Arial" w:eastAsia="Arial" w:hAnsi="Arial" w:cs="Arial"/>
                <w:b/>
                <w:color w:val="000000"/>
              </w:rPr>
              <w:lastRenderedPageBreak/>
              <w:t>PARTICIPANT</w:t>
            </w:r>
            <w:r w:rsidR="00C4106B">
              <w:rPr>
                <w:rFonts w:ascii="Arial" w:eastAsia="Arial" w:hAnsi="Arial" w:cs="Arial"/>
                <w:b/>
                <w:color w:val="000000"/>
              </w:rPr>
              <w:t>S</w:t>
            </w:r>
          </w:p>
        </w:tc>
        <w:tc>
          <w:tcPr>
            <w:tcW w:w="4324" w:type="dxa"/>
            <w:tcBorders>
              <w:top w:val="single" w:sz="8" w:space="0" w:color="000000"/>
              <w:left w:val="nil"/>
              <w:bottom w:val="single" w:sz="8" w:space="0" w:color="000000"/>
              <w:right w:val="nil"/>
            </w:tcBorders>
            <w:shd w:val="clear" w:color="auto" w:fill="auto"/>
          </w:tcPr>
          <w:p w14:paraId="357AE6F5" w14:textId="77777777" w:rsidR="008C268B" w:rsidRDefault="008C268B" w:rsidP="000A55F0">
            <w:pPr>
              <w:spacing w:line="360" w:lineRule="auto"/>
              <w:jc w:val="both"/>
              <w:rPr>
                <w:rFonts w:ascii="Arial" w:eastAsia="Arial" w:hAnsi="Arial" w:cs="Arial"/>
                <w:b/>
                <w:color w:val="000000"/>
              </w:rPr>
            </w:pPr>
            <w:r>
              <w:rPr>
                <w:rFonts w:ascii="Arial" w:eastAsia="Arial" w:hAnsi="Arial" w:cs="Arial"/>
                <w:b/>
                <w:color w:val="000000"/>
              </w:rPr>
              <w:t>TOTAL</w:t>
            </w:r>
          </w:p>
        </w:tc>
        <w:tc>
          <w:tcPr>
            <w:tcW w:w="1216" w:type="dxa"/>
            <w:tcBorders>
              <w:top w:val="single" w:sz="8" w:space="0" w:color="000000"/>
              <w:left w:val="nil"/>
              <w:bottom w:val="single" w:sz="8" w:space="0" w:color="000000"/>
              <w:right w:val="nil"/>
            </w:tcBorders>
            <w:shd w:val="clear" w:color="auto" w:fill="auto"/>
          </w:tcPr>
          <w:p w14:paraId="46FB0A3D" w14:textId="77777777" w:rsidR="008C268B" w:rsidRDefault="008C268B" w:rsidP="000A55F0">
            <w:pPr>
              <w:tabs>
                <w:tab w:val="center" w:pos="874"/>
              </w:tabs>
              <w:spacing w:line="360" w:lineRule="auto"/>
              <w:jc w:val="both"/>
              <w:rPr>
                <w:rFonts w:ascii="Arial" w:eastAsia="Arial" w:hAnsi="Arial" w:cs="Arial"/>
                <w:b/>
                <w:color w:val="000000"/>
              </w:rPr>
            </w:pPr>
            <w:r>
              <w:rPr>
                <w:rFonts w:ascii="Arial" w:eastAsia="Arial" w:hAnsi="Arial" w:cs="Arial"/>
                <w:b/>
                <w:color w:val="000000"/>
              </w:rPr>
              <w:t>36</w:t>
            </w:r>
            <w:r>
              <w:rPr>
                <w:rFonts w:ascii="Arial" w:eastAsia="Arial" w:hAnsi="Arial" w:cs="Arial"/>
                <w:b/>
                <w:color w:val="000000"/>
              </w:rPr>
              <w:tab/>
            </w:r>
          </w:p>
        </w:tc>
      </w:tr>
      <w:tr w:rsidR="008C268B" w14:paraId="077443B5" w14:textId="77777777" w:rsidTr="001004B8">
        <w:trPr>
          <w:trHeight w:val="184"/>
        </w:trPr>
        <w:tc>
          <w:tcPr>
            <w:tcW w:w="2908" w:type="dxa"/>
            <w:tcBorders>
              <w:top w:val="single" w:sz="8" w:space="0" w:color="000000"/>
              <w:left w:val="nil"/>
              <w:bottom w:val="nil"/>
              <w:right w:val="nil"/>
            </w:tcBorders>
            <w:shd w:val="clear" w:color="auto" w:fill="auto"/>
          </w:tcPr>
          <w:p w14:paraId="3C497C89" w14:textId="1BCCEC88" w:rsidR="008C268B" w:rsidRDefault="008C268B" w:rsidP="000A55F0">
            <w:pPr>
              <w:spacing w:line="360" w:lineRule="auto"/>
              <w:jc w:val="both"/>
              <w:rPr>
                <w:rFonts w:ascii="Arial" w:eastAsia="Arial" w:hAnsi="Arial" w:cs="Arial"/>
                <w:b/>
                <w:color w:val="000000"/>
              </w:rPr>
            </w:pPr>
            <w:r>
              <w:rPr>
                <w:rFonts w:ascii="Arial" w:eastAsia="Arial" w:hAnsi="Arial" w:cs="Arial"/>
                <w:b/>
                <w:color w:val="000000"/>
              </w:rPr>
              <w:t>SEX</w:t>
            </w:r>
          </w:p>
        </w:tc>
        <w:tc>
          <w:tcPr>
            <w:tcW w:w="4324" w:type="dxa"/>
            <w:tcBorders>
              <w:top w:val="single" w:sz="8" w:space="0" w:color="000000"/>
              <w:left w:val="nil"/>
              <w:bottom w:val="nil"/>
              <w:right w:val="nil"/>
            </w:tcBorders>
            <w:shd w:val="clear" w:color="auto" w:fill="auto"/>
          </w:tcPr>
          <w:p w14:paraId="6A3B6E0E" w14:textId="6A020D3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FEM</w:t>
            </w:r>
            <w:r w:rsidR="00C4106B">
              <w:rPr>
                <w:rFonts w:ascii="Arial" w:eastAsia="Arial" w:hAnsi="Arial" w:cs="Arial"/>
                <w:color w:val="000000"/>
              </w:rPr>
              <w:t>ALE</w:t>
            </w:r>
          </w:p>
        </w:tc>
        <w:tc>
          <w:tcPr>
            <w:tcW w:w="1216" w:type="dxa"/>
            <w:tcBorders>
              <w:top w:val="single" w:sz="8" w:space="0" w:color="000000"/>
              <w:left w:val="nil"/>
              <w:bottom w:val="nil"/>
              <w:right w:val="nil"/>
            </w:tcBorders>
            <w:shd w:val="clear" w:color="auto" w:fill="auto"/>
          </w:tcPr>
          <w:p w14:paraId="04FA0A92"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21</w:t>
            </w:r>
          </w:p>
        </w:tc>
      </w:tr>
      <w:tr w:rsidR="008C268B" w14:paraId="7937FD67" w14:textId="77777777" w:rsidTr="001004B8">
        <w:trPr>
          <w:trHeight w:val="188"/>
        </w:trPr>
        <w:tc>
          <w:tcPr>
            <w:tcW w:w="2908" w:type="dxa"/>
            <w:shd w:val="clear" w:color="auto" w:fill="auto"/>
          </w:tcPr>
          <w:p w14:paraId="125620DE" w14:textId="77777777" w:rsidR="008C268B" w:rsidRDefault="008C268B" w:rsidP="000A55F0">
            <w:pPr>
              <w:spacing w:line="360" w:lineRule="auto"/>
              <w:jc w:val="both"/>
              <w:rPr>
                <w:rFonts w:ascii="Arial" w:eastAsia="Arial" w:hAnsi="Arial" w:cs="Arial"/>
                <w:color w:val="000000"/>
              </w:rPr>
            </w:pPr>
          </w:p>
        </w:tc>
        <w:tc>
          <w:tcPr>
            <w:tcW w:w="4324" w:type="dxa"/>
            <w:shd w:val="clear" w:color="auto" w:fill="auto"/>
          </w:tcPr>
          <w:p w14:paraId="0D379B46" w14:textId="0B5618F9"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MA</w:t>
            </w:r>
            <w:r w:rsidR="00C4106B">
              <w:rPr>
                <w:rFonts w:ascii="Arial" w:eastAsia="Arial" w:hAnsi="Arial" w:cs="Arial"/>
                <w:color w:val="000000"/>
              </w:rPr>
              <w:t>LE</w:t>
            </w:r>
          </w:p>
        </w:tc>
        <w:tc>
          <w:tcPr>
            <w:tcW w:w="1216" w:type="dxa"/>
            <w:shd w:val="clear" w:color="auto" w:fill="auto"/>
          </w:tcPr>
          <w:p w14:paraId="294C8FDE"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15</w:t>
            </w:r>
          </w:p>
        </w:tc>
      </w:tr>
      <w:tr w:rsidR="008C268B" w14:paraId="38721D96" w14:textId="77777777" w:rsidTr="001004B8">
        <w:trPr>
          <w:trHeight w:val="185"/>
        </w:trPr>
        <w:tc>
          <w:tcPr>
            <w:tcW w:w="2908" w:type="dxa"/>
            <w:shd w:val="clear" w:color="auto" w:fill="auto"/>
          </w:tcPr>
          <w:p w14:paraId="74015CBD" w14:textId="6B3760AB" w:rsidR="008C268B" w:rsidRDefault="00C4106B" w:rsidP="000A55F0">
            <w:pPr>
              <w:spacing w:line="360" w:lineRule="auto"/>
              <w:jc w:val="both"/>
              <w:rPr>
                <w:rFonts w:ascii="Arial" w:eastAsia="Arial" w:hAnsi="Arial" w:cs="Arial"/>
                <w:b/>
                <w:color w:val="000000"/>
              </w:rPr>
            </w:pPr>
            <w:r>
              <w:rPr>
                <w:rFonts w:ascii="Arial" w:eastAsia="Arial" w:hAnsi="Arial" w:cs="Arial"/>
                <w:b/>
                <w:color w:val="000000"/>
              </w:rPr>
              <w:t>AVERAGE AGE</w:t>
            </w:r>
          </w:p>
        </w:tc>
        <w:tc>
          <w:tcPr>
            <w:tcW w:w="4324" w:type="dxa"/>
            <w:shd w:val="clear" w:color="auto" w:fill="auto"/>
          </w:tcPr>
          <w:p w14:paraId="734FB678" w14:textId="0724B0B1"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 xml:space="preserve">69,38 </w:t>
            </w:r>
            <w:r w:rsidR="00C4106B">
              <w:rPr>
                <w:rFonts w:ascii="Arial" w:eastAsia="Arial" w:hAnsi="Arial" w:cs="Arial"/>
                <w:color w:val="000000"/>
              </w:rPr>
              <w:t>years</w:t>
            </w:r>
          </w:p>
        </w:tc>
        <w:tc>
          <w:tcPr>
            <w:tcW w:w="1216" w:type="dxa"/>
            <w:shd w:val="clear" w:color="auto" w:fill="auto"/>
          </w:tcPr>
          <w:p w14:paraId="54180484" w14:textId="77777777" w:rsidR="008C268B" w:rsidRDefault="008C268B" w:rsidP="000A55F0">
            <w:pPr>
              <w:spacing w:line="360" w:lineRule="auto"/>
              <w:jc w:val="both"/>
              <w:rPr>
                <w:rFonts w:ascii="Arial" w:eastAsia="Arial" w:hAnsi="Arial" w:cs="Arial"/>
                <w:color w:val="000000"/>
              </w:rPr>
            </w:pPr>
          </w:p>
        </w:tc>
      </w:tr>
      <w:tr w:rsidR="008C268B" w14:paraId="747444CD" w14:textId="77777777" w:rsidTr="001004B8">
        <w:trPr>
          <w:trHeight w:val="185"/>
        </w:trPr>
        <w:tc>
          <w:tcPr>
            <w:tcW w:w="2908" w:type="dxa"/>
            <w:shd w:val="clear" w:color="auto" w:fill="auto"/>
          </w:tcPr>
          <w:p w14:paraId="0CE5D0F9" w14:textId="0BF67EC2" w:rsidR="008C268B" w:rsidRDefault="00C4106B" w:rsidP="000A55F0">
            <w:pPr>
              <w:spacing w:line="360" w:lineRule="auto"/>
              <w:jc w:val="both"/>
              <w:rPr>
                <w:rFonts w:ascii="Arial" w:eastAsia="Arial" w:hAnsi="Arial" w:cs="Arial"/>
                <w:b/>
                <w:color w:val="000000"/>
              </w:rPr>
            </w:pPr>
            <w:r>
              <w:rPr>
                <w:rFonts w:ascii="Arial" w:eastAsia="Arial" w:hAnsi="Arial" w:cs="Arial"/>
                <w:b/>
                <w:color w:val="000000"/>
              </w:rPr>
              <w:t>AVERAGE WEIGHT</w:t>
            </w:r>
          </w:p>
        </w:tc>
        <w:tc>
          <w:tcPr>
            <w:tcW w:w="4324" w:type="dxa"/>
            <w:shd w:val="clear" w:color="auto" w:fill="auto"/>
          </w:tcPr>
          <w:p w14:paraId="678E8CE3"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 xml:space="preserve">77,8 kg </w:t>
            </w:r>
          </w:p>
        </w:tc>
        <w:tc>
          <w:tcPr>
            <w:tcW w:w="1216" w:type="dxa"/>
            <w:shd w:val="clear" w:color="auto" w:fill="auto"/>
          </w:tcPr>
          <w:p w14:paraId="62BFD5A7" w14:textId="77777777" w:rsidR="008C268B" w:rsidRDefault="008C268B" w:rsidP="000A55F0">
            <w:pPr>
              <w:spacing w:line="360" w:lineRule="auto"/>
              <w:jc w:val="both"/>
              <w:rPr>
                <w:rFonts w:ascii="Arial" w:eastAsia="Arial" w:hAnsi="Arial" w:cs="Arial"/>
                <w:color w:val="000000"/>
              </w:rPr>
            </w:pPr>
          </w:p>
        </w:tc>
      </w:tr>
      <w:tr w:rsidR="008C268B" w14:paraId="1B0AF000" w14:textId="77777777" w:rsidTr="001004B8">
        <w:trPr>
          <w:trHeight w:val="185"/>
        </w:trPr>
        <w:tc>
          <w:tcPr>
            <w:tcW w:w="2908" w:type="dxa"/>
            <w:shd w:val="clear" w:color="auto" w:fill="auto"/>
          </w:tcPr>
          <w:p w14:paraId="2B806436" w14:textId="42193524" w:rsidR="008C268B" w:rsidRDefault="000D5A6E" w:rsidP="000A55F0">
            <w:pPr>
              <w:spacing w:line="360" w:lineRule="auto"/>
              <w:jc w:val="both"/>
              <w:rPr>
                <w:rFonts w:ascii="Arial" w:eastAsia="Arial" w:hAnsi="Arial" w:cs="Arial"/>
                <w:b/>
                <w:color w:val="000000"/>
              </w:rPr>
            </w:pPr>
            <w:r>
              <w:rPr>
                <w:rFonts w:ascii="Arial" w:eastAsia="Arial" w:hAnsi="Arial" w:cs="Arial"/>
                <w:b/>
                <w:color w:val="000000"/>
              </w:rPr>
              <w:t>AVERAGE HEIGHT</w:t>
            </w:r>
          </w:p>
        </w:tc>
        <w:tc>
          <w:tcPr>
            <w:tcW w:w="4324" w:type="dxa"/>
            <w:shd w:val="clear" w:color="auto" w:fill="auto"/>
          </w:tcPr>
          <w:p w14:paraId="77912948"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1,60m</w:t>
            </w:r>
          </w:p>
        </w:tc>
        <w:tc>
          <w:tcPr>
            <w:tcW w:w="1216" w:type="dxa"/>
            <w:shd w:val="clear" w:color="auto" w:fill="auto"/>
          </w:tcPr>
          <w:p w14:paraId="16E99BCE" w14:textId="77777777" w:rsidR="008C268B" w:rsidRDefault="008C268B" w:rsidP="000A55F0">
            <w:pPr>
              <w:spacing w:line="360" w:lineRule="auto"/>
              <w:jc w:val="both"/>
              <w:rPr>
                <w:rFonts w:ascii="Arial" w:eastAsia="Arial" w:hAnsi="Arial" w:cs="Arial"/>
                <w:color w:val="000000"/>
              </w:rPr>
            </w:pPr>
          </w:p>
        </w:tc>
      </w:tr>
      <w:tr w:rsidR="008C268B" w14:paraId="7A025555" w14:textId="77777777" w:rsidTr="001004B8">
        <w:trPr>
          <w:trHeight w:val="185"/>
        </w:trPr>
        <w:tc>
          <w:tcPr>
            <w:tcW w:w="2908" w:type="dxa"/>
            <w:shd w:val="clear" w:color="auto" w:fill="auto"/>
          </w:tcPr>
          <w:p w14:paraId="0DA5F264" w14:textId="530205B1" w:rsidR="008C268B" w:rsidRDefault="000D5A6E" w:rsidP="000A55F0">
            <w:pPr>
              <w:spacing w:line="360" w:lineRule="auto"/>
              <w:jc w:val="both"/>
              <w:rPr>
                <w:rFonts w:ascii="Arial" w:eastAsia="Arial" w:hAnsi="Arial" w:cs="Arial"/>
                <w:b/>
                <w:color w:val="000000"/>
              </w:rPr>
            </w:pPr>
            <w:r>
              <w:rPr>
                <w:rFonts w:ascii="Arial" w:eastAsia="Arial" w:hAnsi="Arial" w:cs="Arial"/>
                <w:b/>
                <w:color w:val="000000"/>
              </w:rPr>
              <w:t>AVERAGE BMI</w:t>
            </w:r>
          </w:p>
        </w:tc>
        <w:tc>
          <w:tcPr>
            <w:tcW w:w="4324" w:type="dxa"/>
            <w:shd w:val="clear" w:color="auto" w:fill="auto"/>
          </w:tcPr>
          <w:p w14:paraId="32509742"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30,46</w:t>
            </w:r>
          </w:p>
        </w:tc>
        <w:tc>
          <w:tcPr>
            <w:tcW w:w="1216" w:type="dxa"/>
            <w:shd w:val="clear" w:color="auto" w:fill="auto"/>
          </w:tcPr>
          <w:p w14:paraId="58C789E7" w14:textId="77777777" w:rsidR="008C268B" w:rsidRDefault="008C268B" w:rsidP="000A55F0">
            <w:pPr>
              <w:spacing w:line="360" w:lineRule="auto"/>
              <w:jc w:val="both"/>
              <w:rPr>
                <w:rFonts w:ascii="Arial" w:eastAsia="Arial" w:hAnsi="Arial" w:cs="Arial"/>
                <w:color w:val="000000"/>
              </w:rPr>
            </w:pPr>
          </w:p>
        </w:tc>
      </w:tr>
      <w:tr w:rsidR="008C268B" w14:paraId="267ABBE5" w14:textId="77777777" w:rsidTr="001004B8">
        <w:trPr>
          <w:trHeight w:val="185"/>
        </w:trPr>
        <w:tc>
          <w:tcPr>
            <w:tcW w:w="2908" w:type="dxa"/>
            <w:shd w:val="clear" w:color="auto" w:fill="auto"/>
          </w:tcPr>
          <w:p w14:paraId="469085BB" w14:textId="0E72DC6C" w:rsidR="008C268B" w:rsidRDefault="000D5A6E" w:rsidP="000A55F0">
            <w:pPr>
              <w:spacing w:line="360" w:lineRule="auto"/>
              <w:jc w:val="both"/>
              <w:rPr>
                <w:rFonts w:ascii="Arial" w:eastAsia="Arial" w:hAnsi="Arial" w:cs="Arial"/>
                <w:b/>
                <w:color w:val="000000"/>
              </w:rPr>
            </w:pPr>
            <w:r>
              <w:rPr>
                <w:rFonts w:ascii="Arial" w:eastAsia="Arial" w:hAnsi="Arial" w:cs="Arial"/>
                <w:b/>
                <w:color w:val="000000"/>
              </w:rPr>
              <w:t>LATERALITY</w:t>
            </w:r>
          </w:p>
        </w:tc>
        <w:tc>
          <w:tcPr>
            <w:tcW w:w="4324" w:type="dxa"/>
            <w:shd w:val="clear" w:color="auto" w:fill="auto"/>
          </w:tcPr>
          <w:p w14:paraId="3167277C" w14:textId="4E84FE85" w:rsidR="008C268B" w:rsidRDefault="000D5A6E" w:rsidP="000A55F0">
            <w:pPr>
              <w:spacing w:line="360" w:lineRule="auto"/>
              <w:jc w:val="both"/>
              <w:rPr>
                <w:rFonts w:ascii="Arial" w:eastAsia="Arial" w:hAnsi="Arial" w:cs="Arial"/>
                <w:color w:val="000000"/>
              </w:rPr>
            </w:pPr>
            <w:r>
              <w:rPr>
                <w:rFonts w:ascii="Arial" w:eastAsia="Arial" w:hAnsi="Arial" w:cs="Arial"/>
                <w:color w:val="000000"/>
              </w:rPr>
              <w:t>RIGHT</w:t>
            </w:r>
          </w:p>
        </w:tc>
        <w:tc>
          <w:tcPr>
            <w:tcW w:w="1216" w:type="dxa"/>
            <w:shd w:val="clear" w:color="auto" w:fill="auto"/>
          </w:tcPr>
          <w:p w14:paraId="5D627DA3"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24</w:t>
            </w:r>
          </w:p>
        </w:tc>
      </w:tr>
      <w:tr w:rsidR="008C268B" w14:paraId="5758986D" w14:textId="77777777" w:rsidTr="001004B8">
        <w:trPr>
          <w:trHeight w:val="182"/>
        </w:trPr>
        <w:tc>
          <w:tcPr>
            <w:tcW w:w="2908" w:type="dxa"/>
            <w:shd w:val="clear" w:color="auto" w:fill="auto"/>
          </w:tcPr>
          <w:p w14:paraId="4D870653" w14:textId="77777777" w:rsidR="008C268B" w:rsidRDefault="008C268B" w:rsidP="000A55F0">
            <w:pPr>
              <w:spacing w:line="360" w:lineRule="auto"/>
              <w:jc w:val="both"/>
              <w:rPr>
                <w:rFonts w:ascii="Arial" w:eastAsia="Arial" w:hAnsi="Arial" w:cs="Arial"/>
                <w:color w:val="000000"/>
              </w:rPr>
            </w:pPr>
          </w:p>
        </w:tc>
        <w:tc>
          <w:tcPr>
            <w:tcW w:w="4324" w:type="dxa"/>
            <w:shd w:val="clear" w:color="auto" w:fill="auto"/>
          </w:tcPr>
          <w:p w14:paraId="500A7897" w14:textId="0C8DC044" w:rsidR="008C268B" w:rsidRDefault="000D5A6E" w:rsidP="000A55F0">
            <w:pPr>
              <w:spacing w:line="360" w:lineRule="auto"/>
              <w:jc w:val="both"/>
              <w:rPr>
                <w:rFonts w:ascii="Arial" w:eastAsia="Arial" w:hAnsi="Arial" w:cs="Arial"/>
                <w:color w:val="000000"/>
              </w:rPr>
            </w:pPr>
            <w:r>
              <w:rPr>
                <w:rFonts w:ascii="Arial" w:eastAsia="Arial" w:hAnsi="Arial" w:cs="Arial"/>
                <w:color w:val="000000"/>
              </w:rPr>
              <w:t>LEFT</w:t>
            </w:r>
          </w:p>
        </w:tc>
        <w:tc>
          <w:tcPr>
            <w:tcW w:w="1216" w:type="dxa"/>
            <w:shd w:val="clear" w:color="auto" w:fill="auto"/>
          </w:tcPr>
          <w:p w14:paraId="3CC11BE9"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12</w:t>
            </w:r>
          </w:p>
        </w:tc>
      </w:tr>
      <w:tr w:rsidR="008C268B" w14:paraId="15F60129" w14:textId="77777777" w:rsidTr="001004B8">
        <w:trPr>
          <w:trHeight w:val="185"/>
        </w:trPr>
        <w:tc>
          <w:tcPr>
            <w:tcW w:w="2908" w:type="dxa"/>
            <w:shd w:val="clear" w:color="auto" w:fill="auto"/>
          </w:tcPr>
          <w:p w14:paraId="7CDC852E" w14:textId="3515AA66" w:rsidR="008C268B" w:rsidRDefault="008C268B" w:rsidP="000A55F0">
            <w:pPr>
              <w:spacing w:line="360" w:lineRule="auto"/>
              <w:jc w:val="both"/>
              <w:rPr>
                <w:rFonts w:ascii="Arial" w:eastAsia="Arial" w:hAnsi="Arial" w:cs="Arial"/>
                <w:b/>
                <w:color w:val="000000"/>
              </w:rPr>
            </w:pPr>
            <w:r>
              <w:rPr>
                <w:rFonts w:ascii="Arial" w:eastAsia="Arial" w:hAnsi="Arial" w:cs="Arial"/>
                <w:b/>
                <w:color w:val="000000"/>
              </w:rPr>
              <w:t>IMPLANT</w:t>
            </w:r>
          </w:p>
        </w:tc>
        <w:tc>
          <w:tcPr>
            <w:tcW w:w="4324" w:type="dxa"/>
            <w:shd w:val="clear" w:color="auto" w:fill="auto"/>
          </w:tcPr>
          <w:p w14:paraId="32EE3205" w14:textId="64A95542" w:rsidR="008C268B" w:rsidRDefault="000D5A6E" w:rsidP="000A55F0">
            <w:pPr>
              <w:spacing w:line="360" w:lineRule="auto"/>
              <w:jc w:val="both"/>
              <w:rPr>
                <w:rFonts w:ascii="Arial" w:eastAsia="Arial" w:hAnsi="Arial" w:cs="Arial"/>
                <w:color w:val="000000"/>
              </w:rPr>
            </w:pPr>
            <w:r>
              <w:rPr>
                <w:rFonts w:ascii="Arial" w:eastAsia="Arial" w:hAnsi="Arial" w:cs="Arial"/>
                <w:color w:val="000000"/>
              </w:rPr>
              <w:t>FIXED PLATEAU</w:t>
            </w:r>
          </w:p>
        </w:tc>
        <w:tc>
          <w:tcPr>
            <w:tcW w:w="1216" w:type="dxa"/>
            <w:shd w:val="clear" w:color="auto" w:fill="auto"/>
          </w:tcPr>
          <w:p w14:paraId="7701AA7A"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18</w:t>
            </w:r>
          </w:p>
        </w:tc>
      </w:tr>
      <w:tr w:rsidR="008C268B" w14:paraId="7A3E4760" w14:textId="77777777" w:rsidTr="001004B8">
        <w:trPr>
          <w:trHeight w:val="198"/>
        </w:trPr>
        <w:tc>
          <w:tcPr>
            <w:tcW w:w="2908" w:type="dxa"/>
            <w:shd w:val="clear" w:color="auto" w:fill="auto"/>
          </w:tcPr>
          <w:p w14:paraId="199738AB" w14:textId="77777777" w:rsidR="008C268B" w:rsidRDefault="008C268B" w:rsidP="000A55F0">
            <w:pPr>
              <w:spacing w:line="360" w:lineRule="auto"/>
              <w:jc w:val="both"/>
              <w:rPr>
                <w:rFonts w:ascii="Arial" w:eastAsia="Arial" w:hAnsi="Arial" w:cs="Arial"/>
                <w:color w:val="000000"/>
              </w:rPr>
            </w:pPr>
          </w:p>
        </w:tc>
        <w:tc>
          <w:tcPr>
            <w:tcW w:w="4324" w:type="dxa"/>
            <w:shd w:val="clear" w:color="auto" w:fill="auto"/>
          </w:tcPr>
          <w:p w14:paraId="5965C97E" w14:textId="0F5485E1" w:rsidR="008C268B" w:rsidRDefault="000D5A6E" w:rsidP="000A55F0">
            <w:pPr>
              <w:spacing w:line="360" w:lineRule="auto"/>
              <w:jc w:val="both"/>
              <w:rPr>
                <w:rFonts w:ascii="Arial" w:eastAsia="Arial" w:hAnsi="Arial" w:cs="Arial"/>
                <w:color w:val="000000"/>
              </w:rPr>
            </w:pPr>
            <w:r>
              <w:rPr>
                <w:rFonts w:ascii="Arial" w:eastAsia="Arial" w:hAnsi="Arial" w:cs="Arial"/>
                <w:color w:val="000000"/>
              </w:rPr>
              <w:t>ROTATING PLATEU</w:t>
            </w:r>
          </w:p>
        </w:tc>
        <w:tc>
          <w:tcPr>
            <w:tcW w:w="1216" w:type="dxa"/>
            <w:shd w:val="clear" w:color="auto" w:fill="auto"/>
          </w:tcPr>
          <w:p w14:paraId="30EFCAA7"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18</w:t>
            </w:r>
          </w:p>
        </w:tc>
      </w:tr>
      <w:tr w:rsidR="008C268B" w14:paraId="584801DB" w14:textId="77777777" w:rsidTr="001004B8">
        <w:trPr>
          <w:trHeight w:val="325"/>
        </w:trPr>
        <w:tc>
          <w:tcPr>
            <w:tcW w:w="2908" w:type="dxa"/>
            <w:tcBorders>
              <w:top w:val="nil"/>
              <w:left w:val="nil"/>
              <w:bottom w:val="nil"/>
              <w:right w:val="nil"/>
            </w:tcBorders>
            <w:shd w:val="clear" w:color="auto" w:fill="auto"/>
          </w:tcPr>
          <w:p w14:paraId="42451E7E" w14:textId="61762F5F" w:rsidR="008C268B" w:rsidRDefault="00C2626D" w:rsidP="000A55F0">
            <w:pPr>
              <w:spacing w:line="360" w:lineRule="auto"/>
              <w:jc w:val="both"/>
              <w:rPr>
                <w:rFonts w:ascii="Arial" w:eastAsia="Arial" w:hAnsi="Arial" w:cs="Arial"/>
                <w:b/>
                <w:color w:val="000000"/>
              </w:rPr>
            </w:pPr>
            <w:r w:rsidRPr="00EC665E">
              <w:rPr>
                <w:rFonts w:ascii="Arial" w:eastAsia="Arial" w:hAnsi="Arial" w:cs="Arial"/>
                <w:b/>
                <w:color w:val="000000"/>
              </w:rPr>
              <w:t>AVERAGE</w:t>
            </w:r>
            <w:r>
              <w:rPr>
                <w:rFonts w:ascii="Arial" w:eastAsia="Arial" w:hAnsi="Arial" w:cs="Arial"/>
                <w:b/>
                <w:color w:val="000000"/>
              </w:rPr>
              <w:t xml:space="preserve"> </w:t>
            </w:r>
            <w:r w:rsidRPr="00EC665E">
              <w:rPr>
                <w:rFonts w:ascii="Arial" w:eastAsia="Arial" w:hAnsi="Arial" w:cs="Arial"/>
                <w:b/>
                <w:color w:val="000000"/>
              </w:rPr>
              <w:t>POSTOPERATIVE PERIOD</w:t>
            </w:r>
            <w:r>
              <w:rPr>
                <w:rFonts w:ascii="Arial" w:eastAsia="Arial" w:hAnsi="Arial" w:cs="Arial"/>
                <w:b/>
                <w:color w:val="000000"/>
              </w:rPr>
              <w:t xml:space="preserve"> (</w:t>
            </w:r>
            <w:r w:rsidR="008C268B">
              <w:rPr>
                <w:rFonts w:ascii="Arial" w:eastAsia="Arial" w:hAnsi="Arial" w:cs="Arial"/>
                <w:b/>
                <w:color w:val="000000"/>
              </w:rPr>
              <w:t>1°</w:t>
            </w:r>
            <w:r>
              <w:rPr>
                <w:rFonts w:ascii="Arial" w:eastAsia="Arial" w:hAnsi="Arial" w:cs="Arial"/>
                <w:b/>
                <w:color w:val="000000"/>
              </w:rPr>
              <w:t>st Evaluation)</w:t>
            </w:r>
          </w:p>
        </w:tc>
        <w:tc>
          <w:tcPr>
            <w:tcW w:w="4324" w:type="dxa"/>
            <w:tcBorders>
              <w:top w:val="nil"/>
              <w:left w:val="nil"/>
              <w:bottom w:val="nil"/>
              <w:right w:val="nil"/>
            </w:tcBorders>
            <w:shd w:val="clear" w:color="auto" w:fill="auto"/>
          </w:tcPr>
          <w:p w14:paraId="70AFA1E9"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17,31 meses</w:t>
            </w:r>
          </w:p>
        </w:tc>
        <w:tc>
          <w:tcPr>
            <w:tcW w:w="1216" w:type="dxa"/>
            <w:tcBorders>
              <w:top w:val="nil"/>
              <w:left w:val="nil"/>
              <w:bottom w:val="nil"/>
              <w:right w:val="nil"/>
            </w:tcBorders>
            <w:shd w:val="clear" w:color="auto" w:fill="auto"/>
          </w:tcPr>
          <w:p w14:paraId="1CE35531" w14:textId="77777777" w:rsidR="008C268B" w:rsidRDefault="008C268B" w:rsidP="000A55F0">
            <w:pPr>
              <w:spacing w:line="360" w:lineRule="auto"/>
              <w:jc w:val="both"/>
              <w:rPr>
                <w:rFonts w:ascii="Arial" w:eastAsia="Arial" w:hAnsi="Arial" w:cs="Arial"/>
                <w:color w:val="000000"/>
              </w:rPr>
            </w:pPr>
          </w:p>
        </w:tc>
      </w:tr>
      <w:tr w:rsidR="008C268B" w14:paraId="6C6F0FEE" w14:textId="77777777" w:rsidTr="001004B8">
        <w:trPr>
          <w:trHeight w:val="184"/>
        </w:trPr>
        <w:tc>
          <w:tcPr>
            <w:tcW w:w="2908" w:type="dxa"/>
            <w:tcBorders>
              <w:top w:val="nil"/>
              <w:left w:val="nil"/>
              <w:bottom w:val="single" w:sz="4" w:space="0" w:color="000000"/>
              <w:right w:val="nil"/>
            </w:tcBorders>
            <w:shd w:val="clear" w:color="auto" w:fill="auto"/>
          </w:tcPr>
          <w:p w14:paraId="5D7C0C38" w14:textId="0D90D077" w:rsidR="008C268B" w:rsidRDefault="00C2626D" w:rsidP="000A55F0">
            <w:pPr>
              <w:spacing w:line="360" w:lineRule="auto"/>
              <w:jc w:val="both"/>
              <w:rPr>
                <w:rFonts w:ascii="Arial" w:eastAsia="Arial" w:hAnsi="Arial" w:cs="Arial"/>
                <w:b/>
                <w:color w:val="000000"/>
              </w:rPr>
            </w:pPr>
            <w:r w:rsidRPr="00EC665E">
              <w:rPr>
                <w:rFonts w:ascii="Arial" w:eastAsia="Arial" w:hAnsi="Arial" w:cs="Arial"/>
                <w:b/>
                <w:color w:val="000000"/>
              </w:rPr>
              <w:t>AVERAGE</w:t>
            </w:r>
            <w:r>
              <w:rPr>
                <w:rFonts w:ascii="Arial" w:eastAsia="Arial" w:hAnsi="Arial" w:cs="Arial"/>
                <w:b/>
                <w:color w:val="000000"/>
              </w:rPr>
              <w:t xml:space="preserve"> </w:t>
            </w:r>
            <w:r w:rsidRPr="00EC665E">
              <w:rPr>
                <w:rFonts w:ascii="Arial" w:eastAsia="Arial" w:hAnsi="Arial" w:cs="Arial"/>
                <w:b/>
                <w:color w:val="000000"/>
              </w:rPr>
              <w:t>POSTOPERATIVE PERIOD</w:t>
            </w:r>
            <w:r>
              <w:rPr>
                <w:rFonts w:ascii="Arial" w:eastAsia="Arial" w:hAnsi="Arial" w:cs="Arial"/>
                <w:b/>
                <w:color w:val="000000"/>
              </w:rPr>
              <w:t xml:space="preserve"> (2°st Evaluation)</w:t>
            </w:r>
          </w:p>
        </w:tc>
        <w:tc>
          <w:tcPr>
            <w:tcW w:w="4324" w:type="dxa"/>
            <w:tcBorders>
              <w:top w:val="nil"/>
              <w:left w:val="nil"/>
              <w:bottom w:val="single" w:sz="4" w:space="0" w:color="000000"/>
              <w:right w:val="nil"/>
            </w:tcBorders>
            <w:shd w:val="clear" w:color="auto" w:fill="auto"/>
          </w:tcPr>
          <w:p w14:paraId="7AED9C21" w14:textId="77777777" w:rsidR="008C268B" w:rsidRDefault="008C268B" w:rsidP="000A55F0">
            <w:pPr>
              <w:spacing w:line="360" w:lineRule="auto"/>
              <w:jc w:val="both"/>
              <w:rPr>
                <w:rFonts w:ascii="Arial" w:eastAsia="Arial" w:hAnsi="Arial" w:cs="Arial"/>
                <w:color w:val="000000"/>
              </w:rPr>
            </w:pPr>
            <w:r>
              <w:rPr>
                <w:rFonts w:ascii="Arial" w:eastAsia="Arial" w:hAnsi="Arial" w:cs="Arial"/>
                <w:color w:val="000000"/>
              </w:rPr>
              <w:t>42,80 meses</w:t>
            </w:r>
          </w:p>
        </w:tc>
        <w:tc>
          <w:tcPr>
            <w:tcW w:w="1216" w:type="dxa"/>
            <w:tcBorders>
              <w:top w:val="nil"/>
              <w:left w:val="nil"/>
              <w:bottom w:val="single" w:sz="4" w:space="0" w:color="000000"/>
              <w:right w:val="nil"/>
            </w:tcBorders>
            <w:shd w:val="clear" w:color="auto" w:fill="auto"/>
          </w:tcPr>
          <w:p w14:paraId="088B8B63" w14:textId="77777777" w:rsidR="008C268B" w:rsidRDefault="008C268B" w:rsidP="000A55F0">
            <w:pPr>
              <w:spacing w:line="360" w:lineRule="auto"/>
              <w:jc w:val="both"/>
              <w:rPr>
                <w:rFonts w:ascii="Arial" w:eastAsia="Arial" w:hAnsi="Arial" w:cs="Arial"/>
                <w:color w:val="000000"/>
              </w:rPr>
            </w:pPr>
          </w:p>
        </w:tc>
      </w:tr>
    </w:tbl>
    <w:p w14:paraId="400782FC" w14:textId="77777777" w:rsidR="00E053D0" w:rsidRDefault="00E053D0" w:rsidP="00441B6F">
      <w:pPr>
        <w:pStyle w:val="Body"/>
        <w:spacing w:after="0"/>
        <w:rPr>
          <w:rFonts w:ascii="Arial" w:hAnsi="Arial" w:cs="Arial"/>
        </w:rPr>
      </w:pPr>
    </w:p>
    <w:p w14:paraId="6CFBB260" w14:textId="77777777" w:rsidR="00790ADA" w:rsidRDefault="00790ADA" w:rsidP="00441B6F">
      <w:pPr>
        <w:pStyle w:val="Body"/>
        <w:spacing w:after="0"/>
        <w:rPr>
          <w:rFonts w:ascii="Arial" w:hAnsi="Arial" w:cs="Arial"/>
        </w:rPr>
      </w:pPr>
    </w:p>
    <w:p w14:paraId="08C3BF54" w14:textId="280A7CD4" w:rsidR="002D2B3F" w:rsidRPr="002D2B3F" w:rsidRDefault="002D2B3F" w:rsidP="002D2B3F">
      <w:pPr>
        <w:pStyle w:val="Body"/>
        <w:rPr>
          <w:rFonts w:ascii="Arial" w:hAnsi="Arial" w:cs="Arial"/>
        </w:rPr>
      </w:pPr>
      <w:r w:rsidRPr="002D2B3F">
        <w:rPr>
          <w:rFonts w:ascii="Arial" w:hAnsi="Arial" w:cs="Arial"/>
        </w:rPr>
        <w:t>In the Sit-to-Stand phase, which assesses the movement of standing up from a seated position, a decrease in the duration of this movement was observed, from 1.83 ± 0.40 seconds to 1.66 ± 0.42 seconds. This reduction was statistically significant over time (</w:t>
      </w:r>
      <w:r w:rsidR="00910526" w:rsidRPr="00910526">
        <w:rPr>
          <w:rFonts w:ascii="Arial" w:hAnsi="Arial" w:cs="Arial"/>
          <w:i/>
          <w:iCs/>
        </w:rPr>
        <w:t>P</w:t>
      </w:r>
      <w:r w:rsidRPr="00910526">
        <w:rPr>
          <w:rFonts w:ascii="Arial" w:hAnsi="Arial" w:cs="Arial"/>
          <w:i/>
          <w:iCs/>
        </w:rPr>
        <w:t>=.036</w:t>
      </w:r>
      <w:r w:rsidRPr="002D2B3F">
        <w:rPr>
          <w:rFonts w:ascii="Arial" w:hAnsi="Arial" w:cs="Arial"/>
        </w:rPr>
        <w:t>), indicating an improvement in the efficiency of this movement over time. However, no significance was found regarding the type of prosthesis used (</w:t>
      </w:r>
      <w:r w:rsidR="0096741D" w:rsidRPr="0096741D">
        <w:rPr>
          <w:rFonts w:ascii="Arial" w:hAnsi="Arial" w:cs="Arial"/>
          <w:i/>
          <w:iCs/>
        </w:rPr>
        <w:t>P</w:t>
      </w:r>
      <w:r w:rsidRPr="0096741D">
        <w:rPr>
          <w:rFonts w:ascii="Arial" w:hAnsi="Arial" w:cs="Arial"/>
          <w:i/>
          <w:iCs/>
        </w:rPr>
        <w:t>=.134</w:t>
      </w:r>
      <w:r w:rsidRPr="002D2B3F">
        <w:rPr>
          <w:rFonts w:ascii="Arial" w:hAnsi="Arial" w:cs="Arial"/>
        </w:rPr>
        <w:t>) or between the groups with fixed and rotating prostheses (</w:t>
      </w:r>
      <w:r w:rsidR="00910526" w:rsidRPr="0096741D">
        <w:rPr>
          <w:rFonts w:ascii="Arial" w:hAnsi="Arial" w:cs="Arial"/>
          <w:i/>
          <w:iCs/>
        </w:rPr>
        <w:t>P</w:t>
      </w:r>
      <w:r w:rsidRPr="0096741D">
        <w:rPr>
          <w:rFonts w:ascii="Arial" w:hAnsi="Arial" w:cs="Arial"/>
          <w:i/>
          <w:iCs/>
        </w:rPr>
        <w:t>=.665</w:t>
      </w:r>
      <w:r w:rsidRPr="002D2B3F">
        <w:rPr>
          <w:rFonts w:ascii="Arial" w:hAnsi="Arial" w:cs="Arial"/>
        </w:rPr>
        <w:t>). Additionally, the anterior-posterior acceleration in this phase decreased from 4.08 ± 1.79 m/s² to 3.69 ± 2.24 m/s², with no significant difference for the collection time (</w:t>
      </w:r>
      <w:r w:rsidR="0096741D" w:rsidRPr="0096741D">
        <w:rPr>
          <w:rFonts w:ascii="Arial" w:hAnsi="Arial" w:cs="Arial"/>
          <w:i/>
          <w:iCs/>
        </w:rPr>
        <w:t>P</w:t>
      </w:r>
      <w:r w:rsidRPr="0096741D">
        <w:rPr>
          <w:rFonts w:ascii="Arial" w:hAnsi="Arial" w:cs="Arial"/>
          <w:i/>
          <w:iCs/>
        </w:rPr>
        <w:t>=.348</w:t>
      </w:r>
      <w:r w:rsidRPr="002D2B3F">
        <w:rPr>
          <w:rFonts w:ascii="Arial" w:hAnsi="Arial" w:cs="Arial"/>
        </w:rPr>
        <w:t>), the type of prosthesis (</w:t>
      </w:r>
      <w:r w:rsidR="0096741D" w:rsidRPr="0096741D">
        <w:rPr>
          <w:rFonts w:ascii="Arial" w:hAnsi="Arial" w:cs="Arial"/>
          <w:i/>
          <w:iCs/>
        </w:rPr>
        <w:t>P</w:t>
      </w:r>
      <w:r w:rsidRPr="0096741D">
        <w:rPr>
          <w:rFonts w:ascii="Arial" w:hAnsi="Arial" w:cs="Arial"/>
          <w:i/>
          <w:iCs/>
        </w:rPr>
        <w:t>=.278</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=.263</w:t>
      </w:r>
      <w:r w:rsidRPr="002D2B3F">
        <w:rPr>
          <w:rFonts w:ascii="Arial" w:hAnsi="Arial" w:cs="Arial"/>
        </w:rPr>
        <w:t>).</w:t>
      </w:r>
    </w:p>
    <w:p w14:paraId="1CF4A68A" w14:textId="1142D2A5" w:rsidR="002D2B3F" w:rsidRPr="002D2B3F" w:rsidRDefault="002D2B3F" w:rsidP="002D2B3F">
      <w:pPr>
        <w:pStyle w:val="Body"/>
        <w:rPr>
          <w:rFonts w:ascii="Arial" w:hAnsi="Arial" w:cs="Arial"/>
        </w:rPr>
      </w:pPr>
      <w:r w:rsidRPr="002D2B3F">
        <w:rPr>
          <w:rFonts w:ascii="Arial" w:hAnsi="Arial" w:cs="Arial"/>
        </w:rPr>
        <w:t>The mediolateral velocity in the Sit-to-Stand phase also decreased from 2.03 ± 0.82 m/s² to 1.82 ± 0.88 m/s². Although this reduction was noteworthy, no significant difference was observed for time (</w:t>
      </w:r>
      <w:r w:rsidR="0096741D" w:rsidRPr="0096741D">
        <w:rPr>
          <w:rFonts w:ascii="Arial" w:hAnsi="Arial" w:cs="Arial"/>
          <w:i/>
          <w:iCs/>
        </w:rPr>
        <w:t>P</w:t>
      </w:r>
      <w:r w:rsidRPr="0096741D">
        <w:rPr>
          <w:rFonts w:ascii="Arial" w:hAnsi="Arial" w:cs="Arial"/>
          <w:i/>
          <w:iCs/>
        </w:rPr>
        <w:t>=.287</w:t>
      </w:r>
      <w:r w:rsidRPr="002D2B3F">
        <w:rPr>
          <w:rFonts w:ascii="Arial" w:hAnsi="Arial" w:cs="Arial"/>
        </w:rPr>
        <w:t>), the type of implant (</w:t>
      </w:r>
      <w:r w:rsidR="0096741D" w:rsidRPr="0096741D">
        <w:rPr>
          <w:rFonts w:ascii="Arial" w:hAnsi="Arial" w:cs="Arial"/>
          <w:i/>
          <w:iCs/>
        </w:rPr>
        <w:t>P</w:t>
      </w:r>
      <w:r w:rsidRPr="0096741D">
        <w:rPr>
          <w:rFonts w:ascii="Arial" w:hAnsi="Arial" w:cs="Arial"/>
          <w:i/>
          <w:iCs/>
        </w:rPr>
        <w:t>=.095</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=.984</w:t>
      </w:r>
      <w:r w:rsidRPr="002D2B3F">
        <w:rPr>
          <w:rFonts w:ascii="Arial" w:hAnsi="Arial" w:cs="Arial"/>
        </w:rPr>
        <w:t>). The vertical velocity in this phase decreased from 4.55 ± 1.91 m/s² to 3.95 ± 1.96 m/s², with no statistical significance for time (</w:t>
      </w:r>
      <w:r w:rsidR="0096741D" w:rsidRPr="0096741D">
        <w:rPr>
          <w:rFonts w:ascii="Arial" w:hAnsi="Arial" w:cs="Arial"/>
          <w:i/>
          <w:iCs/>
        </w:rPr>
        <w:t>P</w:t>
      </w:r>
      <w:r w:rsidRPr="0096741D">
        <w:rPr>
          <w:rFonts w:ascii="Arial" w:hAnsi="Arial" w:cs="Arial"/>
          <w:i/>
          <w:iCs/>
        </w:rPr>
        <w:t>=.090</w:t>
      </w:r>
      <w:r w:rsidRPr="002D2B3F">
        <w:rPr>
          <w:rFonts w:ascii="Arial" w:hAnsi="Arial" w:cs="Arial"/>
        </w:rPr>
        <w:t>), the type of prosthesis (</w:t>
      </w:r>
      <w:r w:rsidR="0096741D" w:rsidRPr="0096741D">
        <w:rPr>
          <w:rFonts w:ascii="Arial" w:hAnsi="Arial" w:cs="Arial"/>
          <w:i/>
          <w:iCs/>
        </w:rPr>
        <w:t>P</w:t>
      </w:r>
      <w:r w:rsidRPr="0096741D">
        <w:rPr>
          <w:rFonts w:ascii="Arial" w:hAnsi="Arial" w:cs="Arial"/>
          <w:i/>
          <w:iCs/>
        </w:rPr>
        <w:t>=.604</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=.286</w:t>
      </w:r>
      <w:r w:rsidRPr="002D2B3F">
        <w:rPr>
          <w:rFonts w:ascii="Arial" w:hAnsi="Arial" w:cs="Arial"/>
        </w:rPr>
        <w:t>).</w:t>
      </w:r>
    </w:p>
    <w:p w14:paraId="2270C144" w14:textId="5AAEBE59" w:rsidR="002D2B3F" w:rsidRPr="002D2B3F" w:rsidRDefault="002D2B3F" w:rsidP="002D2B3F">
      <w:pPr>
        <w:pStyle w:val="Body"/>
        <w:rPr>
          <w:rFonts w:ascii="Arial" w:hAnsi="Arial" w:cs="Arial"/>
        </w:rPr>
      </w:pPr>
      <w:r w:rsidRPr="002D2B3F">
        <w:rPr>
          <w:rFonts w:ascii="Arial" w:hAnsi="Arial" w:cs="Arial"/>
        </w:rPr>
        <w:t>In the Stand-to-Sit phase, which assesses the movement of sitting down, the duration increased from 2.09 ± 0.39 seconds to 2.15 ± 0.93 seconds, again without significant differences for time (</w:t>
      </w:r>
      <w:r w:rsidR="0096741D" w:rsidRPr="0096741D">
        <w:rPr>
          <w:rFonts w:ascii="Arial" w:hAnsi="Arial" w:cs="Arial"/>
          <w:i/>
          <w:iCs/>
        </w:rPr>
        <w:t>P</w:t>
      </w:r>
      <w:r w:rsidRPr="0096741D">
        <w:rPr>
          <w:rFonts w:ascii="Arial" w:hAnsi="Arial" w:cs="Arial"/>
          <w:i/>
          <w:iCs/>
        </w:rPr>
        <w:t>=.682</w:t>
      </w:r>
      <w:r w:rsidRPr="002D2B3F">
        <w:rPr>
          <w:rFonts w:ascii="Arial" w:hAnsi="Arial" w:cs="Arial"/>
        </w:rPr>
        <w:t>), the type of prosthesis (</w:t>
      </w:r>
      <w:r w:rsidR="0096741D" w:rsidRPr="0096741D">
        <w:rPr>
          <w:rFonts w:ascii="Arial" w:hAnsi="Arial" w:cs="Arial"/>
          <w:i/>
          <w:iCs/>
        </w:rPr>
        <w:t>P</w:t>
      </w:r>
      <w:r w:rsidRPr="0096741D">
        <w:rPr>
          <w:rFonts w:ascii="Arial" w:hAnsi="Arial" w:cs="Arial"/>
          <w:i/>
          <w:iCs/>
        </w:rPr>
        <w:t>=.086</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=.513</w:t>
      </w:r>
      <w:r w:rsidRPr="002D2B3F">
        <w:rPr>
          <w:rFonts w:ascii="Arial" w:hAnsi="Arial" w:cs="Arial"/>
        </w:rPr>
        <w:t>). The anterior-posterior acceleration in this phase decreased from 3.51 ± 1.30 m/s² to 3.25 ± 0.94 m/s², with no significance for time (</w:t>
      </w:r>
      <w:r w:rsidR="0096741D" w:rsidRPr="0096741D">
        <w:rPr>
          <w:rFonts w:ascii="Arial" w:hAnsi="Arial" w:cs="Arial"/>
          <w:i/>
          <w:iCs/>
        </w:rPr>
        <w:t>P</w:t>
      </w:r>
      <w:r w:rsidRPr="0096741D">
        <w:rPr>
          <w:rFonts w:ascii="Arial" w:hAnsi="Arial" w:cs="Arial"/>
          <w:i/>
          <w:iCs/>
        </w:rPr>
        <w:t>=.368</w:t>
      </w:r>
      <w:r w:rsidRPr="002D2B3F">
        <w:rPr>
          <w:rFonts w:ascii="Arial" w:hAnsi="Arial" w:cs="Arial"/>
        </w:rPr>
        <w:t>), the type of implant (</w:t>
      </w:r>
      <w:r w:rsidR="0096741D" w:rsidRPr="0096741D">
        <w:rPr>
          <w:rFonts w:ascii="Arial" w:hAnsi="Arial" w:cs="Arial"/>
          <w:i/>
          <w:iCs/>
        </w:rPr>
        <w:t>P</w:t>
      </w:r>
      <w:r w:rsidRPr="0096741D">
        <w:rPr>
          <w:rFonts w:ascii="Arial" w:hAnsi="Arial" w:cs="Arial"/>
          <w:i/>
          <w:iCs/>
        </w:rPr>
        <w:t>=.700</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=.648</w:t>
      </w:r>
      <w:r w:rsidRPr="002D2B3F">
        <w:rPr>
          <w:rFonts w:ascii="Arial" w:hAnsi="Arial" w:cs="Arial"/>
        </w:rPr>
        <w:t>). The mediolateral velocity decreased from 3.65 ± 1.36 m/s² to 3.03 ± 1.31 m/s², with a significant difference for time (</w:t>
      </w:r>
      <w:r w:rsidR="0096741D" w:rsidRPr="0096741D">
        <w:rPr>
          <w:rFonts w:ascii="Arial" w:hAnsi="Arial" w:cs="Arial"/>
          <w:i/>
          <w:iCs/>
        </w:rPr>
        <w:t>P</w:t>
      </w:r>
      <w:r w:rsidRPr="0096741D">
        <w:rPr>
          <w:rFonts w:ascii="Arial" w:hAnsi="Arial" w:cs="Arial"/>
          <w:i/>
          <w:iCs/>
        </w:rPr>
        <w:t>=.026</w:t>
      </w:r>
      <w:r w:rsidRPr="002D2B3F">
        <w:rPr>
          <w:rFonts w:ascii="Arial" w:hAnsi="Arial" w:cs="Arial"/>
        </w:rPr>
        <w:t>) but no significance for the type of implant (</w:t>
      </w:r>
      <w:r w:rsidR="0096741D" w:rsidRPr="0096741D">
        <w:rPr>
          <w:rFonts w:ascii="Arial" w:hAnsi="Arial" w:cs="Arial"/>
          <w:i/>
          <w:iCs/>
        </w:rPr>
        <w:t>P</w:t>
      </w:r>
      <w:r w:rsidRPr="0096741D">
        <w:rPr>
          <w:rFonts w:ascii="Arial" w:hAnsi="Arial" w:cs="Arial"/>
          <w:i/>
          <w:iCs/>
        </w:rPr>
        <w:t>=.292</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=.820</w:t>
      </w:r>
      <w:r w:rsidRPr="002D2B3F">
        <w:rPr>
          <w:rFonts w:ascii="Arial" w:hAnsi="Arial" w:cs="Arial"/>
        </w:rPr>
        <w:t xml:space="preserve">). Additionally, vertical acceleration increased from 4.60 ± 2.03 m/s² to 5.42 ± 2.43 m/s², with a trend toward significance for time </w:t>
      </w:r>
      <w:r w:rsidRPr="002D2B3F">
        <w:rPr>
          <w:rFonts w:ascii="Arial" w:hAnsi="Arial" w:cs="Arial"/>
        </w:rPr>
        <w:lastRenderedPageBreak/>
        <w:t>(</w:t>
      </w:r>
      <w:r w:rsidR="0096741D" w:rsidRPr="0096741D">
        <w:rPr>
          <w:rFonts w:ascii="Arial" w:hAnsi="Arial" w:cs="Arial"/>
          <w:i/>
          <w:iCs/>
        </w:rPr>
        <w:t>P</w:t>
      </w:r>
      <w:r w:rsidRPr="0096741D">
        <w:rPr>
          <w:rFonts w:ascii="Arial" w:hAnsi="Arial" w:cs="Arial"/>
          <w:i/>
          <w:iCs/>
        </w:rPr>
        <w:t>=.065</w:t>
      </w:r>
      <w:r w:rsidRPr="002D2B3F">
        <w:rPr>
          <w:rFonts w:ascii="Arial" w:hAnsi="Arial" w:cs="Arial"/>
        </w:rPr>
        <w:t>) but no significant difference for the type of implant (</w:t>
      </w:r>
      <w:r w:rsidR="0096741D" w:rsidRPr="0096741D">
        <w:rPr>
          <w:rFonts w:ascii="Arial" w:hAnsi="Arial" w:cs="Arial"/>
          <w:i/>
          <w:iCs/>
        </w:rPr>
        <w:t>P</w:t>
      </w:r>
      <w:r w:rsidRPr="0096741D">
        <w:rPr>
          <w:rFonts w:ascii="Arial" w:hAnsi="Arial" w:cs="Arial"/>
          <w:i/>
          <w:iCs/>
        </w:rPr>
        <w:t>=.371</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=.762</w:t>
      </w:r>
      <w:r w:rsidRPr="002D2B3F">
        <w:rPr>
          <w:rFonts w:ascii="Arial" w:hAnsi="Arial" w:cs="Arial"/>
        </w:rPr>
        <w:t>).</w:t>
      </w:r>
    </w:p>
    <w:p w14:paraId="205DD217" w14:textId="171E71EA" w:rsidR="002D2B3F" w:rsidRPr="002D2B3F" w:rsidRDefault="002D2B3F" w:rsidP="002D2B3F">
      <w:pPr>
        <w:pStyle w:val="Body"/>
        <w:rPr>
          <w:rFonts w:ascii="Arial" w:hAnsi="Arial" w:cs="Arial"/>
        </w:rPr>
      </w:pPr>
      <w:r w:rsidRPr="002D2B3F">
        <w:rPr>
          <w:rFonts w:ascii="Arial" w:hAnsi="Arial" w:cs="Arial"/>
        </w:rPr>
        <w:t>The rotation phase, which assesses the turning movement, showed a decrease in average duration from 3.45 ± 0.90 seconds to 2.57 ± 0.77 seconds, with a significant difference for time (</w:t>
      </w:r>
      <w:r w:rsidR="0096741D" w:rsidRPr="0096741D">
        <w:rPr>
          <w:rFonts w:ascii="Arial" w:hAnsi="Arial" w:cs="Arial"/>
          <w:i/>
          <w:iCs/>
        </w:rPr>
        <w:t>P</w:t>
      </w:r>
      <w:r w:rsidRPr="0096741D">
        <w:rPr>
          <w:rFonts w:ascii="Arial" w:hAnsi="Arial" w:cs="Arial"/>
          <w:i/>
          <w:iCs/>
        </w:rPr>
        <w:t>&lt;.001</w:t>
      </w:r>
      <w:r w:rsidRPr="002D2B3F">
        <w:rPr>
          <w:rFonts w:ascii="Arial" w:hAnsi="Arial" w:cs="Arial"/>
        </w:rPr>
        <w:t>) and for the type of implant (</w:t>
      </w:r>
      <w:r w:rsidR="0096741D" w:rsidRPr="0096741D">
        <w:rPr>
          <w:rFonts w:ascii="Arial" w:hAnsi="Arial" w:cs="Arial"/>
          <w:i/>
          <w:iCs/>
        </w:rPr>
        <w:t>P</w:t>
      </w:r>
      <w:r w:rsidRPr="0096741D">
        <w:rPr>
          <w:rFonts w:ascii="Arial" w:hAnsi="Arial" w:cs="Arial"/>
          <w:i/>
          <w:iCs/>
        </w:rPr>
        <w:t>=.017</w:t>
      </w:r>
      <w:r w:rsidRPr="002D2B3F">
        <w:rPr>
          <w:rFonts w:ascii="Arial" w:hAnsi="Arial" w:cs="Arial"/>
        </w:rPr>
        <w:t>). However, no significant difference was observed between the types of implants (</w:t>
      </w:r>
      <w:r w:rsidR="0096741D" w:rsidRPr="0096741D">
        <w:rPr>
          <w:rFonts w:ascii="Arial" w:hAnsi="Arial" w:cs="Arial"/>
          <w:i/>
          <w:iCs/>
        </w:rPr>
        <w:t>P</w:t>
      </w:r>
      <w:r w:rsidRPr="0096741D">
        <w:rPr>
          <w:rFonts w:ascii="Arial" w:hAnsi="Arial" w:cs="Arial"/>
          <w:i/>
          <w:iCs/>
        </w:rPr>
        <w:t>=.409</w:t>
      </w:r>
      <w:r w:rsidRPr="002D2B3F">
        <w:rPr>
          <w:rFonts w:ascii="Arial" w:hAnsi="Arial" w:cs="Arial"/>
        </w:rPr>
        <w:t>). The rotation speed increased from 54.62 ± 12.12°/s to 68.74 ± 17.71°/s, with clear statistical significance for time (</w:t>
      </w:r>
      <w:r w:rsidR="0096741D" w:rsidRPr="0096741D">
        <w:rPr>
          <w:rFonts w:ascii="Arial" w:hAnsi="Arial" w:cs="Arial"/>
          <w:i/>
          <w:iCs/>
        </w:rPr>
        <w:t>P</w:t>
      </w:r>
      <w:r w:rsidRPr="0096741D">
        <w:rPr>
          <w:rFonts w:ascii="Arial" w:hAnsi="Arial" w:cs="Arial"/>
          <w:i/>
          <w:iCs/>
        </w:rPr>
        <w:t>&lt;.001</w:t>
      </w:r>
      <w:r w:rsidRPr="002D2B3F">
        <w:rPr>
          <w:rFonts w:ascii="Arial" w:hAnsi="Arial" w:cs="Arial"/>
        </w:rPr>
        <w:t>) but no significant difference for the type of implant (</w:t>
      </w:r>
      <w:r w:rsidR="0096741D" w:rsidRPr="0096741D">
        <w:rPr>
          <w:rFonts w:ascii="Arial" w:hAnsi="Arial" w:cs="Arial"/>
          <w:i/>
          <w:iCs/>
        </w:rPr>
        <w:t>P</w:t>
      </w:r>
      <w:r w:rsidRPr="0096741D">
        <w:rPr>
          <w:rFonts w:ascii="Arial" w:hAnsi="Arial" w:cs="Arial"/>
          <w:i/>
          <w:iCs/>
        </w:rPr>
        <w:t>=.327</w:t>
      </w:r>
      <w:r w:rsidRPr="002D2B3F">
        <w:rPr>
          <w:rFonts w:ascii="Arial" w:hAnsi="Arial" w:cs="Arial"/>
        </w:rPr>
        <w:t>) or between the groups (</w:t>
      </w:r>
      <w:r w:rsidR="0096741D" w:rsidRPr="0096741D">
        <w:rPr>
          <w:rFonts w:ascii="Arial" w:hAnsi="Arial" w:cs="Arial"/>
          <w:i/>
          <w:iCs/>
        </w:rPr>
        <w:t>P</w:t>
      </w:r>
      <w:r w:rsidRPr="0096741D">
        <w:rPr>
          <w:rFonts w:ascii="Arial" w:hAnsi="Arial" w:cs="Arial"/>
          <w:i/>
          <w:iCs/>
        </w:rPr>
        <w:t>=.743</w:t>
      </w:r>
      <w:r w:rsidRPr="002D2B3F">
        <w:rPr>
          <w:rFonts w:ascii="Arial" w:hAnsi="Arial" w:cs="Arial"/>
        </w:rPr>
        <w:t>).</w:t>
      </w:r>
    </w:p>
    <w:p w14:paraId="367D5387" w14:textId="049D4854" w:rsidR="002D2B3F" w:rsidRPr="002D2B3F" w:rsidRDefault="002D2B3F" w:rsidP="002D2B3F">
      <w:pPr>
        <w:pStyle w:val="Body"/>
        <w:rPr>
          <w:rFonts w:ascii="Arial" w:hAnsi="Arial" w:cs="Arial"/>
        </w:rPr>
      </w:pPr>
      <w:r w:rsidRPr="002D2B3F">
        <w:rPr>
          <w:rFonts w:ascii="Arial" w:hAnsi="Arial" w:cs="Arial"/>
        </w:rPr>
        <w:t>In the final rotation phase, the duration decreased from 2.48 ± 0.79 seconds to 2.23 ± 0.49 seconds, with a trend toward significance for time (</w:t>
      </w:r>
      <w:r w:rsidR="0096741D" w:rsidRPr="0096741D">
        <w:rPr>
          <w:rFonts w:ascii="Arial" w:hAnsi="Arial" w:cs="Arial"/>
          <w:i/>
          <w:iCs/>
        </w:rPr>
        <w:t>P</w:t>
      </w:r>
      <w:r w:rsidRPr="0096741D">
        <w:rPr>
          <w:rFonts w:ascii="Arial" w:hAnsi="Arial" w:cs="Arial"/>
          <w:i/>
          <w:iCs/>
        </w:rPr>
        <w:t>=0.056</w:t>
      </w:r>
      <w:r w:rsidRPr="002D2B3F">
        <w:rPr>
          <w:rFonts w:ascii="Arial" w:hAnsi="Arial" w:cs="Arial"/>
        </w:rPr>
        <w:t>) and the type of implant (</w:t>
      </w:r>
      <w:r w:rsidR="0096741D" w:rsidRPr="0096741D">
        <w:rPr>
          <w:rFonts w:ascii="Arial" w:hAnsi="Arial" w:cs="Arial"/>
          <w:i/>
          <w:iCs/>
        </w:rPr>
        <w:t>P</w:t>
      </w:r>
      <w:r w:rsidRPr="0096741D">
        <w:rPr>
          <w:rFonts w:ascii="Arial" w:hAnsi="Arial" w:cs="Arial"/>
          <w:i/>
          <w:iCs/>
        </w:rPr>
        <w:t>=.053</w:t>
      </w:r>
      <w:r w:rsidRPr="002D2B3F">
        <w:rPr>
          <w:rFonts w:ascii="Arial" w:hAnsi="Arial" w:cs="Arial"/>
        </w:rPr>
        <w:t>), but no significant difference between the groups (</w:t>
      </w:r>
      <w:r w:rsidR="0096741D" w:rsidRPr="0096741D">
        <w:rPr>
          <w:rFonts w:ascii="Arial" w:hAnsi="Arial" w:cs="Arial"/>
          <w:i/>
          <w:iCs/>
        </w:rPr>
        <w:t>P</w:t>
      </w:r>
      <w:r w:rsidRPr="0096741D">
        <w:rPr>
          <w:rFonts w:ascii="Arial" w:hAnsi="Arial" w:cs="Arial"/>
          <w:i/>
          <w:iCs/>
        </w:rPr>
        <w:t>=.155</w:t>
      </w:r>
      <w:r w:rsidRPr="002D2B3F">
        <w:rPr>
          <w:rFonts w:ascii="Arial" w:hAnsi="Arial" w:cs="Arial"/>
        </w:rPr>
        <w:t>). Finally, the average rotation speed in the final phase increased from 68.03 ± 15.38°/s to 75.13 ± 13.81°/s, with a significant difference for time (</w:t>
      </w:r>
      <w:r w:rsidR="0096741D" w:rsidRPr="0096741D">
        <w:rPr>
          <w:rFonts w:ascii="Arial" w:hAnsi="Arial" w:cs="Arial"/>
          <w:i/>
          <w:iCs/>
        </w:rPr>
        <w:t>P</w:t>
      </w:r>
      <w:r w:rsidRPr="0096741D">
        <w:rPr>
          <w:rFonts w:ascii="Arial" w:hAnsi="Arial" w:cs="Arial"/>
          <w:i/>
          <w:iCs/>
        </w:rPr>
        <w:t>=.008</w:t>
      </w:r>
      <w:r w:rsidRPr="002D2B3F">
        <w:rPr>
          <w:rFonts w:ascii="Arial" w:hAnsi="Arial" w:cs="Arial"/>
        </w:rPr>
        <w:t>) and a trend toward significance for the type of implant (</w:t>
      </w:r>
      <w:r w:rsidR="0096741D" w:rsidRPr="0096741D">
        <w:rPr>
          <w:rFonts w:ascii="Arial" w:hAnsi="Arial" w:cs="Arial"/>
          <w:i/>
          <w:iCs/>
        </w:rPr>
        <w:t>P</w:t>
      </w:r>
      <w:r w:rsidRPr="0096741D">
        <w:rPr>
          <w:rFonts w:ascii="Arial" w:hAnsi="Arial" w:cs="Arial"/>
          <w:i/>
          <w:iCs/>
        </w:rPr>
        <w:t>=.057</w:t>
      </w:r>
      <w:r w:rsidRPr="002D2B3F">
        <w:rPr>
          <w:rFonts w:ascii="Arial" w:hAnsi="Arial" w:cs="Arial"/>
        </w:rPr>
        <w:t>), although no significant difference was observed between the groups (</w:t>
      </w:r>
      <w:r w:rsidR="0096741D" w:rsidRPr="0096741D">
        <w:rPr>
          <w:rFonts w:ascii="Arial" w:hAnsi="Arial" w:cs="Arial"/>
          <w:i/>
          <w:iCs/>
        </w:rPr>
        <w:t>P</w:t>
      </w:r>
      <w:r w:rsidRPr="0096741D">
        <w:rPr>
          <w:rFonts w:ascii="Arial" w:hAnsi="Arial" w:cs="Arial"/>
          <w:i/>
          <w:iCs/>
        </w:rPr>
        <w:t>=.316</w:t>
      </w:r>
      <w:r w:rsidRPr="002D2B3F">
        <w:rPr>
          <w:rFonts w:ascii="Arial" w:hAnsi="Arial" w:cs="Arial"/>
        </w:rPr>
        <w:t>).</w:t>
      </w:r>
    </w:p>
    <w:p w14:paraId="028EE6A4" w14:textId="00FA30F2" w:rsidR="00376BBE" w:rsidRDefault="002D2B3F" w:rsidP="002D2B3F">
      <w:pPr>
        <w:pStyle w:val="Body"/>
        <w:spacing w:after="0"/>
        <w:rPr>
          <w:rFonts w:ascii="Arial" w:hAnsi="Arial" w:cs="Arial"/>
        </w:rPr>
      </w:pPr>
      <w:r w:rsidRPr="002D2B3F">
        <w:rPr>
          <w:rFonts w:ascii="Arial" w:hAnsi="Arial" w:cs="Arial"/>
        </w:rPr>
        <w:t>These results demonstrate that, despite some significant changes observed over time in certain phases and variables, the differences between the types of prostheses (fixed and rotating) were generally not statistically significant, suggesting that both prostheses exhibit similar functional performance in terms of mobility and function over time.</w:t>
      </w:r>
    </w:p>
    <w:p w14:paraId="3F32D368" w14:textId="77777777" w:rsidR="00376BBE" w:rsidRDefault="00376BBE" w:rsidP="00441B6F">
      <w:pPr>
        <w:pStyle w:val="Body"/>
        <w:spacing w:after="0"/>
        <w:rPr>
          <w:rFonts w:ascii="Arial" w:hAnsi="Arial" w:cs="Arial"/>
        </w:rPr>
      </w:pPr>
    </w:p>
    <w:p w14:paraId="63E17FFD" w14:textId="72FCEFE0" w:rsidR="003F6AB7" w:rsidRDefault="003F6AB7" w:rsidP="003F6AB7">
      <w:pPr>
        <w:pStyle w:val="Body"/>
        <w:spacing w:after="0"/>
        <w:rPr>
          <w:rFonts w:ascii="Arial" w:hAnsi="Arial" w:cs="Arial"/>
          <w:lang w:val="pt-BR"/>
        </w:rPr>
      </w:pPr>
      <w:r w:rsidRPr="003F6AB7">
        <w:rPr>
          <w:rFonts w:ascii="Arial" w:hAnsi="Arial" w:cs="Arial"/>
          <w:lang w:val="pt-BR"/>
        </w:rPr>
        <w:t>The results presented demonstrate the complexity of functional adaptations following total knee arthroplasty (TKA). While the improvement in the efficiency of movements such as Sit-to-Stand was significant over time, other parameters, such as the total time for the Timed Up and Go (TUG) test, did not show statistically significant differences. This lack of significance, coupled with reported functional difficulties in daily activities such as climbing stairs or getting in and out of vehicles (van den Dikkenberg et al.</w:t>
      </w:r>
      <w:r>
        <w:rPr>
          <w:rFonts w:ascii="Arial" w:hAnsi="Arial" w:cs="Arial"/>
          <w:lang w:val="pt-BR"/>
        </w:rPr>
        <w:t xml:space="preserve"> </w:t>
      </w:r>
      <w:r w:rsidRPr="003F6AB7">
        <w:rPr>
          <w:rFonts w:ascii="Arial" w:hAnsi="Arial" w:cs="Arial"/>
          <w:lang w:val="pt-BR"/>
        </w:rPr>
        <w:t>2002), suggests that postoperative gains may not be sufficient to fully meet the daily demands of these patients.</w:t>
      </w:r>
    </w:p>
    <w:p w14:paraId="787ED9AA" w14:textId="77777777" w:rsidR="003F6AB7" w:rsidRPr="003F6AB7" w:rsidRDefault="003F6AB7" w:rsidP="003F6AB7">
      <w:pPr>
        <w:pStyle w:val="Body"/>
        <w:spacing w:after="0"/>
        <w:rPr>
          <w:rFonts w:ascii="Arial" w:hAnsi="Arial" w:cs="Arial"/>
          <w:lang w:val="pt-BR"/>
        </w:rPr>
      </w:pPr>
    </w:p>
    <w:p w14:paraId="5CF7FD4D" w14:textId="7EF3A991" w:rsidR="003F6AB7" w:rsidRDefault="003F6AB7" w:rsidP="003F6AB7">
      <w:pPr>
        <w:pStyle w:val="Body"/>
        <w:spacing w:after="0"/>
        <w:rPr>
          <w:rFonts w:ascii="Arial" w:hAnsi="Arial" w:cs="Arial"/>
          <w:lang w:val="pt-BR"/>
        </w:rPr>
      </w:pPr>
      <w:r w:rsidRPr="003F6AB7">
        <w:rPr>
          <w:rFonts w:ascii="Arial" w:hAnsi="Arial" w:cs="Arial"/>
          <w:lang w:val="pt-BR"/>
        </w:rPr>
        <w:t>The data reinforce the importance of precise and comprehensive measurements to evaluate the impact of TKA. The analysis of spatiotemporal and kinematic parameters, such as the duration of specific phases and accelerations in different directions, is essential for a detailed understanding of gait in patients undergoing this type of surgical intervention. Previous studies show that inertial sensors provide measurements comparable to optoelectronic and electro-electronic systems, widely regarded as the gold standard (Jarchi et al. 2018; Kobsar et al.</w:t>
      </w:r>
      <w:r w:rsidR="00013B8E">
        <w:rPr>
          <w:rFonts w:ascii="Arial" w:hAnsi="Arial" w:cs="Arial"/>
          <w:lang w:val="pt-BR"/>
        </w:rPr>
        <w:t xml:space="preserve"> </w:t>
      </w:r>
      <w:r w:rsidRPr="003F6AB7">
        <w:rPr>
          <w:rFonts w:ascii="Arial" w:hAnsi="Arial" w:cs="Arial"/>
          <w:lang w:val="pt-BR"/>
        </w:rPr>
        <w:t>2020). This opens new possibilities for large-scale clinical assessments at lower costs, especially in settings that lack sophisticated equipment (Boekesteijn et al. 2022).</w:t>
      </w:r>
    </w:p>
    <w:p w14:paraId="4B6BD725" w14:textId="77777777" w:rsidR="00E629E5" w:rsidRPr="003F6AB7" w:rsidRDefault="00E629E5" w:rsidP="003F6AB7">
      <w:pPr>
        <w:pStyle w:val="Body"/>
        <w:spacing w:after="0"/>
        <w:rPr>
          <w:rFonts w:ascii="Arial" w:hAnsi="Arial" w:cs="Arial"/>
          <w:lang w:val="pt-BR"/>
        </w:rPr>
      </w:pPr>
    </w:p>
    <w:p w14:paraId="30BD5E7F" w14:textId="776AB8B3" w:rsidR="003F6AB7" w:rsidRDefault="003F6AB7" w:rsidP="003F6AB7">
      <w:pPr>
        <w:pStyle w:val="Body"/>
        <w:spacing w:after="0"/>
        <w:rPr>
          <w:rFonts w:ascii="Arial" w:hAnsi="Arial" w:cs="Arial"/>
          <w:lang w:val="pt-BR"/>
        </w:rPr>
      </w:pPr>
      <w:r w:rsidRPr="003F6AB7">
        <w:rPr>
          <w:rFonts w:ascii="Arial" w:hAnsi="Arial" w:cs="Arial"/>
          <w:lang w:val="pt-BR"/>
        </w:rPr>
        <w:t>However, gait analysis in laboratory settings may be influenced by factors such as the Hawthorne effect, which describes changes in behavior due to direct observation by researchers (McCarney et al.</w:t>
      </w:r>
      <w:r w:rsidR="004814E8">
        <w:rPr>
          <w:rFonts w:ascii="Arial" w:hAnsi="Arial" w:cs="Arial"/>
          <w:lang w:val="pt-BR"/>
        </w:rPr>
        <w:t xml:space="preserve"> </w:t>
      </w:r>
      <w:r w:rsidRPr="003F6AB7">
        <w:rPr>
          <w:rFonts w:ascii="Arial" w:hAnsi="Arial" w:cs="Arial"/>
          <w:lang w:val="pt-BR"/>
        </w:rPr>
        <w:t>2007). This interference can be particularly relevant for gait studies, where direct observation may lead to unnatural movement patterns. Thus, the difference between daily gait and laboratory gait is a limitation that must be considered when interpreting results. Future studies could benefit from data collection in more natural environments, such as using inertial sensors under real-life conditions, to assess functional performance in a more representative manner.</w:t>
      </w:r>
    </w:p>
    <w:p w14:paraId="7DCDD622" w14:textId="77777777" w:rsidR="00831680" w:rsidRPr="003F6AB7" w:rsidRDefault="00831680" w:rsidP="003F6AB7">
      <w:pPr>
        <w:pStyle w:val="Body"/>
        <w:spacing w:after="0"/>
        <w:rPr>
          <w:rFonts w:ascii="Arial" w:hAnsi="Arial" w:cs="Arial"/>
          <w:lang w:val="pt-BR"/>
        </w:rPr>
      </w:pPr>
    </w:p>
    <w:p w14:paraId="6BDEFAB6" w14:textId="6E2E5C1F" w:rsidR="003F6AB7" w:rsidRDefault="003F6AB7" w:rsidP="003F6AB7">
      <w:pPr>
        <w:pStyle w:val="Body"/>
        <w:spacing w:after="0"/>
        <w:rPr>
          <w:rFonts w:ascii="Arial" w:hAnsi="Arial" w:cs="Arial"/>
          <w:lang w:val="pt-BR"/>
        </w:rPr>
      </w:pPr>
      <w:r w:rsidRPr="003F6AB7">
        <w:rPr>
          <w:rFonts w:ascii="Arial" w:hAnsi="Arial" w:cs="Arial"/>
          <w:lang w:val="pt-BR"/>
        </w:rPr>
        <w:t>The findings also align with systematic reviews that have identified slower gait speed, shorter step length, and shorter stride duration in individuals with knee or hip osteoarthritis (OA) compared to healthy controls (Ornetti et al.</w:t>
      </w:r>
      <w:r w:rsidR="00C46393">
        <w:rPr>
          <w:rFonts w:ascii="Arial" w:hAnsi="Arial" w:cs="Arial"/>
          <w:lang w:val="pt-BR"/>
        </w:rPr>
        <w:t xml:space="preserve"> </w:t>
      </w:r>
      <w:r w:rsidRPr="003F6AB7">
        <w:rPr>
          <w:rFonts w:ascii="Arial" w:hAnsi="Arial" w:cs="Arial"/>
          <w:lang w:val="pt-BR"/>
        </w:rPr>
        <w:t xml:space="preserve">2010; Constantinou et al. 2014). These gait alterations are consistent with the functional limitations observed in post-TKA patients, even when some parameters show improvements over time, such as in the Sit-to-Stand phase or </w:t>
      </w:r>
      <w:r w:rsidRPr="003F6AB7">
        <w:rPr>
          <w:rFonts w:ascii="Arial" w:hAnsi="Arial" w:cs="Arial"/>
          <w:lang w:val="pt-BR"/>
        </w:rPr>
        <w:lastRenderedPageBreak/>
        <w:t>the rotation phase. However, the absolute values of these changes in many cases remain below the minimum detectable thresholds reported in the literature, such as those established by Kennedy et al. (2005) for TUG, 6MW, and SCT. This reinforces that, while some changes are statistically significant, their clinical relevance may be questionable.</w:t>
      </w:r>
    </w:p>
    <w:p w14:paraId="51DB5E80" w14:textId="77777777" w:rsidR="00F81927" w:rsidRPr="003F6AB7" w:rsidRDefault="00F81927" w:rsidP="003F6AB7">
      <w:pPr>
        <w:pStyle w:val="Body"/>
        <w:spacing w:after="0"/>
        <w:rPr>
          <w:rFonts w:ascii="Arial" w:hAnsi="Arial" w:cs="Arial"/>
          <w:lang w:val="pt-BR"/>
        </w:rPr>
      </w:pPr>
    </w:p>
    <w:p w14:paraId="64450A62" w14:textId="77777777" w:rsidR="003F6AB7" w:rsidRDefault="003F6AB7" w:rsidP="003F6AB7">
      <w:pPr>
        <w:pStyle w:val="Body"/>
        <w:spacing w:after="0"/>
        <w:rPr>
          <w:rFonts w:ascii="Arial" w:hAnsi="Arial" w:cs="Arial"/>
          <w:lang w:val="pt-BR"/>
        </w:rPr>
      </w:pPr>
      <w:r w:rsidRPr="003F6AB7">
        <w:rPr>
          <w:rFonts w:ascii="Arial" w:hAnsi="Arial" w:cs="Arial"/>
          <w:lang w:val="pt-BR"/>
        </w:rPr>
        <w:t>Another important point is the similarity between the performances of fixed and rotating prostheses. The results show that, despite statistically significant differences in some variables, such as the duration of the rotation phase, the prostheses tend to exhibit comparable functional performances. This equivalence between different prostheses reflects technological advances in the field, indicating that both can be effective in functional rehabilitation, depending on other factors such as surgical preferences or patient adaptations (Boekesteijn et al., 2022).</w:t>
      </w:r>
    </w:p>
    <w:p w14:paraId="560DEE94" w14:textId="77777777" w:rsidR="00F81927" w:rsidRPr="003F6AB7" w:rsidRDefault="00F81927" w:rsidP="003F6AB7">
      <w:pPr>
        <w:pStyle w:val="Body"/>
        <w:spacing w:after="0"/>
        <w:rPr>
          <w:rFonts w:ascii="Arial" w:hAnsi="Arial" w:cs="Arial"/>
          <w:lang w:val="pt-BR"/>
        </w:rPr>
      </w:pPr>
    </w:p>
    <w:p w14:paraId="47AC2B97" w14:textId="4D65B3A2" w:rsidR="003F6AB7" w:rsidRPr="003F6AB7" w:rsidRDefault="003F6AB7" w:rsidP="003F6AB7">
      <w:pPr>
        <w:pStyle w:val="Body"/>
        <w:spacing w:after="0"/>
        <w:rPr>
          <w:rFonts w:ascii="Arial" w:hAnsi="Arial" w:cs="Arial"/>
          <w:lang w:val="pt-BR"/>
        </w:rPr>
      </w:pPr>
      <w:r w:rsidRPr="003F6AB7">
        <w:rPr>
          <w:rFonts w:ascii="Arial" w:hAnsi="Arial" w:cs="Arial"/>
          <w:lang w:val="pt-BR"/>
        </w:rPr>
        <w:t>Finally, a recognized limitation of this study was the lack of complete data for all participants, which may reduce the statistical power of the analyses. However, as mentioned, the analysis of the subset with complete data did not reveal systematic bias. Moreover, functional recovery should not be evaluated solely based on objective parameters. Perceptions of pain, function, motivation, and psychological state are essential factors that influence recovery and vary significantly between individuals. A comprehensive understanding of functional recovery after TKA requires a multifaceted approach that combines objective measures with subjective assessments to capture the nuances of each patient's experience (McCarney et al., 2007).</w:t>
      </w:r>
    </w:p>
    <w:p w14:paraId="7D60F544" w14:textId="77777777" w:rsidR="00E053D0" w:rsidRDefault="00E053D0" w:rsidP="00441B6F">
      <w:pPr>
        <w:pStyle w:val="Body"/>
        <w:spacing w:after="0"/>
        <w:rPr>
          <w:rFonts w:ascii="Arial" w:hAnsi="Arial" w:cs="Arial"/>
        </w:rPr>
      </w:pPr>
    </w:p>
    <w:p w14:paraId="0BAE2BEA" w14:textId="77777777" w:rsidR="00790ADA" w:rsidRPr="00FB3A86" w:rsidRDefault="00790ADA" w:rsidP="00441B6F">
      <w:pPr>
        <w:pStyle w:val="Body"/>
        <w:spacing w:after="0"/>
        <w:rPr>
          <w:rFonts w:ascii="Arial" w:hAnsi="Arial" w:cs="Arial"/>
        </w:rPr>
      </w:pPr>
    </w:p>
    <w:p w14:paraId="33D76D60"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6A8BCCA5" w14:textId="77777777" w:rsidR="00790ADA" w:rsidRPr="00FB3A86" w:rsidRDefault="00790ADA" w:rsidP="00441B6F">
      <w:pPr>
        <w:pStyle w:val="ConcHead"/>
        <w:spacing w:after="0"/>
        <w:jc w:val="both"/>
        <w:rPr>
          <w:rFonts w:ascii="Arial" w:hAnsi="Arial" w:cs="Arial"/>
        </w:rPr>
      </w:pPr>
    </w:p>
    <w:p w14:paraId="1B905DD0" w14:textId="77777777" w:rsidR="008335A9" w:rsidRDefault="008335A9" w:rsidP="008335A9">
      <w:pPr>
        <w:pStyle w:val="Body"/>
        <w:spacing w:after="0"/>
        <w:rPr>
          <w:rFonts w:ascii="Arial" w:hAnsi="Arial" w:cs="Arial"/>
          <w:lang w:val="pt-BR"/>
        </w:rPr>
      </w:pPr>
      <w:r w:rsidRPr="008335A9">
        <w:rPr>
          <w:rFonts w:ascii="Arial" w:hAnsi="Arial" w:cs="Arial"/>
          <w:lang w:val="pt-BR"/>
        </w:rPr>
        <w:t>The results of this study highlight the complexity of functional adaptations following total knee arthroplasty (TKA). While a significant improvement in movement efficiency during the Sit-to-Stand phase was observed over time, other parameters, such as the total time for the Timed Up and Go (TUG) test, did not show statistically significant differences. Additionally, fixed and rotating prostheses demonstrated largely comparable functional performances, with no significant differences in most of the variables analyzed.</w:t>
      </w:r>
    </w:p>
    <w:p w14:paraId="1DEB694D" w14:textId="77777777" w:rsidR="008335A9" w:rsidRPr="008335A9" w:rsidRDefault="008335A9" w:rsidP="008335A9">
      <w:pPr>
        <w:pStyle w:val="Body"/>
        <w:spacing w:after="0"/>
        <w:rPr>
          <w:rFonts w:ascii="Arial" w:hAnsi="Arial" w:cs="Arial"/>
          <w:lang w:val="pt-BR"/>
        </w:rPr>
      </w:pPr>
    </w:p>
    <w:p w14:paraId="0C6BAD70" w14:textId="77777777" w:rsidR="008335A9" w:rsidRDefault="008335A9" w:rsidP="008335A9">
      <w:pPr>
        <w:pStyle w:val="Body"/>
        <w:spacing w:after="0"/>
        <w:rPr>
          <w:rFonts w:ascii="Arial" w:hAnsi="Arial" w:cs="Arial"/>
          <w:lang w:val="pt-BR"/>
        </w:rPr>
      </w:pPr>
      <w:r w:rsidRPr="008335A9">
        <w:rPr>
          <w:rFonts w:ascii="Arial" w:hAnsi="Arial" w:cs="Arial"/>
          <w:lang w:val="pt-BR"/>
        </w:rPr>
        <w:t>The analysis also indicated significant changes during the rotation phase, with a reduction in duration and an increase in rotation speed, suggesting specific improvements over time. However, other variables, such as accelerations and velocities in different directions during the Sit-to-Stand and Stand-to-Sit phases, showed trends toward significance or did not exhibit statistically relevant changes.</w:t>
      </w:r>
    </w:p>
    <w:p w14:paraId="5B6E093B" w14:textId="77777777" w:rsidR="00E629E5" w:rsidRPr="008335A9" w:rsidRDefault="00E629E5" w:rsidP="008335A9">
      <w:pPr>
        <w:pStyle w:val="Body"/>
        <w:spacing w:after="0"/>
        <w:rPr>
          <w:rFonts w:ascii="Arial" w:hAnsi="Arial" w:cs="Arial"/>
          <w:lang w:val="pt-BR"/>
        </w:rPr>
      </w:pPr>
    </w:p>
    <w:p w14:paraId="19E94FFF" w14:textId="77777777" w:rsidR="008335A9" w:rsidRPr="008335A9" w:rsidRDefault="008335A9" w:rsidP="008335A9">
      <w:pPr>
        <w:pStyle w:val="Body"/>
        <w:spacing w:after="0"/>
        <w:rPr>
          <w:rFonts w:ascii="Arial" w:hAnsi="Arial" w:cs="Arial"/>
          <w:lang w:val="pt-BR"/>
        </w:rPr>
      </w:pPr>
      <w:r w:rsidRPr="008335A9">
        <w:rPr>
          <w:rFonts w:ascii="Arial" w:hAnsi="Arial" w:cs="Arial"/>
          <w:lang w:val="pt-BR"/>
        </w:rPr>
        <w:t>The study's limitations include the absence of complete data for all participants, which may have reduced the statistical power of the analyses. Nonetheless, the available data do not suggest the presence of systematic bias. The research emphasizes the need for a multifaceted evaluation of functional recovery that integrates both objective and subjective measures, considering factors such as pain perception, motivation, and psychological state.</w:t>
      </w:r>
    </w:p>
    <w:p w14:paraId="26AEA6DB" w14:textId="14892C46" w:rsidR="008335A9" w:rsidRPr="008335A9" w:rsidRDefault="008335A9" w:rsidP="008335A9">
      <w:pPr>
        <w:pStyle w:val="Body"/>
        <w:spacing w:after="0"/>
        <w:rPr>
          <w:rFonts w:ascii="Arial" w:hAnsi="Arial" w:cs="Arial"/>
          <w:lang w:val="pt-BR"/>
        </w:rPr>
      </w:pPr>
      <w:r w:rsidRPr="008335A9">
        <w:rPr>
          <w:rFonts w:ascii="Arial" w:hAnsi="Arial" w:cs="Arial"/>
          <w:lang w:val="pt-BR"/>
        </w:rPr>
        <w:t>Finally, the study highlights the potential of inertial sensor-based technologies for large-scale clinical measurements and real-world conditions, offering advantages in terms of cost and accessibility. These findings contribute to understanding the limitations and potential for functional recovery after TKA, emphasizing the importance of personalized and comprehensive approaches to rehabilitation.</w:t>
      </w:r>
    </w:p>
    <w:p w14:paraId="21A867CA" w14:textId="77777777" w:rsidR="00790ADA" w:rsidRPr="00FB3A86" w:rsidRDefault="00790ADA" w:rsidP="00441B6F">
      <w:pPr>
        <w:pStyle w:val="Body"/>
        <w:spacing w:after="0"/>
        <w:rPr>
          <w:rFonts w:ascii="Arial" w:hAnsi="Arial" w:cs="Arial"/>
        </w:rPr>
      </w:pPr>
    </w:p>
    <w:p w14:paraId="27DB74FA" w14:textId="3F8CE54D" w:rsidR="0080700F" w:rsidRDefault="0080700F" w:rsidP="0080700F">
      <w:pPr>
        <w:pStyle w:val="ReferHead"/>
        <w:spacing w:after="0"/>
        <w:jc w:val="both"/>
        <w:rPr>
          <w:rFonts w:ascii="Arial" w:hAnsi="Arial" w:cs="Arial"/>
          <w:bCs/>
        </w:rPr>
      </w:pPr>
      <w:r>
        <w:rPr>
          <w:rFonts w:ascii="Arial" w:hAnsi="Arial" w:cs="Arial"/>
        </w:rPr>
        <w:lastRenderedPageBreak/>
        <w:br/>
      </w:r>
      <w:r>
        <w:rPr>
          <w:rFonts w:ascii="Arial" w:hAnsi="Arial" w:cs="Arial"/>
          <w:bCs/>
        </w:rPr>
        <w:t>Ethical approval</w:t>
      </w:r>
    </w:p>
    <w:p w14:paraId="2923685F" w14:textId="77777777" w:rsidR="0080700F" w:rsidRDefault="0080700F" w:rsidP="0080700F">
      <w:pPr>
        <w:pStyle w:val="ReferHead"/>
        <w:spacing w:after="0"/>
        <w:jc w:val="both"/>
        <w:rPr>
          <w:rFonts w:ascii="Arial" w:hAnsi="Arial" w:cs="Arial"/>
          <w:bCs/>
        </w:rPr>
      </w:pPr>
    </w:p>
    <w:p w14:paraId="4E67DE46" w14:textId="40A4DE70" w:rsidR="0080700F" w:rsidRDefault="0080700F" w:rsidP="0080700F">
      <w:pPr>
        <w:pStyle w:val="ReferHead"/>
        <w:spacing w:after="0"/>
        <w:jc w:val="both"/>
        <w:rPr>
          <w:rFonts w:ascii="Arial" w:hAnsi="Arial" w:cs="Arial"/>
          <w:b w:val="0"/>
          <w:caps w:val="0"/>
          <w:sz w:val="20"/>
          <w:lang w:val="pt-BR"/>
        </w:rPr>
      </w:pPr>
      <w:r w:rsidRPr="004D5F86">
        <w:rPr>
          <w:rFonts w:ascii="Arial" w:hAnsi="Arial" w:cs="Arial"/>
          <w:b w:val="0"/>
          <w:caps w:val="0"/>
          <w:sz w:val="20"/>
          <w:lang w:val="pt-BR"/>
        </w:rPr>
        <w:t xml:space="preserve">The present study complies with the guidelines and regulatory standards for research involving human beings, formulated by the national health council of the ministry of health, established in october 1996 and updated in resolution 466 in 2012, in brazil. The study was conducted after approval by the ethics committee </w:t>
      </w:r>
      <w:r w:rsidR="00476054">
        <w:rPr>
          <w:rFonts w:ascii="Arial" w:hAnsi="Arial" w:cs="Arial"/>
          <w:b w:val="0"/>
          <w:caps w:val="0"/>
          <w:sz w:val="20"/>
          <w:lang w:val="pt-BR"/>
        </w:rPr>
        <w:t>Platform</w:t>
      </w:r>
      <w:r w:rsidR="00DA6FAD">
        <w:rPr>
          <w:rFonts w:ascii="Arial" w:hAnsi="Arial" w:cs="Arial"/>
          <w:b w:val="0"/>
          <w:caps w:val="0"/>
          <w:sz w:val="20"/>
          <w:lang w:val="pt-BR"/>
        </w:rPr>
        <w:t xml:space="preserve"> Brazil, A</w:t>
      </w:r>
      <w:r w:rsidRPr="004D5F86">
        <w:rPr>
          <w:rFonts w:ascii="Arial" w:hAnsi="Arial" w:cs="Arial"/>
          <w:b w:val="0"/>
          <w:caps w:val="0"/>
          <w:sz w:val="20"/>
          <w:lang w:val="pt-BR"/>
        </w:rPr>
        <w:t xml:space="preserve">nápolis, </w:t>
      </w:r>
      <w:r w:rsidR="00DA6FAD">
        <w:rPr>
          <w:rFonts w:ascii="Arial" w:hAnsi="Arial" w:cs="Arial"/>
          <w:b w:val="0"/>
          <w:caps w:val="0"/>
          <w:sz w:val="20"/>
          <w:lang w:val="pt-BR"/>
        </w:rPr>
        <w:t>Goiás</w:t>
      </w:r>
      <w:r w:rsidRPr="004D5F86">
        <w:rPr>
          <w:rFonts w:ascii="Arial" w:hAnsi="Arial" w:cs="Arial"/>
          <w:b w:val="0"/>
          <w:caps w:val="0"/>
          <w:sz w:val="20"/>
          <w:lang w:val="pt-BR"/>
        </w:rPr>
        <w:t>, under protocol number 6.775.127 and caae certification number: 52052421.9.0000.5076. This is a prospective, observational, and comparative study in which all participants agreed to their participation by signing an informed consent form, acknowledging that the procedure they underwent was voluntary, free of charge, and experimental.</w:t>
      </w:r>
    </w:p>
    <w:p w14:paraId="01C71480" w14:textId="77777777" w:rsidR="0080700F" w:rsidRPr="004D5F86" w:rsidRDefault="0080700F" w:rsidP="0080700F">
      <w:pPr>
        <w:pStyle w:val="ReferHead"/>
        <w:spacing w:after="0"/>
        <w:jc w:val="both"/>
        <w:rPr>
          <w:rFonts w:ascii="Arial" w:hAnsi="Arial" w:cs="Arial"/>
          <w:b w:val="0"/>
          <w:sz w:val="20"/>
          <w:lang w:val="pt-BR"/>
        </w:rPr>
      </w:pPr>
    </w:p>
    <w:p w14:paraId="4D6A29A6" w14:textId="42653574" w:rsidR="0080700F" w:rsidRPr="004D5F86" w:rsidRDefault="0080700F" w:rsidP="0080700F">
      <w:pPr>
        <w:pStyle w:val="ReferHead"/>
        <w:spacing w:after="0"/>
        <w:jc w:val="both"/>
        <w:rPr>
          <w:rFonts w:ascii="Arial" w:hAnsi="Arial" w:cs="Arial"/>
          <w:b w:val="0"/>
          <w:sz w:val="20"/>
          <w:lang w:val="pt-BR"/>
        </w:rPr>
      </w:pPr>
      <w:r w:rsidRPr="004D5F86">
        <w:rPr>
          <w:rFonts w:ascii="Arial" w:hAnsi="Arial" w:cs="Arial"/>
          <w:b w:val="0"/>
          <w:caps w:val="0"/>
          <w:sz w:val="20"/>
          <w:lang w:val="pt-BR"/>
        </w:rPr>
        <w:t xml:space="preserve">All participants had access to all relevant information and were permitted to withdraw from the research or revoke their consent at any time without any prejudice or harm. Additionally, the absolute confidentiality of participants' identities was ensured, based on ethical principles of confidentiality and privacy. The study was carried out at </w:t>
      </w:r>
      <w:r w:rsidR="00476054">
        <w:rPr>
          <w:rFonts w:ascii="Arial" w:hAnsi="Arial" w:cs="Arial"/>
          <w:b w:val="0"/>
          <w:caps w:val="0"/>
          <w:sz w:val="20"/>
          <w:lang w:val="pt-BR"/>
        </w:rPr>
        <w:t xml:space="preserve"> tertiary hospital </w:t>
      </w:r>
      <w:r w:rsidRPr="004D5F86">
        <w:rPr>
          <w:rFonts w:ascii="Arial" w:hAnsi="Arial" w:cs="Arial"/>
          <w:b w:val="0"/>
          <w:caps w:val="0"/>
          <w:sz w:val="20"/>
          <w:lang w:val="pt-BR"/>
        </w:rPr>
        <w:t>in partnership with</w:t>
      </w:r>
      <w:r w:rsidR="00476054">
        <w:rPr>
          <w:rFonts w:ascii="Arial" w:hAnsi="Arial" w:cs="Arial"/>
          <w:b w:val="0"/>
          <w:caps w:val="0"/>
          <w:sz w:val="20"/>
          <w:lang w:val="pt-BR"/>
        </w:rPr>
        <w:t xml:space="preserve"> </w:t>
      </w:r>
      <w:r w:rsidR="00276E3C">
        <w:rPr>
          <w:rFonts w:ascii="Arial" w:hAnsi="Arial" w:cs="Arial"/>
          <w:b w:val="0"/>
          <w:caps w:val="0"/>
          <w:sz w:val="20"/>
        </w:rPr>
        <w:t>a</w:t>
      </w:r>
      <w:r w:rsidR="00276E3C" w:rsidRPr="00276E3C">
        <w:rPr>
          <w:rFonts w:ascii="Arial" w:hAnsi="Arial" w:cs="Arial"/>
          <w:b w:val="0"/>
          <w:caps w:val="0"/>
          <w:sz w:val="20"/>
        </w:rPr>
        <w:t xml:space="preserve"> private university</w:t>
      </w:r>
      <w:r w:rsidRPr="004D5F86">
        <w:rPr>
          <w:rFonts w:ascii="Arial" w:hAnsi="Arial" w:cs="Arial"/>
          <w:b w:val="0"/>
          <w:caps w:val="0"/>
          <w:sz w:val="20"/>
          <w:lang w:val="pt-BR"/>
        </w:rPr>
        <w:t xml:space="preserve"> possesses the technical and infrastructural capacity, as well as sufficient institutional support, to ensure the successful completion of the project. This included a fully equipped motion analysis laboratory with the portable and wireless g-walk inertial sensor (gsensor, bts bioengineering s.p.a., italy).</w:t>
      </w:r>
    </w:p>
    <w:p w14:paraId="72430D1E" w14:textId="77777777" w:rsidR="0080700F" w:rsidRDefault="0080700F" w:rsidP="0080700F">
      <w:pPr>
        <w:pStyle w:val="ReferHead"/>
        <w:spacing w:after="0"/>
        <w:jc w:val="both"/>
        <w:rPr>
          <w:rFonts w:ascii="Arial" w:hAnsi="Arial" w:cs="Arial"/>
        </w:rPr>
      </w:pPr>
      <w:r>
        <w:rPr>
          <w:rFonts w:ascii="Arial" w:hAnsi="Arial" w:cs="Arial"/>
        </w:rPr>
        <w:br/>
      </w:r>
      <w:r w:rsidRPr="00FB3A86">
        <w:rPr>
          <w:rFonts w:ascii="Arial" w:hAnsi="Arial" w:cs="Arial"/>
        </w:rPr>
        <w:t>References</w:t>
      </w:r>
    </w:p>
    <w:p w14:paraId="78F09A3D" w14:textId="77777777" w:rsidR="0019010A" w:rsidRPr="00DB5EB5" w:rsidRDefault="0080700F" w:rsidP="00A37336">
      <w:pPr>
        <w:pStyle w:val="Body"/>
        <w:numPr>
          <w:ilvl w:val="0"/>
          <w:numId w:val="31"/>
        </w:numPr>
        <w:rPr>
          <w:rFonts w:ascii="Arial" w:hAnsi="Arial" w:cs="Arial"/>
          <w:bCs/>
          <w:lang w:val="pt-BR"/>
        </w:rPr>
      </w:pPr>
      <w:r w:rsidRPr="00167708">
        <w:rPr>
          <w:rFonts w:ascii="Arial" w:hAnsi="Arial" w:cs="Arial"/>
          <w:lang w:val="de-DE"/>
        </w:rPr>
        <w:br/>
      </w:r>
      <w:r w:rsidR="0019010A" w:rsidRPr="00DB5EB5">
        <w:rPr>
          <w:rFonts w:ascii="Arial" w:hAnsi="Arial" w:cs="Arial"/>
          <w:bCs/>
          <w:lang w:val="pt-BR"/>
        </w:rPr>
        <w:t xml:space="preserve">Boekesteijn, R. J., van Gerven, J., Geurts, A. C. H., &amp; Smulders, K. (2022). Objective gait assessment in individuals with knee osteoarthritis using inertial sensors: A systematic review and meta-analysis. </w:t>
      </w:r>
      <w:r w:rsidR="0019010A" w:rsidRPr="00DB5EB5">
        <w:rPr>
          <w:rFonts w:ascii="Arial" w:hAnsi="Arial" w:cs="Arial"/>
          <w:bCs/>
          <w:i/>
          <w:iCs/>
          <w:lang w:val="pt-BR"/>
        </w:rPr>
        <w:t>Gait &amp; Posture, 98</w:t>
      </w:r>
      <w:r w:rsidR="0019010A" w:rsidRPr="00DB5EB5">
        <w:rPr>
          <w:rFonts w:ascii="Arial" w:hAnsi="Arial" w:cs="Arial"/>
          <w:bCs/>
          <w:lang w:val="pt-BR"/>
        </w:rPr>
        <w:t xml:space="preserve">, 109–120. </w:t>
      </w:r>
      <w:hyperlink r:id="rId14" w:tgtFrame="_new" w:history="1">
        <w:r w:rsidR="0019010A" w:rsidRPr="00DB5EB5">
          <w:rPr>
            <w:rStyle w:val="Hyperlink"/>
            <w:rFonts w:ascii="Arial" w:hAnsi="Arial" w:cs="Arial"/>
            <w:bCs/>
            <w:lang w:val="pt-BR"/>
          </w:rPr>
          <w:t>https://doi.org/10.1016/j.gaitpost.2022.07.002</w:t>
        </w:r>
      </w:hyperlink>
    </w:p>
    <w:p w14:paraId="4159FC5D"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Bonnefoy-Mazure, A., Armand, S., Sagawa, Y. Jr., Suvà, D., Miozzari, H., &amp; Turcot, K. (2017). Knee kinematic and clinical outcomes evolution before, 3 months, and 1 year after total knee arthroplasty. </w:t>
      </w:r>
      <w:r w:rsidRPr="00DB5EB5">
        <w:rPr>
          <w:rFonts w:ascii="Arial" w:hAnsi="Arial" w:cs="Arial"/>
          <w:bCs/>
          <w:i/>
          <w:iCs/>
          <w:lang w:val="pt-BR"/>
        </w:rPr>
        <w:t>Journal of Arthroplasty, 32</w:t>
      </w:r>
      <w:r w:rsidRPr="00DB5EB5">
        <w:rPr>
          <w:rFonts w:ascii="Arial" w:hAnsi="Arial" w:cs="Arial"/>
          <w:bCs/>
          <w:lang w:val="pt-BR"/>
        </w:rPr>
        <w:t xml:space="preserve">(3), 793–800. </w:t>
      </w:r>
      <w:hyperlink r:id="rId15" w:tgtFrame="_new" w:history="1">
        <w:r w:rsidRPr="00DB5EB5">
          <w:rPr>
            <w:rStyle w:val="Hyperlink"/>
            <w:rFonts w:ascii="Arial" w:hAnsi="Arial" w:cs="Arial"/>
            <w:bCs/>
            <w:lang w:val="pt-BR"/>
          </w:rPr>
          <w:t>https://doi.org/10.1016/j.arth.2016.03.050</w:t>
        </w:r>
      </w:hyperlink>
    </w:p>
    <w:p w14:paraId="3816266D" w14:textId="77777777" w:rsidR="00575D58" w:rsidRPr="00DB5EB5" w:rsidRDefault="00575D58" w:rsidP="0019010A">
      <w:pPr>
        <w:pStyle w:val="Body"/>
        <w:spacing w:after="0"/>
        <w:rPr>
          <w:rFonts w:ascii="Arial" w:hAnsi="Arial" w:cs="Arial"/>
          <w:bCs/>
          <w:lang w:val="pt-BR"/>
        </w:rPr>
      </w:pPr>
    </w:p>
    <w:p w14:paraId="34334C56"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Constantinou, M., Barrett, R., Brown, M., &amp; Mills, P. (2014). Spatial-temporal gait characteristics in individuals with hip osteoarthritis: A systematic literature review and meta-analysis. </w:t>
      </w:r>
      <w:r w:rsidRPr="00DB5EB5">
        <w:rPr>
          <w:rFonts w:ascii="Arial" w:hAnsi="Arial" w:cs="Arial"/>
          <w:bCs/>
          <w:i/>
          <w:iCs/>
          <w:lang w:val="pt-BR"/>
        </w:rPr>
        <w:t>Journal of Orthopaedic &amp; Sports Physical Therapy, 44</w:t>
      </w:r>
      <w:r w:rsidRPr="00DB5EB5">
        <w:rPr>
          <w:rFonts w:ascii="Arial" w:hAnsi="Arial" w:cs="Arial"/>
          <w:bCs/>
          <w:lang w:val="pt-BR"/>
        </w:rPr>
        <w:t xml:space="preserve">(4), 291–B7. </w:t>
      </w:r>
      <w:hyperlink r:id="rId16" w:tgtFrame="_new" w:history="1">
        <w:r w:rsidRPr="00DB5EB5">
          <w:rPr>
            <w:rStyle w:val="Hyperlink"/>
            <w:rFonts w:ascii="Arial" w:hAnsi="Arial" w:cs="Arial"/>
            <w:bCs/>
            <w:lang w:val="pt-BR"/>
          </w:rPr>
          <w:t>https://doi.org/10.2519/jospt.2014.4806</w:t>
        </w:r>
      </w:hyperlink>
    </w:p>
    <w:p w14:paraId="5FFCFEE1" w14:textId="77777777" w:rsidR="00575D58" w:rsidRPr="00DB5EB5" w:rsidRDefault="00575D58" w:rsidP="0019010A">
      <w:pPr>
        <w:pStyle w:val="Body"/>
        <w:spacing w:after="0"/>
        <w:rPr>
          <w:rFonts w:ascii="Arial" w:hAnsi="Arial" w:cs="Arial"/>
          <w:bCs/>
          <w:lang w:val="pt-BR"/>
        </w:rPr>
      </w:pPr>
    </w:p>
    <w:p w14:paraId="2F043CD6" w14:textId="1D4640C8"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Felson, D. T. (2013). Osteoarthritis as a disease of mechanics. </w:t>
      </w:r>
      <w:r w:rsidRPr="00DB5EB5">
        <w:rPr>
          <w:rFonts w:ascii="Arial" w:hAnsi="Arial" w:cs="Arial"/>
          <w:bCs/>
          <w:i/>
          <w:iCs/>
          <w:lang w:val="pt-BR"/>
        </w:rPr>
        <w:t>Osteoarthritis and Cartilage, 21</w:t>
      </w:r>
      <w:r w:rsidRPr="00DB5EB5">
        <w:rPr>
          <w:rFonts w:ascii="Arial" w:hAnsi="Arial" w:cs="Arial"/>
          <w:bCs/>
          <w:lang w:val="pt-BR"/>
        </w:rPr>
        <w:t xml:space="preserve">(1), 10–15. </w:t>
      </w:r>
      <w:hyperlink r:id="rId17" w:history="1">
        <w:r w:rsidR="00575D58" w:rsidRPr="00DB5EB5">
          <w:rPr>
            <w:rStyle w:val="Hyperlink"/>
            <w:rFonts w:ascii="Arial" w:hAnsi="Arial" w:cs="Arial"/>
            <w:bCs/>
            <w:lang w:val="pt-BR"/>
          </w:rPr>
          <w:t>https://doi.org/10.1016/j.joca.2012.09.012</w:t>
        </w:r>
      </w:hyperlink>
    </w:p>
    <w:p w14:paraId="220A7733" w14:textId="77777777" w:rsidR="00575D58" w:rsidRPr="00DB5EB5" w:rsidRDefault="00575D58" w:rsidP="0019010A">
      <w:pPr>
        <w:pStyle w:val="Body"/>
        <w:spacing w:after="0"/>
        <w:rPr>
          <w:rFonts w:ascii="Arial" w:hAnsi="Arial" w:cs="Arial"/>
          <w:bCs/>
          <w:lang w:val="pt-BR"/>
        </w:rPr>
      </w:pPr>
    </w:p>
    <w:p w14:paraId="509E9D0E" w14:textId="77777777"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Galli, M., Kleiner, A. F. R., Gaglione, M., et al. (2015). Timed up and go test and wearable inertial sensor: A new combining tool to assess change in subjects with Parkinson's disease after automated mechanical peripheral stimulation treatment. </w:t>
      </w:r>
      <w:r w:rsidRPr="00DB5EB5">
        <w:rPr>
          <w:rFonts w:ascii="Arial" w:hAnsi="Arial" w:cs="Arial"/>
          <w:bCs/>
          <w:i/>
          <w:iCs/>
          <w:lang w:val="pt-BR"/>
        </w:rPr>
        <w:t>International Journal of Engineering and Innovative Technology, 4</w:t>
      </w:r>
      <w:r w:rsidRPr="00DB5EB5">
        <w:rPr>
          <w:rFonts w:ascii="Arial" w:hAnsi="Arial" w:cs="Arial"/>
          <w:bCs/>
          <w:lang w:val="pt-BR"/>
        </w:rPr>
        <w:t>, 155–163.</w:t>
      </w:r>
    </w:p>
    <w:p w14:paraId="375E36B7" w14:textId="77777777" w:rsidR="00575D58" w:rsidRPr="00DB5EB5" w:rsidRDefault="00575D58" w:rsidP="0019010A">
      <w:pPr>
        <w:pStyle w:val="Body"/>
        <w:spacing w:after="0"/>
        <w:rPr>
          <w:rFonts w:ascii="Arial" w:hAnsi="Arial" w:cs="Arial"/>
          <w:bCs/>
          <w:lang w:val="pt-BR"/>
        </w:rPr>
      </w:pPr>
    </w:p>
    <w:p w14:paraId="6FFC0E94"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Jarchi, D., Pope, J., Lee, T. K. M., Tamjidi, L., Mirzaei, A., &amp; Sanei, S. (2018). A review on accelerometry-based gait analysis and emerging clinical applications. </w:t>
      </w:r>
      <w:r w:rsidRPr="00DB5EB5">
        <w:rPr>
          <w:rFonts w:ascii="Arial" w:hAnsi="Arial" w:cs="Arial"/>
          <w:bCs/>
          <w:i/>
          <w:iCs/>
          <w:lang w:val="pt-BR"/>
        </w:rPr>
        <w:t>IEEE Reviews in Biomedical Engineering, 11</w:t>
      </w:r>
      <w:r w:rsidRPr="00DB5EB5">
        <w:rPr>
          <w:rFonts w:ascii="Arial" w:hAnsi="Arial" w:cs="Arial"/>
          <w:bCs/>
          <w:lang w:val="pt-BR"/>
        </w:rPr>
        <w:t xml:space="preserve">, 177–194. </w:t>
      </w:r>
      <w:hyperlink r:id="rId18" w:tgtFrame="_new" w:history="1">
        <w:r w:rsidRPr="00DB5EB5">
          <w:rPr>
            <w:rStyle w:val="Hyperlink"/>
            <w:rFonts w:ascii="Arial" w:hAnsi="Arial" w:cs="Arial"/>
            <w:bCs/>
            <w:lang w:val="pt-BR"/>
          </w:rPr>
          <w:t>https://doi.org/10.1109/RBME.2018.2807182</w:t>
        </w:r>
      </w:hyperlink>
    </w:p>
    <w:p w14:paraId="0C7368C5" w14:textId="77777777" w:rsidR="00575D58" w:rsidRPr="00DB5EB5" w:rsidRDefault="00575D58" w:rsidP="0019010A">
      <w:pPr>
        <w:pStyle w:val="Body"/>
        <w:spacing w:after="0"/>
        <w:rPr>
          <w:rFonts w:ascii="Arial" w:hAnsi="Arial" w:cs="Arial"/>
          <w:bCs/>
          <w:lang w:val="pt-BR"/>
        </w:rPr>
      </w:pPr>
    </w:p>
    <w:p w14:paraId="33C84492"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Kennedy, D. M., Stratford, P. W., Wessel, J., Gollish, J. D., &amp; Penney, D. (2005). Assessing stability and change of four performance measures: A longitudinal study </w:t>
      </w:r>
      <w:r w:rsidRPr="00DB5EB5">
        <w:rPr>
          <w:rFonts w:ascii="Arial" w:hAnsi="Arial" w:cs="Arial"/>
          <w:bCs/>
          <w:lang w:val="pt-BR"/>
        </w:rPr>
        <w:lastRenderedPageBreak/>
        <w:t xml:space="preserve">evaluating outcome following total hip and knee arthroplasty. </w:t>
      </w:r>
      <w:r w:rsidRPr="00DB5EB5">
        <w:rPr>
          <w:rFonts w:ascii="Arial" w:hAnsi="Arial" w:cs="Arial"/>
          <w:bCs/>
          <w:i/>
          <w:iCs/>
          <w:lang w:val="pt-BR"/>
        </w:rPr>
        <w:t>BMC Musculoskeletal Disorders, 6</w:t>
      </w:r>
      <w:r w:rsidRPr="00DB5EB5">
        <w:rPr>
          <w:rFonts w:ascii="Arial" w:hAnsi="Arial" w:cs="Arial"/>
          <w:bCs/>
          <w:lang w:val="pt-BR"/>
        </w:rPr>
        <w:t xml:space="preserve">, 3. </w:t>
      </w:r>
      <w:hyperlink r:id="rId19" w:tgtFrame="_new" w:history="1">
        <w:r w:rsidRPr="00DB5EB5">
          <w:rPr>
            <w:rStyle w:val="Hyperlink"/>
            <w:rFonts w:ascii="Arial" w:hAnsi="Arial" w:cs="Arial"/>
            <w:bCs/>
            <w:lang w:val="pt-BR"/>
          </w:rPr>
          <w:t>https://doi.org/10.1186/1471-2474-6-3</w:t>
        </w:r>
      </w:hyperlink>
    </w:p>
    <w:p w14:paraId="5C77DC47" w14:textId="77777777" w:rsidR="00575D58" w:rsidRPr="00DB5EB5" w:rsidRDefault="00575D58" w:rsidP="0019010A">
      <w:pPr>
        <w:pStyle w:val="Body"/>
        <w:spacing w:after="0"/>
        <w:rPr>
          <w:rFonts w:ascii="Arial" w:hAnsi="Arial" w:cs="Arial"/>
          <w:bCs/>
          <w:lang w:val="pt-BR"/>
        </w:rPr>
      </w:pPr>
    </w:p>
    <w:p w14:paraId="24FB51CF" w14:textId="77777777"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Kobsar, D., Charlton, J. M., Tse, C. T. F., Esculier, J.-F., Graffos, A., Krowchuk, N. M., et al. (2020). Validity and reliability of wearable inertial sensors in healthy adult walking: A systematic review and meta-analysis. </w:t>
      </w:r>
      <w:r w:rsidRPr="00DB5EB5">
        <w:rPr>
          <w:rFonts w:ascii="Arial" w:hAnsi="Arial" w:cs="Arial"/>
          <w:bCs/>
          <w:i/>
          <w:iCs/>
          <w:lang w:val="pt-BR"/>
        </w:rPr>
        <w:t>Journal of NeuroEngineering and Rehabilitation, 17</w:t>
      </w:r>
      <w:r w:rsidRPr="00DB5EB5">
        <w:rPr>
          <w:rFonts w:ascii="Arial" w:hAnsi="Arial" w:cs="Arial"/>
          <w:bCs/>
          <w:lang w:val="pt-BR"/>
        </w:rPr>
        <w:t xml:space="preserve">(1), 62. </w:t>
      </w:r>
      <w:hyperlink r:id="rId20" w:tgtFrame="_new" w:history="1">
        <w:r w:rsidRPr="00DB5EB5">
          <w:rPr>
            <w:rStyle w:val="Hyperlink"/>
            <w:rFonts w:ascii="Arial" w:hAnsi="Arial" w:cs="Arial"/>
            <w:bCs/>
            <w:lang w:val="pt-BR"/>
          </w:rPr>
          <w:t>https://doi.org/10.1186/s12984-020-00685-3</w:t>
        </w:r>
      </w:hyperlink>
    </w:p>
    <w:p w14:paraId="587E3196" w14:textId="2EBEF668"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Kohn, M. D., Sassoon, A. A., &amp; Fernando, N. D. (2016). Classifications in brief: Kellgren-Lawrence classification of osteoarthritis. </w:t>
      </w:r>
      <w:r w:rsidRPr="00DB5EB5">
        <w:rPr>
          <w:rFonts w:ascii="Arial" w:hAnsi="Arial" w:cs="Arial"/>
          <w:bCs/>
          <w:i/>
          <w:iCs/>
          <w:lang w:val="pt-BR"/>
        </w:rPr>
        <w:t>Clinical Orthopaedics and Related Research, 474</w:t>
      </w:r>
      <w:r w:rsidRPr="00DB5EB5">
        <w:rPr>
          <w:rFonts w:ascii="Arial" w:hAnsi="Arial" w:cs="Arial"/>
          <w:bCs/>
          <w:lang w:val="pt-BR"/>
        </w:rPr>
        <w:t xml:space="preserve">(8), 1886–1893. </w:t>
      </w:r>
      <w:hyperlink r:id="rId21" w:history="1">
        <w:r w:rsidR="00575D58" w:rsidRPr="00DB5EB5">
          <w:rPr>
            <w:rStyle w:val="Hyperlink"/>
            <w:rFonts w:ascii="Arial" w:hAnsi="Arial" w:cs="Arial"/>
            <w:bCs/>
            <w:lang w:val="pt-BR"/>
          </w:rPr>
          <w:t>https://doi.org/10.1007/s11999-016-4732-4</w:t>
        </w:r>
      </w:hyperlink>
    </w:p>
    <w:p w14:paraId="249BEA75" w14:textId="77777777" w:rsidR="00575D58" w:rsidRPr="00DB5EB5" w:rsidRDefault="00575D58" w:rsidP="0019010A">
      <w:pPr>
        <w:pStyle w:val="Body"/>
        <w:spacing w:after="0"/>
        <w:rPr>
          <w:rFonts w:ascii="Arial" w:hAnsi="Arial" w:cs="Arial"/>
          <w:bCs/>
          <w:lang w:val="pt-BR"/>
        </w:rPr>
      </w:pPr>
    </w:p>
    <w:p w14:paraId="7C413AF4" w14:textId="6504FDF2"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Kurtz, S., Ong, K., Lau, E., Mowat, F., &amp; Halpern, M. (2007). Projections of primary and revision hip and knee arthroplasty in the United States from 2005 to 2030. </w:t>
      </w:r>
      <w:r w:rsidRPr="00DB5EB5">
        <w:rPr>
          <w:rFonts w:ascii="Arial" w:hAnsi="Arial" w:cs="Arial"/>
          <w:bCs/>
          <w:i/>
          <w:iCs/>
          <w:lang w:val="pt-BR"/>
        </w:rPr>
        <w:t>The Journal of Bone and Joint Surgery. American Volume, 89</w:t>
      </w:r>
      <w:r w:rsidRPr="00DB5EB5">
        <w:rPr>
          <w:rFonts w:ascii="Arial" w:hAnsi="Arial" w:cs="Arial"/>
          <w:bCs/>
          <w:lang w:val="pt-BR"/>
        </w:rPr>
        <w:t xml:space="preserve">(4), 780–785. </w:t>
      </w:r>
      <w:hyperlink r:id="rId22" w:history="1">
        <w:r w:rsidR="00575D58" w:rsidRPr="00DB5EB5">
          <w:rPr>
            <w:rStyle w:val="Hyperlink"/>
            <w:rFonts w:ascii="Arial" w:hAnsi="Arial" w:cs="Arial"/>
            <w:bCs/>
            <w:lang w:val="pt-BR"/>
          </w:rPr>
          <w:t>https://doi.org/10.2106/JBJS.F.00222</w:t>
        </w:r>
      </w:hyperlink>
    </w:p>
    <w:p w14:paraId="75B02172" w14:textId="77777777" w:rsidR="00575D58" w:rsidRPr="00DB5EB5" w:rsidRDefault="00575D58" w:rsidP="0019010A">
      <w:pPr>
        <w:pStyle w:val="Body"/>
        <w:spacing w:after="0"/>
        <w:rPr>
          <w:rFonts w:ascii="Arial" w:hAnsi="Arial" w:cs="Arial"/>
          <w:bCs/>
          <w:lang w:val="pt-BR"/>
        </w:rPr>
      </w:pPr>
    </w:p>
    <w:p w14:paraId="6D7F9F52"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Lan, S., &amp; Li, J. (2024). Assessment of preoperative planning and intraoperative accuracy of the AIKNEE system for total knee arthroplasty. </w:t>
      </w:r>
      <w:r w:rsidRPr="00DB5EB5">
        <w:rPr>
          <w:rFonts w:ascii="Arial" w:hAnsi="Arial" w:cs="Arial"/>
          <w:bCs/>
          <w:i/>
          <w:iCs/>
          <w:lang w:val="pt-BR"/>
        </w:rPr>
        <w:t>BMC Musculoskeletal Disorders, 25</w:t>
      </w:r>
      <w:r w:rsidRPr="00DB5EB5">
        <w:rPr>
          <w:rFonts w:ascii="Arial" w:hAnsi="Arial" w:cs="Arial"/>
          <w:bCs/>
          <w:lang w:val="pt-BR"/>
        </w:rPr>
        <w:t xml:space="preserve">, 562. </w:t>
      </w:r>
      <w:hyperlink r:id="rId23" w:tgtFrame="_new" w:history="1">
        <w:r w:rsidRPr="00DB5EB5">
          <w:rPr>
            <w:rStyle w:val="Hyperlink"/>
            <w:rFonts w:ascii="Arial" w:hAnsi="Arial" w:cs="Arial"/>
            <w:bCs/>
            <w:lang w:val="pt-BR"/>
          </w:rPr>
          <w:t>https://doi.org/10.1186/s12891-024-07645-1</w:t>
        </w:r>
      </w:hyperlink>
    </w:p>
    <w:p w14:paraId="13DBCA41" w14:textId="77777777" w:rsidR="00575D58" w:rsidRPr="00DB5EB5" w:rsidRDefault="00575D58" w:rsidP="0019010A">
      <w:pPr>
        <w:pStyle w:val="Body"/>
        <w:spacing w:after="0"/>
        <w:rPr>
          <w:rFonts w:ascii="Arial" w:hAnsi="Arial" w:cs="Arial"/>
          <w:bCs/>
          <w:lang w:val="pt-BR"/>
        </w:rPr>
      </w:pPr>
    </w:p>
    <w:p w14:paraId="540FF038"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McCarney, R., et al. (2007). The Hawthorne effect: A randomised, controlled trial. </w:t>
      </w:r>
      <w:r w:rsidRPr="00DB5EB5">
        <w:rPr>
          <w:rFonts w:ascii="Arial" w:hAnsi="Arial" w:cs="Arial"/>
          <w:bCs/>
          <w:i/>
          <w:iCs/>
          <w:lang w:val="pt-BR"/>
        </w:rPr>
        <w:t>BMC Medical Research Methodology, 7</w:t>
      </w:r>
      <w:r w:rsidRPr="00DB5EB5">
        <w:rPr>
          <w:rFonts w:ascii="Arial" w:hAnsi="Arial" w:cs="Arial"/>
          <w:bCs/>
          <w:lang w:val="pt-BR"/>
        </w:rPr>
        <w:t xml:space="preserve">, 30. </w:t>
      </w:r>
      <w:hyperlink r:id="rId24" w:tgtFrame="_new" w:history="1">
        <w:r w:rsidRPr="00DB5EB5">
          <w:rPr>
            <w:rStyle w:val="Hyperlink"/>
            <w:rFonts w:ascii="Arial" w:hAnsi="Arial" w:cs="Arial"/>
            <w:bCs/>
            <w:lang w:val="pt-BR"/>
          </w:rPr>
          <w:t>https://doi.org/10.1186/1471-2288-7-30</w:t>
        </w:r>
      </w:hyperlink>
    </w:p>
    <w:p w14:paraId="37EFF7F4" w14:textId="77777777" w:rsidR="00575D58" w:rsidRPr="00DB5EB5" w:rsidRDefault="00575D58" w:rsidP="0019010A">
      <w:pPr>
        <w:pStyle w:val="Body"/>
        <w:spacing w:after="0"/>
        <w:rPr>
          <w:rFonts w:ascii="Arial" w:hAnsi="Arial" w:cs="Arial"/>
          <w:bCs/>
          <w:lang w:val="pt-BR"/>
        </w:rPr>
      </w:pPr>
    </w:p>
    <w:p w14:paraId="027F6FAF"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Ornetti, P., Maillefert, J.-F., Laroche, D., Morisset, C., Dougados, M., &amp; Gossec, L. (2010). Gait analysis as a quantifiable outcome measure in hip or knee osteoarthritis: A systematic review. </w:t>
      </w:r>
      <w:r w:rsidRPr="00DB5EB5">
        <w:rPr>
          <w:rFonts w:ascii="Arial" w:hAnsi="Arial" w:cs="Arial"/>
          <w:bCs/>
          <w:i/>
          <w:iCs/>
          <w:lang w:val="pt-BR"/>
        </w:rPr>
        <w:t>Joint Bone Spine, 77</w:t>
      </w:r>
      <w:r w:rsidRPr="00DB5EB5">
        <w:rPr>
          <w:rFonts w:ascii="Arial" w:hAnsi="Arial" w:cs="Arial"/>
          <w:bCs/>
          <w:lang w:val="pt-BR"/>
        </w:rPr>
        <w:t xml:space="preserve">(5), 421–425. </w:t>
      </w:r>
      <w:hyperlink r:id="rId25" w:tgtFrame="_new" w:history="1">
        <w:r w:rsidRPr="00DB5EB5">
          <w:rPr>
            <w:rStyle w:val="Hyperlink"/>
            <w:rFonts w:ascii="Arial" w:hAnsi="Arial" w:cs="Arial"/>
            <w:bCs/>
            <w:lang w:val="pt-BR"/>
          </w:rPr>
          <w:t>https://doi.org/10.1016/j.jbspin.2010.01.011</w:t>
        </w:r>
      </w:hyperlink>
    </w:p>
    <w:p w14:paraId="6929CA70" w14:textId="77777777" w:rsidR="00575D58" w:rsidRPr="00DB5EB5" w:rsidRDefault="00575D58" w:rsidP="0019010A">
      <w:pPr>
        <w:pStyle w:val="Body"/>
        <w:spacing w:after="0"/>
        <w:rPr>
          <w:rFonts w:ascii="Arial" w:hAnsi="Arial" w:cs="Arial"/>
          <w:bCs/>
          <w:lang w:val="pt-BR"/>
        </w:rPr>
      </w:pPr>
    </w:p>
    <w:p w14:paraId="6DEC5028" w14:textId="6067BFAC"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Podsiadlo, D., &amp; Richardson, S. (1991). The timed “Up &amp; Go”: A test of basic functional mobility for frail elderly persons. </w:t>
      </w:r>
      <w:r w:rsidRPr="00DB5EB5">
        <w:rPr>
          <w:rFonts w:ascii="Arial" w:hAnsi="Arial" w:cs="Arial"/>
          <w:bCs/>
          <w:i/>
          <w:iCs/>
          <w:lang w:val="pt-BR"/>
        </w:rPr>
        <w:t>Journal of the American Geriatrics Society, 39</w:t>
      </w:r>
      <w:r w:rsidRPr="00DB5EB5">
        <w:rPr>
          <w:rFonts w:ascii="Arial" w:hAnsi="Arial" w:cs="Arial"/>
          <w:bCs/>
          <w:lang w:val="pt-BR"/>
        </w:rPr>
        <w:t xml:space="preserve">(2), 142–148. </w:t>
      </w:r>
      <w:hyperlink r:id="rId26" w:history="1">
        <w:r w:rsidR="00575D58" w:rsidRPr="00DB5EB5">
          <w:rPr>
            <w:rStyle w:val="Hyperlink"/>
            <w:rFonts w:ascii="Arial" w:hAnsi="Arial" w:cs="Arial"/>
            <w:bCs/>
            <w:lang w:val="pt-BR"/>
          </w:rPr>
          <w:t>https://doi.org/10.1111/j.1532-5415.1991.tb01616.x</w:t>
        </w:r>
      </w:hyperlink>
    </w:p>
    <w:p w14:paraId="0969320F" w14:textId="77777777" w:rsidR="00575D58" w:rsidRPr="00DB5EB5" w:rsidRDefault="00575D58" w:rsidP="0019010A">
      <w:pPr>
        <w:pStyle w:val="Body"/>
        <w:spacing w:after="0"/>
        <w:rPr>
          <w:rFonts w:ascii="Arial" w:hAnsi="Arial" w:cs="Arial"/>
          <w:bCs/>
          <w:lang w:val="pt-BR"/>
        </w:rPr>
      </w:pPr>
    </w:p>
    <w:p w14:paraId="1DCC0898" w14:textId="62A11DD5"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Primorac, D., Molnar, V., Rod, E., Jelec, Z., Cicak, H., Klarica, M., Glojnaric, I., Matijevic, V., &amp; Cukelj, F. (2020). Knee osteoarthritis: A review of pathogenesis and state-of-the-art non-operative therapeutic considerations. </w:t>
      </w:r>
      <w:r w:rsidRPr="00DB5EB5">
        <w:rPr>
          <w:rFonts w:ascii="Arial" w:hAnsi="Arial" w:cs="Arial"/>
          <w:bCs/>
          <w:i/>
          <w:iCs/>
          <w:lang w:val="pt-BR"/>
        </w:rPr>
        <w:t>Genes, 11</w:t>
      </w:r>
      <w:r w:rsidRPr="00DB5EB5">
        <w:rPr>
          <w:rFonts w:ascii="Arial" w:hAnsi="Arial" w:cs="Arial"/>
          <w:bCs/>
          <w:lang w:val="pt-BR"/>
        </w:rPr>
        <w:t xml:space="preserve">(8), 854. </w:t>
      </w:r>
      <w:hyperlink r:id="rId27" w:history="1">
        <w:r w:rsidR="00575D58" w:rsidRPr="00DB5EB5">
          <w:rPr>
            <w:rStyle w:val="Hyperlink"/>
            <w:rFonts w:ascii="Arial" w:hAnsi="Arial" w:cs="Arial"/>
            <w:bCs/>
            <w:lang w:val="pt-BR"/>
          </w:rPr>
          <w:t>https://doi.org/10.3390/genes11080854</w:t>
        </w:r>
      </w:hyperlink>
    </w:p>
    <w:p w14:paraId="47BA70CB" w14:textId="77777777" w:rsidR="00575D58" w:rsidRPr="00DB5EB5" w:rsidRDefault="00575D58" w:rsidP="0019010A">
      <w:pPr>
        <w:pStyle w:val="Body"/>
        <w:spacing w:after="0"/>
        <w:rPr>
          <w:rFonts w:ascii="Arial" w:hAnsi="Arial" w:cs="Arial"/>
          <w:bCs/>
          <w:lang w:val="pt-BR"/>
        </w:rPr>
      </w:pPr>
    </w:p>
    <w:p w14:paraId="37727594" w14:textId="77777777"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Schenkman, M., Scherer, S., Riegger-Krugh, C., &amp; Cutson, T. M. (2002). Measurements of impairments and functional limitations: Conceptual considerations and practical applications. </w:t>
      </w:r>
      <w:r w:rsidRPr="00DB5EB5">
        <w:rPr>
          <w:rFonts w:ascii="Arial" w:hAnsi="Arial" w:cs="Arial"/>
          <w:bCs/>
          <w:i/>
          <w:iCs/>
          <w:lang w:val="pt-BR"/>
        </w:rPr>
        <w:t>Critical Reviews in Physical and Rehabilitation Medicine, 14</w:t>
      </w:r>
      <w:r w:rsidRPr="00DB5EB5">
        <w:rPr>
          <w:rFonts w:ascii="Arial" w:hAnsi="Arial" w:cs="Arial"/>
          <w:bCs/>
          <w:lang w:val="pt-BR"/>
        </w:rPr>
        <w:t>(1), 83–161.</w:t>
      </w:r>
    </w:p>
    <w:p w14:paraId="33D7F250" w14:textId="77777777" w:rsidR="00575D58" w:rsidRPr="00DB5EB5" w:rsidRDefault="00575D58" w:rsidP="0019010A">
      <w:pPr>
        <w:pStyle w:val="Body"/>
        <w:spacing w:after="0"/>
        <w:rPr>
          <w:rFonts w:ascii="Arial" w:hAnsi="Arial" w:cs="Arial"/>
          <w:bCs/>
          <w:lang w:val="pt-BR"/>
        </w:rPr>
      </w:pPr>
    </w:p>
    <w:p w14:paraId="3D1577BF" w14:textId="6AAE16C4"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Silverwood, V., Blagojevic-Bucknall, M., Jinks, C., Jordan, J. L., Protheroe, J., &amp; Jordan, P. (2015). Current evidence on risk factors for knee osteoarthritis in older adults: A systematic review and meta-analysis. </w:t>
      </w:r>
      <w:r w:rsidRPr="00DB5EB5">
        <w:rPr>
          <w:rFonts w:ascii="Arial" w:hAnsi="Arial" w:cs="Arial"/>
          <w:bCs/>
          <w:i/>
          <w:iCs/>
          <w:lang w:val="pt-BR"/>
        </w:rPr>
        <w:t>Osteoarthritis and Cartilage, 23</w:t>
      </w:r>
      <w:r w:rsidRPr="00DB5EB5">
        <w:rPr>
          <w:rFonts w:ascii="Arial" w:hAnsi="Arial" w:cs="Arial"/>
          <w:bCs/>
          <w:lang w:val="pt-BR"/>
        </w:rPr>
        <w:t xml:space="preserve">(4), 507–515. </w:t>
      </w:r>
      <w:hyperlink r:id="rId28" w:history="1">
        <w:r w:rsidR="00575D58" w:rsidRPr="00DB5EB5">
          <w:rPr>
            <w:rStyle w:val="Hyperlink"/>
            <w:rFonts w:ascii="Arial" w:hAnsi="Arial" w:cs="Arial"/>
            <w:bCs/>
            <w:lang w:val="pt-BR"/>
          </w:rPr>
          <w:t>https://doi.org/10.1016/j.joca.2014.11.019</w:t>
        </w:r>
      </w:hyperlink>
    </w:p>
    <w:p w14:paraId="7CFE4C56" w14:textId="77777777" w:rsidR="00575D58" w:rsidRPr="00DB5EB5" w:rsidRDefault="00575D58" w:rsidP="0019010A">
      <w:pPr>
        <w:pStyle w:val="Body"/>
        <w:spacing w:after="0"/>
        <w:rPr>
          <w:rFonts w:ascii="Arial" w:hAnsi="Arial" w:cs="Arial"/>
          <w:bCs/>
          <w:lang w:val="pt-BR"/>
        </w:rPr>
      </w:pPr>
    </w:p>
    <w:p w14:paraId="7B9FB113" w14:textId="77777777"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Stratford, P. W., &amp; Kennedy, D. M. (2006). Performance measures were necessary to obtain a complete picture of osteoarthritic patients. </w:t>
      </w:r>
      <w:r w:rsidRPr="00DB5EB5">
        <w:rPr>
          <w:rFonts w:ascii="Arial" w:hAnsi="Arial" w:cs="Arial"/>
          <w:bCs/>
          <w:i/>
          <w:iCs/>
          <w:lang w:val="pt-BR"/>
        </w:rPr>
        <w:t>Journal of Clinical Epidemiology, 59</w:t>
      </w:r>
      <w:r w:rsidRPr="00DB5EB5">
        <w:rPr>
          <w:rFonts w:ascii="Arial" w:hAnsi="Arial" w:cs="Arial"/>
          <w:bCs/>
          <w:lang w:val="pt-BR"/>
        </w:rPr>
        <w:t>(2), 160–167.</w:t>
      </w:r>
    </w:p>
    <w:p w14:paraId="24BB0406" w14:textId="77777777" w:rsidR="00575D58" w:rsidRPr="00DB5EB5" w:rsidRDefault="00575D58" w:rsidP="0019010A">
      <w:pPr>
        <w:pStyle w:val="Body"/>
        <w:spacing w:after="0"/>
        <w:rPr>
          <w:rFonts w:ascii="Arial" w:hAnsi="Arial" w:cs="Arial"/>
          <w:bCs/>
          <w:lang w:val="pt-BR"/>
        </w:rPr>
      </w:pPr>
    </w:p>
    <w:p w14:paraId="38592C2D"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Terwee, C. B., van der Slikke, R. M. A., van Lummel, R. C., Benink, R. J., Meijers, W. G. H., &amp; de Vet, H. C. W. (2006). Self-reported physical functioning was more </w:t>
      </w:r>
      <w:r w:rsidRPr="00DB5EB5">
        <w:rPr>
          <w:rFonts w:ascii="Arial" w:hAnsi="Arial" w:cs="Arial"/>
          <w:bCs/>
          <w:lang w:val="pt-BR"/>
        </w:rPr>
        <w:lastRenderedPageBreak/>
        <w:t xml:space="preserve">influenced by pain than performance-based physical functioning in knee-osteoarthritis patients. </w:t>
      </w:r>
      <w:r w:rsidRPr="00DB5EB5">
        <w:rPr>
          <w:rFonts w:ascii="Arial" w:hAnsi="Arial" w:cs="Arial"/>
          <w:bCs/>
          <w:i/>
          <w:iCs/>
          <w:lang w:val="pt-BR"/>
        </w:rPr>
        <w:t>Journal of Clinical Epidemiology, 59</w:t>
      </w:r>
      <w:r w:rsidRPr="00DB5EB5">
        <w:rPr>
          <w:rFonts w:ascii="Arial" w:hAnsi="Arial" w:cs="Arial"/>
          <w:bCs/>
          <w:lang w:val="pt-BR"/>
        </w:rPr>
        <w:t xml:space="preserve">(7), 724–731. </w:t>
      </w:r>
      <w:hyperlink r:id="rId29" w:tgtFrame="_new" w:history="1">
        <w:r w:rsidRPr="00DB5EB5">
          <w:rPr>
            <w:rStyle w:val="Hyperlink"/>
            <w:rFonts w:ascii="Arial" w:hAnsi="Arial" w:cs="Arial"/>
            <w:bCs/>
            <w:lang w:val="pt-BR"/>
          </w:rPr>
          <w:t>https://doi.org/10.1016/j.jclinepi.2005.11.019</w:t>
        </w:r>
      </w:hyperlink>
    </w:p>
    <w:p w14:paraId="7BCBB57E" w14:textId="77777777" w:rsidR="00575D58" w:rsidRPr="00DB5EB5" w:rsidRDefault="00575D58" w:rsidP="0019010A">
      <w:pPr>
        <w:pStyle w:val="Body"/>
        <w:spacing w:after="0"/>
        <w:rPr>
          <w:rFonts w:ascii="Arial" w:hAnsi="Arial" w:cs="Arial"/>
          <w:bCs/>
          <w:lang w:val="pt-BR"/>
        </w:rPr>
      </w:pPr>
    </w:p>
    <w:p w14:paraId="50008101"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Tsubosaka, M., Muratsu, H., Nakano, N., et al. (2020). Sequential changes in lower extremity function after total knee arthroplasty. </w:t>
      </w:r>
      <w:r w:rsidRPr="00DB5EB5">
        <w:rPr>
          <w:rFonts w:ascii="Arial" w:hAnsi="Arial" w:cs="Arial"/>
          <w:bCs/>
          <w:i/>
          <w:iCs/>
          <w:lang w:val="pt-BR"/>
        </w:rPr>
        <w:t>Journal of Orthopaedic Surgery, 28</w:t>
      </w:r>
      <w:r w:rsidRPr="00DB5EB5">
        <w:rPr>
          <w:rFonts w:ascii="Arial" w:hAnsi="Arial" w:cs="Arial"/>
          <w:bCs/>
          <w:lang w:val="pt-BR"/>
        </w:rPr>
        <w:t xml:space="preserve">(1), 1–8. </w:t>
      </w:r>
      <w:hyperlink r:id="rId30" w:tgtFrame="_new" w:history="1">
        <w:r w:rsidRPr="00DB5EB5">
          <w:rPr>
            <w:rStyle w:val="Hyperlink"/>
            <w:rFonts w:ascii="Arial" w:hAnsi="Arial" w:cs="Arial"/>
            <w:bCs/>
            <w:lang w:val="pt-BR"/>
          </w:rPr>
          <w:t>https://doi.org/10.1177/2309499020965645</w:t>
        </w:r>
      </w:hyperlink>
    </w:p>
    <w:p w14:paraId="679B6E50" w14:textId="77777777" w:rsidR="00575D58" w:rsidRPr="00DB5EB5" w:rsidRDefault="00575D58" w:rsidP="0019010A">
      <w:pPr>
        <w:pStyle w:val="Body"/>
        <w:spacing w:after="0"/>
        <w:rPr>
          <w:rFonts w:ascii="Arial" w:hAnsi="Arial" w:cs="Arial"/>
          <w:bCs/>
          <w:lang w:val="pt-BR"/>
        </w:rPr>
      </w:pPr>
    </w:p>
    <w:p w14:paraId="3E61E838"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Van den Dikkenberg, N., Meijer, O. G., Van der Slikke, R. M. A., Van Lummel, R. C., Van Dieen, J. H., Pijls, B., et al. (2002). Measuring functional abilities of patients with knee problems: Rationale and construction of the DynaPort knee test. </w:t>
      </w:r>
      <w:r w:rsidRPr="00DB5EB5">
        <w:rPr>
          <w:rFonts w:ascii="Arial" w:hAnsi="Arial" w:cs="Arial"/>
          <w:bCs/>
          <w:i/>
          <w:iCs/>
          <w:lang w:val="pt-BR"/>
        </w:rPr>
        <w:t>Knee Surgery, Sports Traumatology, Arthroscopy, 10</w:t>
      </w:r>
      <w:r w:rsidRPr="00DB5EB5">
        <w:rPr>
          <w:rFonts w:ascii="Arial" w:hAnsi="Arial" w:cs="Arial"/>
          <w:bCs/>
          <w:lang w:val="pt-BR"/>
        </w:rPr>
        <w:t xml:space="preserve">(4), 204–212. </w:t>
      </w:r>
      <w:hyperlink r:id="rId31" w:tgtFrame="_new" w:history="1">
        <w:r w:rsidRPr="00DB5EB5">
          <w:rPr>
            <w:rStyle w:val="Hyperlink"/>
            <w:rFonts w:ascii="Arial" w:hAnsi="Arial" w:cs="Arial"/>
            <w:bCs/>
            <w:lang w:val="pt-BR"/>
          </w:rPr>
          <w:t>https://doi.org/10.1007/s00167-002-0279-x</w:t>
        </w:r>
      </w:hyperlink>
    </w:p>
    <w:p w14:paraId="55147F9A" w14:textId="77777777" w:rsidR="00575D58" w:rsidRPr="00DB5EB5" w:rsidRDefault="00575D58" w:rsidP="0019010A">
      <w:pPr>
        <w:pStyle w:val="Body"/>
        <w:spacing w:after="0"/>
        <w:rPr>
          <w:rFonts w:ascii="Arial" w:hAnsi="Arial" w:cs="Arial"/>
          <w:bCs/>
          <w:lang w:val="pt-BR"/>
        </w:rPr>
      </w:pPr>
    </w:p>
    <w:p w14:paraId="4D16728D" w14:textId="73650D26"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Vos, T., et al. (2012). Years lived with disability (YLDs) for 1160 sequelae of 289 diseases and injuries 1990–2010: A systematic analysis for the Global Burden of Disease Study 2010. </w:t>
      </w:r>
      <w:r w:rsidRPr="00DB5EB5">
        <w:rPr>
          <w:rFonts w:ascii="Arial" w:hAnsi="Arial" w:cs="Arial"/>
          <w:bCs/>
          <w:i/>
          <w:iCs/>
          <w:lang w:val="pt-BR"/>
        </w:rPr>
        <w:t>The Lancet, 380</w:t>
      </w:r>
      <w:r w:rsidRPr="00DB5EB5">
        <w:rPr>
          <w:rFonts w:ascii="Arial" w:hAnsi="Arial" w:cs="Arial"/>
          <w:bCs/>
          <w:lang w:val="pt-BR"/>
        </w:rPr>
        <w:t xml:space="preserve">(9859), 2163–2196. </w:t>
      </w:r>
      <w:hyperlink r:id="rId32" w:history="1">
        <w:r w:rsidR="00575D58" w:rsidRPr="00DB5EB5">
          <w:rPr>
            <w:rStyle w:val="Hyperlink"/>
            <w:rFonts w:ascii="Arial" w:hAnsi="Arial" w:cs="Arial"/>
            <w:bCs/>
            <w:lang w:val="pt-BR"/>
          </w:rPr>
          <w:t>https://doi.org/10.1016/S0140-6736(12)61729-2</w:t>
        </w:r>
      </w:hyperlink>
    </w:p>
    <w:p w14:paraId="6DF3529C" w14:textId="77777777" w:rsidR="00575D58" w:rsidRPr="00DB5EB5" w:rsidRDefault="00575D58" w:rsidP="0019010A">
      <w:pPr>
        <w:pStyle w:val="Body"/>
        <w:spacing w:after="0"/>
        <w:rPr>
          <w:rFonts w:ascii="Arial" w:hAnsi="Arial" w:cs="Arial"/>
          <w:bCs/>
          <w:lang w:val="pt-BR"/>
        </w:rPr>
      </w:pPr>
    </w:p>
    <w:p w14:paraId="71356CA0" w14:textId="77777777" w:rsidR="0019010A" w:rsidRPr="00DB5EB5" w:rsidRDefault="0019010A" w:rsidP="00A37336">
      <w:pPr>
        <w:pStyle w:val="Body"/>
        <w:numPr>
          <w:ilvl w:val="0"/>
          <w:numId w:val="31"/>
        </w:numPr>
        <w:spacing w:after="0"/>
        <w:rPr>
          <w:rFonts w:ascii="Arial" w:hAnsi="Arial" w:cs="Arial"/>
          <w:bCs/>
        </w:rPr>
      </w:pPr>
      <w:r w:rsidRPr="00DB5EB5">
        <w:rPr>
          <w:rFonts w:ascii="Arial" w:hAnsi="Arial" w:cs="Arial"/>
          <w:bCs/>
          <w:lang w:val="pt-BR"/>
        </w:rPr>
        <w:t xml:space="preserve">Wagenmakers, R., Stevens, M., Zijlstra, W., Jacobs, M. L., van den Akker-Scheek, I., Groothoff, J. W., &amp; Bulstra, S. K. (2008). Habitual physical activity behavior of patients after primary total hip arthroplasty. </w:t>
      </w:r>
      <w:r w:rsidRPr="00DB5EB5">
        <w:rPr>
          <w:rFonts w:ascii="Arial" w:hAnsi="Arial" w:cs="Arial"/>
          <w:bCs/>
          <w:i/>
          <w:iCs/>
          <w:lang w:val="pt-BR"/>
        </w:rPr>
        <w:t>Physical Therapy, 88</w:t>
      </w:r>
      <w:r w:rsidRPr="00DB5EB5">
        <w:rPr>
          <w:rFonts w:ascii="Arial" w:hAnsi="Arial" w:cs="Arial"/>
          <w:bCs/>
          <w:lang w:val="pt-BR"/>
        </w:rPr>
        <w:t xml:space="preserve">(9), 1039–1048. </w:t>
      </w:r>
      <w:hyperlink r:id="rId33" w:tgtFrame="_new" w:history="1">
        <w:r w:rsidRPr="00DB5EB5">
          <w:rPr>
            <w:rStyle w:val="Hyperlink"/>
            <w:rFonts w:ascii="Arial" w:hAnsi="Arial" w:cs="Arial"/>
            <w:bCs/>
            <w:lang w:val="pt-BR"/>
          </w:rPr>
          <w:t>https://doi.org/10.2522/ptj.20070375</w:t>
        </w:r>
      </w:hyperlink>
    </w:p>
    <w:p w14:paraId="78A2B1EE" w14:textId="77777777" w:rsidR="00575D58" w:rsidRPr="00DB5EB5" w:rsidRDefault="00575D58" w:rsidP="0019010A">
      <w:pPr>
        <w:pStyle w:val="Body"/>
        <w:spacing w:after="0"/>
        <w:rPr>
          <w:rFonts w:ascii="Arial" w:hAnsi="Arial" w:cs="Arial"/>
          <w:bCs/>
          <w:lang w:val="pt-BR"/>
        </w:rPr>
      </w:pPr>
    </w:p>
    <w:p w14:paraId="29953B6D" w14:textId="77777777" w:rsidR="0019010A" w:rsidRPr="00DB5EB5" w:rsidRDefault="0019010A" w:rsidP="00A37336">
      <w:pPr>
        <w:pStyle w:val="Body"/>
        <w:numPr>
          <w:ilvl w:val="0"/>
          <w:numId w:val="31"/>
        </w:numPr>
        <w:spacing w:after="0"/>
        <w:rPr>
          <w:rFonts w:ascii="Arial" w:hAnsi="Arial" w:cs="Arial"/>
          <w:bCs/>
          <w:lang w:val="pt-BR"/>
        </w:rPr>
      </w:pPr>
      <w:r w:rsidRPr="00DB5EB5">
        <w:rPr>
          <w:rFonts w:ascii="Arial" w:hAnsi="Arial" w:cs="Arial"/>
          <w:bCs/>
          <w:lang w:val="pt-BR"/>
        </w:rPr>
        <w:t xml:space="preserve">Wang, H., &amp; Ma, B. (2022). Healthcare and scientific treatment of knee osteoarthritis. </w:t>
      </w:r>
      <w:r w:rsidRPr="00DB5EB5">
        <w:rPr>
          <w:rFonts w:ascii="Arial" w:hAnsi="Arial" w:cs="Arial"/>
          <w:bCs/>
          <w:i/>
          <w:iCs/>
          <w:lang w:val="pt-BR"/>
        </w:rPr>
        <w:t>Journal of Healthcare Engineering, 2022</w:t>
      </w:r>
      <w:r w:rsidRPr="00DB5EB5">
        <w:rPr>
          <w:rFonts w:ascii="Arial" w:hAnsi="Arial" w:cs="Arial"/>
          <w:bCs/>
          <w:lang w:val="pt-BR"/>
        </w:rPr>
        <w:t xml:space="preserve">, 5919686. </w:t>
      </w:r>
      <w:hyperlink r:id="rId34" w:tgtFrame="_new" w:history="1">
        <w:r w:rsidRPr="00DB5EB5">
          <w:rPr>
            <w:rStyle w:val="Hyperlink"/>
            <w:rFonts w:ascii="Arial" w:hAnsi="Arial" w:cs="Arial"/>
            <w:bCs/>
            <w:lang w:val="pt-BR"/>
          </w:rPr>
          <w:t>https://doi.org/10.1155/2022/5919686</w:t>
        </w:r>
      </w:hyperlink>
    </w:p>
    <w:p w14:paraId="5EC123BE" w14:textId="77777777" w:rsidR="00790ADA" w:rsidRPr="00FB3A86" w:rsidRDefault="00790ADA" w:rsidP="00441B6F">
      <w:pPr>
        <w:pStyle w:val="Body"/>
        <w:spacing w:after="0"/>
        <w:rPr>
          <w:rFonts w:ascii="Arial" w:hAnsi="Arial" w:cs="Arial"/>
        </w:rPr>
      </w:pPr>
    </w:p>
    <w:p w14:paraId="58D3F8F1" w14:textId="4382BF0F" w:rsidR="004D4277" w:rsidRPr="00FB3A86" w:rsidRDefault="004D4277" w:rsidP="00441B6F">
      <w:pPr>
        <w:pStyle w:val="Appendix"/>
        <w:spacing w:after="0"/>
        <w:jc w:val="both"/>
        <w:rPr>
          <w:rFonts w:ascii="Arial" w:hAnsi="Arial" w:cs="Arial"/>
          <w:b w:val="0"/>
        </w:rPr>
        <w:sectPr w:rsidR="004D4277" w:rsidRPr="00FB3A86" w:rsidSect="00167708">
          <w:headerReference w:type="even" r:id="rId35"/>
          <w:headerReference w:type="default" r:id="rId36"/>
          <w:footerReference w:type="default" r:id="rId37"/>
          <w:headerReference w:type="first" r:id="rId38"/>
          <w:type w:val="continuous"/>
          <w:pgSz w:w="12240" w:h="15840"/>
          <w:pgMar w:top="1440" w:right="2016" w:bottom="2016" w:left="2016" w:header="720" w:footer="1123" w:gutter="0"/>
          <w:cols w:space="720"/>
          <w:docGrid w:linePitch="272"/>
        </w:sectPr>
      </w:pPr>
    </w:p>
    <w:p w14:paraId="57020CEB" w14:textId="77777777" w:rsidR="00B01FCD" w:rsidRPr="00FB3A86" w:rsidRDefault="00B01FCD" w:rsidP="00441B6F">
      <w:pPr>
        <w:pStyle w:val="Appendix"/>
        <w:spacing w:after="0"/>
        <w:jc w:val="both"/>
        <w:rPr>
          <w:rFonts w:ascii="Arial" w:hAnsi="Arial" w:cs="Arial"/>
          <w:b w:val="0"/>
        </w:rPr>
      </w:pPr>
    </w:p>
    <w:sectPr w:rsidR="00B01FCD" w:rsidRPr="00FB3A86" w:rsidSect="0016770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175D9" w14:textId="77777777" w:rsidR="003F5BBF" w:rsidRDefault="003F5BBF" w:rsidP="00C37E61">
      <w:r>
        <w:separator/>
      </w:r>
    </w:p>
  </w:endnote>
  <w:endnote w:type="continuationSeparator" w:id="0">
    <w:p w14:paraId="35DFBA40" w14:textId="77777777" w:rsidR="003F5BBF" w:rsidRDefault="003F5BB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08128" w14:textId="77777777" w:rsidR="00167708" w:rsidRDefault="00167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8BEE0" w14:textId="095CF232" w:rsidR="00C37E61" w:rsidRPr="000F02F9" w:rsidRDefault="00737DFC" w:rsidP="000F02F9">
    <w:pPr>
      <w:pStyle w:val="Footer"/>
    </w:pPr>
    <w:r w:rsidRPr="000F02F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9B6F0" w14:textId="77777777" w:rsidR="009E048A" w:rsidRDefault="009E048A">
    <w:pPr>
      <w:pStyle w:val="Footer"/>
      <w:rPr>
        <w:rFonts w:ascii="Arial" w:hAnsi="Arial" w:cs="Arial"/>
        <w:sz w:val="16"/>
      </w:rPr>
    </w:pPr>
  </w:p>
  <w:p w14:paraId="107C122C"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02D1D491" w14:textId="77777777" w:rsidR="009E048A" w:rsidRDefault="009E048A">
    <w:pPr>
      <w:pStyle w:val="Footer"/>
      <w:rPr>
        <w:rFonts w:ascii="Arial" w:hAnsi="Arial" w:cs="Arial"/>
        <w:sz w:val="16"/>
      </w:rPr>
    </w:pPr>
  </w:p>
  <w:p w14:paraId="46D46317"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7BCD5"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AC2B8" w14:textId="77777777" w:rsidR="003F5BBF" w:rsidRDefault="003F5BBF" w:rsidP="00C37E61">
      <w:r>
        <w:separator/>
      </w:r>
    </w:p>
  </w:footnote>
  <w:footnote w:type="continuationSeparator" w:id="0">
    <w:p w14:paraId="3DF92E83" w14:textId="77777777" w:rsidR="003F5BBF" w:rsidRDefault="003F5BB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09F46" w14:textId="5A169C82" w:rsidR="00167708" w:rsidRDefault="00167708">
    <w:pPr>
      <w:pStyle w:val="Header"/>
    </w:pPr>
    <w:r>
      <w:rPr>
        <w:noProof/>
      </w:rPr>
      <w:pict w14:anchorId="44E68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E3424" w14:textId="5F3B8FCE" w:rsidR="00167708" w:rsidRDefault="00167708">
    <w:pPr>
      <w:pStyle w:val="Header"/>
    </w:pPr>
    <w:r>
      <w:rPr>
        <w:noProof/>
      </w:rPr>
      <w:pict w14:anchorId="3B4EF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CC170" w14:textId="0E44D4C1" w:rsidR="00296529" w:rsidRPr="00296529" w:rsidRDefault="00167708" w:rsidP="00296529">
    <w:pPr>
      <w:ind w:left="2160"/>
      <w:jc w:val="center"/>
      <w:rPr>
        <w:rFonts w:ascii="Times New Roman" w:eastAsia="Calibri" w:hAnsi="Times New Roman"/>
        <w:i/>
        <w:sz w:val="18"/>
        <w:szCs w:val="22"/>
      </w:rPr>
    </w:pPr>
    <w:r>
      <w:rPr>
        <w:noProof/>
      </w:rPr>
      <w:pict w14:anchorId="09835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735BE1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3CAD22C"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6EDBCF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9767D63"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1B500E7"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7F071C3"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5DC3E" w14:textId="1F746A34" w:rsidR="00167708" w:rsidRDefault="00167708">
    <w:pPr>
      <w:pStyle w:val="Header"/>
    </w:pPr>
    <w:r>
      <w:rPr>
        <w:noProof/>
      </w:rPr>
      <w:pict w14:anchorId="5FE2EB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5"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26653" w14:textId="6BD877B9" w:rsidR="00167708" w:rsidRDefault="00167708">
    <w:pPr>
      <w:pStyle w:val="Header"/>
    </w:pPr>
    <w:r>
      <w:rPr>
        <w:noProof/>
      </w:rPr>
      <w:pict w14:anchorId="536F3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6"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0991F" w14:textId="3F52FA48" w:rsidR="00167708" w:rsidRDefault="00167708">
    <w:pPr>
      <w:pStyle w:val="Header"/>
    </w:pPr>
    <w:r>
      <w:rPr>
        <w:noProof/>
      </w:rPr>
      <w:pict w14:anchorId="148B4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783174"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1743D98"/>
    <w:multiLevelType w:val="hybridMultilevel"/>
    <w:tmpl w:val="75243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567220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40477602">
    <w:abstractNumId w:val="16"/>
  </w:num>
  <w:num w:numId="3" w16cid:durableId="1826698462">
    <w:abstractNumId w:val="24"/>
  </w:num>
  <w:num w:numId="4" w16cid:durableId="210209439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11012056">
    <w:abstractNumId w:val="8"/>
  </w:num>
  <w:num w:numId="6" w16cid:durableId="424883246">
    <w:abstractNumId w:val="6"/>
  </w:num>
  <w:num w:numId="7" w16cid:durableId="791821171">
    <w:abstractNumId w:val="1"/>
  </w:num>
  <w:num w:numId="8" w16cid:durableId="1037776523">
    <w:abstractNumId w:val="13"/>
  </w:num>
  <w:num w:numId="9" w16cid:durableId="555630827">
    <w:abstractNumId w:val="26"/>
  </w:num>
  <w:num w:numId="10" w16cid:durableId="1541165820">
    <w:abstractNumId w:val="2"/>
  </w:num>
  <w:num w:numId="11" w16cid:durableId="655770550">
    <w:abstractNumId w:val="19"/>
  </w:num>
  <w:num w:numId="12" w16cid:durableId="33044716">
    <w:abstractNumId w:val="3"/>
  </w:num>
  <w:num w:numId="13" w16cid:durableId="1864854144">
    <w:abstractNumId w:val="18"/>
  </w:num>
  <w:num w:numId="14" w16cid:durableId="1443767972">
    <w:abstractNumId w:val="9"/>
  </w:num>
  <w:num w:numId="15" w16cid:durableId="549271399">
    <w:abstractNumId w:val="22"/>
  </w:num>
  <w:num w:numId="16" w16cid:durableId="392199091">
    <w:abstractNumId w:val="5"/>
  </w:num>
  <w:num w:numId="17" w16cid:durableId="929508479">
    <w:abstractNumId w:val="23"/>
  </w:num>
  <w:num w:numId="18" w16cid:durableId="237979809">
    <w:abstractNumId w:val="15"/>
  </w:num>
  <w:num w:numId="19" w16cid:durableId="1130632646">
    <w:abstractNumId w:val="29"/>
  </w:num>
  <w:num w:numId="20" w16cid:durableId="324356636">
    <w:abstractNumId w:val="12"/>
  </w:num>
  <w:num w:numId="21" w16cid:durableId="621151662">
    <w:abstractNumId w:val="10"/>
  </w:num>
  <w:num w:numId="22" w16cid:durableId="1188255781">
    <w:abstractNumId w:val="14"/>
  </w:num>
  <w:num w:numId="23" w16cid:durableId="376274618">
    <w:abstractNumId w:val="20"/>
  </w:num>
  <w:num w:numId="24" w16cid:durableId="744491425">
    <w:abstractNumId w:val="27"/>
  </w:num>
  <w:num w:numId="25" w16cid:durableId="1320957581">
    <w:abstractNumId w:val="4"/>
  </w:num>
  <w:num w:numId="26" w16cid:durableId="1259288697">
    <w:abstractNumId w:val="17"/>
  </w:num>
  <w:num w:numId="27" w16cid:durableId="552666104">
    <w:abstractNumId w:val="21"/>
  </w:num>
  <w:num w:numId="28" w16cid:durableId="77606328">
    <w:abstractNumId w:val="28"/>
  </w:num>
  <w:num w:numId="29" w16cid:durableId="201790987">
    <w:abstractNumId w:val="25"/>
  </w:num>
  <w:num w:numId="30" w16cid:durableId="950477860">
    <w:abstractNumId w:val="11"/>
  </w:num>
  <w:num w:numId="31" w16cid:durableId="1621109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3B8E"/>
    <w:rsid w:val="00030174"/>
    <w:rsid w:val="0004579C"/>
    <w:rsid w:val="00092A11"/>
    <w:rsid w:val="000A47FA"/>
    <w:rsid w:val="000A65D3"/>
    <w:rsid w:val="000B1E33"/>
    <w:rsid w:val="000D5A6E"/>
    <w:rsid w:val="000D689F"/>
    <w:rsid w:val="000E7B7B"/>
    <w:rsid w:val="000E7D62"/>
    <w:rsid w:val="000F02F9"/>
    <w:rsid w:val="001004B8"/>
    <w:rsid w:val="00103357"/>
    <w:rsid w:val="00123C9F"/>
    <w:rsid w:val="00126190"/>
    <w:rsid w:val="00130F17"/>
    <w:rsid w:val="001320BF"/>
    <w:rsid w:val="00135BCB"/>
    <w:rsid w:val="0015714E"/>
    <w:rsid w:val="00163BC4"/>
    <w:rsid w:val="00167708"/>
    <w:rsid w:val="0019010A"/>
    <w:rsid w:val="00191062"/>
    <w:rsid w:val="001916DD"/>
    <w:rsid w:val="00192B72"/>
    <w:rsid w:val="001A29D8"/>
    <w:rsid w:val="001A5CAA"/>
    <w:rsid w:val="001A753B"/>
    <w:rsid w:val="001B0427"/>
    <w:rsid w:val="001D1AF7"/>
    <w:rsid w:val="001D3A51"/>
    <w:rsid w:val="001D7FC7"/>
    <w:rsid w:val="001E10D2"/>
    <w:rsid w:val="001E25B4"/>
    <w:rsid w:val="001E44FE"/>
    <w:rsid w:val="00200595"/>
    <w:rsid w:val="00203523"/>
    <w:rsid w:val="00204835"/>
    <w:rsid w:val="00220E80"/>
    <w:rsid w:val="00231920"/>
    <w:rsid w:val="0023195C"/>
    <w:rsid w:val="0024282C"/>
    <w:rsid w:val="002460DC"/>
    <w:rsid w:val="00250985"/>
    <w:rsid w:val="002556F6"/>
    <w:rsid w:val="00276E3C"/>
    <w:rsid w:val="00283105"/>
    <w:rsid w:val="00284C4C"/>
    <w:rsid w:val="00287E68"/>
    <w:rsid w:val="00296529"/>
    <w:rsid w:val="002B27FB"/>
    <w:rsid w:val="002B685A"/>
    <w:rsid w:val="002C57D2"/>
    <w:rsid w:val="002D2B3F"/>
    <w:rsid w:val="002E0D56"/>
    <w:rsid w:val="002E3ECB"/>
    <w:rsid w:val="00315186"/>
    <w:rsid w:val="0033343E"/>
    <w:rsid w:val="003414F3"/>
    <w:rsid w:val="00350DC2"/>
    <w:rsid w:val="003512C2"/>
    <w:rsid w:val="00356D1F"/>
    <w:rsid w:val="00371FB6"/>
    <w:rsid w:val="003763C1"/>
    <w:rsid w:val="00376BBE"/>
    <w:rsid w:val="00387DEF"/>
    <w:rsid w:val="0039224F"/>
    <w:rsid w:val="003A43A4"/>
    <w:rsid w:val="003A7E18"/>
    <w:rsid w:val="003C0B4C"/>
    <w:rsid w:val="003C4C86"/>
    <w:rsid w:val="003C6258"/>
    <w:rsid w:val="003D78F5"/>
    <w:rsid w:val="003E2904"/>
    <w:rsid w:val="003F141C"/>
    <w:rsid w:val="003F5BBF"/>
    <w:rsid w:val="003F6AB7"/>
    <w:rsid w:val="00401927"/>
    <w:rsid w:val="0041027F"/>
    <w:rsid w:val="00412475"/>
    <w:rsid w:val="00415C9D"/>
    <w:rsid w:val="00423789"/>
    <w:rsid w:val="00426E6B"/>
    <w:rsid w:val="00440F43"/>
    <w:rsid w:val="00441B6F"/>
    <w:rsid w:val="00446221"/>
    <w:rsid w:val="00450E62"/>
    <w:rsid w:val="004539DB"/>
    <w:rsid w:val="00471A80"/>
    <w:rsid w:val="00476054"/>
    <w:rsid w:val="004814E8"/>
    <w:rsid w:val="004A74FA"/>
    <w:rsid w:val="004B3BD7"/>
    <w:rsid w:val="004C062E"/>
    <w:rsid w:val="004D305E"/>
    <w:rsid w:val="004D4277"/>
    <w:rsid w:val="004D5F86"/>
    <w:rsid w:val="004E2AA1"/>
    <w:rsid w:val="004F3F98"/>
    <w:rsid w:val="00502516"/>
    <w:rsid w:val="00502F67"/>
    <w:rsid w:val="00505F06"/>
    <w:rsid w:val="00506828"/>
    <w:rsid w:val="0053056E"/>
    <w:rsid w:val="00532CBD"/>
    <w:rsid w:val="00536BC8"/>
    <w:rsid w:val="00550AEB"/>
    <w:rsid w:val="00554FDA"/>
    <w:rsid w:val="00575D58"/>
    <w:rsid w:val="005804B6"/>
    <w:rsid w:val="005A0954"/>
    <w:rsid w:val="005A28CE"/>
    <w:rsid w:val="005A2DCA"/>
    <w:rsid w:val="005B5E14"/>
    <w:rsid w:val="005C784C"/>
    <w:rsid w:val="005D17F6"/>
    <w:rsid w:val="005E5539"/>
    <w:rsid w:val="00602BF5"/>
    <w:rsid w:val="00616FDD"/>
    <w:rsid w:val="00617FDD"/>
    <w:rsid w:val="00630FE9"/>
    <w:rsid w:val="00633614"/>
    <w:rsid w:val="00633F68"/>
    <w:rsid w:val="00636EB2"/>
    <w:rsid w:val="006375B8"/>
    <w:rsid w:val="0066510A"/>
    <w:rsid w:val="00673F9F"/>
    <w:rsid w:val="00686953"/>
    <w:rsid w:val="006870CB"/>
    <w:rsid w:val="00687DEA"/>
    <w:rsid w:val="00687E67"/>
    <w:rsid w:val="006967F7"/>
    <w:rsid w:val="006A250C"/>
    <w:rsid w:val="006B21D3"/>
    <w:rsid w:val="006B57D0"/>
    <w:rsid w:val="006D30FF"/>
    <w:rsid w:val="006D6940"/>
    <w:rsid w:val="006F11EC"/>
    <w:rsid w:val="006F70F7"/>
    <w:rsid w:val="0070082C"/>
    <w:rsid w:val="00712B1B"/>
    <w:rsid w:val="00735A2E"/>
    <w:rsid w:val="007369E6"/>
    <w:rsid w:val="00737DFC"/>
    <w:rsid w:val="00746E59"/>
    <w:rsid w:val="00754C9A"/>
    <w:rsid w:val="0075599A"/>
    <w:rsid w:val="00761D52"/>
    <w:rsid w:val="0077749E"/>
    <w:rsid w:val="00780989"/>
    <w:rsid w:val="00790ADA"/>
    <w:rsid w:val="007B4E31"/>
    <w:rsid w:val="007C11E5"/>
    <w:rsid w:val="007C2FB1"/>
    <w:rsid w:val="007D0BE2"/>
    <w:rsid w:val="007D2288"/>
    <w:rsid w:val="007E088F"/>
    <w:rsid w:val="007F76FB"/>
    <w:rsid w:val="007F7B32"/>
    <w:rsid w:val="00804BC2"/>
    <w:rsid w:val="0080700F"/>
    <w:rsid w:val="0081431A"/>
    <w:rsid w:val="00831680"/>
    <w:rsid w:val="0083216F"/>
    <w:rsid w:val="008335A9"/>
    <w:rsid w:val="00840976"/>
    <w:rsid w:val="00847EC4"/>
    <w:rsid w:val="00860000"/>
    <w:rsid w:val="00863BD3"/>
    <w:rsid w:val="008641ED"/>
    <w:rsid w:val="00866D66"/>
    <w:rsid w:val="008671C6"/>
    <w:rsid w:val="00867965"/>
    <w:rsid w:val="00875803"/>
    <w:rsid w:val="008949DD"/>
    <w:rsid w:val="008B459E"/>
    <w:rsid w:val="008C268B"/>
    <w:rsid w:val="008C34C6"/>
    <w:rsid w:val="008E13AE"/>
    <w:rsid w:val="008E1506"/>
    <w:rsid w:val="008E710C"/>
    <w:rsid w:val="008F69D6"/>
    <w:rsid w:val="00902823"/>
    <w:rsid w:val="00910526"/>
    <w:rsid w:val="00914368"/>
    <w:rsid w:val="00915CA6"/>
    <w:rsid w:val="0092431C"/>
    <w:rsid w:val="00927834"/>
    <w:rsid w:val="00931FCB"/>
    <w:rsid w:val="00945BF4"/>
    <w:rsid w:val="009500A6"/>
    <w:rsid w:val="00957C18"/>
    <w:rsid w:val="009622CF"/>
    <w:rsid w:val="009659BA"/>
    <w:rsid w:val="0096741D"/>
    <w:rsid w:val="00983040"/>
    <w:rsid w:val="00985735"/>
    <w:rsid w:val="009A29EF"/>
    <w:rsid w:val="009B3FB9"/>
    <w:rsid w:val="009C2465"/>
    <w:rsid w:val="009D35A0"/>
    <w:rsid w:val="009D7EB7"/>
    <w:rsid w:val="009E048A"/>
    <w:rsid w:val="009E08E9"/>
    <w:rsid w:val="009E3DB9"/>
    <w:rsid w:val="009E6E35"/>
    <w:rsid w:val="009F0EDA"/>
    <w:rsid w:val="00A00D03"/>
    <w:rsid w:val="00A03B96"/>
    <w:rsid w:val="00A05B19"/>
    <w:rsid w:val="00A1134E"/>
    <w:rsid w:val="00A24E7E"/>
    <w:rsid w:val="00A255AC"/>
    <w:rsid w:val="00A258C3"/>
    <w:rsid w:val="00A347C0"/>
    <w:rsid w:val="00A37336"/>
    <w:rsid w:val="00A51431"/>
    <w:rsid w:val="00A539AD"/>
    <w:rsid w:val="00A57BCB"/>
    <w:rsid w:val="00A94063"/>
    <w:rsid w:val="00AA0773"/>
    <w:rsid w:val="00AA6219"/>
    <w:rsid w:val="00AA74E0"/>
    <w:rsid w:val="00AB703F"/>
    <w:rsid w:val="00AB7625"/>
    <w:rsid w:val="00AC6BB8"/>
    <w:rsid w:val="00AD7CF5"/>
    <w:rsid w:val="00AE008F"/>
    <w:rsid w:val="00B01FCD"/>
    <w:rsid w:val="00B076AA"/>
    <w:rsid w:val="00B1776C"/>
    <w:rsid w:val="00B52583"/>
    <w:rsid w:val="00B52896"/>
    <w:rsid w:val="00B5388F"/>
    <w:rsid w:val="00B61636"/>
    <w:rsid w:val="00B95236"/>
    <w:rsid w:val="00B96BD9"/>
    <w:rsid w:val="00BA1B01"/>
    <w:rsid w:val="00BA2641"/>
    <w:rsid w:val="00BB37AA"/>
    <w:rsid w:val="00BB4944"/>
    <w:rsid w:val="00BC2628"/>
    <w:rsid w:val="00BC53A0"/>
    <w:rsid w:val="00BE62AD"/>
    <w:rsid w:val="00BF121F"/>
    <w:rsid w:val="00BF1F80"/>
    <w:rsid w:val="00C01232"/>
    <w:rsid w:val="00C07D89"/>
    <w:rsid w:val="00C166EF"/>
    <w:rsid w:val="00C17EB0"/>
    <w:rsid w:val="00C2626D"/>
    <w:rsid w:val="00C26999"/>
    <w:rsid w:val="00C27F5F"/>
    <w:rsid w:val="00C30A0F"/>
    <w:rsid w:val="00C32914"/>
    <w:rsid w:val="00C37E61"/>
    <w:rsid w:val="00C4106B"/>
    <w:rsid w:val="00C46393"/>
    <w:rsid w:val="00C70F1B"/>
    <w:rsid w:val="00C715AE"/>
    <w:rsid w:val="00C71A47"/>
    <w:rsid w:val="00C7464C"/>
    <w:rsid w:val="00C83887"/>
    <w:rsid w:val="00C85588"/>
    <w:rsid w:val="00CA6FF0"/>
    <w:rsid w:val="00CD6755"/>
    <w:rsid w:val="00CD6856"/>
    <w:rsid w:val="00CE0089"/>
    <w:rsid w:val="00CE793C"/>
    <w:rsid w:val="00CF193C"/>
    <w:rsid w:val="00CF4631"/>
    <w:rsid w:val="00D010A4"/>
    <w:rsid w:val="00D173F1"/>
    <w:rsid w:val="00D176DF"/>
    <w:rsid w:val="00D4521D"/>
    <w:rsid w:val="00D466A6"/>
    <w:rsid w:val="00D67FBA"/>
    <w:rsid w:val="00D74CB0"/>
    <w:rsid w:val="00D813F2"/>
    <w:rsid w:val="00D8295D"/>
    <w:rsid w:val="00D95205"/>
    <w:rsid w:val="00DA6FAD"/>
    <w:rsid w:val="00DB5EB5"/>
    <w:rsid w:val="00DC2099"/>
    <w:rsid w:val="00DC2A65"/>
    <w:rsid w:val="00DE15F0"/>
    <w:rsid w:val="00DE5663"/>
    <w:rsid w:val="00DE78AA"/>
    <w:rsid w:val="00E053D0"/>
    <w:rsid w:val="00E15994"/>
    <w:rsid w:val="00E23A86"/>
    <w:rsid w:val="00E3114E"/>
    <w:rsid w:val="00E31A70"/>
    <w:rsid w:val="00E35B02"/>
    <w:rsid w:val="00E629E5"/>
    <w:rsid w:val="00E66496"/>
    <w:rsid w:val="00E66B35"/>
    <w:rsid w:val="00E66E10"/>
    <w:rsid w:val="00E769F6"/>
    <w:rsid w:val="00E83AED"/>
    <w:rsid w:val="00E8407C"/>
    <w:rsid w:val="00E84F3C"/>
    <w:rsid w:val="00EA012C"/>
    <w:rsid w:val="00EC54D5"/>
    <w:rsid w:val="00EC665E"/>
    <w:rsid w:val="00EC6A55"/>
    <w:rsid w:val="00ED0288"/>
    <w:rsid w:val="00ED14B1"/>
    <w:rsid w:val="00EE52CB"/>
    <w:rsid w:val="00EF54B4"/>
    <w:rsid w:val="00EF581D"/>
    <w:rsid w:val="00EF7FD8"/>
    <w:rsid w:val="00F06F59"/>
    <w:rsid w:val="00F117CF"/>
    <w:rsid w:val="00F17988"/>
    <w:rsid w:val="00F261FE"/>
    <w:rsid w:val="00F27F76"/>
    <w:rsid w:val="00F33967"/>
    <w:rsid w:val="00F45485"/>
    <w:rsid w:val="00F469F0"/>
    <w:rsid w:val="00F53273"/>
    <w:rsid w:val="00F650CD"/>
    <w:rsid w:val="00F755E4"/>
    <w:rsid w:val="00F77D02"/>
    <w:rsid w:val="00F81927"/>
    <w:rsid w:val="00FB3A86"/>
    <w:rsid w:val="00FB4D72"/>
    <w:rsid w:val="00FC18C9"/>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EB8910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semiHidden/>
    <w:unhideWhenUsed/>
    <w:rsid w:val="0019010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7440791">
      <w:bodyDiv w:val="1"/>
      <w:marLeft w:val="0"/>
      <w:marRight w:val="0"/>
      <w:marTop w:val="0"/>
      <w:marBottom w:val="0"/>
      <w:divBdr>
        <w:top w:val="none" w:sz="0" w:space="0" w:color="auto"/>
        <w:left w:val="none" w:sz="0" w:space="0" w:color="auto"/>
        <w:bottom w:val="none" w:sz="0" w:space="0" w:color="auto"/>
        <w:right w:val="none" w:sz="0" w:space="0" w:color="auto"/>
      </w:divBdr>
    </w:div>
    <w:div w:id="46418881">
      <w:bodyDiv w:val="1"/>
      <w:marLeft w:val="0"/>
      <w:marRight w:val="0"/>
      <w:marTop w:val="0"/>
      <w:marBottom w:val="0"/>
      <w:divBdr>
        <w:top w:val="none" w:sz="0" w:space="0" w:color="auto"/>
        <w:left w:val="none" w:sz="0" w:space="0" w:color="auto"/>
        <w:bottom w:val="none" w:sz="0" w:space="0" w:color="auto"/>
        <w:right w:val="none" w:sz="0" w:space="0" w:color="auto"/>
      </w:divBdr>
    </w:div>
    <w:div w:id="113670018">
      <w:bodyDiv w:val="1"/>
      <w:marLeft w:val="0"/>
      <w:marRight w:val="0"/>
      <w:marTop w:val="0"/>
      <w:marBottom w:val="0"/>
      <w:divBdr>
        <w:top w:val="none" w:sz="0" w:space="0" w:color="auto"/>
        <w:left w:val="none" w:sz="0" w:space="0" w:color="auto"/>
        <w:bottom w:val="none" w:sz="0" w:space="0" w:color="auto"/>
        <w:right w:val="none" w:sz="0" w:space="0" w:color="auto"/>
      </w:divBdr>
    </w:div>
    <w:div w:id="120075410">
      <w:bodyDiv w:val="1"/>
      <w:marLeft w:val="0"/>
      <w:marRight w:val="0"/>
      <w:marTop w:val="0"/>
      <w:marBottom w:val="0"/>
      <w:divBdr>
        <w:top w:val="none" w:sz="0" w:space="0" w:color="auto"/>
        <w:left w:val="none" w:sz="0" w:space="0" w:color="auto"/>
        <w:bottom w:val="none" w:sz="0" w:space="0" w:color="auto"/>
        <w:right w:val="none" w:sz="0" w:space="0" w:color="auto"/>
      </w:divBdr>
    </w:div>
    <w:div w:id="13175201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29393055">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70882857">
      <w:bodyDiv w:val="1"/>
      <w:marLeft w:val="0"/>
      <w:marRight w:val="0"/>
      <w:marTop w:val="0"/>
      <w:marBottom w:val="0"/>
      <w:divBdr>
        <w:top w:val="none" w:sz="0" w:space="0" w:color="auto"/>
        <w:left w:val="none" w:sz="0" w:space="0" w:color="auto"/>
        <w:bottom w:val="none" w:sz="0" w:space="0" w:color="auto"/>
        <w:right w:val="none" w:sz="0" w:space="0" w:color="auto"/>
      </w:divBdr>
    </w:div>
    <w:div w:id="429935018">
      <w:bodyDiv w:val="1"/>
      <w:marLeft w:val="0"/>
      <w:marRight w:val="0"/>
      <w:marTop w:val="0"/>
      <w:marBottom w:val="0"/>
      <w:divBdr>
        <w:top w:val="none" w:sz="0" w:space="0" w:color="auto"/>
        <w:left w:val="none" w:sz="0" w:space="0" w:color="auto"/>
        <w:bottom w:val="none" w:sz="0" w:space="0" w:color="auto"/>
        <w:right w:val="none" w:sz="0" w:space="0" w:color="auto"/>
      </w:divBdr>
    </w:div>
    <w:div w:id="57405097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61930614">
      <w:bodyDiv w:val="1"/>
      <w:marLeft w:val="0"/>
      <w:marRight w:val="0"/>
      <w:marTop w:val="0"/>
      <w:marBottom w:val="0"/>
      <w:divBdr>
        <w:top w:val="none" w:sz="0" w:space="0" w:color="auto"/>
        <w:left w:val="none" w:sz="0" w:space="0" w:color="auto"/>
        <w:bottom w:val="none" w:sz="0" w:space="0" w:color="auto"/>
        <w:right w:val="none" w:sz="0" w:space="0" w:color="auto"/>
      </w:divBdr>
    </w:div>
    <w:div w:id="711659425">
      <w:bodyDiv w:val="1"/>
      <w:marLeft w:val="0"/>
      <w:marRight w:val="0"/>
      <w:marTop w:val="0"/>
      <w:marBottom w:val="0"/>
      <w:divBdr>
        <w:top w:val="none" w:sz="0" w:space="0" w:color="auto"/>
        <w:left w:val="none" w:sz="0" w:space="0" w:color="auto"/>
        <w:bottom w:val="none" w:sz="0" w:space="0" w:color="auto"/>
        <w:right w:val="none" w:sz="0" w:space="0" w:color="auto"/>
      </w:divBdr>
    </w:div>
    <w:div w:id="712579560">
      <w:bodyDiv w:val="1"/>
      <w:marLeft w:val="0"/>
      <w:marRight w:val="0"/>
      <w:marTop w:val="0"/>
      <w:marBottom w:val="0"/>
      <w:divBdr>
        <w:top w:val="none" w:sz="0" w:space="0" w:color="auto"/>
        <w:left w:val="none" w:sz="0" w:space="0" w:color="auto"/>
        <w:bottom w:val="none" w:sz="0" w:space="0" w:color="auto"/>
        <w:right w:val="none" w:sz="0" w:space="0" w:color="auto"/>
      </w:divBdr>
    </w:div>
    <w:div w:id="824667604">
      <w:bodyDiv w:val="1"/>
      <w:marLeft w:val="0"/>
      <w:marRight w:val="0"/>
      <w:marTop w:val="0"/>
      <w:marBottom w:val="0"/>
      <w:divBdr>
        <w:top w:val="none" w:sz="0" w:space="0" w:color="auto"/>
        <w:left w:val="none" w:sz="0" w:space="0" w:color="auto"/>
        <w:bottom w:val="none" w:sz="0" w:space="0" w:color="auto"/>
        <w:right w:val="none" w:sz="0" w:space="0" w:color="auto"/>
      </w:divBdr>
    </w:div>
    <w:div w:id="896935997">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4477746">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98209276">
      <w:bodyDiv w:val="1"/>
      <w:marLeft w:val="0"/>
      <w:marRight w:val="0"/>
      <w:marTop w:val="0"/>
      <w:marBottom w:val="0"/>
      <w:divBdr>
        <w:top w:val="none" w:sz="0" w:space="0" w:color="auto"/>
        <w:left w:val="none" w:sz="0" w:space="0" w:color="auto"/>
        <w:bottom w:val="none" w:sz="0" w:space="0" w:color="auto"/>
        <w:right w:val="none" w:sz="0" w:space="0" w:color="auto"/>
      </w:divBdr>
      <w:divsChild>
        <w:div w:id="32468468">
          <w:marLeft w:val="0"/>
          <w:marRight w:val="0"/>
          <w:marTop w:val="0"/>
          <w:marBottom w:val="0"/>
          <w:divBdr>
            <w:top w:val="none" w:sz="0" w:space="0" w:color="auto"/>
            <w:left w:val="none" w:sz="0" w:space="0" w:color="auto"/>
            <w:bottom w:val="none" w:sz="0" w:space="0" w:color="auto"/>
            <w:right w:val="none" w:sz="0" w:space="0" w:color="auto"/>
          </w:divBdr>
          <w:divsChild>
            <w:div w:id="1355228056">
              <w:marLeft w:val="0"/>
              <w:marRight w:val="0"/>
              <w:marTop w:val="0"/>
              <w:marBottom w:val="0"/>
              <w:divBdr>
                <w:top w:val="none" w:sz="0" w:space="0" w:color="auto"/>
                <w:left w:val="none" w:sz="0" w:space="0" w:color="auto"/>
                <w:bottom w:val="none" w:sz="0" w:space="0" w:color="auto"/>
                <w:right w:val="none" w:sz="0" w:space="0" w:color="auto"/>
              </w:divBdr>
              <w:divsChild>
                <w:div w:id="205070897">
                  <w:marLeft w:val="0"/>
                  <w:marRight w:val="0"/>
                  <w:marTop w:val="0"/>
                  <w:marBottom w:val="0"/>
                  <w:divBdr>
                    <w:top w:val="none" w:sz="0" w:space="0" w:color="auto"/>
                    <w:left w:val="none" w:sz="0" w:space="0" w:color="auto"/>
                    <w:bottom w:val="none" w:sz="0" w:space="0" w:color="auto"/>
                    <w:right w:val="none" w:sz="0" w:space="0" w:color="auto"/>
                  </w:divBdr>
                  <w:divsChild>
                    <w:div w:id="3838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15716566">
      <w:bodyDiv w:val="1"/>
      <w:marLeft w:val="0"/>
      <w:marRight w:val="0"/>
      <w:marTop w:val="0"/>
      <w:marBottom w:val="0"/>
      <w:divBdr>
        <w:top w:val="none" w:sz="0" w:space="0" w:color="auto"/>
        <w:left w:val="none" w:sz="0" w:space="0" w:color="auto"/>
        <w:bottom w:val="none" w:sz="0" w:space="0" w:color="auto"/>
        <w:right w:val="none" w:sz="0" w:space="0" w:color="auto"/>
      </w:divBdr>
    </w:div>
    <w:div w:id="1380130207">
      <w:bodyDiv w:val="1"/>
      <w:marLeft w:val="0"/>
      <w:marRight w:val="0"/>
      <w:marTop w:val="0"/>
      <w:marBottom w:val="0"/>
      <w:divBdr>
        <w:top w:val="none" w:sz="0" w:space="0" w:color="auto"/>
        <w:left w:val="none" w:sz="0" w:space="0" w:color="auto"/>
        <w:bottom w:val="none" w:sz="0" w:space="0" w:color="auto"/>
        <w:right w:val="none" w:sz="0" w:space="0" w:color="auto"/>
      </w:divBdr>
    </w:div>
    <w:div w:id="1555505473">
      <w:bodyDiv w:val="1"/>
      <w:marLeft w:val="0"/>
      <w:marRight w:val="0"/>
      <w:marTop w:val="0"/>
      <w:marBottom w:val="0"/>
      <w:divBdr>
        <w:top w:val="none" w:sz="0" w:space="0" w:color="auto"/>
        <w:left w:val="none" w:sz="0" w:space="0" w:color="auto"/>
        <w:bottom w:val="none" w:sz="0" w:space="0" w:color="auto"/>
        <w:right w:val="none" w:sz="0" w:space="0" w:color="auto"/>
      </w:divBdr>
    </w:div>
    <w:div w:id="1617298450">
      <w:bodyDiv w:val="1"/>
      <w:marLeft w:val="0"/>
      <w:marRight w:val="0"/>
      <w:marTop w:val="0"/>
      <w:marBottom w:val="0"/>
      <w:divBdr>
        <w:top w:val="none" w:sz="0" w:space="0" w:color="auto"/>
        <w:left w:val="none" w:sz="0" w:space="0" w:color="auto"/>
        <w:bottom w:val="none" w:sz="0" w:space="0" w:color="auto"/>
        <w:right w:val="none" w:sz="0" w:space="0" w:color="auto"/>
      </w:divBdr>
    </w:div>
    <w:div w:id="1623148987">
      <w:bodyDiv w:val="1"/>
      <w:marLeft w:val="0"/>
      <w:marRight w:val="0"/>
      <w:marTop w:val="0"/>
      <w:marBottom w:val="0"/>
      <w:divBdr>
        <w:top w:val="none" w:sz="0" w:space="0" w:color="auto"/>
        <w:left w:val="none" w:sz="0" w:space="0" w:color="auto"/>
        <w:bottom w:val="none" w:sz="0" w:space="0" w:color="auto"/>
        <w:right w:val="none" w:sz="0" w:space="0" w:color="auto"/>
      </w:divBdr>
    </w:div>
    <w:div w:id="1734355103">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64760236">
      <w:bodyDiv w:val="1"/>
      <w:marLeft w:val="0"/>
      <w:marRight w:val="0"/>
      <w:marTop w:val="0"/>
      <w:marBottom w:val="0"/>
      <w:divBdr>
        <w:top w:val="none" w:sz="0" w:space="0" w:color="auto"/>
        <w:left w:val="none" w:sz="0" w:space="0" w:color="auto"/>
        <w:bottom w:val="none" w:sz="0" w:space="0" w:color="auto"/>
        <w:right w:val="none" w:sz="0" w:space="0" w:color="auto"/>
      </w:divBdr>
    </w:div>
    <w:div w:id="1947150765">
      <w:bodyDiv w:val="1"/>
      <w:marLeft w:val="0"/>
      <w:marRight w:val="0"/>
      <w:marTop w:val="0"/>
      <w:marBottom w:val="0"/>
      <w:divBdr>
        <w:top w:val="none" w:sz="0" w:space="0" w:color="auto"/>
        <w:left w:val="none" w:sz="0" w:space="0" w:color="auto"/>
        <w:bottom w:val="none" w:sz="0" w:space="0" w:color="auto"/>
        <w:right w:val="none" w:sz="0" w:space="0" w:color="auto"/>
      </w:divBdr>
      <w:divsChild>
        <w:div w:id="1452892420">
          <w:marLeft w:val="0"/>
          <w:marRight w:val="0"/>
          <w:marTop w:val="0"/>
          <w:marBottom w:val="0"/>
          <w:divBdr>
            <w:top w:val="none" w:sz="0" w:space="0" w:color="auto"/>
            <w:left w:val="none" w:sz="0" w:space="0" w:color="auto"/>
            <w:bottom w:val="none" w:sz="0" w:space="0" w:color="auto"/>
            <w:right w:val="none" w:sz="0" w:space="0" w:color="auto"/>
          </w:divBdr>
          <w:divsChild>
            <w:div w:id="1645888469">
              <w:marLeft w:val="0"/>
              <w:marRight w:val="0"/>
              <w:marTop w:val="0"/>
              <w:marBottom w:val="0"/>
              <w:divBdr>
                <w:top w:val="none" w:sz="0" w:space="0" w:color="auto"/>
                <w:left w:val="none" w:sz="0" w:space="0" w:color="auto"/>
                <w:bottom w:val="none" w:sz="0" w:space="0" w:color="auto"/>
                <w:right w:val="none" w:sz="0" w:space="0" w:color="auto"/>
              </w:divBdr>
              <w:divsChild>
                <w:div w:id="1413161302">
                  <w:marLeft w:val="0"/>
                  <w:marRight w:val="0"/>
                  <w:marTop w:val="0"/>
                  <w:marBottom w:val="0"/>
                  <w:divBdr>
                    <w:top w:val="none" w:sz="0" w:space="0" w:color="auto"/>
                    <w:left w:val="none" w:sz="0" w:space="0" w:color="auto"/>
                    <w:bottom w:val="none" w:sz="0" w:space="0" w:color="auto"/>
                    <w:right w:val="none" w:sz="0" w:space="0" w:color="auto"/>
                  </w:divBdr>
                  <w:divsChild>
                    <w:div w:id="11824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09/RBME.2018.2807182" TargetMode="External"/><Relationship Id="rId26" Type="http://schemas.openxmlformats.org/officeDocument/2006/relationships/hyperlink" Target="https://doi.org/10.1111/j.1532-5415.1991.tb01616.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07/s11999-016-4732-4" TargetMode="External"/><Relationship Id="rId34" Type="http://schemas.openxmlformats.org/officeDocument/2006/relationships/hyperlink" Target="https://doi.org/10.1155/2022/591968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joca.2012.09.012" TargetMode="External"/><Relationship Id="rId25" Type="http://schemas.openxmlformats.org/officeDocument/2006/relationships/hyperlink" Target="https://doi.org/10.1016/j.jbspin.2010.01.011" TargetMode="External"/><Relationship Id="rId33" Type="http://schemas.openxmlformats.org/officeDocument/2006/relationships/hyperlink" Target="https://doi.org/10.2522/ptj.20070375"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doi.org/10.2519/jospt.2014.4806" TargetMode="External"/><Relationship Id="rId20" Type="http://schemas.openxmlformats.org/officeDocument/2006/relationships/hyperlink" Target="https://doi.org/10.1186/s12984-020-00685-3" TargetMode="External"/><Relationship Id="rId29" Type="http://schemas.openxmlformats.org/officeDocument/2006/relationships/hyperlink" Target="https://doi.org/10.1016/j.jclinepi.2005.11.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86/1471-2288-7-30" TargetMode="External"/><Relationship Id="rId32" Type="http://schemas.openxmlformats.org/officeDocument/2006/relationships/hyperlink" Target="https://doi.org/10.1016/S0140-6736(12)61729-2"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arth.2016.03.050" TargetMode="External"/><Relationship Id="rId23" Type="http://schemas.openxmlformats.org/officeDocument/2006/relationships/hyperlink" Target="https://doi.org/10.1186/s12891-024-07645-1" TargetMode="External"/><Relationship Id="rId28" Type="http://schemas.openxmlformats.org/officeDocument/2006/relationships/hyperlink" Target="https://doi.org/10.1016/j.joca.2014.11.019"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doi.org/10.1186/1471-2474-6-3" TargetMode="External"/><Relationship Id="rId31" Type="http://schemas.openxmlformats.org/officeDocument/2006/relationships/hyperlink" Target="https://doi.org/10.1007/s00167-002-0279-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gaitpost.2022.07.002" TargetMode="External"/><Relationship Id="rId22" Type="http://schemas.openxmlformats.org/officeDocument/2006/relationships/hyperlink" Target="https://doi.org/10.2106/JBJS.F.00222" TargetMode="External"/><Relationship Id="rId27" Type="http://schemas.openxmlformats.org/officeDocument/2006/relationships/hyperlink" Target="https://doi.org/10.3390/genes11080854" TargetMode="External"/><Relationship Id="rId30" Type="http://schemas.openxmlformats.org/officeDocument/2006/relationships/hyperlink" Target="https://doi.org/10.1177/2309499020965645" TargetMode="External"/><Relationship Id="rId35"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151</TotalTime>
  <Pages>10</Pages>
  <Words>4947</Words>
  <Characters>28201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33082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104</cp:revision>
  <cp:lastPrinted>1999-07-06T11:00:00Z</cp:lastPrinted>
  <dcterms:created xsi:type="dcterms:W3CDTF">2014-10-25T14:34:00Z</dcterms:created>
  <dcterms:modified xsi:type="dcterms:W3CDTF">2024-12-26T05:29:00Z</dcterms:modified>
</cp:coreProperties>
</file>