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BF843" w14:textId="560E6F9A" w:rsidR="00511F38" w:rsidRDefault="00511F38" w:rsidP="00175078">
      <w:pPr>
        <w:pStyle w:val="Title"/>
        <w:spacing w:after="0"/>
        <w:rPr>
          <w:rFonts w:ascii="Arial" w:hAnsi="Arial" w:cs="Arial"/>
          <w:i/>
          <w:iCs/>
          <w:sz w:val="24"/>
          <w:szCs w:val="14"/>
        </w:rPr>
      </w:pPr>
      <w:r w:rsidRPr="00511F38">
        <w:rPr>
          <w:rFonts w:ascii="Arial" w:hAnsi="Arial" w:cs="Arial"/>
          <w:i/>
          <w:iCs/>
          <w:sz w:val="24"/>
          <w:szCs w:val="14"/>
        </w:rPr>
        <w:t>Original Research Article</w:t>
      </w:r>
    </w:p>
    <w:p w14:paraId="1FC3339E" w14:textId="77777777" w:rsidR="00511F38" w:rsidRPr="00175078" w:rsidRDefault="00511F38" w:rsidP="00175078">
      <w:pPr>
        <w:pStyle w:val="Title"/>
        <w:spacing w:after="0"/>
        <w:rPr>
          <w:rFonts w:ascii="Arial" w:hAnsi="Arial" w:cs="Arial"/>
          <w:i/>
          <w:iCs/>
          <w:sz w:val="24"/>
          <w:szCs w:val="14"/>
        </w:rPr>
      </w:pPr>
    </w:p>
    <w:p w14:paraId="66B45B95" w14:textId="0A682D74" w:rsidR="00163BC4" w:rsidRPr="00163BC4" w:rsidRDefault="00041059" w:rsidP="00441B6F">
      <w:pPr>
        <w:pStyle w:val="Author"/>
        <w:spacing w:line="240" w:lineRule="auto"/>
        <w:rPr>
          <w:rFonts w:ascii="Arial" w:hAnsi="Arial" w:cs="Arial"/>
          <w:bCs/>
          <w:iCs/>
          <w:kern w:val="28"/>
          <w:sz w:val="36"/>
        </w:rPr>
      </w:pPr>
      <w:r w:rsidRPr="00A276D8">
        <w:rPr>
          <w:rFonts w:ascii="Arial" w:hAnsi="Arial" w:cs="Arial"/>
          <w:bCs/>
          <w:iCs/>
          <w:kern w:val="28"/>
          <w:sz w:val="36"/>
        </w:rPr>
        <w:t xml:space="preserve">Common Isolates and Antibiotic Susceptibility Pattern </w:t>
      </w:r>
      <w:r w:rsidR="002705E5" w:rsidRPr="00A276D8">
        <w:rPr>
          <w:rFonts w:ascii="Arial" w:hAnsi="Arial" w:cs="Arial"/>
          <w:bCs/>
          <w:iCs/>
          <w:kern w:val="28"/>
          <w:sz w:val="36"/>
        </w:rPr>
        <w:t>of</w:t>
      </w:r>
      <w:r w:rsidRPr="00A276D8">
        <w:rPr>
          <w:rFonts w:ascii="Arial" w:hAnsi="Arial" w:cs="Arial"/>
          <w:bCs/>
          <w:iCs/>
          <w:kern w:val="28"/>
          <w:sz w:val="36"/>
        </w:rPr>
        <w:t xml:space="preserve"> Urine Samples Among Patients Attending </w:t>
      </w:r>
      <w:r w:rsidR="002705E5">
        <w:rPr>
          <w:rFonts w:ascii="Arial" w:hAnsi="Arial" w:cs="Arial"/>
          <w:bCs/>
          <w:iCs/>
          <w:kern w:val="28"/>
          <w:sz w:val="36"/>
        </w:rPr>
        <w:t>a</w:t>
      </w:r>
      <w:r w:rsidRPr="00A276D8">
        <w:rPr>
          <w:rFonts w:ascii="Arial" w:hAnsi="Arial" w:cs="Arial"/>
          <w:bCs/>
          <w:iCs/>
          <w:kern w:val="28"/>
          <w:sz w:val="36"/>
        </w:rPr>
        <w:t xml:space="preserve"> Tertiary Health Institution </w:t>
      </w:r>
      <w:r w:rsidR="002705E5">
        <w:rPr>
          <w:rFonts w:ascii="Arial" w:hAnsi="Arial" w:cs="Arial"/>
          <w:bCs/>
          <w:iCs/>
          <w:kern w:val="28"/>
          <w:sz w:val="36"/>
        </w:rPr>
        <w:t>i</w:t>
      </w:r>
      <w:r w:rsidRPr="00A276D8">
        <w:rPr>
          <w:rFonts w:ascii="Arial" w:hAnsi="Arial" w:cs="Arial"/>
          <w:bCs/>
          <w:iCs/>
          <w:kern w:val="28"/>
          <w:sz w:val="36"/>
        </w:rPr>
        <w:t>n South</w:t>
      </w:r>
      <w:r w:rsidR="002705E5">
        <w:rPr>
          <w:rFonts w:ascii="Arial" w:hAnsi="Arial" w:cs="Arial"/>
          <w:bCs/>
          <w:iCs/>
          <w:kern w:val="28"/>
          <w:sz w:val="36"/>
        </w:rPr>
        <w:t>-</w:t>
      </w:r>
      <w:r w:rsidRPr="00A276D8">
        <w:rPr>
          <w:rFonts w:ascii="Arial" w:hAnsi="Arial" w:cs="Arial"/>
          <w:bCs/>
          <w:iCs/>
          <w:kern w:val="28"/>
          <w:sz w:val="36"/>
        </w:rPr>
        <w:t>South Nigeria</w:t>
      </w:r>
      <w:r>
        <w:rPr>
          <w:rFonts w:ascii="Arial" w:hAnsi="Arial" w:cs="Arial"/>
          <w:bCs/>
          <w:iCs/>
          <w:kern w:val="28"/>
          <w:sz w:val="36"/>
        </w:rPr>
        <w:t xml:space="preserve"> </w:t>
      </w:r>
    </w:p>
    <w:p w14:paraId="302A5878" w14:textId="77777777" w:rsidR="00A258C3" w:rsidRPr="00790ADA" w:rsidRDefault="00A258C3" w:rsidP="00441B6F">
      <w:pPr>
        <w:pStyle w:val="Author"/>
        <w:spacing w:line="240" w:lineRule="auto"/>
        <w:jc w:val="both"/>
        <w:rPr>
          <w:rFonts w:ascii="Arial" w:hAnsi="Arial" w:cs="Arial"/>
          <w:sz w:val="36"/>
        </w:rPr>
      </w:pPr>
    </w:p>
    <w:p w14:paraId="7113F526" w14:textId="77777777" w:rsidR="00790ADA" w:rsidRPr="00621D3F" w:rsidRDefault="00790ADA" w:rsidP="00441B6F">
      <w:pPr>
        <w:pStyle w:val="Affiliation"/>
        <w:spacing w:after="0" w:line="240" w:lineRule="auto"/>
        <w:jc w:val="both"/>
        <w:rPr>
          <w:rFonts w:ascii="Arial" w:hAnsi="Arial" w:cs="Arial"/>
          <w:lang w:val="de-DE"/>
        </w:rPr>
      </w:pPr>
    </w:p>
    <w:p w14:paraId="25B09C88" w14:textId="77777777" w:rsidR="002C57D2" w:rsidRPr="00621D3F" w:rsidRDefault="002C57D2" w:rsidP="00441B6F">
      <w:pPr>
        <w:pStyle w:val="Affiliation"/>
        <w:spacing w:after="0" w:line="240" w:lineRule="auto"/>
        <w:jc w:val="both"/>
        <w:rPr>
          <w:rFonts w:ascii="Arial" w:hAnsi="Arial" w:cs="Arial"/>
          <w:lang w:val="de-DE"/>
        </w:rPr>
      </w:pPr>
    </w:p>
    <w:p w14:paraId="0371CC46" w14:textId="77777777" w:rsidR="00B01FCD" w:rsidRPr="00FB3A86" w:rsidRDefault="002D2997" w:rsidP="00441B6F">
      <w:pPr>
        <w:pStyle w:val="Copyright"/>
        <w:spacing w:after="0" w:line="240" w:lineRule="auto"/>
        <w:jc w:val="both"/>
        <w:rPr>
          <w:rFonts w:ascii="Arial" w:hAnsi="Arial" w:cs="Arial"/>
        </w:rPr>
        <w:sectPr w:rsidR="00B01FCD" w:rsidRPr="00FB3A86" w:rsidSect="00621D3F">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449F4E19" wp14:editId="2E83F13F">
                <wp:extent cx="5303520" cy="635"/>
                <wp:effectExtent l="0" t="0" r="11430" b="18415"/>
                <wp:docPr id="1"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fl="http://schemas.microsoft.com/office/word/2024/wordml/sdtformatlock">
            <w:pict>
              <v:shapetype w14:anchorId="48C5D6FD" id="_x0000_t32" coordsize="21600,21600" o:spt="32" o:oned="t" path="m,l21600,21600e" filled="f">
                <v:path arrowok="t" fillok="f" o:connecttype="none"/>
                <o:lock v:ext="edit" shapetype="t"/>
              </v:shapetype>
              <v:shape id="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" strokeweight="1.5pt">
                <o:lock v:ext="edit" shapetype="f"/>
                <w10:anchorlock/>
              </v:shape>
            </w:pict>
          </mc:Fallback>
        </mc:AlternateContent>
      </w:r>
      <w:r w:rsidR="00FB3A86">
        <w:rPr>
          <w:rFonts w:ascii="Arial" w:hAnsi="Arial" w:cs="Arial"/>
        </w:rPr>
        <w:t>.</w:t>
      </w:r>
    </w:p>
    <w:p w14:paraId="3FB65C1E" w14:textId="75FBFBE9"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51F8B7B3"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350"/>
      </w:tblGrid>
      <w:tr w:rsidR="00296529" w:rsidRPr="001E44FE" w14:paraId="459CAF49" w14:textId="77777777" w:rsidTr="001E44FE">
        <w:tc>
          <w:tcPr>
            <w:tcW w:w="9576" w:type="dxa"/>
            <w:shd w:val="clear" w:color="auto" w:fill="F2F2F2"/>
          </w:tcPr>
          <w:p w14:paraId="770E33D3" w14:textId="28E814B1"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 </w:t>
            </w:r>
            <w:r w:rsidR="003F7AAD" w:rsidRPr="003F7AAD">
              <w:rPr>
                <w:rFonts w:ascii="Arial" w:eastAsia="Calibri" w:hAnsi="Arial" w:cs="Arial"/>
                <w:szCs w:val="22"/>
              </w:rPr>
              <w:t>To identify the main isolates in UTI and their antibiotic susceptibility patterns in Federal Medical Centre Asaba as a guide to developing corresponding antibiogram to support empirical treatment of these infections.</w:t>
            </w:r>
          </w:p>
          <w:p w14:paraId="76E71B5D" w14:textId="254C2460"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00797E1E" w:rsidRPr="00BA1B01">
              <w:rPr>
                <w:rFonts w:ascii="Arial" w:eastAsia="Calibri" w:hAnsi="Arial" w:cs="Arial"/>
                <w:b/>
                <w:szCs w:val="22"/>
              </w:rPr>
              <w:t>:</w:t>
            </w:r>
            <w:r w:rsidR="00797E1E" w:rsidRPr="00BA1B01">
              <w:rPr>
                <w:rFonts w:ascii="Arial" w:eastAsia="Calibri" w:hAnsi="Arial" w:cs="Arial"/>
                <w:szCs w:val="22"/>
              </w:rPr>
              <w:t xml:space="preserve"> A</w:t>
            </w:r>
            <w:r w:rsidR="00797E1E" w:rsidRPr="00797E1E">
              <w:rPr>
                <w:rFonts w:ascii="Arial" w:eastAsia="Calibri" w:hAnsi="Arial" w:cs="Arial"/>
                <w:szCs w:val="22"/>
              </w:rPr>
              <w:t xml:space="preserve"> three - year retrospective cross-sectional study</w:t>
            </w:r>
          </w:p>
          <w:p w14:paraId="1B11A66A" w14:textId="6713DB78"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6A3E56" w:rsidRPr="006A3E56">
              <w:rPr>
                <w:rFonts w:ascii="Arial" w:eastAsia="Calibri" w:hAnsi="Arial" w:cs="Arial"/>
                <w:szCs w:val="22"/>
              </w:rPr>
              <w:t xml:space="preserve">Federal Medical Centre, Asaba, Delta State, Nigeria </w:t>
            </w:r>
            <w:r w:rsidRPr="00BA1B01">
              <w:rPr>
                <w:rFonts w:ascii="Arial" w:eastAsia="Calibri" w:hAnsi="Arial" w:cs="Arial"/>
                <w:szCs w:val="22"/>
              </w:rPr>
              <w:t xml:space="preserve">between </w:t>
            </w:r>
            <w:r w:rsidR="009B66B8" w:rsidRPr="009B66B8">
              <w:rPr>
                <w:rFonts w:ascii="Arial" w:eastAsia="Calibri" w:hAnsi="Arial" w:cs="Arial"/>
                <w:szCs w:val="22"/>
              </w:rPr>
              <w:t xml:space="preserve">1st of </w:t>
            </w:r>
            <w:r w:rsidR="00797E1E" w:rsidRPr="009B66B8">
              <w:rPr>
                <w:rFonts w:ascii="Arial" w:eastAsia="Calibri" w:hAnsi="Arial" w:cs="Arial"/>
                <w:szCs w:val="22"/>
              </w:rPr>
              <w:t>January</w:t>
            </w:r>
            <w:r w:rsidR="009B66B8" w:rsidRPr="009B66B8">
              <w:rPr>
                <w:rFonts w:ascii="Arial" w:eastAsia="Calibri" w:hAnsi="Arial" w:cs="Arial"/>
                <w:szCs w:val="22"/>
              </w:rPr>
              <w:t xml:space="preserve"> 2019 to 31st </w:t>
            </w:r>
            <w:r w:rsidR="00797E1E" w:rsidRPr="009B66B8">
              <w:rPr>
                <w:rFonts w:ascii="Arial" w:eastAsia="Calibri" w:hAnsi="Arial" w:cs="Arial"/>
                <w:szCs w:val="22"/>
              </w:rPr>
              <w:t>December</w:t>
            </w:r>
            <w:r w:rsidR="009B66B8" w:rsidRPr="009B66B8">
              <w:rPr>
                <w:rFonts w:ascii="Arial" w:eastAsia="Calibri" w:hAnsi="Arial" w:cs="Arial"/>
                <w:szCs w:val="22"/>
              </w:rPr>
              <w:t xml:space="preserve"> 2022</w:t>
            </w:r>
            <w:r w:rsidR="009B66B8">
              <w:rPr>
                <w:rFonts w:ascii="Arial" w:eastAsia="Calibri" w:hAnsi="Arial" w:cs="Arial"/>
                <w:szCs w:val="22"/>
              </w:rPr>
              <w:t>.</w:t>
            </w:r>
          </w:p>
          <w:p w14:paraId="0F29EC14" w14:textId="53EE20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F94057" w:rsidRPr="00F94057">
              <w:rPr>
                <w:rFonts w:ascii="Arial" w:eastAsia="Calibri" w:hAnsi="Arial" w:cs="Arial"/>
                <w:szCs w:val="22"/>
              </w:rPr>
              <w:t xml:space="preserve">A three - year retrospective cross-sectional study carried out by reviewing laboratory records with a focus on identifying bacterial pathogens causing UTI as well as evaluating their antibiotics susceptibility in Federal Medical Centre, Asaba, Delta State, Nigeria. All Urine microscopy, culture and sensitivity results from the 1st of </w:t>
            </w:r>
            <w:r w:rsidR="008C6214" w:rsidRPr="00F94057">
              <w:rPr>
                <w:rFonts w:ascii="Arial" w:eastAsia="Calibri" w:hAnsi="Arial" w:cs="Arial"/>
                <w:szCs w:val="22"/>
              </w:rPr>
              <w:t>January</w:t>
            </w:r>
            <w:r w:rsidR="00F94057" w:rsidRPr="00F94057">
              <w:rPr>
                <w:rFonts w:ascii="Arial" w:eastAsia="Calibri" w:hAnsi="Arial" w:cs="Arial"/>
                <w:szCs w:val="22"/>
              </w:rPr>
              <w:t xml:space="preserve"> 2019 to 31st December, 2022 were collected and reviewed.</w:t>
            </w:r>
          </w:p>
          <w:p w14:paraId="56527E40" w14:textId="5750A9BF" w:rsidR="00BA1B01" w:rsidRPr="00BA1B01" w:rsidRDefault="00BA1B01" w:rsidP="00441B6F">
            <w:pPr>
              <w:pStyle w:val="Body"/>
              <w:spacing w:after="0"/>
              <w:rPr>
                <w:rFonts w:ascii="Arial" w:eastAsia="Calibri" w:hAnsi="Arial" w:cs="Arial"/>
                <w:b/>
                <w:bCs/>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21455B" w:rsidRPr="0021455B">
              <w:rPr>
                <w:rFonts w:ascii="Arial" w:eastAsia="Calibri" w:hAnsi="Arial" w:cs="Arial"/>
                <w:szCs w:val="22"/>
              </w:rPr>
              <w:t xml:space="preserve">A total number of 2113 results of subjects, 683 males and 1430 females, that attended the tertiary hospital from the 1st of January 2019 to 31st </w:t>
            </w:r>
            <w:r w:rsidR="008C6214" w:rsidRPr="0021455B">
              <w:rPr>
                <w:rFonts w:ascii="Arial" w:eastAsia="Calibri" w:hAnsi="Arial" w:cs="Arial"/>
                <w:szCs w:val="22"/>
              </w:rPr>
              <w:t>December</w:t>
            </w:r>
            <w:r w:rsidR="0021455B" w:rsidRPr="0021455B">
              <w:rPr>
                <w:rFonts w:ascii="Arial" w:eastAsia="Calibri" w:hAnsi="Arial" w:cs="Arial"/>
                <w:szCs w:val="22"/>
              </w:rPr>
              <w:t xml:space="preserve"> 2022 were reviewed. The bacterial strains identified/isolated among the population studied were Staphylococcus aureus 907 (42.9%), Escherichia coli 866 (41.9%), Klebsiella spp 232 (11.0%), Pseudomonas aeruginosa 54 (2.6%), Proteus spp 31 (1.4%), Streptococcus spp 2 (0.1%) and Pantoea spp 1.The records revealed that the organisms were isolated more in female subjects (66.7%) than male subjects (33.3%), Staphylococcus aureus 285 males, 622 females, Echericia coli 294 males, 592 females, Klebsiella spp 62 males, 170 females, Pseudomonas aeruginosa 29 males 25 females, Proteus spp 13 males, 18 females, Streptococcus spp 2 females. Pantoea spp 1 female as well. The highest percentages of resistance have been observed against tested antibiotics.</w:t>
            </w:r>
          </w:p>
          <w:p w14:paraId="7901656B" w14:textId="5D469197" w:rsidR="00505F06" w:rsidRPr="00BA1B01" w:rsidRDefault="00BA1B01" w:rsidP="00B911A2">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6F3F37" w:rsidRPr="004F12F0">
              <w:rPr>
                <w:rFonts w:ascii="Arial" w:eastAsia="Calibri" w:hAnsi="Arial" w:cs="Arial"/>
                <w:szCs w:val="22"/>
              </w:rPr>
              <w:t>Most of</w:t>
            </w:r>
            <w:r w:rsidR="004F12F0" w:rsidRPr="004F12F0">
              <w:rPr>
                <w:rFonts w:ascii="Arial" w:eastAsia="Calibri" w:hAnsi="Arial" w:cs="Arial"/>
                <w:szCs w:val="22"/>
              </w:rPr>
              <w:t xml:space="preserve"> the isolates were extended spectrum β-lactamase producers and multidrug-resistant. We observed that Gram-negative bacteria were the main cause of UTIs where the predominant microorganism was E. coli.</w:t>
            </w:r>
          </w:p>
        </w:tc>
      </w:tr>
    </w:tbl>
    <w:p w14:paraId="5ED6FC68" w14:textId="480F8601" w:rsidR="00A24E7E" w:rsidRDefault="00A24E7E" w:rsidP="00441B6F">
      <w:pPr>
        <w:pStyle w:val="Body"/>
        <w:spacing w:after="0"/>
        <w:rPr>
          <w:rFonts w:ascii="Arial" w:hAnsi="Arial" w:cs="Arial"/>
          <w:i/>
        </w:rPr>
      </w:pPr>
      <w:r>
        <w:rPr>
          <w:rFonts w:ascii="Arial" w:hAnsi="Arial" w:cs="Arial"/>
          <w:i/>
        </w:rPr>
        <w:t xml:space="preserve">Keywords: </w:t>
      </w:r>
      <w:r w:rsidR="00B12FC5" w:rsidRPr="00B12FC5">
        <w:rPr>
          <w:rFonts w:ascii="Arial" w:hAnsi="Arial" w:cs="Arial"/>
          <w:i/>
        </w:rPr>
        <w:t xml:space="preserve">UTI, antibiotics susceptibility, </w:t>
      </w:r>
      <w:r w:rsidR="00B12FC5" w:rsidRPr="00420CBA">
        <w:rPr>
          <w:rFonts w:ascii="Arial" w:hAnsi="Arial" w:cs="Arial"/>
          <w:i/>
        </w:rPr>
        <w:t>E coli, S. aureus</w:t>
      </w:r>
      <w:r w:rsidR="00B12FC5" w:rsidRPr="00B12FC5">
        <w:rPr>
          <w:rFonts w:ascii="Arial" w:hAnsi="Arial" w:cs="Arial"/>
          <w:i/>
        </w:rPr>
        <w:t xml:space="preserve">  </w:t>
      </w:r>
    </w:p>
    <w:p w14:paraId="789E02A9" w14:textId="77777777" w:rsidR="00790ADA" w:rsidRDefault="00790ADA" w:rsidP="00441B6F">
      <w:pPr>
        <w:pStyle w:val="Body"/>
        <w:spacing w:after="0"/>
        <w:rPr>
          <w:rFonts w:ascii="Arial" w:hAnsi="Arial" w:cs="Arial"/>
          <w:i/>
        </w:rPr>
      </w:pPr>
    </w:p>
    <w:p w14:paraId="70A49566" w14:textId="3C58D841"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594A6565" w14:textId="7940D698" w:rsidR="0093776C" w:rsidRPr="0093776C" w:rsidRDefault="0093776C" w:rsidP="0093776C">
      <w:pPr>
        <w:pStyle w:val="Body"/>
        <w:rPr>
          <w:rFonts w:ascii="Arial" w:eastAsia="Calibri" w:hAnsi="Arial" w:cs="Arial"/>
          <w:szCs w:val="22"/>
        </w:rPr>
      </w:pPr>
      <w:r w:rsidRPr="0093776C">
        <w:rPr>
          <w:rFonts w:ascii="Arial" w:eastAsia="Calibri" w:hAnsi="Arial" w:cs="Arial"/>
          <w:szCs w:val="22"/>
        </w:rPr>
        <w:t xml:space="preserve">Urinary tract infections cause significant morbidity and mortality. Globally, UTIs are the second most frequently seen bacterial infection in individuals of different ages. [1] Approximately 50% of women have UTIs at least once in their lifetime worldwide. UTIs occur more commonly in individuals aged 16–64 years [2] with very low prevalence among boys. However, UTIs can be seen in the first year of life mostly in those with anatomical or functional abnormalities. Additionally, UTIs </w:t>
      </w:r>
      <w:r w:rsidR="008C6214" w:rsidRPr="0093776C">
        <w:rPr>
          <w:rFonts w:ascii="Arial" w:eastAsia="Calibri" w:hAnsi="Arial" w:cs="Arial"/>
          <w:szCs w:val="22"/>
        </w:rPr>
        <w:t>recur</w:t>
      </w:r>
      <w:r w:rsidRPr="0093776C">
        <w:rPr>
          <w:rFonts w:ascii="Arial" w:eastAsia="Calibri" w:hAnsi="Arial" w:cs="Arial"/>
          <w:szCs w:val="22"/>
        </w:rPr>
        <w:t xml:space="preserve"> very often in most </w:t>
      </w:r>
      <w:r w:rsidR="004E5C49" w:rsidRPr="0093776C">
        <w:rPr>
          <w:rFonts w:ascii="Arial" w:eastAsia="Calibri" w:hAnsi="Arial" w:cs="Arial"/>
          <w:szCs w:val="22"/>
        </w:rPr>
        <w:t>individuals,</w:t>
      </w:r>
      <w:r w:rsidRPr="0093776C">
        <w:rPr>
          <w:rFonts w:ascii="Arial" w:eastAsia="Calibri" w:hAnsi="Arial" w:cs="Arial"/>
          <w:szCs w:val="22"/>
        </w:rPr>
        <w:t xml:space="preserve"> majorly due to disruption in or cessation of treatment leading to reinfection with the same or different microorganisms. [3]. UTIs are most of the time caused by bacteria accounting for over 95% of cases, nonetheless, microorganisms such as fungi, parasites and viruses can also cause UTIs [4].</w:t>
      </w:r>
      <w:r w:rsidR="00D80A51">
        <w:rPr>
          <w:rFonts w:ascii="Arial" w:eastAsia="Calibri" w:hAnsi="Arial" w:cs="Arial"/>
          <w:szCs w:val="22"/>
        </w:rPr>
        <w:t xml:space="preserve"> </w:t>
      </w:r>
      <w:r w:rsidRPr="0093776C">
        <w:rPr>
          <w:rFonts w:ascii="Arial" w:eastAsia="Calibri" w:hAnsi="Arial" w:cs="Arial"/>
          <w:szCs w:val="22"/>
        </w:rPr>
        <w:t xml:space="preserve">Furthermore, UTIs have been classified as uncomplicated and complicated. Uncomplicated UTIs occur most of the time in healthy non gravid adult women, whereas complicated UTIs can be seen in different age and sex groups. </w:t>
      </w:r>
      <w:r w:rsidRPr="0093776C">
        <w:rPr>
          <w:rFonts w:ascii="Arial" w:eastAsia="Calibri" w:hAnsi="Arial" w:cs="Arial"/>
          <w:szCs w:val="22"/>
        </w:rPr>
        <w:lastRenderedPageBreak/>
        <w:t xml:space="preserve">Kidney failure, transplantation and calculi, indwelling catheters, compromised immunity and pregnancy have been implicated as risk factors to complicated UTI. [2, 5]. </w:t>
      </w:r>
    </w:p>
    <w:p w14:paraId="13D416D9" w14:textId="4FDDA440" w:rsidR="00B01FCD" w:rsidRDefault="0093776C" w:rsidP="0093776C">
      <w:pPr>
        <w:pStyle w:val="Body"/>
        <w:spacing w:after="0"/>
        <w:rPr>
          <w:rFonts w:ascii="Arial" w:hAnsi="Arial" w:cs="Arial"/>
        </w:rPr>
      </w:pPr>
      <w:r w:rsidRPr="0093776C">
        <w:rPr>
          <w:rFonts w:ascii="Arial" w:eastAsia="Calibri" w:hAnsi="Arial" w:cs="Arial"/>
          <w:szCs w:val="22"/>
        </w:rPr>
        <w:t>The most common Gram-positive bacteria incriminated in UTIs are Staphylococcus aureus, Staphylococcus saprophyticus and Enterococcus species. [6]. About 75%–95% of bacteria related UTIs are caused by E. coli [3]. Various antibiotics have been used effectively in the management of UTIs, however, a rising degree of frequently changing and alarming multidrug – resistant (MDR) UTI causing agents has been recorded globally over the past years due to indiscriminate use of antibiotics and their availability over the counter. [7, 8]. This increase in MDR bacterial strain has been</w:t>
      </w:r>
      <w:r w:rsidR="00505D42">
        <w:rPr>
          <w:rFonts w:ascii="Arial" w:eastAsia="Calibri" w:hAnsi="Arial" w:cs="Arial"/>
          <w:szCs w:val="22"/>
        </w:rPr>
        <w:t xml:space="preserve"> </w:t>
      </w:r>
      <w:r w:rsidR="00505D42" w:rsidRPr="00505D42">
        <w:rPr>
          <w:rFonts w:ascii="Arial" w:eastAsia="Calibri" w:hAnsi="Arial" w:cs="Arial"/>
          <w:szCs w:val="22"/>
        </w:rPr>
        <w:t xml:space="preserve">the cause of UTI related morbidity and mortality. Therefore, it is very crucial to overcome the indiscriminate use of antibiotics, in order to prevent multidrug resistance. Varied patterns of bacterial antibiotic susceptibility have been observed among different hospitals within different geographical zones [3]. Generally, broad-spectrum antibiotics are used for empirical treatment, nonetheless, the infectious Disease Society of America recommends a regular regional study to identify variations in antibiotic susceptibility patterns, [3] in order to inform appropriate antibiotic selection for empirical treatment in each region. This practice will support prevention of the emergence of antimicrobial resistance. There is no report on the common uropathogens isolated and their antibiotics susceptibility profile at Federal Medical Centre, Asaba. Hence, this study aimed to determine the incidence of UTI – Causing agents and their antibiotics susceptibility pattern among subjects who attended FMC, Asaba for a selected </w:t>
      </w:r>
      <w:r w:rsidR="00D80A51" w:rsidRPr="00505D42">
        <w:rPr>
          <w:rFonts w:ascii="Arial" w:eastAsia="Calibri" w:hAnsi="Arial" w:cs="Arial"/>
          <w:szCs w:val="22"/>
        </w:rPr>
        <w:t>period</w:t>
      </w:r>
      <w:r w:rsidR="00505D42" w:rsidRPr="00505D42">
        <w:rPr>
          <w:rFonts w:ascii="Arial" w:eastAsia="Calibri" w:hAnsi="Arial" w:cs="Arial"/>
          <w:szCs w:val="22"/>
        </w:rPr>
        <w:t>.</w:t>
      </w:r>
    </w:p>
    <w:p w14:paraId="4A7D3A81" w14:textId="77777777" w:rsidR="00790ADA" w:rsidRPr="00FB3A86" w:rsidRDefault="00790ADA" w:rsidP="00441B6F">
      <w:pPr>
        <w:pStyle w:val="Body"/>
        <w:spacing w:after="0"/>
        <w:rPr>
          <w:rFonts w:ascii="Arial" w:hAnsi="Arial" w:cs="Arial"/>
        </w:rPr>
      </w:pPr>
    </w:p>
    <w:p w14:paraId="413A3F21" w14:textId="2C4A0290" w:rsidR="007F7B32" w:rsidRDefault="00902823" w:rsidP="007B5FD3">
      <w:pPr>
        <w:pStyle w:val="AbstHead"/>
        <w:jc w:val="both"/>
        <w:rPr>
          <w:rFonts w:ascii="Arial" w:hAnsi="Arial" w:cs="Arial"/>
        </w:rPr>
      </w:pPr>
      <w:r>
        <w:rPr>
          <w:rFonts w:ascii="Arial" w:hAnsi="Arial" w:cs="Arial"/>
        </w:rPr>
        <w:t>2. material</w:t>
      </w:r>
      <w:r w:rsidR="00401964">
        <w:rPr>
          <w:rFonts w:ascii="Arial" w:hAnsi="Arial" w:cs="Arial"/>
        </w:rPr>
        <w:t>S</w:t>
      </w:r>
      <w:r>
        <w:rPr>
          <w:rFonts w:ascii="Arial" w:hAnsi="Arial" w:cs="Arial"/>
        </w:rPr>
        <w:t xml:space="preserve"> and method</w:t>
      </w:r>
      <w:r w:rsidR="00000F8F">
        <w:rPr>
          <w:rFonts w:ascii="Arial" w:hAnsi="Arial" w:cs="Arial"/>
        </w:rPr>
        <w:t xml:space="preserve">s </w:t>
      </w:r>
    </w:p>
    <w:p w14:paraId="466AEA5E" w14:textId="18076180" w:rsidR="007B5FD3" w:rsidRPr="00D80A51" w:rsidRDefault="007B5FD3" w:rsidP="007B5FD3">
      <w:pPr>
        <w:pStyle w:val="Body"/>
        <w:spacing w:after="0"/>
        <w:rPr>
          <w:rFonts w:ascii="Arial" w:eastAsia="Calibri" w:hAnsi="Arial" w:cs="Arial"/>
          <w:b/>
          <w:bCs/>
          <w:sz w:val="22"/>
          <w:szCs w:val="24"/>
        </w:rPr>
      </w:pPr>
      <w:r w:rsidRPr="00D80A51">
        <w:rPr>
          <w:rFonts w:ascii="Arial" w:eastAsia="Calibri" w:hAnsi="Arial" w:cs="Arial"/>
          <w:b/>
          <w:bCs/>
          <w:sz w:val="22"/>
          <w:szCs w:val="24"/>
        </w:rPr>
        <w:t>2.1 Study Area</w:t>
      </w:r>
    </w:p>
    <w:p w14:paraId="249C8431" w14:textId="519BAD03" w:rsidR="008F1398" w:rsidRPr="008F1398" w:rsidRDefault="007B5FD3" w:rsidP="008F1398">
      <w:pPr>
        <w:pStyle w:val="Body"/>
        <w:rPr>
          <w:rFonts w:ascii="Arial" w:eastAsia="Calibri" w:hAnsi="Arial" w:cs="Arial"/>
          <w:szCs w:val="22"/>
        </w:rPr>
      </w:pPr>
      <w:r w:rsidRPr="007B5FD3">
        <w:rPr>
          <w:rFonts w:ascii="Arial" w:eastAsia="Calibri" w:hAnsi="Arial" w:cs="Arial"/>
          <w:szCs w:val="22"/>
        </w:rPr>
        <w:t xml:space="preserve">The study site for this work </w:t>
      </w:r>
      <w:r w:rsidR="007D08BC">
        <w:rPr>
          <w:rFonts w:ascii="Arial" w:eastAsia="Calibri" w:hAnsi="Arial" w:cs="Arial"/>
          <w:szCs w:val="22"/>
        </w:rPr>
        <w:t>i</w:t>
      </w:r>
      <w:r w:rsidRPr="007B5FD3">
        <w:rPr>
          <w:rFonts w:ascii="Arial" w:eastAsia="Calibri" w:hAnsi="Arial" w:cs="Arial"/>
          <w:szCs w:val="22"/>
        </w:rPr>
        <w:t>s Federal Medical Centre (FMC), Asaba Delta State. Federal Medical Centre, Asaba is situated in the central Area of Asaba metropolis, the capital city of Delta State. The hospital is a tertiary health institution, a research and referral centre for the whole of the state capital territory and neighboring towns like Ibusa, Iseleukwu, Ogwashiuku, Onicha – Ugbo, onicha – olona, Agbor etc. Federal Medical centre Asaba also serve parts of some neighboring states like Edo and Anambra states including the largest commercial city of South</w:t>
      </w:r>
      <w:r w:rsidR="00154BC0">
        <w:rPr>
          <w:rFonts w:ascii="Arial" w:eastAsia="Calibri" w:hAnsi="Arial" w:cs="Arial"/>
          <w:szCs w:val="22"/>
        </w:rPr>
        <w:t>-</w:t>
      </w:r>
      <w:r w:rsidRPr="007B5FD3">
        <w:rPr>
          <w:rFonts w:ascii="Arial" w:eastAsia="Calibri" w:hAnsi="Arial" w:cs="Arial"/>
          <w:szCs w:val="22"/>
        </w:rPr>
        <w:t>Eastern Nigeria, Onitsha with the largest market in West</w:t>
      </w:r>
      <w:r w:rsidR="008F1398">
        <w:rPr>
          <w:rFonts w:ascii="Arial" w:eastAsia="Calibri" w:hAnsi="Arial" w:cs="Arial"/>
          <w:szCs w:val="22"/>
        </w:rPr>
        <w:t xml:space="preserve"> </w:t>
      </w:r>
      <w:r w:rsidR="008F1398" w:rsidRPr="008F1398">
        <w:rPr>
          <w:rFonts w:ascii="Arial" w:eastAsia="Calibri" w:hAnsi="Arial" w:cs="Arial"/>
          <w:szCs w:val="22"/>
        </w:rPr>
        <w:t xml:space="preserve">Africa. The hospital </w:t>
      </w:r>
      <w:r w:rsidR="00154BC0" w:rsidRPr="008F1398">
        <w:rPr>
          <w:rFonts w:ascii="Arial" w:eastAsia="Calibri" w:hAnsi="Arial" w:cs="Arial"/>
          <w:szCs w:val="22"/>
        </w:rPr>
        <w:t>is in</w:t>
      </w:r>
      <w:r w:rsidR="008F1398" w:rsidRPr="008F1398">
        <w:rPr>
          <w:rFonts w:ascii="Arial" w:eastAsia="Calibri" w:hAnsi="Arial" w:cs="Arial"/>
          <w:szCs w:val="22"/>
        </w:rPr>
        <w:t xml:space="preserve"> the South South Geo-political zone of Nigeria. It was established on 12th August 1998 </w:t>
      </w:r>
      <w:r w:rsidR="00154BC0" w:rsidRPr="008F1398">
        <w:rPr>
          <w:rFonts w:ascii="Arial" w:eastAsia="Calibri" w:hAnsi="Arial" w:cs="Arial"/>
          <w:szCs w:val="22"/>
        </w:rPr>
        <w:t>because of</w:t>
      </w:r>
      <w:r w:rsidR="008F1398" w:rsidRPr="008F1398">
        <w:rPr>
          <w:rFonts w:ascii="Arial" w:eastAsia="Calibri" w:hAnsi="Arial" w:cs="Arial"/>
          <w:szCs w:val="22"/>
        </w:rPr>
        <w:t xml:space="preserve"> the Federal Government of Nigeria policy to setup a Federal Medical Centre in states where a Federal Teaching Hospital is non-existent. The institution took over its current site from the central hospital. Asaba </w:t>
      </w:r>
      <w:r w:rsidR="00154BC0" w:rsidRPr="008F1398">
        <w:rPr>
          <w:rFonts w:ascii="Arial" w:eastAsia="Calibri" w:hAnsi="Arial" w:cs="Arial"/>
          <w:szCs w:val="22"/>
        </w:rPr>
        <w:t>was established</w:t>
      </w:r>
      <w:r w:rsidR="008F1398" w:rsidRPr="008F1398">
        <w:rPr>
          <w:rFonts w:ascii="Arial" w:eastAsia="Calibri" w:hAnsi="Arial" w:cs="Arial"/>
          <w:szCs w:val="22"/>
        </w:rPr>
        <w:t xml:space="preserve"> in 1991 (after the creation of Delta </w:t>
      </w:r>
      <w:r w:rsidR="00154BC0">
        <w:rPr>
          <w:rFonts w:ascii="Arial" w:eastAsia="Calibri" w:hAnsi="Arial" w:cs="Arial"/>
          <w:szCs w:val="22"/>
        </w:rPr>
        <w:t>S</w:t>
      </w:r>
      <w:r w:rsidR="008F1398" w:rsidRPr="008F1398">
        <w:rPr>
          <w:rFonts w:ascii="Arial" w:eastAsia="Calibri" w:hAnsi="Arial" w:cs="Arial"/>
          <w:szCs w:val="22"/>
        </w:rPr>
        <w:t xml:space="preserve">tate) which </w:t>
      </w:r>
      <w:r w:rsidR="00154BC0" w:rsidRPr="008F1398">
        <w:rPr>
          <w:rFonts w:ascii="Arial" w:eastAsia="Calibri" w:hAnsi="Arial" w:cs="Arial"/>
          <w:szCs w:val="22"/>
        </w:rPr>
        <w:t>metamorphosed itself</w:t>
      </w:r>
      <w:r w:rsidR="008F1398" w:rsidRPr="008F1398">
        <w:rPr>
          <w:rFonts w:ascii="Arial" w:eastAsia="Calibri" w:hAnsi="Arial" w:cs="Arial"/>
          <w:szCs w:val="22"/>
        </w:rPr>
        <w:t xml:space="preserve"> from the colonial cottage \hospital of the Mid-Western region established in March, 1962 with a thirty bed complement.</w:t>
      </w:r>
    </w:p>
    <w:p w14:paraId="1151C696" w14:textId="1DDD582D" w:rsidR="00790ADA" w:rsidRDefault="008F1398" w:rsidP="008F1398">
      <w:pPr>
        <w:pStyle w:val="Body"/>
        <w:spacing w:after="0"/>
        <w:rPr>
          <w:rFonts w:ascii="Arial" w:eastAsia="Calibri" w:hAnsi="Arial" w:cs="Arial"/>
          <w:szCs w:val="22"/>
        </w:rPr>
      </w:pPr>
      <w:r w:rsidRPr="008F1398">
        <w:rPr>
          <w:rFonts w:ascii="Arial" w:eastAsia="Calibri" w:hAnsi="Arial" w:cs="Arial"/>
          <w:szCs w:val="22"/>
        </w:rPr>
        <w:t xml:space="preserve">FMC, Asaba has since grown tremendously with bed capacity of about two hundred and seventy, </w:t>
      </w:r>
      <w:r w:rsidR="00BF3764">
        <w:rPr>
          <w:rFonts w:ascii="Arial" w:eastAsia="Calibri" w:hAnsi="Arial" w:cs="Arial"/>
          <w:szCs w:val="22"/>
        </w:rPr>
        <w:t>over</w:t>
      </w:r>
      <w:r w:rsidRPr="008F1398">
        <w:rPr>
          <w:rFonts w:ascii="Arial" w:eastAsia="Calibri" w:hAnsi="Arial" w:cs="Arial"/>
          <w:szCs w:val="22"/>
        </w:rPr>
        <w:t xml:space="preserve"> </w:t>
      </w:r>
      <w:r w:rsidR="00BF3764">
        <w:rPr>
          <w:rFonts w:ascii="Arial" w:eastAsia="Calibri" w:hAnsi="Arial" w:cs="Arial"/>
          <w:szCs w:val="22"/>
        </w:rPr>
        <w:t>twenty</w:t>
      </w:r>
      <w:r w:rsidRPr="008F1398">
        <w:rPr>
          <w:rFonts w:ascii="Arial" w:eastAsia="Calibri" w:hAnsi="Arial" w:cs="Arial"/>
          <w:szCs w:val="22"/>
        </w:rPr>
        <w:t xml:space="preserve"> clinical departments including Obstetrics and Gynaecology, Medicine, </w:t>
      </w:r>
      <w:r w:rsidR="00154BC0" w:rsidRPr="008F1398">
        <w:rPr>
          <w:rFonts w:ascii="Arial" w:eastAsia="Calibri" w:hAnsi="Arial" w:cs="Arial"/>
          <w:szCs w:val="22"/>
        </w:rPr>
        <w:t>Surgery, Ophthalmology</w:t>
      </w:r>
      <w:r w:rsidRPr="008F1398">
        <w:rPr>
          <w:rFonts w:ascii="Arial" w:eastAsia="Calibri" w:hAnsi="Arial" w:cs="Arial"/>
          <w:szCs w:val="22"/>
        </w:rPr>
        <w:t xml:space="preserve">, Paediatrics, Medical laboratory </w:t>
      </w:r>
      <w:r w:rsidR="008F0319" w:rsidRPr="008F1398">
        <w:rPr>
          <w:rFonts w:ascii="Arial" w:eastAsia="Calibri" w:hAnsi="Arial" w:cs="Arial"/>
          <w:szCs w:val="22"/>
        </w:rPr>
        <w:t>Services etc.</w:t>
      </w:r>
    </w:p>
    <w:p w14:paraId="14F8FE1D" w14:textId="77777777" w:rsidR="007F4518" w:rsidRPr="007F4518" w:rsidRDefault="007F4518" w:rsidP="008F1398">
      <w:pPr>
        <w:pStyle w:val="Body"/>
        <w:spacing w:after="0"/>
        <w:rPr>
          <w:rFonts w:ascii="Arial" w:eastAsia="Calibri" w:hAnsi="Arial" w:cs="Arial"/>
          <w:b/>
          <w:bCs/>
          <w:szCs w:val="22"/>
        </w:rPr>
      </w:pPr>
    </w:p>
    <w:p w14:paraId="6C5F0F42" w14:textId="77777777" w:rsidR="007F4518" w:rsidRPr="008F0319" w:rsidRDefault="007F4518" w:rsidP="007F4518">
      <w:pPr>
        <w:pStyle w:val="Body"/>
        <w:rPr>
          <w:rFonts w:ascii="Arial" w:eastAsia="Calibri" w:hAnsi="Arial" w:cs="Arial"/>
          <w:b/>
          <w:bCs/>
          <w:sz w:val="22"/>
          <w:szCs w:val="24"/>
        </w:rPr>
      </w:pPr>
      <w:r w:rsidRPr="008F0319">
        <w:rPr>
          <w:rFonts w:ascii="Arial" w:eastAsia="Calibri" w:hAnsi="Arial" w:cs="Arial"/>
          <w:b/>
          <w:bCs/>
          <w:sz w:val="22"/>
          <w:szCs w:val="24"/>
        </w:rPr>
        <w:t xml:space="preserve">2.2 Study Population </w:t>
      </w:r>
    </w:p>
    <w:p w14:paraId="15D947D2" w14:textId="77777777" w:rsidR="007F4518" w:rsidRPr="007F4518" w:rsidRDefault="007F4518" w:rsidP="007F4518">
      <w:pPr>
        <w:pStyle w:val="Body"/>
        <w:rPr>
          <w:rFonts w:ascii="Arial" w:eastAsia="Calibri" w:hAnsi="Arial" w:cs="Arial"/>
          <w:szCs w:val="22"/>
        </w:rPr>
      </w:pPr>
      <w:r w:rsidRPr="007F4518">
        <w:rPr>
          <w:rFonts w:ascii="Arial" w:eastAsia="Calibri" w:hAnsi="Arial" w:cs="Arial"/>
          <w:szCs w:val="22"/>
        </w:rPr>
        <w:t xml:space="preserve">All the individuals tested for urine microscopy, culture and sensitivity from Ist January 2019 to 31st December 2022. </w:t>
      </w:r>
    </w:p>
    <w:p w14:paraId="15CBEA26" w14:textId="77777777" w:rsidR="007F4518" w:rsidRPr="008F0319" w:rsidRDefault="007F4518" w:rsidP="007F4518">
      <w:pPr>
        <w:pStyle w:val="Body"/>
        <w:rPr>
          <w:rFonts w:ascii="Arial" w:eastAsia="Calibri" w:hAnsi="Arial" w:cs="Arial"/>
          <w:b/>
          <w:bCs/>
          <w:sz w:val="22"/>
          <w:szCs w:val="24"/>
        </w:rPr>
      </w:pPr>
      <w:r w:rsidRPr="008F0319">
        <w:rPr>
          <w:rFonts w:ascii="Arial" w:eastAsia="Calibri" w:hAnsi="Arial" w:cs="Arial"/>
          <w:b/>
          <w:bCs/>
          <w:sz w:val="22"/>
          <w:szCs w:val="24"/>
        </w:rPr>
        <w:t>2.3 Sample Size Determination</w:t>
      </w:r>
    </w:p>
    <w:p w14:paraId="4AE279B6" w14:textId="31D45CFB" w:rsidR="007F4518" w:rsidRPr="007F4518" w:rsidRDefault="007F4518" w:rsidP="007F4518">
      <w:pPr>
        <w:pStyle w:val="Body"/>
        <w:rPr>
          <w:rFonts w:ascii="Arial" w:eastAsia="Calibri" w:hAnsi="Arial" w:cs="Arial"/>
          <w:szCs w:val="22"/>
        </w:rPr>
      </w:pPr>
      <w:r w:rsidRPr="007F4518">
        <w:rPr>
          <w:rFonts w:ascii="Arial" w:eastAsia="Calibri" w:hAnsi="Arial" w:cs="Arial"/>
          <w:szCs w:val="22"/>
        </w:rPr>
        <w:t>Sample size (N) will be calculated using the formula described by Cochran,</w:t>
      </w:r>
      <w:r w:rsidR="00816EF5">
        <w:rPr>
          <w:rFonts w:ascii="Arial" w:eastAsia="Calibri" w:hAnsi="Arial" w:cs="Arial"/>
          <w:szCs w:val="22"/>
        </w:rPr>
        <w:t xml:space="preserve"> </w:t>
      </w:r>
      <w:r w:rsidR="00816EF5" w:rsidRPr="00505D42">
        <w:rPr>
          <w:rFonts w:ascii="Arial" w:eastAsia="Calibri" w:hAnsi="Arial" w:cs="Arial"/>
          <w:szCs w:val="22"/>
        </w:rPr>
        <w:t>[</w:t>
      </w:r>
      <w:r w:rsidR="00816EF5">
        <w:rPr>
          <w:rFonts w:ascii="Arial" w:eastAsia="Calibri" w:hAnsi="Arial" w:cs="Arial"/>
          <w:szCs w:val="22"/>
        </w:rPr>
        <w:t>22</w:t>
      </w:r>
      <w:r w:rsidR="00816EF5" w:rsidRPr="00505D42">
        <w:rPr>
          <w:rFonts w:ascii="Arial" w:eastAsia="Calibri" w:hAnsi="Arial" w:cs="Arial"/>
          <w:szCs w:val="22"/>
        </w:rPr>
        <w:t>]</w:t>
      </w:r>
      <w:r w:rsidRPr="007F4518">
        <w:rPr>
          <w:rFonts w:ascii="Arial" w:eastAsia="Calibri" w:hAnsi="Arial" w:cs="Arial"/>
          <w:szCs w:val="22"/>
        </w:rPr>
        <w:t>.</w:t>
      </w:r>
    </w:p>
    <w:p w14:paraId="6D642703" w14:textId="77777777" w:rsidR="007F4518" w:rsidRPr="007F4518" w:rsidRDefault="007F4518" w:rsidP="007F4518">
      <w:pPr>
        <w:pStyle w:val="Body"/>
        <w:spacing w:after="0"/>
        <w:rPr>
          <w:rFonts w:ascii="Arial" w:eastAsia="Calibri" w:hAnsi="Arial" w:cs="Arial"/>
          <w:szCs w:val="22"/>
        </w:rPr>
      </w:pPr>
      <w:r w:rsidRPr="007F4518">
        <w:rPr>
          <w:rFonts w:ascii="Arial" w:eastAsia="Calibri" w:hAnsi="Arial" w:cs="Arial"/>
          <w:szCs w:val="22"/>
        </w:rPr>
        <w:t>N = Z2PQ</w:t>
      </w:r>
    </w:p>
    <w:p w14:paraId="36398D82" w14:textId="77777777" w:rsidR="007F4518" w:rsidRPr="007F4518" w:rsidRDefault="007F4518" w:rsidP="007F4518">
      <w:pPr>
        <w:pStyle w:val="Body"/>
        <w:spacing w:after="0"/>
        <w:rPr>
          <w:rFonts w:ascii="Arial" w:eastAsia="Calibri" w:hAnsi="Arial" w:cs="Arial"/>
          <w:szCs w:val="22"/>
        </w:rPr>
      </w:pPr>
      <w:r w:rsidRPr="007F4518">
        <w:rPr>
          <w:rFonts w:ascii="Arial" w:eastAsia="Calibri" w:hAnsi="Arial" w:cs="Arial"/>
          <w:szCs w:val="22"/>
        </w:rPr>
        <w:t xml:space="preserve">       D2</w:t>
      </w:r>
    </w:p>
    <w:p w14:paraId="58F691F6" w14:textId="77777777" w:rsidR="007F4518" w:rsidRPr="007F4518" w:rsidRDefault="007F4518" w:rsidP="007F4518">
      <w:pPr>
        <w:pStyle w:val="Body"/>
        <w:spacing w:after="0"/>
        <w:rPr>
          <w:rFonts w:ascii="Arial" w:eastAsia="Calibri" w:hAnsi="Arial" w:cs="Arial"/>
          <w:szCs w:val="22"/>
        </w:rPr>
      </w:pPr>
      <w:r w:rsidRPr="007F4518">
        <w:rPr>
          <w:rFonts w:ascii="Arial" w:eastAsia="Calibri" w:hAnsi="Arial" w:cs="Arial"/>
          <w:szCs w:val="22"/>
        </w:rPr>
        <w:t>N= Sample size</w:t>
      </w:r>
    </w:p>
    <w:p w14:paraId="064A6D20" w14:textId="77777777" w:rsidR="007F4518" w:rsidRPr="007F4518" w:rsidRDefault="007F4518" w:rsidP="007F4518">
      <w:pPr>
        <w:pStyle w:val="Body"/>
        <w:spacing w:after="0"/>
        <w:rPr>
          <w:rFonts w:ascii="Arial" w:eastAsia="Calibri" w:hAnsi="Arial" w:cs="Arial"/>
          <w:szCs w:val="22"/>
        </w:rPr>
      </w:pPr>
      <w:r w:rsidRPr="007F4518">
        <w:rPr>
          <w:rFonts w:ascii="Arial" w:eastAsia="Calibri" w:hAnsi="Arial" w:cs="Arial"/>
          <w:szCs w:val="22"/>
        </w:rPr>
        <w:t>Z= the confidence interval usually set at 1.96</w:t>
      </w:r>
    </w:p>
    <w:p w14:paraId="70492789" w14:textId="327B350A" w:rsidR="007F4518" w:rsidRPr="007F4518" w:rsidRDefault="007F4518" w:rsidP="007F4518">
      <w:pPr>
        <w:pStyle w:val="Body"/>
        <w:spacing w:after="0"/>
        <w:rPr>
          <w:rFonts w:ascii="Arial" w:eastAsia="Calibri" w:hAnsi="Arial" w:cs="Arial"/>
          <w:szCs w:val="22"/>
        </w:rPr>
      </w:pPr>
      <w:r w:rsidRPr="007F4518">
        <w:rPr>
          <w:rFonts w:ascii="Arial" w:eastAsia="Calibri" w:hAnsi="Arial" w:cs="Arial"/>
          <w:szCs w:val="22"/>
        </w:rPr>
        <w:t xml:space="preserve">P= Expected prevalence using the prevalence rate of 12.3% in Abakaliki, </w:t>
      </w:r>
      <w:r w:rsidR="007B02C3">
        <w:rPr>
          <w:rFonts w:ascii="Arial" w:eastAsia="Calibri" w:hAnsi="Arial" w:cs="Arial"/>
          <w:szCs w:val="22"/>
        </w:rPr>
        <w:t>S</w:t>
      </w:r>
      <w:r w:rsidRPr="007F4518">
        <w:rPr>
          <w:rFonts w:ascii="Arial" w:eastAsia="Calibri" w:hAnsi="Arial" w:cs="Arial"/>
          <w:szCs w:val="22"/>
        </w:rPr>
        <w:t>outh</w:t>
      </w:r>
      <w:r w:rsidR="007B02C3">
        <w:rPr>
          <w:rFonts w:ascii="Arial" w:eastAsia="Calibri" w:hAnsi="Arial" w:cs="Arial"/>
          <w:szCs w:val="22"/>
        </w:rPr>
        <w:t>-E</w:t>
      </w:r>
      <w:r w:rsidRPr="007F4518">
        <w:rPr>
          <w:rFonts w:ascii="Arial" w:eastAsia="Calibri" w:hAnsi="Arial" w:cs="Arial"/>
          <w:szCs w:val="22"/>
        </w:rPr>
        <w:t xml:space="preserve">astern, Nigeria </w:t>
      </w:r>
      <w:r w:rsidR="007034EE">
        <w:rPr>
          <w:rFonts w:ascii="Arial" w:eastAsia="Calibri" w:hAnsi="Arial" w:cs="Arial"/>
          <w:szCs w:val="22"/>
        </w:rPr>
        <w:t>[</w:t>
      </w:r>
      <w:r w:rsidR="00D71713">
        <w:rPr>
          <w:rFonts w:ascii="Arial" w:eastAsia="Calibri" w:hAnsi="Arial" w:cs="Arial"/>
          <w:szCs w:val="22"/>
        </w:rPr>
        <w:t>18]</w:t>
      </w:r>
    </w:p>
    <w:p w14:paraId="3993981F" w14:textId="417E947A" w:rsidR="007F4518" w:rsidRDefault="007F4518" w:rsidP="007F4518">
      <w:pPr>
        <w:pStyle w:val="Body"/>
        <w:spacing w:after="0"/>
        <w:rPr>
          <w:rFonts w:ascii="Arial" w:eastAsia="Calibri" w:hAnsi="Arial" w:cs="Arial"/>
          <w:szCs w:val="22"/>
        </w:rPr>
      </w:pPr>
      <w:r w:rsidRPr="007F4518">
        <w:rPr>
          <w:rFonts w:ascii="Arial" w:eastAsia="Calibri" w:hAnsi="Arial" w:cs="Arial"/>
          <w:szCs w:val="22"/>
        </w:rPr>
        <w:t>Q= 1- P (1- 0.123)</w:t>
      </w:r>
    </w:p>
    <w:p w14:paraId="560A241A" w14:textId="77777777" w:rsidR="003C3225" w:rsidRPr="003C3225" w:rsidRDefault="003C3225" w:rsidP="003C3225">
      <w:pPr>
        <w:pStyle w:val="Body"/>
        <w:rPr>
          <w:rFonts w:ascii="Arial" w:eastAsia="Calibri" w:hAnsi="Arial" w:cs="Arial"/>
          <w:szCs w:val="22"/>
        </w:rPr>
      </w:pPr>
      <w:r w:rsidRPr="003C3225">
        <w:rPr>
          <w:rFonts w:ascii="Arial" w:eastAsia="Calibri" w:hAnsi="Arial" w:cs="Arial"/>
          <w:szCs w:val="22"/>
        </w:rPr>
        <w:t>D= Desired level of significance usually set at 0.05.</w:t>
      </w:r>
    </w:p>
    <w:p w14:paraId="5E17D502" w14:textId="77777777" w:rsidR="003C3225" w:rsidRPr="003C3225" w:rsidRDefault="003C3225" w:rsidP="003C3225">
      <w:pPr>
        <w:pStyle w:val="Body"/>
        <w:spacing w:after="0"/>
        <w:rPr>
          <w:rFonts w:ascii="Arial" w:eastAsia="Calibri" w:hAnsi="Arial" w:cs="Arial"/>
          <w:szCs w:val="22"/>
        </w:rPr>
      </w:pPr>
      <w:r w:rsidRPr="003C3225">
        <w:rPr>
          <w:rFonts w:ascii="Arial" w:eastAsia="Calibri" w:hAnsi="Arial" w:cs="Arial"/>
          <w:szCs w:val="22"/>
        </w:rPr>
        <w:lastRenderedPageBreak/>
        <w:t>Therefore: N = (1.96)2 X 0.123 X 0.877</w:t>
      </w:r>
    </w:p>
    <w:p w14:paraId="53538637" w14:textId="77777777" w:rsidR="003C3225" w:rsidRPr="003C3225" w:rsidRDefault="003C3225" w:rsidP="003C3225">
      <w:pPr>
        <w:pStyle w:val="Body"/>
        <w:spacing w:after="0"/>
        <w:rPr>
          <w:rFonts w:ascii="Arial" w:eastAsia="Calibri" w:hAnsi="Arial" w:cs="Arial"/>
          <w:szCs w:val="22"/>
        </w:rPr>
      </w:pPr>
      <w:r w:rsidRPr="003C3225">
        <w:rPr>
          <w:rFonts w:ascii="Arial" w:eastAsia="Calibri" w:hAnsi="Arial" w:cs="Arial"/>
          <w:szCs w:val="22"/>
        </w:rPr>
        <w:t xml:space="preserve">                                         (0.05)2</w:t>
      </w:r>
    </w:p>
    <w:p w14:paraId="4650D9AD" w14:textId="77777777" w:rsidR="003C3225" w:rsidRPr="003C3225" w:rsidRDefault="003C3225" w:rsidP="003C3225">
      <w:pPr>
        <w:pStyle w:val="Body"/>
        <w:spacing w:after="0"/>
        <w:rPr>
          <w:rFonts w:ascii="Arial" w:eastAsia="Calibri" w:hAnsi="Arial" w:cs="Arial"/>
          <w:szCs w:val="22"/>
        </w:rPr>
      </w:pPr>
      <w:r w:rsidRPr="003C3225">
        <w:rPr>
          <w:rFonts w:ascii="Arial" w:eastAsia="Calibri" w:hAnsi="Arial" w:cs="Arial"/>
          <w:szCs w:val="22"/>
        </w:rPr>
        <w:t xml:space="preserve">N= 166 </w:t>
      </w:r>
    </w:p>
    <w:p w14:paraId="26BB98B1" w14:textId="77777777" w:rsidR="003C3225" w:rsidRPr="003C3225" w:rsidRDefault="003C3225" w:rsidP="003C3225">
      <w:pPr>
        <w:pStyle w:val="Body"/>
        <w:spacing w:after="0"/>
        <w:rPr>
          <w:rFonts w:ascii="Arial" w:eastAsia="Calibri" w:hAnsi="Arial" w:cs="Arial"/>
          <w:szCs w:val="22"/>
        </w:rPr>
      </w:pPr>
      <w:r w:rsidRPr="003C3225">
        <w:rPr>
          <w:rFonts w:ascii="Arial" w:eastAsia="Calibri" w:hAnsi="Arial" w:cs="Arial"/>
          <w:szCs w:val="22"/>
        </w:rPr>
        <w:t xml:space="preserve"> </w:t>
      </w:r>
    </w:p>
    <w:p w14:paraId="05DD85C9" w14:textId="77777777" w:rsidR="003C3225" w:rsidRPr="007C1BCD" w:rsidRDefault="003C3225" w:rsidP="003C3225">
      <w:pPr>
        <w:pStyle w:val="Body"/>
        <w:rPr>
          <w:rFonts w:ascii="Arial" w:eastAsia="Calibri" w:hAnsi="Arial" w:cs="Arial"/>
          <w:b/>
          <w:bCs/>
          <w:sz w:val="22"/>
          <w:szCs w:val="24"/>
        </w:rPr>
      </w:pPr>
      <w:r w:rsidRPr="007C1BCD">
        <w:rPr>
          <w:rFonts w:ascii="Arial" w:eastAsia="Calibri" w:hAnsi="Arial" w:cs="Arial"/>
          <w:b/>
          <w:bCs/>
          <w:sz w:val="22"/>
          <w:szCs w:val="24"/>
        </w:rPr>
        <w:t>2.4 Data Collection</w:t>
      </w:r>
    </w:p>
    <w:p w14:paraId="1E622E70" w14:textId="77777777" w:rsidR="003C3225" w:rsidRPr="003C3225" w:rsidRDefault="003C3225" w:rsidP="003C3225">
      <w:pPr>
        <w:pStyle w:val="Body"/>
        <w:rPr>
          <w:rFonts w:ascii="Arial" w:eastAsia="Calibri" w:hAnsi="Arial" w:cs="Arial"/>
          <w:szCs w:val="22"/>
        </w:rPr>
      </w:pPr>
      <w:r w:rsidRPr="003C3225">
        <w:rPr>
          <w:rFonts w:ascii="Arial" w:eastAsia="Calibri" w:hAnsi="Arial" w:cs="Arial"/>
          <w:szCs w:val="22"/>
        </w:rPr>
        <w:t xml:space="preserve">All the urine microscopy, culture and sensitivity results for the years under review from the records of Medical Laboratory Service department of Federal Medical Centre Asaba were collected. </w:t>
      </w:r>
    </w:p>
    <w:p w14:paraId="000092A1" w14:textId="77777777" w:rsidR="003C3225" w:rsidRPr="007C1BCD" w:rsidRDefault="003C3225" w:rsidP="003C3225">
      <w:pPr>
        <w:pStyle w:val="Body"/>
        <w:rPr>
          <w:rFonts w:ascii="Arial" w:eastAsia="Calibri" w:hAnsi="Arial" w:cs="Arial"/>
          <w:b/>
          <w:bCs/>
          <w:sz w:val="22"/>
          <w:szCs w:val="24"/>
        </w:rPr>
      </w:pPr>
      <w:r w:rsidRPr="007C1BCD">
        <w:rPr>
          <w:rFonts w:ascii="Arial" w:eastAsia="Calibri" w:hAnsi="Arial" w:cs="Arial"/>
          <w:b/>
          <w:bCs/>
          <w:sz w:val="22"/>
          <w:szCs w:val="24"/>
        </w:rPr>
        <w:t>2.5 Data Analysis</w:t>
      </w:r>
    </w:p>
    <w:p w14:paraId="58C63A37" w14:textId="3BAE8DF6" w:rsidR="003C3225" w:rsidRDefault="003C3225" w:rsidP="003C3225">
      <w:pPr>
        <w:pStyle w:val="Body"/>
        <w:spacing w:after="0"/>
        <w:rPr>
          <w:rFonts w:ascii="Arial" w:eastAsia="Calibri" w:hAnsi="Arial" w:cs="Arial"/>
          <w:szCs w:val="22"/>
        </w:rPr>
      </w:pPr>
      <w:r w:rsidRPr="003C3225">
        <w:rPr>
          <w:rFonts w:ascii="Arial" w:eastAsia="Calibri" w:hAnsi="Arial" w:cs="Arial"/>
          <w:szCs w:val="22"/>
        </w:rPr>
        <w:t xml:space="preserve">SPSS version 26 was used in analyzing the data. Data </w:t>
      </w:r>
      <w:r w:rsidR="007C1BCD" w:rsidRPr="003C3225">
        <w:rPr>
          <w:rFonts w:ascii="Arial" w:eastAsia="Calibri" w:hAnsi="Arial" w:cs="Arial"/>
          <w:szCs w:val="22"/>
        </w:rPr>
        <w:t>was</w:t>
      </w:r>
      <w:r w:rsidRPr="003C3225">
        <w:rPr>
          <w:rFonts w:ascii="Arial" w:eastAsia="Calibri" w:hAnsi="Arial" w:cs="Arial"/>
          <w:szCs w:val="22"/>
        </w:rPr>
        <w:t xml:space="preserve"> analyzed using Frequency tables, Chi-Square test and t-test</w:t>
      </w:r>
      <w:r w:rsidR="00D71713">
        <w:rPr>
          <w:rFonts w:ascii="Arial" w:eastAsia="Calibri" w:hAnsi="Arial" w:cs="Arial"/>
          <w:szCs w:val="22"/>
        </w:rPr>
        <w:t>.</w:t>
      </w:r>
      <w:r w:rsidRPr="003C3225">
        <w:rPr>
          <w:rFonts w:ascii="Arial" w:eastAsia="Calibri" w:hAnsi="Arial" w:cs="Arial"/>
          <w:szCs w:val="22"/>
        </w:rPr>
        <w:t xml:space="preserve"> The statistical significance was set at p &lt; 0.05.</w:t>
      </w:r>
    </w:p>
    <w:p w14:paraId="0DE639F9" w14:textId="77777777" w:rsidR="00401964" w:rsidRPr="00FB3A86" w:rsidRDefault="00401964" w:rsidP="00401964">
      <w:pPr>
        <w:pStyle w:val="Body"/>
        <w:spacing w:after="0"/>
        <w:rPr>
          <w:rFonts w:ascii="Arial" w:hAnsi="Arial" w:cs="Arial"/>
        </w:rPr>
      </w:pPr>
    </w:p>
    <w:p w14:paraId="093C2C02"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69A44029" w14:textId="77777777" w:rsidR="00E6165B" w:rsidRDefault="00E6165B" w:rsidP="005F425B">
      <w:pPr>
        <w:jc w:val="both"/>
        <w:rPr>
          <w:rFonts w:ascii="Arial" w:hAnsi="Arial" w:cs="Arial"/>
          <w:b/>
          <w:bCs/>
          <w:color w:val="000000"/>
        </w:rPr>
      </w:pPr>
    </w:p>
    <w:p w14:paraId="4290766F" w14:textId="686AF0C9" w:rsidR="005F425B" w:rsidRPr="005F425B" w:rsidRDefault="005F425B" w:rsidP="005F425B">
      <w:pPr>
        <w:jc w:val="both"/>
        <w:rPr>
          <w:rFonts w:ascii="Arial" w:hAnsi="Arial" w:cs="Arial"/>
          <w:b/>
          <w:bCs/>
          <w:color w:val="000000"/>
        </w:rPr>
      </w:pPr>
      <w:r w:rsidRPr="005F425B">
        <w:rPr>
          <w:rFonts w:ascii="Arial" w:hAnsi="Arial" w:cs="Arial"/>
          <w:b/>
          <w:bCs/>
          <w:color w:val="000000"/>
        </w:rPr>
        <w:t>Table 1:  Data of bacterial species isolated from urine culture</w:t>
      </w:r>
    </w:p>
    <w:tbl>
      <w:tblPr>
        <w:tblStyle w:val="TableGrid"/>
        <w:tblW w:w="0" w:type="auto"/>
        <w:tblInd w:w="-5" w:type="dxa"/>
        <w:tblLayout w:type="fixed"/>
        <w:tblLook w:val="04A0" w:firstRow="1" w:lastRow="0" w:firstColumn="1" w:lastColumn="0" w:noHBand="0" w:noVBand="1"/>
      </w:tblPr>
      <w:tblGrid>
        <w:gridCol w:w="1647"/>
        <w:gridCol w:w="1333"/>
        <w:gridCol w:w="1335"/>
      </w:tblGrid>
      <w:tr w:rsidR="005F425B" w:rsidRPr="00ED0BB5" w14:paraId="1709A927" w14:textId="77777777" w:rsidTr="00395FC1">
        <w:trPr>
          <w:trHeight w:val="350"/>
        </w:trPr>
        <w:tc>
          <w:tcPr>
            <w:tcW w:w="1647" w:type="dxa"/>
          </w:tcPr>
          <w:p w14:paraId="3B1C5837" w14:textId="77777777" w:rsidR="005F425B" w:rsidRPr="00ED0BB5" w:rsidRDefault="005F425B" w:rsidP="00395FC1">
            <w:pPr>
              <w:jc w:val="both"/>
              <w:rPr>
                <w:rFonts w:ascii="Arial" w:hAnsi="Arial" w:cs="Arial"/>
                <w:b/>
                <w:bCs/>
                <w:color w:val="000000"/>
                <w:sz w:val="20"/>
                <w:szCs w:val="20"/>
              </w:rPr>
            </w:pPr>
            <w:r w:rsidRPr="00ED0BB5">
              <w:rPr>
                <w:rFonts w:ascii="Arial" w:hAnsi="Arial" w:cs="Arial"/>
                <w:b/>
                <w:bCs/>
                <w:color w:val="000000"/>
                <w:sz w:val="20"/>
                <w:szCs w:val="20"/>
              </w:rPr>
              <w:t>Bacteria</w:t>
            </w:r>
          </w:p>
        </w:tc>
        <w:tc>
          <w:tcPr>
            <w:tcW w:w="1333" w:type="dxa"/>
          </w:tcPr>
          <w:p w14:paraId="4971124B" w14:textId="77777777" w:rsidR="005F425B" w:rsidRPr="00ED0BB5" w:rsidRDefault="005F425B" w:rsidP="00395FC1">
            <w:pPr>
              <w:jc w:val="both"/>
              <w:rPr>
                <w:rFonts w:ascii="Arial" w:hAnsi="Arial" w:cs="Arial"/>
                <w:b/>
                <w:bCs/>
                <w:color w:val="000000"/>
                <w:sz w:val="20"/>
                <w:szCs w:val="20"/>
              </w:rPr>
            </w:pPr>
            <w:r w:rsidRPr="00ED0BB5">
              <w:rPr>
                <w:rFonts w:ascii="Arial" w:hAnsi="Arial" w:cs="Arial"/>
                <w:b/>
                <w:bCs/>
                <w:color w:val="000000"/>
                <w:sz w:val="20"/>
                <w:szCs w:val="20"/>
              </w:rPr>
              <w:t>Frequency (n= 2113)</w:t>
            </w:r>
          </w:p>
        </w:tc>
        <w:tc>
          <w:tcPr>
            <w:tcW w:w="1335" w:type="dxa"/>
          </w:tcPr>
          <w:p w14:paraId="11D798B2" w14:textId="77777777" w:rsidR="005F425B" w:rsidRPr="00ED0BB5" w:rsidRDefault="005F425B" w:rsidP="00395FC1">
            <w:pPr>
              <w:jc w:val="both"/>
              <w:rPr>
                <w:rFonts w:ascii="Arial" w:hAnsi="Arial" w:cs="Arial"/>
                <w:b/>
                <w:bCs/>
                <w:color w:val="000000"/>
                <w:sz w:val="20"/>
                <w:szCs w:val="20"/>
              </w:rPr>
            </w:pPr>
            <w:r w:rsidRPr="00ED0BB5">
              <w:rPr>
                <w:rFonts w:ascii="Arial" w:hAnsi="Arial" w:cs="Arial"/>
                <w:b/>
                <w:bCs/>
                <w:color w:val="000000"/>
                <w:sz w:val="20"/>
                <w:szCs w:val="20"/>
              </w:rPr>
              <w:t>Percentage (%)</w:t>
            </w:r>
          </w:p>
        </w:tc>
      </w:tr>
      <w:tr w:rsidR="005F425B" w:rsidRPr="005F425B" w14:paraId="227EF8DB" w14:textId="77777777" w:rsidTr="00395FC1">
        <w:tc>
          <w:tcPr>
            <w:tcW w:w="1647" w:type="dxa"/>
          </w:tcPr>
          <w:p w14:paraId="68AAF164" w14:textId="77777777" w:rsidR="005F425B" w:rsidRPr="00ED0BB5" w:rsidRDefault="005F425B" w:rsidP="00395FC1">
            <w:pPr>
              <w:jc w:val="both"/>
              <w:rPr>
                <w:rFonts w:ascii="Arial" w:hAnsi="Arial" w:cs="Arial"/>
                <w:i/>
                <w:iCs/>
                <w:color w:val="000000"/>
                <w:sz w:val="20"/>
                <w:szCs w:val="20"/>
              </w:rPr>
            </w:pPr>
            <w:r w:rsidRPr="00ED0BB5">
              <w:rPr>
                <w:rFonts w:ascii="Arial" w:hAnsi="Arial" w:cs="Arial"/>
                <w:i/>
                <w:iCs/>
                <w:color w:val="000000"/>
                <w:sz w:val="20"/>
                <w:szCs w:val="20"/>
              </w:rPr>
              <w:t>S. aureus</w:t>
            </w:r>
          </w:p>
        </w:tc>
        <w:tc>
          <w:tcPr>
            <w:tcW w:w="1333" w:type="dxa"/>
          </w:tcPr>
          <w:p w14:paraId="00FB7A53"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907</w:t>
            </w:r>
          </w:p>
        </w:tc>
        <w:tc>
          <w:tcPr>
            <w:tcW w:w="1335" w:type="dxa"/>
          </w:tcPr>
          <w:p w14:paraId="4A907255"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42.9</w:t>
            </w:r>
          </w:p>
        </w:tc>
      </w:tr>
      <w:tr w:rsidR="005F425B" w:rsidRPr="005F425B" w14:paraId="56F46611" w14:textId="77777777" w:rsidTr="00395FC1">
        <w:tc>
          <w:tcPr>
            <w:tcW w:w="1647" w:type="dxa"/>
          </w:tcPr>
          <w:p w14:paraId="7C1D9D8E" w14:textId="77777777" w:rsidR="005F425B" w:rsidRPr="00ED0BB5" w:rsidRDefault="005F425B" w:rsidP="00395FC1">
            <w:pPr>
              <w:jc w:val="both"/>
              <w:rPr>
                <w:rFonts w:ascii="Arial" w:hAnsi="Arial" w:cs="Arial"/>
                <w:i/>
                <w:iCs/>
                <w:color w:val="000000"/>
                <w:sz w:val="20"/>
                <w:szCs w:val="20"/>
              </w:rPr>
            </w:pPr>
            <w:r w:rsidRPr="00ED0BB5">
              <w:rPr>
                <w:rFonts w:ascii="Arial" w:hAnsi="Arial" w:cs="Arial"/>
                <w:i/>
                <w:iCs/>
                <w:color w:val="000000"/>
                <w:sz w:val="20"/>
                <w:szCs w:val="20"/>
              </w:rPr>
              <w:t>E.coli</w:t>
            </w:r>
          </w:p>
        </w:tc>
        <w:tc>
          <w:tcPr>
            <w:tcW w:w="1333" w:type="dxa"/>
          </w:tcPr>
          <w:p w14:paraId="1732530A"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866</w:t>
            </w:r>
          </w:p>
        </w:tc>
        <w:tc>
          <w:tcPr>
            <w:tcW w:w="1335" w:type="dxa"/>
          </w:tcPr>
          <w:p w14:paraId="00A86341"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41.9</w:t>
            </w:r>
          </w:p>
        </w:tc>
      </w:tr>
      <w:tr w:rsidR="005F425B" w:rsidRPr="005F425B" w14:paraId="5F3FFCA7" w14:textId="77777777" w:rsidTr="00395FC1">
        <w:tc>
          <w:tcPr>
            <w:tcW w:w="1647" w:type="dxa"/>
          </w:tcPr>
          <w:p w14:paraId="78FC6F84" w14:textId="77777777" w:rsidR="005F425B" w:rsidRPr="00ED0BB5" w:rsidRDefault="005F425B" w:rsidP="00395FC1">
            <w:pPr>
              <w:jc w:val="both"/>
              <w:rPr>
                <w:rFonts w:ascii="Arial" w:hAnsi="Arial" w:cs="Arial"/>
                <w:i/>
                <w:iCs/>
                <w:color w:val="000000"/>
                <w:sz w:val="20"/>
                <w:szCs w:val="20"/>
              </w:rPr>
            </w:pPr>
            <w:r w:rsidRPr="00ED0BB5">
              <w:rPr>
                <w:rFonts w:ascii="Arial" w:hAnsi="Arial" w:cs="Arial"/>
                <w:i/>
                <w:iCs/>
                <w:color w:val="000000"/>
                <w:sz w:val="20"/>
                <w:szCs w:val="20"/>
              </w:rPr>
              <w:t>Klebsiella spp</w:t>
            </w:r>
          </w:p>
        </w:tc>
        <w:tc>
          <w:tcPr>
            <w:tcW w:w="1333" w:type="dxa"/>
          </w:tcPr>
          <w:p w14:paraId="074F225A"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232</w:t>
            </w:r>
          </w:p>
        </w:tc>
        <w:tc>
          <w:tcPr>
            <w:tcW w:w="1335" w:type="dxa"/>
          </w:tcPr>
          <w:p w14:paraId="01E592DE"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11.0</w:t>
            </w:r>
          </w:p>
        </w:tc>
      </w:tr>
      <w:tr w:rsidR="005F425B" w:rsidRPr="005F425B" w14:paraId="53047D52" w14:textId="77777777" w:rsidTr="00395FC1">
        <w:tc>
          <w:tcPr>
            <w:tcW w:w="1647" w:type="dxa"/>
          </w:tcPr>
          <w:p w14:paraId="34CC80BE" w14:textId="77777777" w:rsidR="005F425B" w:rsidRPr="00ED0BB5" w:rsidRDefault="005F425B" w:rsidP="00395FC1">
            <w:pPr>
              <w:jc w:val="both"/>
              <w:rPr>
                <w:rFonts w:ascii="Arial" w:hAnsi="Arial" w:cs="Arial"/>
                <w:i/>
                <w:iCs/>
                <w:color w:val="000000"/>
                <w:sz w:val="20"/>
                <w:szCs w:val="20"/>
              </w:rPr>
            </w:pPr>
            <w:r w:rsidRPr="00ED0BB5">
              <w:rPr>
                <w:rFonts w:ascii="Arial" w:hAnsi="Arial" w:cs="Arial"/>
                <w:i/>
                <w:iCs/>
                <w:color w:val="000000"/>
                <w:sz w:val="20"/>
                <w:szCs w:val="20"/>
              </w:rPr>
              <w:t>Pseudomonas aeruginosa</w:t>
            </w:r>
          </w:p>
        </w:tc>
        <w:tc>
          <w:tcPr>
            <w:tcW w:w="1333" w:type="dxa"/>
          </w:tcPr>
          <w:p w14:paraId="2473BCFC"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54</w:t>
            </w:r>
          </w:p>
        </w:tc>
        <w:tc>
          <w:tcPr>
            <w:tcW w:w="1335" w:type="dxa"/>
          </w:tcPr>
          <w:p w14:paraId="0725DFB9"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2.6</w:t>
            </w:r>
          </w:p>
        </w:tc>
      </w:tr>
      <w:tr w:rsidR="005F425B" w:rsidRPr="005F425B" w14:paraId="1B9EE2AD" w14:textId="77777777" w:rsidTr="00395FC1">
        <w:tc>
          <w:tcPr>
            <w:tcW w:w="1647" w:type="dxa"/>
          </w:tcPr>
          <w:p w14:paraId="6E4886B5" w14:textId="77777777" w:rsidR="005F425B" w:rsidRPr="00ED0BB5" w:rsidRDefault="005F425B" w:rsidP="00395FC1">
            <w:pPr>
              <w:jc w:val="both"/>
              <w:rPr>
                <w:rFonts w:ascii="Arial" w:hAnsi="Arial" w:cs="Arial"/>
                <w:i/>
                <w:iCs/>
                <w:color w:val="000000"/>
                <w:sz w:val="20"/>
                <w:szCs w:val="20"/>
              </w:rPr>
            </w:pPr>
            <w:r w:rsidRPr="00ED0BB5">
              <w:rPr>
                <w:rFonts w:ascii="Arial" w:hAnsi="Arial" w:cs="Arial"/>
                <w:i/>
                <w:iCs/>
                <w:color w:val="000000"/>
                <w:sz w:val="20"/>
                <w:szCs w:val="20"/>
              </w:rPr>
              <w:t>Proteus.spp</w:t>
            </w:r>
          </w:p>
        </w:tc>
        <w:tc>
          <w:tcPr>
            <w:tcW w:w="1333" w:type="dxa"/>
          </w:tcPr>
          <w:p w14:paraId="6F64B860"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31</w:t>
            </w:r>
          </w:p>
        </w:tc>
        <w:tc>
          <w:tcPr>
            <w:tcW w:w="1335" w:type="dxa"/>
          </w:tcPr>
          <w:p w14:paraId="06022700"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1.5</w:t>
            </w:r>
          </w:p>
        </w:tc>
      </w:tr>
      <w:tr w:rsidR="005F425B" w:rsidRPr="005F425B" w14:paraId="07FA22F8" w14:textId="77777777" w:rsidTr="00395FC1">
        <w:tc>
          <w:tcPr>
            <w:tcW w:w="1647" w:type="dxa"/>
          </w:tcPr>
          <w:p w14:paraId="396AB8C0" w14:textId="77777777" w:rsidR="005F425B" w:rsidRPr="00ED0BB5" w:rsidRDefault="005F425B" w:rsidP="00395FC1">
            <w:pPr>
              <w:jc w:val="both"/>
              <w:rPr>
                <w:rFonts w:ascii="Arial" w:hAnsi="Arial" w:cs="Arial"/>
                <w:i/>
                <w:iCs/>
                <w:color w:val="000000"/>
                <w:sz w:val="20"/>
                <w:szCs w:val="20"/>
              </w:rPr>
            </w:pPr>
            <w:r w:rsidRPr="00ED0BB5">
              <w:rPr>
                <w:rFonts w:ascii="Arial" w:hAnsi="Arial" w:cs="Arial"/>
                <w:i/>
                <w:iCs/>
                <w:color w:val="000000"/>
                <w:sz w:val="20"/>
                <w:szCs w:val="20"/>
              </w:rPr>
              <w:t>Strep.spp</w:t>
            </w:r>
          </w:p>
        </w:tc>
        <w:tc>
          <w:tcPr>
            <w:tcW w:w="1333" w:type="dxa"/>
          </w:tcPr>
          <w:p w14:paraId="4E3E768A"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2</w:t>
            </w:r>
          </w:p>
        </w:tc>
        <w:tc>
          <w:tcPr>
            <w:tcW w:w="1335" w:type="dxa"/>
          </w:tcPr>
          <w:p w14:paraId="4D566F56"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0.1</w:t>
            </w:r>
          </w:p>
        </w:tc>
      </w:tr>
      <w:tr w:rsidR="005F425B" w:rsidRPr="005F425B" w14:paraId="4B67E3D4" w14:textId="77777777" w:rsidTr="00395FC1">
        <w:tc>
          <w:tcPr>
            <w:tcW w:w="1647" w:type="dxa"/>
          </w:tcPr>
          <w:p w14:paraId="221C26B6" w14:textId="77777777" w:rsidR="005F425B" w:rsidRPr="00ED0BB5" w:rsidRDefault="005F425B" w:rsidP="00395FC1">
            <w:pPr>
              <w:jc w:val="both"/>
              <w:rPr>
                <w:rFonts w:ascii="Arial" w:hAnsi="Arial" w:cs="Arial"/>
                <w:i/>
                <w:iCs/>
                <w:color w:val="000000"/>
                <w:sz w:val="20"/>
                <w:szCs w:val="20"/>
              </w:rPr>
            </w:pPr>
            <w:r w:rsidRPr="00ED0BB5">
              <w:rPr>
                <w:rFonts w:ascii="Arial" w:hAnsi="Arial" w:cs="Arial"/>
                <w:i/>
                <w:iCs/>
                <w:color w:val="000000"/>
                <w:sz w:val="20"/>
                <w:szCs w:val="20"/>
              </w:rPr>
              <w:t>Pantoea spp</w:t>
            </w:r>
          </w:p>
        </w:tc>
        <w:tc>
          <w:tcPr>
            <w:tcW w:w="1333" w:type="dxa"/>
          </w:tcPr>
          <w:p w14:paraId="2D05EAD0"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1</w:t>
            </w:r>
          </w:p>
        </w:tc>
        <w:tc>
          <w:tcPr>
            <w:tcW w:w="1335" w:type="dxa"/>
          </w:tcPr>
          <w:p w14:paraId="570DE71B"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0</w:t>
            </w:r>
          </w:p>
        </w:tc>
      </w:tr>
      <w:tr w:rsidR="005F425B" w:rsidRPr="005F425B" w14:paraId="0DA2AE8F" w14:textId="77777777" w:rsidTr="00395FC1">
        <w:tc>
          <w:tcPr>
            <w:tcW w:w="1647" w:type="dxa"/>
          </w:tcPr>
          <w:p w14:paraId="6B9C20DE"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Total</w:t>
            </w:r>
          </w:p>
        </w:tc>
        <w:tc>
          <w:tcPr>
            <w:tcW w:w="1333" w:type="dxa"/>
          </w:tcPr>
          <w:p w14:paraId="5FA5D138"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2113</w:t>
            </w:r>
          </w:p>
        </w:tc>
        <w:tc>
          <w:tcPr>
            <w:tcW w:w="1335" w:type="dxa"/>
          </w:tcPr>
          <w:p w14:paraId="775832D3" w14:textId="77777777" w:rsidR="005F425B" w:rsidRPr="005F425B" w:rsidRDefault="005F425B" w:rsidP="00395FC1">
            <w:pPr>
              <w:jc w:val="both"/>
              <w:rPr>
                <w:rFonts w:ascii="Arial" w:hAnsi="Arial" w:cs="Arial"/>
                <w:color w:val="000000"/>
                <w:sz w:val="20"/>
                <w:szCs w:val="20"/>
              </w:rPr>
            </w:pPr>
            <w:r w:rsidRPr="005F425B">
              <w:rPr>
                <w:rFonts w:ascii="Arial" w:hAnsi="Arial" w:cs="Arial"/>
                <w:color w:val="000000"/>
                <w:sz w:val="20"/>
                <w:szCs w:val="20"/>
              </w:rPr>
              <w:t>100</w:t>
            </w:r>
          </w:p>
        </w:tc>
      </w:tr>
    </w:tbl>
    <w:p w14:paraId="350F58A0" w14:textId="77777777" w:rsidR="005F425B" w:rsidRDefault="005F425B" w:rsidP="005F425B">
      <w:pPr>
        <w:jc w:val="both"/>
        <w:rPr>
          <w:rFonts w:ascii="Times New Roman" w:hAnsi="Times New Roman"/>
          <w:color w:val="000000"/>
          <w:sz w:val="24"/>
          <w:szCs w:val="24"/>
        </w:rPr>
      </w:pPr>
    </w:p>
    <w:p w14:paraId="2987B5FF" w14:textId="01762530" w:rsidR="006F2906" w:rsidRPr="006F2906" w:rsidRDefault="006F2906" w:rsidP="00E6165B">
      <w:pPr>
        <w:pStyle w:val="Body"/>
        <w:spacing w:after="0"/>
        <w:rPr>
          <w:rFonts w:ascii="Arial" w:hAnsi="Arial" w:cs="Arial"/>
        </w:rPr>
      </w:pPr>
      <w:r w:rsidRPr="006F2906">
        <w:rPr>
          <w:rFonts w:ascii="Arial" w:hAnsi="Arial" w:cs="Arial"/>
        </w:rPr>
        <w:t xml:space="preserve">As shown in table 1, results of a total of 2113 subjects were reviewed over the period studied. Organisms isolated from these individuals </w:t>
      </w:r>
      <w:r w:rsidR="00D53179" w:rsidRPr="006F2906">
        <w:rPr>
          <w:rFonts w:ascii="Arial" w:hAnsi="Arial" w:cs="Arial"/>
        </w:rPr>
        <w:t>include</w:t>
      </w:r>
      <w:r w:rsidRPr="006F2906">
        <w:rPr>
          <w:rFonts w:ascii="Arial" w:hAnsi="Arial" w:cs="Arial"/>
        </w:rPr>
        <w:t xml:space="preserve"> </w:t>
      </w:r>
      <w:r w:rsidRPr="00D53179">
        <w:rPr>
          <w:rFonts w:ascii="Arial" w:hAnsi="Arial" w:cs="Arial"/>
          <w:i/>
          <w:iCs/>
        </w:rPr>
        <w:t>Staphlococccus aureus</w:t>
      </w:r>
      <w:r w:rsidRPr="006F2906">
        <w:rPr>
          <w:rFonts w:ascii="Arial" w:hAnsi="Arial" w:cs="Arial"/>
        </w:rPr>
        <w:t xml:space="preserve"> 907 (42.9%), </w:t>
      </w:r>
      <w:r w:rsidRPr="00D53179">
        <w:rPr>
          <w:rFonts w:ascii="Arial" w:hAnsi="Arial" w:cs="Arial"/>
          <w:i/>
          <w:iCs/>
        </w:rPr>
        <w:t>E. coli</w:t>
      </w:r>
      <w:r w:rsidRPr="006F2906">
        <w:rPr>
          <w:rFonts w:ascii="Arial" w:hAnsi="Arial" w:cs="Arial"/>
        </w:rPr>
        <w:t xml:space="preserve"> 866 (41.9%), </w:t>
      </w:r>
      <w:r w:rsidRPr="00D53179">
        <w:rPr>
          <w:rFonts w:ascii="Arial" w:hAnsi="Arial" w:cs="Arial"/>
          <w:i/>
          <w:iCs/>
        </w:rPr>
        <w:t xml:space="preserve">Klebsiella spp </w:t>
      </w:r>
      <w:r w:rsidRPr="006F2906">
        <w:rPr>
          <w:rFonts w:ascii="Arial" w:hAnsi="Arial" w:cs="Arial"/>
        </w:rPr>
        <w:t xml:space="preserve">232 (11.0%), </w:t>
      </w:r>
      <w:r w:rsidRPr="00D53179">
        <w:rPr>
          <w:rFonts w:ascii="Arial" w:hAnsi="Arial" w:cs="Arial"/>
          <w:i/>
          <w:iCs/>
        </w:rPr>
        <w:t>P. aeruginosa</w:t>
      </w:r>
      <w:r w:rsidRPr="006F2906">
        <w:rPr>
          <w:rFonts w:ascii="Arial" w:hAnsi="Arial" w:cs="Arial"/>
        </w:rPr>
        <w:t xml:space="preserve"> 54 (2.6%), </w:t>
      </w:r>
      <w:r w:rsidRPr="00D53179">
        <w:rPr>
          <w:rFonts w:ascii="Arial" w:hAnsi="Arial" w:cs="Arial"/>
          <w:i/>
          <w:iCs/>
        </w:rPr>
        <w:t>Proteus spp</w:t>
      </w:r>
      <w:r w:rsidRPr="006F2906">
        <w:rPr>
          <w:rFonts w:ascii="Arial" w:hAnsi="Arial" w:cs="Arial"/>
        </w:rPr>
        <w:t xml:space="preserve"> 31 (1.4%), </w:t>
      </w:r>
      <w:r w:rsidRPr="00D53179">
        <w:rPr>
          <w:rFonts w:ascii="Arial" w:hAnsi="Arial" w:cs="Arial"/>
          <w:i/>
          <w:iCs/>
        </w:rPr>
        <w:t>Strep. Spp</w:t>
      </w:r>
      <w:r w:rsidRPr="006F2906">
        <w:rPr>
          <w:rFonts w:ascii="Arial" w:hAnsi="Arial" w:cs="Arial"/>
        </w:rPr>
        <w:t xml:space="preserve"> 2 (0.1%), and </w:t>
      </w:r>
      <w:r w:rsidRPr="00D53179">
        <w:rPr>
          <w:rFonts w:ascii="Arial" w:hAnsi="Arial" w:cs="Arial"/>
          <w:i/>
          <w:iCs/>
        </w:rPr>
        <w:t>Pantoea spp</w:t>
      </w:r>
      <w:r w:rsidRPr="006F2906">
        <w:rPr>
          <w:rFonts w:ascii="Arial" w:hAnsi="Arial" w:cs="Arial"/>
        </w:rPr>
        <w:t xml:space="preserve"> 1.</w:t>
      </w:r>
    </w:p>
    <w:p w14:paraId="3BD401F4" w14:textId="27848F53" w:rsidR="00E053D0" w:rsidRDefault="006F2906" w:rsidP="006F2906">
      <w:pPr>
        <w:pStyle w:val="Body"/>
        <w:spacing w:after="0"/>
        <w:rPr>
          <w:rFonts w:ascii="Arial" w:hAnsi="Arial" w:cs="Arial"/>
        </w:rPr>
      </w:pPr>
      <w:r w:rsidRPr="006F2906">
        <w:rPr>
          <w:rFonts w:ascii="Arial" w:hAnsi="Arial" w:cs="Arial"/>
        </w:rPr>
        <w:t xml:space="preserve">As shown in table 2 and fig 1, majority of the organisms </w:t>
      </w:r>
      <w:r w:rsidR="00E6165B" w:rsidRPr="006F2906">
        <w:rPr>
          <w:rFonts w:ascii="Arial" w:hAnsi="Arial" w:cs="Arial"/>
        </w:rPr>
        <w:t>are isolated</w:t>
      </w:r>
      <w:r w:rsidRPr="006F2906">
        <w:rPr>
          <w:rFonts w:ascii="Arial" w:hAnsi="Arial" w:cs="Arial"/>
        </w:rPr>
        <w:t xml:space="preserve"> were significantly</w:t>
      </w:r>
    </w:p>
    <w:p w14:paraId="47D40916" w14:textId="00C2E800" w:rsidR="006C3EB6" w:rsidRDefault="006C3EB6" w:rsidP="006F2906">
      <w:pPr>
        <w:pStyle w:val="Body"/>
        <w:spacing w:after="0"/>
        <w:rPr>
          <w:rFonts w:ascii="Arial" w:hAnsi="Arial" w:cs="Arial"/>
        </w:rPr>
      </w:pPr>
      <w:r>
        <w:rPr>
          <w:rFonts w:ascii="Times New Roman" w:hAnsi="Times New Roman"/>
          <w:noProof/>
          <w:color w:val="000000"/>
          <w:sz w:val="24"/>
          <w:szCs w:val="24"/>
        </w:rPr>
        <w:drawing>
          <wp:inline distT="0" distB="0" distL="114300" distR="114300" wp14:anchorId="504AE8E5" wp14:editId="64D56910">
            <wp:extent cx="3204376" cy="2359025"/>
            <wp:effectExtent l="0" t="0" r="15240" b="3175"/>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FA9EA0" w14:textId="77777777" w:rsidR="00F8125A" w:rsidRPr="00F8125A" w:rsidRDefault="00F8125A" w:rsidP="00F8125A">
      <w:pPr>
        <w:rPr>
          <w:rFonts w:ascii="Arial" w:hAnsi="Arial" w:cs="Arial"/>
          <w:b/>
          <w:bCs/>
          <w:color w:val="000000"/>
        </w:rPr>
        <w:sectPr w:rsidR="00F8125A" w:rsidRPr="00F8125A" w:rsidSect="00621D3F">
          <w:type w:val="continuous"/>
          <w:pgSz w:w="12240" w:h="15840"/>
          <w:pgMar w:top="1440" w:right="1440" w:bottom="1440" w:left="1440" w:header="720" w:footer="720" w:gutter="0"/>
          <w:cols w:space="720"/>
          <w:docGrid w:linePitch="360"/>
        </w:sectPr>
      </w:pPr>
      <w:r w:rsidRPr="00F8125A">
        <w:rPr>
          <w:rFonts w:ascii="Arial" w:hAnsi="Arial" w:cs="Arial"/>
          <w:b/>
          <w:bCs/>
          <w:color w:val="000000"/>
        </w:rPr>
        <w:t>Fig. 1:  Distribution of bacteria species based on gender</w:t>
      </w:r>
    </w:p>
    <w:p w14:paraId="359B60FA" w14:textId="77777777" w:rsidR="00F8125A" w:rsidRDefault="00F8125A" w:rsidP="006F2906">
      <w:pPr>
        <w:pStyle w:val="Body"/>
        <w:spacing w:after="0"/>
        <w:rPr>
          <w:rFonts w:ascii="Arial" w:hAnsi="Arial" w:cs="Arial"/>
        </w:rPr>
      </w:pPr>
    </w:p>
    <w:p w14:paraId="4F5BB486" w14:textId="430ACF8E" w:rsidR="00790ADA" w:rsidRDefault="0009575A" w:rsidP="00441B6F">
      <w:pPr>
        <w:pStyle w:val="Body"/>
        <w:spacing w:after="0"/>
        <w:rPr>
          <w:rFonts w:ascii="Arial" w:hAnsi="Arial" w:cs="Arial"/>
        </w:rPr>
      </w:pPr>
      <w:r w:rsidRPr="0009575A">
        <w:rPr>
          <w:rFonts w:ascii="Arial" w:hAnsi="Arial" w:cs="Arial"/>
        </w:rPr>
        <w:t xml:space="preserve">higher in females (P = 0.009) than in males. </w:t>
      </w:r>
      <w:r w:rsidRPr="00D53179">
        <w:rPr>
          <w:rFonts w:ascii="Arial" w:hAnsi="Arial" w:cs="Arial"/>
          <w:i/>
          <w:iCs/>
        </w:rPr>
        <w:t>S. aureus</w:t>
      </w:r>
      <w:r w:rsidRPr="0009575A">
        <w:rPr>
          <w:rFonts w:ascii="Arial" w:hAnsi="Arial" w:cs="Arial"/>
        </w:rPr>
        <w:t xml:space="preserve"> was isolated in 622 females and 285 males, </w:t>
      </w:r>
      <w:r w:rsidRPr="007B3CBE">
        <w:rPr>
          <w:rFonts w:ascii="Arial" w:hAnsi="Arial" w:cs="Arial"/>
          <w:i/>
          <w:iCs/>
        </w:rPr>
        <w:t>E, coli</w:t>
      </w:r>
      <w:r w:rsidRPr="0009575A">
        <w:rPr>
          <w:rFonts w:ascii="Arial" w:hAnsi="Arial" w:cs="Arial"/>
        </w:rPr>
        <w:t xml:space="preserve"> 592 females, 294 males, </w:t>
      </w:r>
      <w:r w:rsidRPr="007B3CBE">
        <w:rPr>
          <w:rFonts w:ascii="Arial" w:hAnsi="Arial" w:cs="Arial"/>
          <w:i/>
          <w:iCs/>
        </w:rPr>
        <w:t>Klebsiella spp</w:t>
      </w:r>
      <w:r w:rsidRPr="0009575A">
        <w:rPr>
          <w:rFonts w:ascii="Arial" w:hAnsi="Arial" w:cs="Arial"/>
        </w:rPr>
        <w:t xml:space="preserve"> 170 females, 62 males, </w:t>
      </w:r>
      <w:r w:rsidRPr="007B3CBE">
        <w:rPr>
          <w:rFonts w:ascii="Arial" w:hAnsi="Arial" w:cs="Arial"/>
          <w:i/>
          <w:iCs/>
        </w:rPr>
        <w:t>P. aeruginosa</w:t>
      </w:r>
      <w:r w:rsidRPr="0009575A">
        <w:rPr>
          <w:rFonts w:ascii="Arial" w:hAnsi="Arial" w:cs="Arial"/>
        </w:rPr>
        <w:t xml:space="preserve"> 25 females, 29 males, </w:t>
      </w:r>
      <w:r w:rsidRPr="007B3CBE">
        <w:rPr>
          <w:rFonts w:ascii="Arial" w:hAnsi="Arial" w:cs="Arial"/>
          <w:i/>
          <w:iCs/>
        </w:rPr>
        <w:t>Proteus spp</w:t>
      </w:r>
      <w:r w:rsidRPr="0009575A">
        <w:rPr>
          <w:rFonts w:ascii="Arial" w:hAnsi="Arial" w:cs="Arial"/>
        </w:rPr>
        <w:t xml:space="preserve"> 18 females, 13 males</w:t>
      </w:r>
      <w:r w:rsidRPr="00DD20AC">
        <w:rPr>
          <w:rFonts w:ascii="Arial" w:hAnsi="Arial" w:cs="Arial"/>
          <w:i/>
          <w:iCs/>
        </w:rPr>
        <w:t xml:space="preserve">, </w:t>
      </w:r>
      <w:r w:rsidR="00DD20AC" w:rsidRPr="00DD20AC">
        <w:rPr>
          <w:rFonts w:ascii="Arial" w:hAnsi="Arial" w:cs="Arial"/>
          <w:i/>
          <w:iCs/>
        </w:rPr>
        <w:t>S</w:t>
      </w:r>
      <w:r w:rsidRPr="00DD20AC">
        <w:rPr>
          <w:rFonts w:ascii="Arial" w:hAnsi="Arial" w:cs="Arial"/>
          <w:i/>
          <w:iCs/>
        </w:rPr>
        <w:t>trep spp</w:t>
      </w:r>
      <w:r w:rsidRPr="0009575A">
        <w:rPr>
          <w:rFonts w:ascii="Arial" w:hAnsi="Arial" w:cs="Arial"/>
        </w:rPr>
        <w:t xml:space="preserve"> 2 females, and </w:t>
      </w:r>
      <w:r w:rsidRPr="00311DA2">
        <w:rPr>
          <w:rFonts w:ascii="Arial" w:hAnsi="Arial" w:cs="Arial"/>
          <w:i/>
          <w:iCs/>
        </w:rPr>
        <w:t>Pantoea spp</w:t>
      </w:r>
      <w:r w:rsidRPr="0009575A">
        <w:rPr>
          <w:rFonts w:ascii="Arial" w:hAnsi="Arial" w:cs="Arial"/>
        </w:rPr>
        <w:t xml:space="preserve"> 1 female each.</w:t>
      </w:r>
    </w:p>
    <w:p w14:paraId="5CFEFEA6" w14:textId="77777777" w:rsidR="0009575A" w:rsidRDefault="0009575A" w:rsidP="00441B6F">
      <w:pPr>
        <w:pStyle w:val="Body"/>
        <w:spacing w:after="0"/>
        <w:rPr>
          <w:rFonts w:ascii="Arial" w:hAnsi="Arial" w:cs="Arial"/>
        </w:rPr>
      </w:pPr>
    </w:p>
    <w:p w14:paraId="31CE12FB" w14:textId="77777777" w:rsidR="00BA2730" w:rsidRPr="00BA2730" w:rsidRDefault="00BA2730" w:rsidP="00BA2730">
      <w:pPr>
        <w:jc w:val="both"/>
        <w:rPr>
          <w:rFonts w:ascii="Arial" w:hAnsi="Arial" w:cs="Arial"/>
          <w:b/>
          <w:bCs/>
          <w:color w:val="000000"/>
        </w:rPr>
      </w:pPr>
      <w:r w:rsidRPr="00BA2730">
        <w:rPr>
          <w:rFonts w:ascii="Arial" w:hAnsi="Arial" w:cs="Arial"/>
          <w:b/>
          <w:bCs/>
          <w:color w:val="000000"/>
        </w:rPr>
        <w:t>Table 2: Distribution of bacteria Species according to age</w:t>
      </w:r>
    </w:p>
    <w:tbl>
      <w:tblPr>
        <w:tblStyle w:val="TableGrid"/>
        <w:tblW w:w="0" w:type="auto"/>
        <w:tblInd w:w="-545" w:type="dxa"/>
        <w:tblLayout w:type="fixed"/>
        <w:tblLook w:val="04A0" w:firstRow="1" w:lastRow="0" w:firstColumn="1" w:lastColumn="0" w:noHBand="0" w:noVBand="1"/>
      </w:tblPr>
      <w:tblGrid>
        <w:gridCol w:w="2340"/>
        <w:gridCol w:w="1260"/>
        <w:gridCol w:w="1710"/>
        <w:gridCol w:w="1800"/>
        <w:gridCol w:w="1028"/>
        <w:gridCol w:w="843"/>
        <w:gridCol w:w="914"/>
      </w:tblGrid>
      <w:tr w:rsidR="00BA2730" w:rsidRPr="00BA2730" w14:paraId="311551D2" w14:textId="77777777" w:rsidTr="00395FC1">
        <w:trPr>
          <w:trHeight w:val="350"/>
        </w:trPr>
        <w:tc>
          <w:tcPr>
            <w:tcW w:w="2340" w:type="dxa"/>
          </w:tcPr>
          <w:p w14:paraId="49BAFA47"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Bacteria</w:t>
            </w:r>
          </w:p>
        </w:tc>
        <w:tc>
          <w:tcPr>
            <w:tcW w:w="1260" w:type="dxa"/>
          </w:tcPr>
          <w:p w14:paraId="2520607E"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≤18years</w:t>
            </w:r>
          </w:p>
        </w:tc>
        <w:tc>
          <w:tcPr>
            <w:tcW w:w="1710" w:type="dxa"/>
          </w:tcPr>
          <w:p w14:paraId="66228E6C"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19years-59years</w:t>
            </w:r>
          </w:p>
        </w:tc>
        <w:tc>
          <w:tcPr>
            <w:tcW w:w="1800" w:type="dxa"/>
          </w:tcPr>
          <w:p w14:paraId="56BEBE78"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60years &amp;above</w:t>
            </w:r>
          </w:p>
        </w:tc>
        <w:tc>
          <w:tcPr>
            <w:tcW w:w="1028" w:type="dxa"/>
          </w:tcPr>
          <w:p w14:paraId="6E9DD762"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Total</w:t>
            </w:r>
          </w:p>
        </w:tc>
        <w:tc>
          <w:tcPr>
            <w:tcW w:w="843" w:type="dxa"/>
          </w:tcPr>
          <w:p w14:paraId="385CC9FB"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X²</w:t>
            </w:r>
          </w:p>
        </w:tc>
        <w:tc>
          <w:tcPr>
            <w:tcW w:w="914" w:type="dxa"/>
          </w:tcPr>
          <w:p w14:paraId="5ABD73EE"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p-value</w:t>
            </w:r>
          </w:p>
        </w:tc>
      </w:tr>
      <w:tr w:rsidR="00BA2730" w:rsidRPr="00BA2730" w14:paraId="0C4F3044" w14:textId="77777777" w:rsidTr="00395FC1">
        <w:tc>
          <w:tcPr>
            <w:tcW w:w="2340" w:type="dxa"/>
          </w:tcPr>
          <w:p w14:paraId="19F0AF65" w14:textId="77777777" w:rsidR="00BA2730" w:rsidRPr="003D53D9" w:rsidRDefault="00BA2730" w:rsidP="00395FC1">
            <w:pPr>
              <w:jc w:val="both"/>
              <w:rPr>
                <w:rFonts w:ascii="Arial" w:hAnsi="Arial" w:cs="Arial"/>
                <w:i/>
                <w:iCs/>
                <w:color w:val="000000"/>
                <w:sz w:val="20"/>
                <w:szCs w:val="20"/>
              </w:rPr>
            </w:pPr>
            <w:r w:rsidRPr="003D53D9">
              <w:rPr>
                <w:rFonts w:ascii="Arial" w:hAnsi="Arial" w:cs="Arial"/>
                <w:i/>
                <w:iCs/>
                <w:color w:val="000000"/>
                <w:sz w:val="20"/>
                <w:szCs w:val="20"/>
              </w:rPr>
              <w:t>S. aureus</w:t>
            </w:r>
          </w:p>
        </w:tc>
        <w:tc>
          <w:tcPr>
            <w:tcW w:w="1260" w:type="dxa"/>
          </w:tcPr>
          <w:p w14:paraId="418581D2"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108 (11.9%)</w:t>
            </w:r>
          </w:p>
        </w:tc>
        <w:tc>
          <w:tcPr>
            <w:tcW w:w="1710" w:type="dxa"/>
          </w:tcPr>
          <w:p w14:paraId="39D21DBF"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653 (72%)</w:t>
            </w:r>
          </w:p>
        </w:tc>
        <w:tc>
          <w:tcPr>
            <w:tcW w:w="1800" w:type="dxa"/>
          </w:tcPr>
          <w:p w14:paraId="4CCBF4AA"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146(16.1%)</w:t>
            </w:r>
          </w:p>
        </w:tc>
        <w:tc>
          <w:tcPr>
            <w:tcW w:w="1028" w:type="dxa"/>
          </w:tcPr>
          <w:p w14:paraId="4775F426"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907</w:t>
            </w:r>
          </w:p>
        </w:tc>
        <w:tc>
          <w:tcPr>
            <w:tcW w:w="843" w:type="dxa"/>
            <w:vMerge w:val="restart"/>
          </w:tcPr>
          <w:p w14:paraId="13244035"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75.6</w:t>
            </w:r>
          </w:p>
        </w:tc>
        <w:tc>
          <w:tcPr>
            <w:tcW w:w="914" w:type="dxa"/>
            <w:vMerge w:val="restart"/>
          </w:tcPr>
          <w:p w14:paraId="70BFE208"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&lt; 0.001</w:t>
            </w:r>
          </w:p>
        </w:tc>
      </w:tr>
      <w:tr w:rsidR="00BA2730" w:rsidRPr="00BA2730" w14:paraId="28660E9C" w14:textId="77777777" w:rsidTr="00395FC1">
        <w:tc>
          <w:tcPr>
            <w:tcW w:w="2340" w:type="dxa"/>
          </w:tcPr>
          <w:p w14:paraId="54FB4EC8" w14:textId="77777777" w:rsidR="00BA2730" w:rsidRPr="003D53D9" w:rsidRDefault="00BA2730" w:rsidP="00395FC1">
            <w:pPr>
              <w:jc w:val="both"/>
              <w:rPr>
                <w:rFonts w:ascii="Arial" w:hAnsi="Arial" w:cs="Arial"/>
                <w:i/>
                <w:iCs/>
                <w:color w:val="000000"/>
                <w:sz w:val="20"/>
                <w:szCs w:val="20"/>
              </w:rPr>
            </w:pPr>
            <w:r w:rsidRPr="003D53D9">
              <w:rPr>
                <w:rFonts w:ascii="Arial" w:hAnsi="Arial" w:cs="Arial"/>
                <w:i/>
                <w:iCs/>
                <w:color w:val="000000"/>
                <w:sz w:val="20"/>
                <w:szCs w:val="20"/>
              </w:rPr>
              <w:t>E.coli</w:t>
            </w:r>
          </w:p>
        </w:tc>
        <w:tc>
          <w:tcPr>
            <w:tcW w:w="1260" w:type="dxa"/>
          </w:tcPr>
          <w:p w14:paraId="480A43B2"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78(8.8%)</w:t>
            </w:r>
          </w:p>
        </w:tc>
        <w:tc>
          <w:tcPr>
            <w:tcW w:w="1710" w:type="dxa"/>
          </w:tcPr>
          <w:p w14:paraId="4CD3D2DD"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553    (62.4%)</w:t>
            </w:r>
          </w:p>
        </w:tc>
        <w:tc>
          <w:tcPr>
            <w:tcW w:w="1800" w:type="dxa"/>
          </w:tcPr>
          <w:p w14:paraId="754D41E5"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255(28.8%)</w:t>
            </w:r>
          </w:p>
        </w:tc>
        <w:tc>
          <w:tcPr>
            <w:tcW w:w="1028" w:type="dxa"/>
          </w:tcPr>
          <w:p w14:paraId="2FE5F7B0"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886</w:t>
            </w:r>
          </w:p>
        </w:tc>
        <w:tc>
          <w:tcPr>
            <w:tcW w:w="843" w:type="dxa"/>
            <w:vMerge/>
          </w:tcPr>
          <w:p w14:paraId="245BDA67" w14:textId="77777777" w:rsidR="00BA2730" w:rsidRPr="00BA2730" w:rsidRDefault="00BA2730" w:rsidP="00395FC1">
            <w:pPr>
              <w:jc w:val="both"/>
              <w:rPr>
                <w:rFonts w:ascii="Arial" w:hAnsi="Arial" w:cs="Arial"/>
                <w:color w:val="000000"/>
                <w:sz w:val="20"/>
                <w:szCs w:val="20"/>
              </w:rPr>
            </w:pPr>
          </w:p>
        </w:tc>
        <w:tc>
          <w:tcPr>
            <w:tcW w:w="914" w:type="dxa"/>
            <w:vMerge/>
          </w:tcPr>
          <w:p w14:paraId="72D6757C" w14:textId="77777777" w:rsidR="00BA2730" w:rsidRPr="00BA2730" w:rsidRDefault="00BA2730" w:rsidP="00395FC1">
            <w:pPr>
              <w:jc w:val="both"/>
              <w:rPr>
                <w:rFonts w:ascii="Arial" w:hAnsi="Arial" w:cs="Arial"/>
                <w:color w:val="000000"/>
                <w:sz w:val="20"/>
                <w:szCs w:val="20"/>
              </w:rPr>
            </w:pPr>
          </w:p>
        </w:tc>
      </w:tr>
      <w:tr w:rsidR="00BA2730" w:rsidRPr="00BA2730" w14:paraId="79974A1B" w14:textId="77777777" w:rsidTr="00395FC1">
        <w:tc>
          <w:tcPr>
            <w:tcW w:w="2340" w:type="dxa"/>
          </w:tcPr>
          <w:p w14:paraId="6E4B342F" w14:textId="77777777" w:rsidR="00BA2730" w:rsidRPr="003D53D9" w:rsidRDefault="00BA2730" w:rsidP="00395FC1">
            <w:pPr>
              <w:jc w:val="both"/>
              <w:rPr>
                <w:rFonts w:ascii="Arial" w:hAnsi="Arial" w:cs="Arial"/>
                <w:i/>
                <w:iCs/>
                <w:color w:val="000000"/>
                <w:sz w:val="20"/>
                <w:szCs w:val="20"/>
              </w:rPr>
            </w:pPr>
            <w:r w:rsidRPr="003D53D9">
              <w:rPr>
                <w:rFonts w:ascii="Arial" w:hAnsi="Arial" w:cs="Arial"/>
                <w:i/>
                <w:iCs/>
                <w:color w:val="000000"/>
                <w:sz w:val="20"/>
                <w:szCs w:val="20"/>
              </w:rPr>
              <w:t>Klebsiella spp</w:t>
            </w:r>
          </w:p>
        </w:tc>
        <w:tc>
          <w:tcPr>
            <w:tcW w:w="1260" w:type="dxa"/>
          </w:tcPr>
          <w:p w14:paraId="561DF425"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35(15.1%)</w:t>
            </w:r>
          </w:p>
        </w:tc>
        <w:tc>
          <w:tcPr>
            <w:tcW w:w="1710" w:type="dxa"/>
          </w:tcPr>
          <w:p w14:paraId="562C200F"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131(56.5%)</w:t>
            </w:r>
          </w:p>
        </w:tc>
        <w:tc>
          <w:tcPr>
            <w:tcW w:w="1800" w:type="dxa"/>
          </w:tcPr>
          <w:p w14:paraId="75D6B983"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66(28.4%)</w:t>
            </w:r>
          </w:p>
        </w:tc>
        <w:tc>
          <w:tcPr>
            <w:tcW w:w="1028" w:type="dxa"/>
          </w:tcPr>
          <w:p w14:paraId="4997BD2B"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232</w:t>
            </w:r>
          </w:p>
        </w:tc>
        <w:tc>
          <w:tcPr>
            <w:tcW w:w="843" w:type="dxa"/>
            <w:vMerge/>
          </w:tcPr>
          <w:p w14:paraId="5D40E7B9" w14:textId="77777777" w:rsidR="00BA2730" w:rsidRPr="00BA2730" w:rsidRDefault="00BA2730" w:rsidP="00395FC1">
            <w:pPr>
              <w:jc w:val="both"/>
              <w:rPr>
                <w:rFonts w:ascii="Arial" w:hAnsi="Arial" w:cs="Arial"/>
                <w:color w:val="000000"/>
                <w:sz w:val="20"/>
                <w:szCs w:val="20"/>
              </w:rPr>
            </w:pPr>
          </w:p>
        </w:tc>
        <w:tc>
          <w:tcPr>
            <w:tcW w:w="914" w:type="dxa"/>
            <w:vMerge/>
          </w:tcPr>
          <w:p w14:paraId="1E067A87" w14:textId="77777777" w:rsidR="00BA2730" w:rsidRPr="00BA2730" w:rsidRDefault="00BA2730" w:rsidP="00395FC1">
            <w:pPr>
              <w:jc w:val="both"/>
              <w:rPr>
                <w:rFonts w:ascii="Arial" w:hAnsi="Arial" w:cs="Arial"/>
                <w:color w:val="000000"/>
                <w:sz w:val="20"/>
                <w:szCs w:val="20"/>
              </w:rPr>
            </w:pPr>
          </w:p>
        </w:tc>
      </w:tr>
      <w:tr w:rsidR="00BA2730" w:rsidRPr="00BA2730" w14:paraId="35C046B4" w14:textId="77777777" w:rsidTr="00395FC1">
        <w:tc>
          <w:tcPr>
            <w:tcW w:w="2340" w:type="dxa"/>
          </w:tcPr>
          <w:p w14:paraId="3C02EF6F" w14:textId="77777777" w:rsidR="00BA2730" w:rsidRPr="003D53D9" w:rsidRDefault="00BA2730" w:rsidP="00395FC1">
            <w:pPr>
              <w:jc w:val="both"/>
              <w:rPr>
                <w:rFonts w:ascii="Arial" w:hAnsi="Arial" w:cs="Arial"/>
                <w:i/>
                <w:iCs/>
                <w:color w:val="000000"/>
                <w:sz w:val="20"/>
                <w:szCs w:val="20"/>
              </w:rPr>
            </w:pPr>
            <w:r w:rsidRPr="003D53D9">
              <w:rPr>
                <w:rFonts w:ascii="Arial" w:hAnsi="Arial" w:cs="Arial"/>
                <w:i/>
                <w:iCs/>
                <w:color w:val="000000"/>
                <w:sz w:val="20"/>
                <w:szCs w:val="20"/>
              </w:rPr>
              <w:t>Pseudomonas aeruginosa</w:t>
            </w:r>
          </w:p>
        </w:tc>
        <w:tc>
          <w:tcPr>
            <w:tcW w:w="1260" w:type="dxa"/>
          </w:tcPr>
          <w:p w14:paraId="57A85874"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7(13%)</w:t>
            </w:r>
          </w:p>
        </w:tc>
        <w:tc>
          <w:tcPr>
            <w:tcW w:w="1710" w:type="dxa"/>
          </w:tcPr>
          <w:p w14:paraId="70563FE4"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22(40.7%)</w:t>
            </w:r>
          </w:p>
        </w:tc>
        <w:tc>
          <w:tcPr>
            <w:tcW w:w="1800" w:type="dxa"/>
          </w:tcPr>
          <w:p w14:paraId="37DE014B"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25(46.3%)</w:t>
            </w:r>
          </w:p>
        </w:tc>
        <w:tc>
          <w:tcPr>
            <w:tcW w:w="1028" w:type="dxa"/>
          </w:tcPr>
          <w:p w14:paraId="5AE470A3"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54</w:t>
            </w:r>
          </w:p>
        </w:tc>
        <w:tc>
          <w:tcPr>
            <w:tcW w:w="843" w:type="dxa"/>
            <w:vMerge/>
          </w:tcPr>
          <w:p w14:paraId="08C2079E" w14:textId="77777777" w:rsidR="00BA2730" w:rsidRPr="00BA2730" w:rsidRDefault="00BA2730" w:rsidP="00395FC1">
            <w:pPr>
              <w:jc w:val="both"/>
              <w:rPr>
                <w:rFonts w:ascii="Arial" w:hAnsi="Arial" w:cs="Arial"/>
                <w:color w:val="000000"/>
                <w:sz w:val="20"/>
                <w:szCs w:val="20"/>
              </w:rPr>
            </w:pPr>
          </w:p>
        </w:tc>
        <w:tc>
          <w:tcPr>
            <w:tcW w:w="914" w:type="dxa"/>
            <w:vMerge/>
          </w:tcPr>
          <w:p w14:paraId="16AAE92E" w14:textId="77777777" w:rsidR="00BA2730" w:rsidRPr="00BA2730" w:rsidRDefault="00BA2730" w:rsidP="00395FC1">
            <w:pPr>
              <w:jc w:val="both"/>
              <w:rPr>
                <w:rFonts w:ascii="Arial" w:hAnsi="Arial" w:cs="Arial"/>
                <w:color w:val="000000"/>
                <w:sz w:val="20"/>
                <w:szCs w:val="20"/>
              </w:rPr>
            </w:pPr>
          </w:p>
        </w:tc>
      </w:tr>
      <w:tr w:rsidR="00BA2730" w:rsidRPr="00BA2730" w14:paraId="1B57BFF0" w14:textId="77777777" w:rsidTr="00395FC1">
        <w:tc>
          <w:tcPr>
            <w:tcW w:w="2340" w:type="dxa"/>
          </w:tcPr>
          <w:p w14:paraId="2C653BB0" w14:textId="77777777" w:rsidR="00BA2730" w:rsidRPr="003D53D9" w:rsidRDefault="00BA2730" w:rsidP="00395FC1">
            <w:pPr>
              <w:jc w:val="both"/>
              <w:rPr>
                <w:rFonts w:ascii="Arial" w:hAnsi="Arial" w:cs="Arial"/>
                <w:i/>
                <w:iCs/>
                <w:color w:val="000000"/>
                <w:sz w:val="20"/>
                <w:szCs w:val="20"/>
              </w:rPr>
            </w:pPr>
            <w:r w:rsidRPr="003D53D9">
              <w:rPr>
                <w:rFonts w:ascii="Arial" w:hAnsi="Arial" w:cs="Arial"/>
                <w:i/>
                <w:iCs/>
                <w:color w:val="000000"/>
                <w:sz w:val="20"/>
                <w:szCs w:val="20"/>
              </w:rPr>
              <w:t>Proteus.spp</w:t>
            </w:r>
          </w:p>
        </w:tc>
        <w:tc>
          <w:tcPr>
            <w:tcW w:w="1260" w:type="dxa"/>
          </w:tcPr>
          <w:p w14:paraId="42AF8FAD"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4(13.3)</w:t>
            </w:r>
          </w:p>
        </w:tc>
        <w:tc>
          <w:tcPr>
            <w:tcW w:w="1710" w:type="dxa"/>
          </w:tcPr>
          <w:p w14:paraId="6427B749"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18(53.7%)</w:t>
            </w:r>
          </w:p>
        </w:tc>
        <w:tc>
          <w:tcPr>
            <w:tcW w:w="1800" w:type="dxa"/>
          </w:tcPr>
          <w:p w14:paraId="62AF6ABF"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9(23.7)</w:t>
            </w:r>
          </w:p>
        </w:tc>
        <w:tc>
          <w:tcPr>
            <w:tcW w:w="1028" w:type="dxa"/>
          </w:tcPr>
          <w:p w14:paraId="7E9F0B8E"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31</w:t>
            </w:r>
          </w:p>
        </w:tc>
        <w:tc>
          <w:tcPr>
            <w:tcW w:w="843" w:type="dxa"/>
            <w:vMerge/>
          </w:tcPr>
          <w:p w14:paraId="368B558D" w14:textId="77777777" w:rsidR="00BA2730" w:rsidRPr="00BA2730" w:rsidRDefault="00BA2730" w:rsidP="00395FC1">
            <w:pPr>
              <w:jc w:val="both"/>
              <w:rPr>
                <w:rFonts w:ascii="Arial" w:hAnsi="Arial" w:cs="Arial"/>
                <w:color w:val="000000"/>
                <w:sz w:val="20"/>
                <w:szCs w:val="20"/>
              </w:rPr>
            </w:pPr>
          </w:p>
        </w:tc>
        <w:tc>
          <w:tcPr>
            <w:tcW w:w="914" w:type="dxa"/>
            <w:vMerge/>
          </w:tcPr>
          <w:p w14:paraId="1A5DCB95" w14:textId="77777777" w:rsidR="00BA2730" w:rsidRPr="00BA2730" w:rsidRDefault="00BA2730" w:rsidP="00395FC1">
            <w:pPr>
              <w:jc w:val="both"/>
              <w:rPr>
                <w:rFonts w:ascii="Arial" w:hAnsi="Arial" w:cs="Arial"/>
                <w:color w:val="000000"/>
                <w:sz w:val="20"/>
                <w:szCs w:val="20"/>
              </w:rPr>
            </w:pPr>
          </w:p>
        </w:tc>
      </w:tr>
      <w:tr w:rsidR="00BA2730" w:rsidRPr="00BA2730" w14:paraId="0F096745" w14:textId="77777777" w:rsidTr="00395FC1">
        <w:tc>
          <w:tcPr>
            <w:tcW w:w="2340" w:type="dxa"/>
          </w:tcPr>
          <w:p w14:paraId="106B257E" w14:textId="77777777" w:rsidR="00BA2730" w:rsidRPr="003D53D9" w:rsidRDefault="00BA2730" w:rsidP="00395FC1">
            <w:pPr>
              <w:jc w:val="both"/>
              <w:rPr>
                <w:rFonts w:ascii="Arial" w:hAnsi="Arial" w:cs="Arial"/>
                <w:i/>
                <w:iCs/>
                <w:color w:val="000000"/>
                <w:sz w:val="20"/>
                <w:szCs w:val="20"/>
              </w:rPr>
            </w:pPr>
            <w:r w:rsidRPr="003D53D9">
              <w:rPr>
                <w:rFonts w:ascii="Arial" w:hAnsi="Arial" w:cs="Arial"/>
                <w:i/>
                <w:iCs/>
                <w:color w:val="000000"/>
                <w:sz w:val="20"/>
                <w:szCs w:val="20"/>
              </w:rPr>
              <w:t>Strep.spp</w:t>
            </w:r>
          </w:p>
        </w:tc>
        <w:tc>
          <w:tcPr>
            <w:tcW w:w="1260" w:type="dxa"/>
          </w:tcPr>
          <w:p w14:paraId="798A1B4D"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1(50%)</w:t>
            </w:r>
          </w:p>
        </w:tc>
        <w:tc>
          <w:tcPr>
            <w:tcW w:w="1710" w:type="dxa"/>
          </w:tcPr>
          <w:p w14:paraId="42465295"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0(0%)</w:t>
            </w:r>
          </w:p>
        </w:tc>
        <w:tc>
          <w:tcPr>
            <w:tcW w:w="1800" w:type="dxa"/>
          </w:tcPr>
          <w:p w14:paraId="1EDAF07A"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1(50%)</w:t>
            </w:r>
          </w:p>
        </w:tc>
        <w:tc>
          <w:tcPr>
            <w:tcW w:w="1028" w:type="dxa"/>
          </w:tcPr>
          <w:p w14:paraId="504843B3"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2</w:t>
            </w:r>
          </w:p>
        </w:tc>
        <w:tc>
          <w:tcPr>
            <w:tcW w:w="843" w:type="dxa"/>
            <w:vMerge/>
          </w:tcPr>
          <w:p w14:paraId="7F59F986" w14:textId="77777777" w:rsidR="00BA2730" w:rsidRPr="00BA2730" w:rsidRDefault="00BA2730" w:rsidP="00395FC1">
            <w:pPr>
              <w:jc w:val="both"/>
              <w:rPr>
                <w:rFonts w:ascii="Arial" w:hAnsi="Arial" w:cs="Arial"/>
                <w:color w:val="000000"/>
                <w:sz w:val="20"/>
                <w:szCs w:val="20"/>
              </w:rPr>
            </w:pPr>
          </w:p>
        </w:tc>
        <w:tc>
          <w:tcPr>
            <w:tcW w:w="914" w:type="dxa"/>
            <w:vMerge/>
          </w:tcPr>
          <w:p w14:paraId="39C67F2B" w14:textId="77777777" w:rsidR="00BA2730" w:rsidRPr="00BA2730" w:rsidRDefault="00BA2730" w:rsidP="00395FC1">
            <w:pPr>
              <w:jc w:val="both"/>
              <w:rPr>
                <w:rFonts w:ascii="Arial" w:hAnsi="Arial" w:cs="Arial"/>
                <w:color w:val="000000"/>
                <w:sz w:val="20"/>
                <w:szCs w:val="20"/>
              </w:rPr>
            </w:pPr>
          </w:p>
        </w:tc>
      </w:tr>
      <w:tr w:rsidR="00BA2730" w:rsidRPr="00BA2730" w14:paraId="3563BA53" w14:textId="77777777" w:rsidTr="00395FC1">
        <w:tc>
          <w:tcPr>
            <w:tcW w:w="2340" w:type="dxa"/>
          </w:tcPr>
          <w:p w14:paraId="76CB82F4" w14:textId="77777777" w:rsidR="00BA2730" w:rsidRPr="003D53D9" w:rsidRDefault="00BA2730" w:rsidP="00395FC1">
            <w:pPr>
              <w:jc w:val="both"/>
              <w:rPr>
                <w:rFonts w:ascii="Arial" w:hAnsi="Arial" w:cs="Arial"/>
                <w:i/>
                <w:iCs/>
                <w:color w:val="000000"/>
                <w:sz w:val="20"/>
                <w:szCs w:val="20"/>
              </w:rPr>
            </w:pPr>
            <w:r w:rsidRPr="003D53D9">
              <w:rPr>
                <w:rFonts w:ascii="Arial" w:hAnsi="Arial" w:cs="Arial"/>
                <w:i/>
                <w:iCs/>
                <w:color w:val="000000"/>
                <w:sz w:val="20"/>
                <w:szCs w:val="20"/>
              </w:rPr>
              <w:t>Pantoea spp</w:t>
            </w:r>
          </w:p>
        </w:tc>
        <w:tc>
          <w:tcPr>
            <w:tcW w:w="1260" w:type="dxa"/>
          </w:tcPr>
          <w:p w14:paraId="786BB004"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0(0%)</w:t>
            </w:r>
          </w:p>
        </w:tc>
        <w:tc>
          <w:tcPr>
            <w:tcW w:w="1710" w:type="dxa"/>
          </w:tcPr>
          <w:p w14:paraId="564C8083"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1(0%)</w:t>
            </w:r>
          </w:p>
        </w:tc>
        <w:tc>
          <w:tcPr>
            <w:tcW w:w="1800" w:type="dxa"/>
          </w:tcPr>
          <w:p w14:paraId="4FEB138E"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0(0%)</w:t>
            </w:r>
          </w:p>
        </w:tc>
        <w:tc>
          <w:tcPr>
            <w:tcW w:w="1028" w:type="dxa"/>
          </w:tcPr>
          <w:p w14:paraId="085A12FE"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w:t>
            </w:r>
          </w:p>
        </w:tc>
        <w:tc>
          <w:tcPr>
            <w:tcW w:w="843" w:type="dxa"/>
            <w:vMerge/>
          </w:tcPr>
          <w:p w14:paraId="02975D0A" w14:textId="77777777" w:rsidR="00BA2730" w:rsidRPr="00BA2730" w:rsidRDefault="00BA2730" w:rsidP="00395FC1">
            <w:pPr>
              <w:jc w:val="both"/>
              <w:rPr>
                <w:rFonts w:ascii="Arial" w:hAnsi="Arial" w:cs="Arial"/>
                <w:color w:val="000000"/>
                <w:sz w:val="20"/>
                <w:szCs w:val="20"/>
              </w:rPr>
            </w:pPr>
          </w:p>
        </w:tc>
        <w:tc>
          <w:tcPr>
            <w:tcW w:w="914" w:type="dxa"/>
            <w:vMerge/>
          </w:tcPr>
          <w:p w14:paraId="03D8F60B" w14:textId="77777777" w:rsidR="00BA2730" w:rsidRPr="00BA2730" w:rsidRDefault="00BA2730" w:rsidP="00395FC1">
            <w:pPr>
              <w:jc w:val="both"/>
              <w:rPr>
                <w:rFonts w:ascii="Arial" w:hAnsi="Arial" w:cs="Arial"/>
                <w:color w:val="000000"/>
                <w:sz w:val="20"/>
                <w:szCs w:val="20"/>
              </w:rPr>
            </w:pPr>
          </w:p>
        </w:tc>
      </w:tr>
      <w:tr w:rsidR="00BA2730" w:rsidRPr="00BA2730" w14:paraId="43312BCF" w14:textId="77777777" w:rsidTr="00395FC1">
        <w:tc>
          <w:tcPr>
            <w:tcW w:w="2340" w:type="dxa"/>
          </w:tcPr>
          <w:p w14:paraId="4DEFC0B5"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Total</w:t>
            </w:r>
          </w:p>
        </w:tc>
        <w:tc>
          <w:tcPr>
            <w:tcW w:w="1260" w:type="dxa"/>
          </w:tcPr>
          <w:p w14:paraId="01C0C403"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233(11%)</w:t>
            </w:r>
          </w:p>
        </w:tc>
        <w:tc>
          <w:tcPr>
            <w:tcW w:w="1710" w:type="dxa"/>
          </w:tcPr>
          <w:p w14:paraId="5B2C5BEA"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1378(65.2%)</w:t>
            </w:r>
          </w:p>
        </w:tc>
        <w:tc>
          <w:tcPr>
            <w:tcW w:w="1800" w:type="dxa"/>
          </w:tcPr>
          <w:p w14:paraId="4FCEFC05"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502(23.7%)</w:t>
            </w:r>
          </w:p>
        </w:tc>
        <w:tc>
          <w:tcPr>
            <w:tcW w:w="1028" w:type="dxa"/>
          </w:tcPr>
          <w:p w14:paraId="52A73EC1" w14:textId="77777777" w:rsidR="00BA2730" w:rsidRPr="00BA2730" w:rsidRDefault="00BA2730" w:rsidP="00395FC1">
            <w:pPr>
              <w:jc w:val="both"/>
              <w:rPr>
                <w:rFonts w:ascii="Arial" w:hAnsi="Arial" w:cs="Arial"/>
                <w:color w:val="000000"/>
                <w:sz w:val="20"/>
                <w:szCs w:val="20"/>
              </w:rPr>
            </w:pPr>
            <w:r w:rsidRPr="00BA2730">
              <w:rPr>
                <w:rFonts w:ascii="Arial" w:hAnsi="Arial" w:cs="Arial"/>
                <w:color w:val="000000"/>
                <w:sz w:val="20"/>
                <w:szCs w:val="20"/>
              </w:rPr>
              <w:t>2113</w:t>
            </w:r>
          </w:p>
        </w:tc>
        <w:tc>
          <w:tcPr>
            <w:tcW w:w="843" w:type="dxa"/>
          </w:tcPr>
          <w:p w14:paraId="751F6460" w14:textId="77777777" w:rsidR="00BA2730" w:rsidRPr="00BA2730" w:rsidRDefault="00BA2730" w:rsidP="00395FC1">
            <w:pPr>
              <w:jc w:val="both"/>
              <w:rPr>
                <w:rFonts w:ascii="Arial" w:hAnsi="Arial" w:cs="Arial"/>
                <w:color w:val="000000"/>
                <w:sz w:val="20"/>
                <w:szCs w:val="20"/>
              </w:rPr>
            </w:pPr>
          </w:p>
        </w:tc>
        <w:tc>
          <w:tcPr>
            <w:tcW w:w="914" w:type="dxa"/>
          </w:tcPr>
          <w:p w14:paraId="505AB727" w14:textId="77777777" w:rsidR="00BA2730" w:rsidRPr="00BA2730" w:rsidRDefault="00BA2730" w:rsidP="00395FC1">
            <w:pPr>
              <w:jc w:val="both"/>
              <w:rPr>
                <w:rFonts w:ascii="Arial" w:hAnsi="Arial" w:cs="Arial"/>
                <w:color w:val="000000"/>
                <w:sz w:val="20"/>
                <w:szCs w:val="20"/>
              </w:rPr>
            </w:pPr>
          </w:p>
        </w:tc>
      </w:tr>
    </w:tbl>
    <w:p w14:paraId="7F00209A" w14:textId="77777777" w:rsidR="00BA2730" w:rsidRDefault="00BA2730" w:rsidP="00441B6F">
      <w:pPr>
        <w:pStyle w:val="Body"/>
        <w:spacing w:after="0"/>
        <w:rPr>
          <w:rFonts w:ascii="Arial" w:hAnsi="Arial" w:cs="Arial"/>
        </w:rPr>
      </w:pPr>
    </w:p>
    <w:p w14:paraId="191ABD90" w14:textId="30BAFB8D" w:rsidR="00CD316F" w:rsidRPr="00CD316F" w:rsidRDefault="00CD316F" w:rsidP="00CD316F">
      <w:pPr>
        <w:pStyle w:val="Body"/>
        <w:rPr>
          <w:rFonts w:ascii="Arial" w:hAnsi="Arial" w:cs="Arial"/>
        </w:rPr>
      </w:pPr>
      <w:r w:rsidRPr="00CD316F">
        <w:rPr>
          <w:rFonts w:ascii="Arial" w:hAnsi="Arial" w:cs="Arial"/>
        </w:rPr>
        <w:t xml:space="preserve">As outlined in table 2, there was </w:t>
      </w:r>
      <w:r w:rsidR="00F2465B" w:rsidRPr="00CD316F">
        <w:rPr>
          <w:rFonts w:ascii="Arial" w:hAnsi="Arial" w:cs="Arial"/>
        </w:rPr>
        <w:t>a significant</w:t>
      </w:r>
      <w:r w:rsidRPr="00CD316F">
        <w:rPr>
          <w:rFonts w:ascii="Arial" w:hAnsi="Arial" w:cs="Arial"/>
        </w:rPr>
        <w:t xml:space="preserve"> difference in the organisms identified in different age groups with the highest number of majority of the isolated organisms seen in subjects between 19 to 59 years and the least seen in subjects that are less than 18 years.</w:t>
      </w:r>
    </w:p>
    <w:p w14:paraId="53068604" w14:textId="07C643C0" w:rsidR="00CD316F" w:rsidRDefault="00CD316F" w:rsidP="00CD316F">
      <w:pPr>
        <w:pStyle w:val="Body"/>
        <w:spacing w:after="0"/>
        <w:rPr>
          <w:rFonts w:ascii="Arial" w:hAnsi="Arial" w:cs="Arial"/>
        </w:rPr>
      </w:pPr>
      <w:r w:rsidRPr="00CD316F">
        <w:rPr>
          <w:rFonts w:ascii="Arial" w:hAnsi="Arial" w:cs="Arial"/>
        </w:rPr>
        <w:t xml:space="preserve">Surprisingly, very high levels of resistance to different antibiotics was observed with many of the isolates. Out of the 907 samples with growth of </w:t>
      </w:r>
      <w:r w:rsidRPr="00937ADD">
        <w:rPr>
          <w:rFonts w:ascii="Arial" w:hAnsi="Arial" w:cs="Arial"/>
          <w:i/>
          <w:iCs/>
        </w:rPr>
        <w:t>S, aureus</w:t>
      </w:r>
      <w:r w:rsidRPr="00CD316F">
        <w:rPr>
          <w:rFonts w:ascii="Arial" w:hAnsi="Arial" w:cs="Arial"/>
        </w:rPr>
        <w:t xml:space="preserve">, 530, 463, 608, 499, 552 and 456 were resistant to ciprofloxacin, Augmentin, Ofloxacin, gentamicin, Ceftazidime and cefixime respectively. Similarly, 528, 610, 526, 509, 484 and 453 samples with </w:t>
      </w:r>
      <w:r w:rsidRPr="00374A30">
        <w:rPr>
          <w:rFonts w:ascii="Arial" w:hAnsi="Arial" w:cs="Arial"/>
          <w:i/>
          <w:iCs/>
        </w:rPr>
        <w:t>E. coli</w:t>
      </w:r>
      <w:r w:rsidRPr="00CD316F">
        <w:rPr>
          <w:rFonts w:ascii="Arial" w:hAnsi="Arial" w:cs="Arial"/>
        </w:rPr>
        <w:t xml:space="preserve"> were resistant to Ciprofloxacin, Augmentin, Ofl0xacin, Gentamicin, Ceftazidime and Cefixime respectively. Additionally, 128, 140, 120, 156, 123 and 105 samples that yielded growth of </w:t>
      </w:r>
      <w:r w:rsidRPr="00374A30">
        <w:rPr>
          <w:rFonts w:ascii="Arial" w:hAnsi="Arial" w:cs="Arial"/>
          <w:i/>
          <w:iCs/>
        </w:rPr>
        <w:t>Klebsiella Spp</w:t>
      </w:r>
      <w:r w:rsidRPr="00CD316F">
        <w:rPr>
          <w:rFonts w:ascii="Arial" w:hAnsi="Arial" w:cs="Arial"/>
        </w:rPr>
        <w:t xml:space="preserve"> were resistant to the same antibiotics in the same order. All the other isolates </w:t>
      </w:r>
      <w:r w:rsidR="004D3901" w:rsidRPr="00CD316F">
        <w:rPr>
          <w:rFonts w:ascii="Arial" w:hAnsi="Arial" w:cs="Arial"/>
        </w:rPr>
        <w:t>include</w:t>
      </w:r>
      <w:r w:rsidRPr="00CD316F">
        <w:rPr>
          <w:rFonts w:ascii="Arial" w:hAnsi="Arial" w:cs="Arial"/>
        </w:rPr>
        <w:t xml:space="preserve"> </w:t>
      </w:r>
      <w:r w:rsidRPr="00AB0B71">
        <w:rPr>
          <w:rFonts w:ascii="Arial" w:hAnsi="Arial" w:cs="Arial"/>
          <w:i/>
          <w:iCs/>
        </w:rPr>
        <w:t>Pseudomonas aeruginosa, Proteus Spp,</w:t>
      </w:r>
      <w:r w:rsidRPr="00CD316F">
        <w:rPr>
          <w:rFonts w:ascii="Arial" w:hAnsi="Arial" w:cs="Arial"/>
        </w:rPr>
        <w:t xml:space="preserve"> </w:t>
      </w:r>
      <w:r w:rsidRPr="00AB0B71">
        <w:rPr>
          <w:rFonts w:ascii="Arial" w:hAnsi="Arial" w:cs="Arial"/>
          <w:i/>
          <w:iCs/>
        </w:rPr>
        <w:t>Strep. Spp</w:t>
      </w:r>
      <w:r w:rsidRPr="00CD316F">
        <w:rPr>
          <w:rFonts w:ascii="Arial" w:hAnsi="Arial" w:cs="Arial"/>
        </w:rPr>
        <w:t xml:space="preserve"> and </w:t>
      </w:r>
      <w:r w:rsidRPr="00AB0B71">
        <w:rPr>
          <w:rFonts w:ascii="Arial" w:hAnsi="Arial" w:cs="Arial"/>
          <w:i/>
          <w:iCs/>
        </w:rPr>
        <w:t>Pantoea Spp</w:t>
      </w:r>
      <w:r w:rsidRPr="00CD316F">
        <w:rPr>
          <w:rFonts w:ascii="Arial" w:hAnsi="Arial" w:cs="Arial"/>
        </w:rPr>
        <w:t xml:space="preserve"> exhibited greater </w:t>
      </w:r>
      <w:r w:rsidR="00AB0B71" w:rsidRPr="00CD316F">
        <w:rPr>
          <w:rFonts w:ascii="Arial" w:hAnsi="Arial" w:cs="Arial"/>
        </w:rPr>
        <w:t>levels</w:t>
      </w:r>
      <w:r w:rsidRPr="00CD316F">
        <w:rPr>
          <w:rFonts w:ascii="Arial" w:hAnsi="Arial" w:cs="Arial"/>
        </w:rPr>
        <w:t xml:space="preserve"> of </w:t>
      </w:r>
      <w:r w:rsidR="005C5C16" w:rsidRPr="00CD316F">
        <w:rPr>
          <w:rFonts w:ascii="Arial" w:hAnsi="Arial" w:cs="Arial"/>
        </w:rPr>
        <w:t>resistance</w:t>
      </w:r>
      <w:r w:rsidRPr="00CD316F">
        <w:rPr>
          <w:rFonts w:ascii="Arial" w:hAnsi="Arial" w:cs="Arial"/>
        </w:rPr>
        <w:t xml:space="preserve"> than susceptibility.</w:t>
      </w:r>
    </w:p>
    <w:p w14:paraId="3B5F9DC3" w14:textId="77777777" w:rsidR="00783A0A" w:rsidRDefault="00783A0A" w:rsidP="00CD316F">
      <w:pPr>
        <w:pStyle w:val="Body"/>
        <w:spacing w:after="0"/>
        <w:rPr>
          <w:rFonts w:ascii="Arial" w:hAnsi="Arial" w:cs="Arial"/>
        </w:rPr>
      </w:pPr>
    </w:p>
    <w:p w14:paraId="0F4AAA41" w14:textId="77777777" w:rsidR="00783A0A" w:rsidRDefault="00783A0A" w:rsidP="00783A0A">
      <w:pPr>
        <w:jc w:val="both"/>
        <w:rPr>
          <w:rFonts w:ascii="Times New Roman" w:hAnsi="Times New Roman"/>
          <w:color w:val="000000"/>
          <w:sz w:val="24"/>
          <w:szCs w:val="24"/>
        </w:rPr>
      </w:pPr>
    </w:p>
    <w:p w14:paraId="3E724359" w14:textId="77777777" w:rsidR="00783A0A" w:rsidRDefault="00783A0A" w:rsidP="00783A0A">
      <w:pPr>
        <w:jc w:val="both"/>
        <w:rPr>
          <w:rFonts w:ascii="Times New Roman" w:hAnsi="Times New Roman"/>
          <w:color w:val="000000"/>
          <w:sz w:val="24"/>
          <w:szCs w:val="24"/>
        </w:rPr>
      </w:pPr>
      <w:r>
        <w:rPr>
          <w:rFonts w:ascii="Times New Roman" w:hAnsi="Times New Roman"/>
          <w:noProof/>
          <w:color w:val="000000"/>
          <w:sz w:val="24"/>
          <w:szCs w:val="24"/>
        </w:rPr>
        <w:drawing>
          <wp:anchor distT="0" distB="0" distL="114300" distR="114300" simplePos="0" relativeHeight="251659264" behindDoc="0" locked="0" layoutInCell="1" allowOverlap="1" wp14:anchorId="79EADBFE" wp14:editId="42069702">
            <wp:simplePos x="0" y="0"/>
            <wp:positionH relativeFrom="column">
              <wp:posOffset>3092450</wp:posOffset>
            </wp:positionH>
            <wp:positionV relativeFrom="paragraph">
              <wp:posOffset>352425</wp:posOffset>
            </wp:positionV>
            <wp:extent cx="3116580" cy="2369185"/>
            <wp:effectExtent l="0" t="0" r="7620" b="12065"/>
            <wp:wrapSquare wrapText="bothSides"/>
            <wp:docPr id="103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408E8EF7" w14:textId="77777777" w:rsidR="00783A0A" w:rsidRDefault="00783A0A" w:rsidP="00783A0A">
      <w:pPr>
        <w:jc w:val="both"/>
        <w:rPr>
          <w:rFonts w:ascii="Times New Roman" w:hAnsi="Times New Roman"/>
          <w:color w:val="000000"/>
          <w:sz w:val="24"/>
          <w:szCs w:val="24"/>
        </w:rPr>
        <w:sectPr w:rsidR="00783A0A" w:rsidSect="00621D3F">
          <w:type w:val="continuous"/>
          <w:pgSz w:w="12240" w:h="15840"/>
          <w:pgMar w:top="1440" w:right="1440" w:bottom="1440" w:left="1440" w:header="720" w:footer="720" w:gutter="0"/>
          <w:cols w:space="720"/>
          <w:docGrid w:linePitch="360"/>
        </w:sectPr>
      </w:pPr>
    </w:p>
    <w:p w14:paraId="380F6735" w14:textId="77777777" w:rsidR="00783A0A" w:rsidRDefault="00783A0A" w:rsidP="00783A0A">
      <w:pPr>
        <w:jc w:val="both"/>
        <w:rPr>
          <w:rFonts w:ascii="Times New Roman" w:hAnsi="Times New Roman"/>
          <w:color w:val="000000"/>
          <w:sz w:val="24"/>
          <w:szCs w:val="24"/>
        </w:rPr>
        <w:sectPr w:rsidR="00783A0A" w:rsidSect="00621D3F">
          <w:type w:val="continuous"/>
          <w:pgSz w:w="12240" w:h="15840"/>
          <w:pgMar w:top="1440" w:right="1440" w:bottom="1440" w:left="1440" w:header="720" w:footer="720" w:gutter="0"/>
          <w:cols w:num="2" w:space="720"/>
          <w:docGrid w:linePitch="360"/>
        </w:sectPr>
      </w:pPr>
      <w:r>
        <w:rPr>
          <w:rFonts w:ascii="Times New Roman" w:hAnsi="Times New Roman"/>
          <w:noProof/>
          <w:color w:val="000000"/>
          <w:sz w:val="24"/>
          <w:szCs w:val="24"/>
        </w:rPr>
        <w:drawing>
          <wp:inline distT="0" distB="0" distL="114300" distR="114300" wp14:anchorId="11DC0BC2" wp14:editId="41BBD7C2">
            <wp:extent cx="2782957" cy="2480807"/>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F72F0D" w14:textId="77777777" w:rsidR="00783A0A" w:rsidRPr="00AB0B71" w:rsidRDefault="00783A0A" w:rsidP="00783A0A">
      <w:pPr>
        <w:rPr>
          <w:rFonts w:ascii="Times New Roman" w:hAnsi="Times New Roman"/>
          <w:b/>
          <w:bCs/>
          <w:color w:val="000000"/>
          <w:sz w:val="24"/>
          <w:szCs w:val="24"/>
        </w:rPr>
      </w:pPr>
      <w:r w:rsidRPr="00AB0B71">
        <w:rPr>
          <w:rFonts w:ascii="Times New Roman" w:hAnsi="Times New Roman"/>
          <w:b/>
          <w:bCs/>
          <w:color w:val="000000"/>
          <w:sz w:val="24"/>
          <w:szCs w:val="24"/>
        </w:rPr>
        <w:t>Fig. 2: Antimicrobial susceptibility profile of bacteria to Ciprofloxacin</w:t>
      </w:r>
      <w:r w:rsidRPr="00AB0B71">
        <w:rPr>
          <w:rFonts w:ascii="Times New Roman" w:hAnsi="Times New Roman"/>
          <w:b/>
          <w:bCs/>
          <w:color w:val="000000"/>
          <w:sz w:val="24"/>
          <w:szCs w:val="24"/>
        </w:rPr>
        <w:br/>
      </w:r>
    </w:p>
    <w:p w14:paraId="42D4D48C" w14:textId="338F4209" w:rsidR="00783A0A" w:rsidRPr="005E128F" w:rsidRDefault="00783A0A" w:rsidP="00783A0A">
      <w:pPr>
        <w:rPr>
          <w:rFonts w:ascii="Times New Roman" w:hAnsi="Times New Roman"/>
          <w:b/>
          <w:bCs/>
          <w:color w:val="000000"/>
          <w:sz w:val="24"/>
          <w:szCs w:val="24"/>
        </w:rPr>
        <w:sectPr w:rsidR="00783A0A" w:rsidRPr="005E128F" w:rsidSect="00621D3F">
          <w:type w:val="continuous"/>
          <w:pgSz w:w="12240" w:h="15840"/>
          <w:pgMar w:top="1135" w:right="1440" w:bottom="709" w:left="1440" w:header="720" w:footer="720" w:gutter="0"/>
          <w:cols w:num="2" w:space="720"/>
          <w:docGrid w:linePitch="360"/>
        </w:sectPr>
      </w:pPr>
      <w:r w:rsidRPr="005E128F">
        <w:rPr>
          <w:rFonts w:ascii="Times New Roman" w:hAnsi="Times New Roman"/>
          <w:b/>
          <w:bCs/>
          <w:color w:val="000000"/>
          <w:sz w:val="24"/>
          <w:szCs w:val="24"/>
        </w:rPr>
        <w:t xml:space="preserve">Fig. </w:t>
      </w:r>
      <w:r w:rsidR="00872D80">
        <w:rPr>
          <w:rFonts w:ascii="Times New Roman" w:hAnsi="Times New Roman"/>
          <w:b/>
          <w:bCs/>
          <w:color w:val="000000"/>
          <w:sz w:val="24"/>
          <w:szCs w:val="24"/>
        </w:rPr>
        <w:t>3</w:t>
      </w:r>
      <w:r w:rsidRPr="005E128F">
        <w:rPr>
          <w:rFonts w:ascii="Times New Roman" w:hAnsi="Times New Roman"/>
          <w:b/>
          <w:bCs/>
          <w:color w:val="000000"/>
          <w:sz w:val="24"/>
          <w:szCs w:val="24"/>
        </w:rPr>
        <w:t>: Antimicrobial susceptibility profile of bacteria to Ofloxacin</w:t>
      </w:r>
      <w:r w:rsidRPr="005E128F">
        <w:rPr>
          <w:rFonts w:ascii="Times New Roman" w:hAnsi="Times New Roman"/>
          <w:b/>
          <w:bCs/>
          <w:color w:val="000000"/>
          <w:sz w:val="24"/>
          <w:szCs w:val="24"/>
        </w:rPr>
        <w:br/>
      </w:r>
      <w:r w:rsidRPr="005E128F">
        <w:rPr>
          <w:rFonts w:ascii="Times New Roman" w:hAnsi="Times New Roman"/>
          <w:b/>
          <w:bCs/>
          <w:color w:val="000000"/>
          <w:sz w:val="24"/>
          <w:szCs w:val="24"/>
        </w:rPr>
        <w:br/>
      </w:r>
    </w:p>
    <w:p w14:paraId="663237AE" w14:textId="77777777" w:rsidR="00283A10" w:rsidRDefault="00156F06" w:rsidP="00156F06">
      <w:pPr>
        <w:jc w:val="both"/>
        <w:rPr>
          <w:rFonts w:ascii="Times New Roman" w:hAnsi="Times New Roman"/>
          <w:color w:val="000000"/>
          <w:sz w:val="24"/>
          <w:szCs w:val="24"/>
        </w:rPr>
      </w:pPr>
      <w:r>
        <w:rPr>
          <w:rFonts w:ascii="Times New Roman" w:hAnsi="Times New Roman"/>
          <w:noProof/>
          <w:color w:val="000000"/>
          <w:sz w:val="24"/>
          <w:szCs w:val="24"/>
        </w:rPr>
        <w:lastRenderedPageBreak/>
        <w:drawing>
          <wp:inline distT="0" distB="0" distL="114300" distR="114300" wp14:anchorId="0DB5A40C" wp14:editId="0C630D52">
            <wp:extent cx="2898140" cy="2061210"/>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671C4E" w14:textId="01498EB3" w:rsidR="00156F06" w:rsidRPr="005E128F" w:rsidRDefault="00156F06" w:rsidP="00156F06">
      <w:pPr>
        <w:jc w:val="both"/>
        <w:rPr>
          <w:rFonts w:ascii="Arial" w:hAnsi="Arial" w:cs="Arial"/>
          <w:b/>
          <w:bCs/>
          <w:color w:val="000000"/>
        </w:rPr>
      </w:pPr>
      <w:r w:rsidRPr="005E128F">
        <w:rPr>
          <w:rFonts w:ascii="Arial" w:hAnsi="Arial" w:cs="Arial"/>
          <w:b/>
          <w:bCs/>
          <w:color w:val="000000"/>
        </w:rPr>
        <w:t xml:space="preserve">Fig. </w:t>
      </w:r>
      <w:r w:rsidR="00872D80">
        <w:rPr>
          <w:rFonts w:ascii="Arial" w:hAnsi="Arial" w:cs="Arial"/>
          <w:b/>
          <w:bCs/>
          <w:color w:val="000000"/>
        </w:rPr>
        <w:t>4</w:t>
      </w:r>
      <w:r w:rsidRPr="005E128F">
        <w:rPr>
          <w:rFonts w:ascii="Arial" w:hAnsi="Arial" w:cs="Arial"/>
          <w:b/>
          <w:bCs/>
          <w:color w:val="000000"/>
        </w:rPr>
        <w:t>: Antimicrobial susceptibility profile of bacteria to Augmentin</w:t>
      </w:r>
    </w:p>
    <w:p w14:paraId="7EFBE031" w14:textId="77777777" w:rsidR="00783A0A" w:rsidRDefault="00783A0A" w:rsidP="00CD316F">
      <w:pPr>
        <w:pStyle w:val="Body"/>
        <w:spacing w:after="0"/>
        <w:rPr>
          <w:rFonts w:ascii="Arial" w:hAnsi="Arial" w:cs="Arial"/>
        </w:rPr>
      </w:pPr>
    </w:p>
    <w:p w14:paraId="49B745F3" w14:textId="47F62A8A" w:rsidR="00CF7741" w:rsidRPr="00CF7741" w:rsidRDefault="00CF7741" w:rsidP="00CF7741">
      <w:pPr>
        <w:pStyle w:val="Body"/>
        <w:rPr>
          <w:rFonts w:ascii="Arial" w:hAnsi="Arial" w:cs="Arial"/>
        </w:rPr>
      </w:pPr>
      <w:r w:rsidRPr="00CF7741">
        <w:rPr>
          <w:rFonts w:ascii="Arial" w:hAnsi="Arial" w:cs="Arial"/>
        </w:rPr>
        <w:t xml:space="preserve">UTIs are a common health concern affecting individuals of both genders and all ages. Over 90% of UTI are caused by normal body flora bacteria that contaminate the genital area and the urinary tract [11]. Studies have shown that the pathogenic bacteria associated with UTI are mostly </w:t>
      </w:r>
      <w:r w:rsidRPr="005E128F">
        <w:rPr>
          <w:rFonts w:ascii="Arial" w:hAnsi="Arial" w:cs="Arial"/>
          <w:i/>
          <w:iCs/>
        </w:rPr>
        <w:t xml:space="preserve">Staphylococcus saprophyticus, Escherichia coli, Klebsiella pneumonia, Staphylococcus aureus, Proteus spp., Pseudomonas auroginosa </w:t>
      </w:r>
      <w:r w:rsidRPr="005E128F">
        <w:rPr>
          <w:rFonts w:ascii="Arial" w:hAnsi="Arial" w:cs="Arial"/>
        </w:rPr>
        <w:t xml:space="preserve">and </w:t>
      </w:r>
      <w:r w:rsidRPr="005E128F">
        <w:rPr>
          <w:rFonts w:ascii="Arial" w:hAnsi="Arial" w:cs="Arial"/>
          <w:i/>
          <w:iCs/>
        </w:rPr>
        <w:t xml:space="preserve">Enterococci </w:t>
      </w:r>
      <w:r w:rsidRPr="00CF7741">
        <w:rPr>
          <w:rFonts w:ascii="Arial" w:hAnsi="Arial" w:cs="Arial"/>
        </w:rPr>
        <w:t xml:space="preserve">[12,13] with the most frequently isolated gram negative and </w:t>
      </w:r>
      <w:r w:rsidR="005E128F" w:rsidRPr="00CF7741">
        <w:rPr>
          <w:rFonts w:ascii="Arial" w:hAnsi="Arial" w:cs="Arial"/>
        </w:rPr>
        <w:t>gram-positive</w:t>
      </w:r>
      <w:r w:rsidRPr="00CF7741">
        <w:rPr>
          <w:rFonts w:ascii="Arial" w:hAnsi="Arial" w:cs="Arial"/>
        </w:rPr>
        <w:t xml:space="preserve"> bacteria being </w:t>
      </w:r>
      <w:r w:rsidRPr="005E128F">
        <w:rPr>
          <w:rFonts w:ascii="Arial" w:hAnsi="Arial" w:cs="Arial"/>
          <w:i/>
          <w:iCs/>
        </w:rPr>
        <w:t>E. coli</w:t>
      </w:r>
      <w:r w:rsidRPr="00CF7741">
        <w:rPr>
          <w:rFonts w:ascii="Arial" w:hAnsi="Arial" w:cs="Arial"/>
        </w:rPr>
        <w:t xml:space="preserve"> and </w:t>
      </w:r>
      <w:r w:rsidRPr="005E128F">
        <w:rPr>
          <w:rFonts w:ascii="Arial" w:hAnsi="Arial" w:cs="Arial"/>
          <w:i/>
          <w:iCs/>
        </w:rPr>
        <w:t>Staphylococcus aureus</w:t>
      </w:r>
      <w:r w:rsidRPr="00CF7741">
        <w:rPr>
          <w:rFonts w:ascii="Arial" w:hAnsi="Arial" w:cs="Arial"/>
        </w:rPr>
        <w:t xml:space="preserve"> respectively [14]. Generally, among bacteria, 75%–95% of cases of UTI are caused by E. coli [15].</w:t>
      </w:r>
    </w:p>
    <w:p w14:paraId="2AC2BEB8" w14:textId="284E31DD" w:rsidR="00CB5052" w:rsidRPr="00CB5052" w:rsidRDefault="00CF7741" w:rsidP="00CB5052">
      <w:pPr>
        <w:pStyle w:val="Body"/>
        <w:rPr>
          <w:rFonts w:ascii="Arial" w:hAnsi="Arial" w:cs="Arial"/>
        </w:rPr>
      </w:pPr>
      <w:r w:rsidRPr="00CF7741">
        <w:rPr>
          <w:rFonts w:ascii="Arial" w:hAnsi="Arial" w:cs="Arial"/>
        </w:rPr>
        <w:t>In this study, Gram</w:t>
      </w:r>
      <w:r w:rsidR="002854EF">
        <w:rPr>
          <w:rFonts w:ascii="Arial" w:hAnsi="Arial" w:cs="Arial"/>
        </w:rPr>
        <w:t>-</w:t>
      </w:r>
      <w:r w:rsidRPr="00CF7741">
        <w:rPr>
          <w:rFonts w:ascii="Arial" w:hAnsi="Arial" w:cs="Arial"/>
        </w:rPr>
        <w:t xml:space="preserve">negative organisms accounted for 1204 (57%) of the isolates with E. coli 866 (41.9%) as the most prevalent while </w:t>
      </w:r>
      <w:r w:rsidRPr="005E128F">
        <w:rPr>
          <w:rFonts w:ascii="Arial" w:hAnsi="Arial" w:cs="Arial"/>
          <w:i/>
          <w:iCs/>
        </w:rPr>
        <w:t>Pontoea spp</w:t>
      </w:r>
      <w:r w:rsidRPr="00CF7741">
        <w:rPr>
          <w:rFonts w:ascii="Arial" w:hAnsi="Arial" w:cs="Arial"/>
        </w:rPr>
        <w:t xml:space="preserve"> (0%) was the least. High prevalence of </w:t>
      </w:r>
      <w:r w:rsidR="002854EF">
        <w:rPr>
          <w:rFonts w:ascii="Arial" w:hAnsi="Arial" w:cs="Arial"/>
        </w:rPr>
        <w:t>G</w:t>
      </w:r>
      <w:r w:rsidR="002854EF" w:rsidRPr="00CF7741">
        <w:rPr>
          <w:rFonts w:ascii="Arial" w:hAnsi="Arial" w:cs="Arial"/>
        </w:rPr>
        <w:t>ram-negative</w:t>
      </w:r>
      <w:r w:rsidRPr="00CF7741">
        <w:rPr>
          <w:rFonts w:ascii="Arial" w:hAnsi="Arial" w:cs="Arial"/>
        </w:rPr>
        <w:t xml:space="preserve"> organisms in UTI has also been reported by </w:t>
      </w:r>
      <w:r w:rsidRPr="00E40A92">
        <w:rPr>
          <w:rFonts w:ascii="Arial" w:hAnsi="Arial" w:cs="Arial"/>
        </w:rPr>
        <w:t xml:space="preserve">Johnson et al. </w:t>
      </w:r>
      <w:r w:rsidR="00E40A92" w:rsidRPr="00E40A92">
        <w:rPr>
          <w:rFonts w:ascii="Arial" w:hAnsi="Arial" w:cs="Arial"/>
        </w:rPr>
        <w:t>[17]</w:t>
      </w:r>
      <w:r w:rsidRPr="00E40A92">
        <w:rPr>
          <w:rFonts w:ascii="Arial" w:hAnsi="Arial" w:cs="Arial"/>
        </w:rPr>
        <w:t>, Ali et al.</w:t>
      </w:r>
      <w:r w:rsidR="00E40A92" w:rsidRPr="00E40A92">
        <w:rPr>
          <w:rFonts w:ascii="Arial" w:hAnsi="Arial" w:cs="Arial"/>
        </w:rPr>
        <w:t xml:space="preserve"> </w:t>
      </w:r>
      <w:r w:rsidRPr="00E40A92">
        <w:rPr>
          <w:rFonts w:ascii="Arial" w:hAnsi="Arial" w:cs="Arial"/>
        </w:rPr>
        <w:t xml:space="preserve"> </w:t>
      </w:r>
      <w:r w:rsidR="00E40A92" w:rsidRPr="00E40A92">
        <w:rPr>
          <w:rFonts w:ascii="Arial" w:hAnsi="Arial" w:cs="Arial"/>
        </w:rPr>
        <w:t xml:space="preserve">[19], </w:t>
      </w:r>
      <w:r w:rsidRPr="00036219">
        <w:rPr>
          <w:rFonts w:ascii="Arial" w:hAnsi="Arial" w:cs="Arial"/>
        </w:rPr>
        <w:t>and Ekwealor et al</w:t>
      </w:r>
      <w:r w:rsidR="008D0CE5" w:rsidRPr="00036219">
        <w:rPr>
          <w:rFonts w:ascii="Arial" w:hAnsi="Arial" w:cs="Arial"/>
        </w:rPr>
        <w:t>. [</w:t>
      </w:r>
      <w:r w:rsidR="008D0CE5" w:rsidRPr="00E40A92">
        <w:rPr>
          <w:rFonts w:ascii="Arial" w:hAnsi="Arial" w:cs="Arial"/>
        </w:rPr>
        <w:t>1</w:t>
      </w:r>
      <w:r w:rsidR="008D0CE5">
        <w:rPr>
          <w:rFonts w:ascii="Arial" w:hAnsi="Arial" w:cs="Arial"/>
        </w:rPr>
        <w:t>1</w:t>
      </w:r>
      <w:r w:rsidR="008D0CE5" w:rsidRPr="00E40A92">
        <w:rPr>
          <w:rFonts w:ascii="Arial" w:hAnsi="Arial" w:cs="Arial"/>
        </w:rPr>
        <w:t xml:space="preserve">], </w:t>
      </w:r>
      <w:r w:rsidRPr="00CF7741">
        <w:rPr>
          <w:rFonts w:ascii="Arial" w:hAnsi="Arial" w:cs="Arial"/>
        </w:rPr>
        <w:t xml:space="preserve">who recorded 76.45%, 71% and (55.6%) gram negative bacteria respectively. Furthermore, in line with our study, </w:t>
      </w:r>
      <w:r w:rsidRPr="002854EF">
        <w:rPr>
          <w:rFonts w:ascii="Arial" w:hAnsi="Arial" w:cs="Arial"/>
          <w:i/>
          <w:iCs/>
        </w:rPr>
        <w:t>E. coli</w:t>
      </w:r>
      <w:r w:rsidRPr="00CF7741">
        <w:rPr>
          <w:rFonts w:ascii="Arial" w:hAnsi="Arial" w:cs="Arial"/>
        </w:rPr>
        <w:t xml:space="preserve"> has also been reported by several researchers as the most</w:t>
      </w:r>
      <w:r w:rsidR="00CB5052">
        <w:rPr>
          <w:rFonts w:ascii="Arial" w:hAnsi="Arial" w:cs="Arial"/>
        </w:rPr>
        <w:t xml:space="preserve"> </w:t>
      </w:r>
      <w:r w:rsidR="00CB5052" w:rsidRPr="00CB5052">
        <w:rPr>
          <w:rFonts w:ascii="Arial" w:hAnsi="Arial" w:cs="Arial"/>
        </w:rPr>
        <w:t xml:space="preserve">common </w:t>
      </w:r>
      <w:r w:rsidR="002854EF" w:rsidRPr="00CB5052">
        <w:rPr>
          <w:rFonts w:ascii="Arial" w:hAnsi="Arial" w:cs="Arial"/>
        </w:rPr>
        <w:t>Gram-negative</w:t>
      </w:r>
      <w:r w:rsidR="00CB5052" w:rsidRPr="00CB5052">
        <w:rPr>
          <w:rFonts w:ascii="Arial" w:hAnsi="Arial" w:cs="Arial"/>
        </w:rPr>
        <w:t xml:space="preserve"> bacteria involved in UTI [9, 3, 16, 11]. It is noteworthy that approximately 80% of uropathogenic </w:t>
      </w:r>
      <w:r w:rsidR="00CB5052" w:rsidRPr="00514BF2">
        <w:rPr>
          <w:rFonts w:ascii="Arial" w:hAnsi="Arial" w:cs="Arial"/>
          <w:i/>
          <w:iCs/>
        </w:rPr>
        <w:t>E. coli</w:t>
      </w:r>
      <w:r w:rsidR="00CB5052" w:rsidRPr="00CB5052">
        <w:rPr>
          <w:rFonts w:ascii="Arial" w:hAnsi="Arial" w:cs="Arial"/>
        </w:rPr>
        <w:t xml:space="preserve"> express </w:t>
      </w:r>
      <w:r w:rsidR="00CB5052" w:rsidRPr="00514BF2">
        <w:rPr>
          <w:rFonts w:ascii="Arial" w:hAnsi="Arial" w:cs="Arial"/>
          <w:i/>
          <w:iCs/>
        </w:rPr>
        <w:t>P</w:t>
      </w:r>
      <w:r w:rsidR="00514BF2" w:rsidRPr="00514BF2">
        <w:rPr>
          <w:rFonts w:ascii="Arial" w:hAnsi="Arial" w:cs="Arial"/>
          <w:i/>
          <w:iCs/>
        </w:rPr>
        <w:t>.</w:t>
      </w:r>
      <w:r w:rsidR="00CB5052" w:rsidRPr="00514BF2">
        <w:rPr>
          <w:rFonts w:ascii="Arial" w:hAnsi="Arial" w:cs="Arial"/>
          <w:i/>
          <w:iCs/>
        </w:rPr>
        <w:t xml:space="preserve"> fimbriae,</w:t>
      </w:r>
      <w:r w:rsidR="00CB5052" w:rsidRPr="00CB5052">
        <w:rPr>
          <w:rFonts w:ascii="Arial" w:hAnsi="Arial" w:cs="Arial"/>
        </w:rPr>
        <w:t xml:space="preserve"> a virulent factor that assists it to anchor to the glycolipid of the outer membrane of urothelial cells in the kidney thereby causing inflammation [9].</w:t>
      </w:r>
    </w:p>
    <w:p w14:paraId="13A6D9C7" w14:textId="6ECFAECE" w:rsidR="00CB5052" w:rsidRPr="00CB5052" w:rsidRDefault="00CB5052" w:rsidP="00CB5052">
      <w:pPr>
        <w:pStyle w:val="Body"/>
        <w:rPr>
          <w:rFonts w:ascii="Arial" w:hAnsi="Arial" w:cs="Arial"/>
        </w:rPr>
      </w:pPr>
      <w:r w:rsidRPr="00CB5052">
        <w:rPr>
          <w:rFonts w:ascii="Arial" w:hAnsi="Arial" w:cs="Arial"/>
        </w:rPr>
        <w:t xml:space="preserve">Interestingly, in our study, most of the uropathogens were recovered from female patients (1430; 67.7%). This is consistent with the report of </w:t>
      </w:r>
      <w:r w:rsidRPr="00051BCD">
        <w:rPr>
          <w:rFonts w:ascii="Arial" w:hAnsi="Arial" w:cs="Arial"/>
        </w:rPr>
        <w:t xml:space="preserve">Muhammed et al. </w:t>
      </w:r>
      <w:r w:rsidR="00051BCD" w:rsidRPr="00051BCD">
        <w:rPr>
          <w:rFonts w:ascii="Arial" w:hAnsi="Arial" w:cs="Arial"/>
        </w:rPr>
        <w:t>[3</w:t>
      </w:r>
      <w:r w:rsidR="00051BCD" w:rsidRPr="00CB5052">
        <w:rPr>
          <w:rFonts w:ascii="Arial" w:hAnsi="Arial" w:cs="Arial"/>
        </w:rPr>
        <w:t>].</w:t>
      </w:r>
      <w:r w:rsidR="00051BCD">
        <w:rPr>
          <w:rFonts w:ascii="Arial" w:hAnsi="Arial" w:cs="Arial"/>
        </w:rPr>
        <w:t xml:space="preserve"> </w:t>
      </w:r>
      <w:r w:rsidRPr="00CB5052">
        <w:rPr>
          <w:rFonts w:ascii="Arial" w:hAnsi="Arial" w:cs="Arial"/>
        </w:rPr>
        <w:t xml:space="preserve">who found uropathogens in females (50.7%) more than males. This increased incidence of </w:t>
      </w:r>
      <w:r w:rsidRPr="003B671D">
        <w:rPr>
          <w:rFonts w:ascii="Arial" w:hAnsi="Arial" w:cs="Arial"/>
          <w:i/>
          <w:iCs/>
        </w:rPr>
        <w:t>E. coli</w:t>
      </w:r>
      <w:r w:rsidRPr="00CB5052">
        <w:rPr>
          <w:rFonts w:ascii="Arial" w:hAnsi="Arial" w:cs="Arial"/>
        </w:rPr>
        <w:t xml:space="preserve"> in UTI has been alluded to its presence in the vaginal and rectal area as well as the shortness of female urethra [3].</w:t>
      </w:r>
    </w:p>
    <w:p w14:paraId="21ED33F3" w14:textId="791ABEEB" w:rsidR="00CD316F" w:rsidRDefault="00CB5052" w:rsidP="00CB5052">
      <w:pPr>
        <w:pStyle w:val="Body"/>
        <w:spacing w:after="0"/>
        <w:rPr>
          <w:rFonts w:ascii="Arial" w:hAnsi="Arial" w:cs="Arial"/>
        </w:rPr>
      </w:pPr>
      <w:r w:rsidRPr="00CB5052">
        <w:rPr>
          <w:rFonts w:ascii="Arial" w:hAnsi="Arial" w:cs="Arial"/>
        </w:rPr>
        <w:t xml:space="preserve">Contrary to our </w:t>
      </w:r>
      <w:r w:rsidRPr="003926BE">
        <w:rPr>
          <w:rFonts w:ascii="Arial" w:hAnsi="Arial" w:cs="Arial"/>
        </w:rPr>
        <w:t xml:space="preserve">observation, Johnson et al. </w:t>
      </w:r>
      <w:r w:rsidR="00104596" w:rsidRPr="003926BE">
        <w:rPr>
          <w:rFonts w:ascii="Arial" w:hAnsi="Arial" w:cs="Arial"/>
        </w:rPr>
        <w:t>[</w:t>
      </w:r>
      <w:r w:rsidR="003926BE" w:rsidRPr="003926BE">
        <w:rPr>
          <w:rFonts w:ascii="Arial" w:hAnsi="Arial" w:cs="Arial"/>
        </w:rPr>
        <w:t>17</w:t>
      </w:r>
      <w:r w:rsidR="00104596" w:rsidRPr="003926BE">
        <w:rPr>
          <w:rFonts w:ascii="Arial" w:hAnsi="Arial" w:cs="Arial"/>
        </w:rPr>
        <w:t>]</w:t>
      </w:r>
      <w:r w:rsidRPr="003926BE">
        <w:rPr>
          <w:rFonts w:ascii="Arial" w:hAnsi="Arial" w:cs="Arial"/>
        </w:rPr>
        <w:t xml:space="preserve"> isolated</w:t>
      </w:r>
      <w:r w:rsidRPr="00CB5052">
        <w:rPr>
          <w:rFonts w:ascii="Arial" w:hAnsi="Arial" w:cs="Arial"/>
        </w:rPr>
        <w:t xml:space="preserve"> Klebsiella pneumonia (37.41%) as the most frequent Gram</w:t>
      </w:r>
      <w:r w:rsidR="003B671D">
        <w:rPr>
          <w:rFonts w:ascii="Arial" w:hAnsi="Arial" w:cs="Arial"/>
        </w:rPr>
        <w:t>-</w:t>
      </w:r>
      <w:r w:rsidRPr="00CB5052">
        <w:rPr>
          <w:rFonts w:ascii="Arial" w:hAnsi="Arial" w:cs="Arial"/>
        </w:rPr>
        <w:t xml:space="preserve">negative organism. </w:t>
      </w:r>
      <w:r w:rsidRPr="006C6176">
        <w:rPr>
          <w:rFonts w:ascii="Arial" w:hAnsi="Arial" w:cs="Arial"/>
          <w:i/>
          <w:iCs/>
        </w:rPr>
        <w:t>Klebsiella spp.</w:t>
      </w:r>
      <w:r w:rsidRPr="00CB5052">
        <w:rPr>
          <w:rFonts w:ascii="Arial" w:hAnsi="Arial" w:cs="Arial"/>
        </w:rPr>
        <w:t xml:space="preserve"> is now known to emerge as a dominant community acquired uropathogen [10,21] although observed as the second most prevalent bacteria 10 (18.5%) isolated in this study. Its emergence has also been linked to the presence of inherent factors like</w:t>
      </w:r>
    </w:p>
    <w:p w14:paraId="47D76D9B" w14:textId="77777777" w:rsidR="00305EF9" w:rsidRDefault="00305EF9" w:rsidP="00CF7741">
      <w:pPr>
        <w:pStyle w:val="Body"/>
        <w:spacing w:after="0"/>
        <w:rPr>
          <w:rFonts w:ascii="Arial" w:hAnsi="Arial" w:cs="Arial"/>
        </w:rPr>
      </w:pPr>
    </w:p>
    <w:p w14:paraId="25226F51" w14:textId="77777777" w:rsidR="00305EF9" w:rsidRDefault="00305EF9" w:rsidP="00305EF9">
      <w:pPr>
        <w:pStyle w:val="ConcHead"/>
        <w:spacing w:after="0"/>
        <w:rPr>
          <w:rFonts w:ascii="Arial" w:hAnsi="Arial" w:cs="Arial"/>
          <w:b w:val="0"/>
          <w:caps w:val="0"/>
          <w:color w:val="000000"/>
          <w:sz w:val="20"/>
        </w:rPr>
      </w:pPr>
      <w:r>
        <w:rPr>
          <w:rFonts w:ascii="Times New Roman" w:hAnsi="Times New Roman"/>
          <w:noProof/>
          <w:color w:val="000000"/>
          <w:sz w:val="24"/>
          <w:szCs w:val="24"/>
        </w:rPr>
        <w:lastRenderedPageBreak/>
        <w:drawing>
          <wp:inline distT="0" distB="0" distL="114300" distR="114300" wp14:anchorId="35153E0F" wp14:editId="0AFA91CE">
            <wp:extent cx="3077154" cy="1979875"/>
            <wp:effectExtent l="0" t="0" r="0" b="1905"/>
            <wp:docPr id="103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Times New Roman" w:hAnsi="Times New Roman"/>
          <w:color w:val="000000"/>
          <w:sz w:val="24"/>
          <w:szCs w:val="24"/>
        </w:rPr>
        <w:br/>
      </w:r>
      <w:r w:rsidRPr="006C6176">
        <w:rPr>
          <w:rFonts w:ascii="Arial" w:hAnsi="Arial" w:cs="Arial"/>
          <w:bCs/>
          <w:caps w:val="0"/>
          <w:color w:val="000000"/>
          <w:sz w:val="20"/>
        </w:rPr>
        <w:t>Fig. 5: Antimicrobial susceptibility profile of bacteria to Gentamicin</w:t>
      </w:r>
    </w:p>
    <w:p w14:paraId="6CEF161D" w14:textId="77777777" w:rsidR="00161D10" w:rsidRDefault="00161D10" w:rsidP="00161D10">
      <w:pPr>
        <w:pStyle w:val="ConcHead"/>
        <w:rPr>
          <w:rFonts w:ascii="Arial" w:hAnsi="Arial" w:cs="Arial"/>
          <w:b w:val="0"/>
          <w:caps w:val="0"/>
          <w:color w:val="000000"/>
          <w:sz w:val="20"/>
        </w:rPr>
      </w:pPr>
    </w:p>
    <w:p w14:paraId="79B69E77" w14:textId="250597F1" w:rsidR="00161D10" w:rsidRPr="00161D10" w:rsidRDefault="00161D10" w:rsidP="006C6176">
      <w:pPr>
        <w:pStyle w:val="ConcHead"/>
        <w:jc w:val="both"/>
        <w:rPr>
          <w:rFonts w:ascii="Arial" w:hAnsi="Arial" w:cs="Arial"/>
          <w:b w:val="0"/>
          <w:caps w:val="0"/>
          <w:color w:val="000000"/>
          <w:sz w:val="20"/>
        </w:rPr>
      </w:pPr>
      <w:r w:rsidRPr="00161D10">
        <w:rPr>
          <w:rFonts w:ascii="Arial" w:hAnsi="Arial" w:cs="Arial"/>
          <w:b w:val="0"/>
          <w:caps w:val="0"/>
          <w:color w:val="000000"/>
          <w:sz w:val="20"/>
        </w:rPr>
        <w:t>siderophore, types 1</w:t>
      </w:r>
      <w:r w:rsidR="006C6176">
        <w:rPr>
          <w:rFonts w:ascii="Arial" w:hAnsi="Arial" w:cs="Arial"/>
          <w:b w:val="0"/>
          <w:caps w:val="0"/>
          <w:color w:val="000000"/>
          <w:sz w:val="20"/>
        </w:rPr>
        <w:t xml:space="preserve"> </w:t>
      </w:r>
      <w:r w:rsidRPr="00161D10">
        <w:rPr>
          <w:rFonts w:ascii="Arial" w:hAnsi="Arial" w:cs="Arial"/>
          <w:b w:val="0"/>
          <w:caps w:val="0"/>
          <w:color w:val="000000"/>
          <w:sz w:val="20"/>
        </w:rPr>
        <w:t xml:space="preserve">and 3 fimbrae, biofilm formation and capsules [17]. Other </w:t>
      </w:r>
      <w:r w:rsidR="006C6176" w:rsidRPr="00161D10">
        <w:rPr>
          <w:rFonts w:ascii="Arial" w:hAnsi="Arial" w:cs="Arial"/>
          <w:b w:val="0"/>
          <w:caps w:val="0"/>
          <w:color w:val="000000"/>
          <w:sz w:val="20"/>
        </w:rPr>
        <w:t>Gram-negative</w:t>
      </w:r>
      <w:r w:rsidRPr="00161D10">
        <w:rPr>
          <w:rFonts w:ascii="Arial" w:hAnsi="Arial" w:cs="Arial"/>
          <w:b w:val="0"/>
          <w:caps w:val="0"/>
          <w:color w:val="000000"/>
          <w:sz w:val="20"/>
        </w:rPr>
        <w:t xml:space="preserve"> bacteria </w:t>
      </w:r>
      <w:r w:rsidR="00E057F5" w:rsidRPr="00161D10">
        <w:rPr>
          <w:rFonts w:ascii="Arial" w:hAnsi="Arial" w:cs="Arial"/>
          <w:b w:val="0"/>
          <w:caps w:val="0"/>
          <w:color w:val="000000"/>
          <w:sz w:val="20"/>
        </w:rPr>
        <w:t>are isolated</w:t>
      </w:r>
      <w:r w:rsidRPr="00161D10">
        <w:rPr>
          <w:rFonts w:ascii="Arial" w:hAnsi="Arial" w:cs="Arial"/>
          <w:b w:val="0"/>
          <w:caps w:val="0"/>
          <w:color w:val="000000"/>
          <w:sz w:val="20"/>
        </w:rPr>
        <w:t xml:space="preserve"> were </w:t>
      </w:r>
      <w:r w:rsidRPr="006C6176">
        <w:rPr>
          <w:rFonts w:ascii="Arial" w:hAnsi="Arial" w:cs="Arial"/>
          <w:b w:val="0"/>
          <w:i/>
          <w:iCs/>
          <w:caps w:val="0"/>
          <w:color w:val="000000"/>
          <w:sz w:val="20"/>
        </w:rPr>
        <w:t>Proteus mirabilis</w:t>
      </w:r>
      <w:r w:rsidRPr="00161D10">
        <w:rPr>
          <w:rFonts w:ascii="Arial" w:hAnsi="Arial" w:cs="Arial"/>
          <w:b w:val="0"/>
          <w:caps w:val="0"/>
          <w:color w:val="000000"/>
          <w:sz w:val="20"/>
        </w:rPr>
        <w:t xml:space="preserve"> 4 (7.4%) and </w:t>
      </w:r>
      <w:r w:rsidRPr="006C6176">
        <w:rPr>
          <w:rFonts w:ascii="Arial" w:hAnsi="Arial" w:cs="Arial"/>
          <w:b w:val="0"/>
          <w:i/>
          <w:iCs/>
          <w:caps w:val="0"/>
          <w:color w:val="000000"/>
          <w:sz w:val="20"/>
        </w:rPr>
        <w:t>Pseudomonas spp</w:t>
      </w:r>
      <w:r w:rsidRPr="00161D10">
        <w:rPr>
          <w:rFonts w:ascii="Arial" w:hAnsi="Arial" w:cs="Arial"/>
          <w:b w:val="0"/>
          <w:caps w:val="0"/>
          <w:color w:val="000000"/>
          <w:sz w:val="20"/>
        </w:rPr>
        <w:t>. 3 (5.6%). Their involvement in UTI among pregnant women had also been reported [19, 17].</w:t>
      </w:r>
    </w:p>
    <w:p w14:paraId="4AE62674" w14:textId="48223A18" w:rsidR="00161D10" w:rsidRPr="00161D10" w:rsidRDefault="00161D10" w:rsidP="006C6176">
      <w:pPr>
        <w:pStyle w:val="ConcHead"/>
        <w:jc w:val="both"/>
        <w:rPr>
          <w:rFonts w:ascii="Arial" w:hAnsi="Arial" w:cs="Arial"/>
          <w:b w:val="0"/>
          <w:caps w:val="0"/>
          <w:color w:val="000000"/>
          <w:sz w:val="20"/>
        </w:rPr>
      </w:pPr>
      <w:r w:rsidRPr="006C6176">
        <w:rPr>
          <w:rFonts w:ascii="Arial" w:hAnsi="Arial" w:cs="Arial"/>
          <w:b w:val="0"/>
          <w:i/>
          <w:iCs/>
          <w:caps w:val="0"/>
          <w:color w:val="000000"/>
          <w:sz w:val="20"/>
        </w:rPr>
        <w:t>Staphylococcus aureus</w:t>
      </w:r>
      <w:r w:rsidRPr="00161D10">
        <w:rPr>
          <w:rFonts w:ascii="Arial" w:hAnsi="Arial" w:cs="Arial"/>
          <w:b w:val="0"/>
          <w:caps w:val="0"/>
          <w:color w:val="000000"/>
          <w:sz w:val="20"/>
        </w:rPr>
        <w:t xml:space="preserve"> was the most common </w:t>
      </w:r>
      <w:r w:rsidR="006C6176" w:rsidRPr="00161D10">
        <w:rPr>
          <w:rFonts w:ascii="Arial" w:hAnsi="Arial" w:cs="Arial"/>
          <w:b w:val="0"/>
          <w:caps w:val="0"/>
          <w:color w:val="000000"/>
          <w:sz w:val="20"/>
        </w:rPr>
        <w:t>Gram-positive</w:t>
      </w:r>
      <w:r w:rsidRPr="00161D10">
        <w:rPr>
          <w:rFonts w:ascii="Arial" w:hAnsi="Arial" w:cs="Arial"/>
          <w:b w:val="0"/>
          <w:caps w:val="0"/>
          <w:color w:val="000000"/>
          <w:sz w:val="20"/>
        </w:rPr>
        <w:t xml:space="preserve"> bacteria 24 (44.4%) isolated. This finding is supported by the reports of </w:t>
      </w:r>
      <w:r w:rsidRPr="003926BE">
        <w:rPr>
          <w:rFonts w:ascii="Arial" w:hAnsi="Arial" w:cs="Arial"/>
          <w:b w:val="0"/>
          <w:caps w:val="0"/>
          <w:color w:val="000000"/>
          <w:sz w:val="20"/>
        </w:rPr>
        <w:t>Johnson et al.</w:t>
      </w:r>
      <w:r w:rsidR="003926BE" w:rsidRPr="003926BE">
        <w:rPr>
          <w:rFonts w:ascii="Arial" w:hAnsi="Arial" w:cs="Arial"/>
          <w:b w:val="0"/>
          <w:caps w:val="0"/>
          <w:color w:val="000000"/>
          <w:sz w:val="20"/>
        </w:rPr>
        <w:t xml:space="preserve"> [17]</w:t>
      </w:r>
      <w:r w:rsidR="003926BE" w:rsidRPr="00161D10">
        <w:rPr>
          <w:rFonts w:ascii="Arial" w:hAnsi="Arial" w:cs="Arial"/>
          <w:b w:val="0"/>
          <w:caps w:val="0"/>
          <w:color w:val="000000"/>
          <w:sz w:val="20"/>
        </w:rPr>
        <w:t xml:space="preserve"> </w:t>
      </w:r>
      <w:r w:rsidRPr="00161D10">
        <w:rPr>
          <w:rFonts w:ascii="Arial" w:hAnsi="Arial" w:cs="Arial"/>
          <w:b w:val="0"/>
          <w:caps w:val="0"/>
          <w:color w:val="000000"/>
          <w:sz w:val="20"/>
        </w:rPr>
        <w:t xml:space="preserve">and </w:t>
      </w:r>
      <w:r w:rsidRPr="00C3323B">
        <w:rPr>
          <w:rFonts w:ascii="Arial" w:hAnsi="Arial" w:cs="Arial"/>
          <w:b w:val="0"/>
          <w:caps w:val="0"/>
          <w:color w:val="000000"/>
          <w:sz w:val="20"/>
        </w:rPr>
        <w:t xml:space="preserve">Muhammed </w:t>
      </w:r>
      <w:r w:rsidR="00C3323B" w:rsidRPr="00C3323B">
        <w:rPr>
          <w:rFonts w:ascii="Arial" w:hAnsi="Arial" w:cs="Arial"/>
          <w:b w:val="0"/>
          <w:caps w:val="0"/>
          <w:color w:val="000000"/>
          <w:sz w:val="20"/>
        </w:rPr>
        <w:t xml:space="preserve">[3] </w:t>
      </w:r>
      <w:r w:rsidRPr="00C3323B">
        <w:rPr>
          <w:rFonts w:ascii="Arial" w:hAnsi="Arial" w:cs="Arial"/>
          <w:b w:val="0"/>
          <w:caps w:val="0"/>
          <w:color w:val="000000"/>
          <w:sz w:val="20"/>
        </w:rPr>
        <w:t xml:space="preserve">who recorded </w:t>
      </w:r>
      <w:r w:rsidRPr="00C3323B">
        <w:rPr>
          <w:rFonts w:ascii="Arial" w:hAnsi="Arial" w:cs="Arial"/>
          <w:b w:val="0"/>
          <w:i/>
          <w:iCs/>
          <w:caps w:val="0"/>
          <w:color w:val="000000"/>
          <w:sz w:val="20"/>
        </w:rPr>
        <w:t>S. aureus</w:t>
      </w:r>
      <w:r w:rsidRPr="00C3323B">
        <w:rPr>
          <w:rFonts w:ascii="Arial" w:hAnsi="Arial" w:cs="Arial"/>
          <w:b w:val="0"/>
          <w:caps w:val="0"/>
          <w:color w:val="000000"/>
          <w:sz w:val="20"/>
        </w:rPr>
        <w:t xml:space="preserve"> as the only </w:t>
      </w:r>
      <w:r w:rsidR="006C6176" w:rsidRPr="00C3323B">
        <w:rPr>
          <w:rFonts w:ascii="Arial" w:hAnsi="Arial" w:cs="Arial"/>
          <w:b w:val="0"/>
          <w:caps w:val="0"/>
          <w:color w:val="000000"/>
          <w:sz w:val="20"/>
        </w:rPr>
        <w:t>Gram-positive</w:t>
      </w:r>
      <w:r w:rsidRPr="00C3323B">
        <w:rPr>
          <w:rFonts w:ascii="Arial" w:hAnsi="Arial" w:cs="Arial"/>
          <w:b w:val="0"/>
          <w:caps w:val="0"/>
          <w:color w:val="000000"/>
          <w:sz w:val="20"/>
        </w:rPr>
        <w:t xml:space="preserve"> bacteria isolated in their work. As suggested by Top et al. </w:t>
      </w:r>
      <w:r w:rsidR="00C3323B" w:rsidRPr="00C3323B">
        <w:rPr>
          <w:rFonts w:ascii="Arial" w:hAnsi="Arial" w:cs="Arial"/>
          <w:b w:val="0"/>
          <w:caps w:val="0"/>
          <w:color w:val="000000"/>
          <w:sz w:val="20"/>
        </w:rPr>
        <w:t xml:space="preserve">[20] </w:t>
      </w:r>
      <w:r w:rsidRPr="00C3323B">
        <w:rPr>
          <w:rFonts w:ascii="Arial" w:hAnsi="Arial" w:cs="Arial"/>
          <w:b w:val="0"/>
          <w:caps w:val="0"/>
          <w:color w:val="000000"/>
          <w:sz w:val="20"/>
        </w:rPr>
        <w:t xml:space="preserve">the high incidence of </w:t>
      </w:r>
      <w:r w:rsidRPr="00C3323B">
        <w:rPr>
          <w:rFonts w:ascii="Arial" w:hAnsi="Arial" w:cs="Arial"/>
          <w:b w:val="0"/>
          <w:i/>
          <w:iCs/>
          <w:caps w:val="0"/>
          <w:color w:val="000000"/>
          <w:sz w:val="20"/>
        </w:rPr>
        <w:t>S. aureus</w:t>
      </w:r>
      <w:r w:rsidRPr="00C3323B">
        <w:rPr>
          <w:rFonts w:ascii="Arial" w:hAnsi="Arial" w:cs="Arial"/>
          <w:b w:val="0"/>
          <w:caps w:val="0"/>
          <w:color w:val="000000"/>
          <w:sz w:val="20"/>
        </w:rPr>
        <w:t xml:space="preserve"> may be attributed to the rate of vaginal carriage of </w:t>
      </w:r>
      <w:r w:rsidRPr="00C3323B">
        <w:rPr>
          <w:rFonts w:ascii="Arial" w:hAnsi="Arial" w:cs="Arial"/>
          <w:b w:val="0"/>
          <w:i/>
          <w:iCs/>
          <w:caps w:val="0"/>
          <w:color w:val="000000"/>
          <w:sz w:val="20"/>
        </w:rPr>
        <w:t>S. aureus,</w:t>
      </w:r>
      <w:r w:rsidRPr="00C3323B">
        <w:rPr>
          <w:rFonts w:ascii="Arial" w:hAnsi="Arial" w:cs="Arial"/>
          <w:b w:val="0"/>
          <w:caps w:val="0"/>
          <w:color w:val="000000"/>
          <w:sz w:val="20"/>
        </w:rPr>
        <w:t xml:space="preserve"> which</w:t>
      </w:r>
      <w:r w:rsidRPr="00161D10">
        <w:rPr>
          <w:rFonts w:ascii="Arial" w:hAnsi="Arial" w:cs="Arial"/>
          <w:b w:val="0"/>
          <w:caps w:val="0"/>
          <w:color w:val="000000"/>
          <w:sz w:val="20"/>
        </w:rPr>
        <w:t xml:space="preserve"> has been reported to be 4% - 22% of the vaginal microbiota in pregnant women [3].</w:t>
      </w:r>
    </w:p>
    <w:p w14:paraId="42E7169F" w14:textId="70A9C829" w:rsidR="00487C6C" w:rsidRDefault="00161D10" w:rsidP="006C6176">
      <w:pPr>
        <w:pStyle w:val="ConcHead"/>
        <w:spacing w:after="0"/>
        <w:jc w:val="both"/>
        <w:rPr>
          <w:rFonts w:ascii="Arial" w:hAnsi="Arial" w:cs="Arial"/>
          <w:b w:val="0"/>
          <w:caps w:val="0"/>
          <w:color w:val="000000"/>
          <w:sz w:val="20"/>
        </w:rPr>
      </w:pPr>
      <w:r w:rsidRPr="00161D10">
        <w:rPr>
          <w:rFonts w:ascii="Arial" w:hAnsi="Arial" w:cs="Arial"/>
          <w:b w:val="0"/>
          <w:caps w:val="0"/>
          <w:color w:val="000000"/>
          <w:sz w:val="20"/>
        </w:rPr>
        <w:t xml:space="preserve">Frankly speaking, antimicrobial resistance (MDR) currently constitutes a continuous global health challenge with a world concern. According to the study carried out by the </w:t>
      </w:r>
      <w:r w:rsidR="00BB33AE" w:rsidRPr="00161D10">
        <w:rPr>
          <w:rFonts w:ascii="Arial" w:hAnsi="Arial" w:cs="Arial"/>
          <w:b w:val="0"/>
          <w:caps w:val="0"/>
          <w:color w:val="000000"/>
          <w:sz w:val="20"/>
        </w:rPr>
        <w:t>European</w:t>
      </w:r>
      <w:r w:rsidRPr="00161D10">
        <w:rPr>
          <w:rFonts w:ascii="Arial" w:hAnsi="Arial" w:cs="Arial"/>
          <w:b w:val="0"/>
          <w:caps w:val="0"/>
          <w:color w:val="000000"/>
          <w:sz w:val="20"/>
        </w:rPr>
        <w:t xml:space="preserve"> survey of antibiotic consumption, MDR bacterial strains in complicated UTIs are responsible for the mortality rate of approximately 25 000 Europeans/year. In our study there was </w:t>
      </w:r>
      <w:r w:rsidR="005C6996" w:rsidRPr="00161D10">
        <w:rPr>
          <w:rFonts w:ascii="Arial" w:hAnsi="Arial" w:cs="Arial"/>
          <w:b w:val="0"/>
          <w:caps w:val="0"/>
          <w:color w:val="000000"/>
          <w:sz w:val="20"/>
        </w:rPr>
        <w:t>a very</w:t>
      </w:r>
      <w:r w:rsidRPr="00161D10">
        <w:rPr>
          <w:rFonts w:ascii="Arial" w:hAnsi="Arial" w:cs="Arial"/>
          <w:b w:val="0"/>
          <w:caps w:val="0"/>
          <w:color w:val="000000"/>
          <w:sz w:val="20"/>
        </w:rPr>
        <w:t xml:space="preserve"> high level of antibiotic resistance by the </w:t>
      </w:r>
      <w:r w:rsidR="00BB33AE" w:rsidRPr="00161D10">
        <w:rPr>
          <w:rFonts w:ascii="Arial" w:hAnsi="Arial" w:cs="Arial"/>
          <w:b w:val="0"/>
          <w:caps w:val="0"/>
          <w:color w:val="000000"/>
          <w:sz w:val="20"/>
        </w:rPr>
        <w:t>isolated bacteria</w:t>
      </w:r>
      <w:r w:rsidRPr="00161D10">
        <w:rPr>
          <w:rFonts w:ascii="Arial" w:hAnsi="Arial" w:cs="Arial"/>
          <w:b w:val="0"/>
          <w:caps w:val="0"/>
          <w:color w:val="000000"/>
          <w:sz w:val="20"/>
        </w:rPr>
        <w:t xml:space="preserve">. Ciprofloxacin was the most susceptible antibiotics by both gram positive and </w:t>
      </w:r>
      <w:r w:rsidR="005C6996">
        <w:rPr>
          <w:rFonts w:ascii="Arial" w:hAnsi="Arial" w:cs="Arial"/>
          <w:b w:val="0"/>
          <w:caps w:val="0"/>
          <w:color w:val="000000"/>
          <w:sz w:val="20"/>
        </w:rPr>
        <w:t>G</w:t>
      </w:r>
      <w:r w:rsidRPr="00161D10">
        <w:rPr>
          <w:rFonts w:ascii="Arial" w:hAnsi="Arial" w:cs="Arial"/>
          <w:b w:val="0"/>
          <w:caps w:val="0"/>
          <w:color w:val="000000"/>
          <w:sz w:val="20"/>
        </w:rPr>
        <w:t>ram</w:t>
      </w:r>
      <w:r w:rsidR="005C6996">
        <w:rPr>
          <w:rFonts w:ascii="Arial" w:hAnsi="Arial" w:cs="Arial"/>
          <w:b w:val="0"/>
          <w:caps w:val="0"/>
          <w:color w:val="000000"/>
          <w:sz w:val="20"/>
        </w:rPr>
        <w:t>-</w:t>
      </w:r>
      <w:r w:rsidRPr="00161D10">
        <w:rPr>
          <w:rFonts w:ascii="Arial" w:hAnsi="Arial" w:cs="Arial"/>
          <w:b w:val="0"/>
          <w:caps w:val="0"/>
          <w:color w:val="000000"/>
          <w:sz w:val="20"/>
        </w:rPr>
        <w:t xml:space="preserve">negative bacteria hence is recommended for empirical use in case of suspected UTI. </w:t>
      </w:r>
      <w:r w:rsidR="005C6996" w:rsidRPr="00161D10">
        <w:rPr>
          <w:rFonts w:ascii="Arial" w:hAnsi="Arial" w:cs="Arial"/>
          <w:b w:val="0"/>
          <w:caps w:val="0"/>
          <w:color w:val="000000"/>
          <w:sz w:val="20"/>
        </w:rPr>
        <w:t>Knowledge</w:t>
      </w:r>
      <w:r w:rsidRPr="00161D10">
        <w:rPr>
          <w:rFonts w:ascii="Arial" w:hAnsi="Arial" w:cs="Arial"/>
          <w:b w:val="0"/>
          <w:caps w:val="0"/>
          <w:color w:val="000000"/>
          <w:sz w:val="20"/>
        </w:rPr>
        <w:t xml:space="preserve"> of the microorganism involves and antibiograms are important for the empirical treatment of UTIs [3].</w:t>
      </w:r>
    </w:p>
    <w:p w14:paraId="08B4BAD3" w14:textId="77777777" w:rsidR="00487C6C" w:rsidRPr="00305EF9" w:rsidRDefault="00487C6C" w:rsidP="00305EF9">
      <w:pPr>
        <w:pStyle w:val="ConcHead"/>
        <w:spacing w:after="0"/>
        <w:rPr>
          <w:rFonts w:ascii="Arial" w:hAnsi="Arial" w:cs="Arial"/>
          <w:b w:val="0"/>
          <w:color w:val="000000"/>
          <w:sz w:val="20"/>
        </w:rPr>
      </w:pPr>
    </w:p>
    <w:p w14:paraId="1B2CB9E4" w14:textId="77777777" w:rsidR="00305EF9" w:rsidRPr="00BA2730" w:rsidRDefault="00305EF9" w:rsidP="00CF7741">
      <w:pPr>
        <w:pStyle w:val="Body"/>
        <w:spacing w:after="0"/>
        <w:rPr>
          <w:rFonts w:ascii="Arial" w:hAnsi="Arial" w:cs="Arial"/>
        </w:rPr>
      </w:pPr>
    </w:p>
    <w:p w14:paraId="0C294C14"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02C5F5B5" w14:textId="55DF0122" w:rsidR="00B01FCD" w:rsidRDefault="00E0709B" w:rsidP="00441B6F">
      <w:pPr>
        <w:pStyle w:val="Body"/>
        <w:spacing w:after="0"/>
        <w:rPr>
          <w:rFonts w:ascii="Arial" w:hAnsi="Arial" w:cs="Arial"/>
        </w:rPr>
      </w:pPr>
      <w:r w:rsidRPr="00E0709B">
        <w:rPr>
          <w:rFonts w:ascii="Arial" w:hAnsi="Arial" w:cs="Arial"/>
        </w:rPr>
        <w:t>In our study, the most common isolated pathogens among outpatients were Gram-positive Staphylococcus aureus followed by Gram-negative E. coli. Furthermore, there</w:t>
      </w:r>
      <w:r w:rsidR="00196806">
        <w:rPr>
          <w:rFonts w:ascii="Arial" w:hAnsi="Arial" w:cs="Arial"/>
        </w:rPr>
        <w:t xml:space="preserve"> </w:t>
      </w:r>
      <w:r w:rsidR="00196806" w:rsidRPr="00196806">
        <w:rPr>
          <w:rFonts w:ascii="Arial" w:hAnsi="Arial" w:cs="Arial"/>
        </w:rPr>
        <w:t xml:space="preserve">was very high level of antibiotic resistance by the bacteria isolated. Ciprofloxacin was the most susceptible antibiotics by both gram positive and </w:t>
      </w:r>
      <w:r w:rsidR="00C17733">
        <w:rPr>
          <w:rFonts w:ascii="Arial" w:hAnsi="Arial" w:cs="Arial"/>
        </w:rPr>
        <w:t>G</w:t>
      </w:r>
      <w:r w:rsidR="00196806" w:rsidRPr="00196806">
        <w:rPr>
          <w:rFonts w:ascii="Arial" w:hAnsi="Arial" w:cs="Arial"/>
        </w:rPr>
        <w:t>ram</w:t>
      </w:r>
      <w:r w:rsidR="00C17733">
        <w:rPr>
          <w:rFonts w:ascii="Arial" w:hAnsi="Arial" w:cs="Arial"/>
        </w:rPr>
        <w:t>-</w:t>
      </w:r>
      <w:r w:rsidR="00196806" w:rsidRPr="00196806">
        <w:rPr>
          <w:rFonts w:ascii="Arial" w:hAnsi="Arial" w:cs="Arial"/>
        </w:rPr>
        <w:t xml:space="preserve">negative bacteria hence is recommended for empirical use in case of suspected UTI prior to release of urine microscopy culture and sensitivity result. </w:t>
      </w:r>
      <w:r w:rsidR="00C17733" w:rsidRPr="00196806">
        <w:rPr>
          <w:rFonts w:ascii="Arial" w:hAnsi="Arial" w:cs="Arial"/>
        </w:rPr>
        <w:t>The emergence</w:t>
      </w:r>
      <w:r w:rsidR="00196806" w:rsidRPr="00196806">
        <w:rPr>
          <w:rFonts w:ascii="Arial" w:hAnsi="Arial" w:cs="Arial"/>
        </w:rPr>
        <w:t xml:space="preserve"> of MDR organisms, which we reported in our study, threatens the management of patients with UTIs. This study will help physicians in prescribing appropriate antibiotics for the treatment of UTIs.</w:t>
      </w:r>
    </w:p>
    <w:p w14:paraId="7F6FCEC2" w14:textId="77777777" w:rsidR="00790ADA" w:rsidRPr="00FB3A86" w:rsidRDefault="00790ADA" w:rsidP="00441B6F">
      <w:pPr>
        <w:pStyle w:val="Body"/>
        <w:spacing w:after="0"/>
        <w:rPr>
          <w:rFonts w:ascii="Arial" w:hAnsi="Arial" w:cs="Arial"/>
        </w:rPr>
      </w:pPr>
    </w:p>
    <w:p w14:paraId="5C43B7B5" w14:textId="77777777" w:rsidR="002B685A" w:rsidRDefault="002B685A" w:rsidP="00441B6F">
      <w:pPr>
        <w:pStyle w:val="ReferHead"/>
        <w:spacing w:after="0"/>
        <w:jc w:val="both"/>
        <w:rPr>
          <w:rFonts w:ascii="Arial" w:hAnsi="Arial" w:cs="Arial"/>
          <w:b w:val="0"/>
          <w:caps w:val="0"/>
          <w:sz w:val="20"/>
        </w:rPr>
      </w:pPr>
    </w:p>
    <w:p w14:paraId="2CEB78A4" w14:textId="6210D48B" w:rsidR="002B685A" w:rsidRDefault="002B685A" w:rsidP="00441B6F">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t>
      </w:r>
    </w:p>
    <w:p w14:paraId="357C0E75" w14:textId="091D0FDD" w:rsidR="001A29D8" w:rsidRPr="00AD3135" w:rsidRDefault="001A29D8" w:rsidP="00441B6F">
      <w:pPr>
        <w:pStyle w:val="ReferHead"/>
        <w:spacing w:after="0"/>
        <w:jc w:val="both"/>
        <w:rPr>
          <w:rFonts w:ascii="Arial" w:hAnsi="Arial" w:cs="Arial"/>
          <w:b w:val="0"/>
          <w:caps w:val="0"/>
          <w:sz w:val="20"/>
        </w:rPr>
      </w:pPr>
      <w:r w:rsidRPr="00AD3135">
        <w:rPr>
          <w:rFonts w:ascii="Arial" w:hAnsi="Arial" w:cs="Arial"/>
          <w:b w:val="0"/>
          <w:caps w:val="0"/>
          <w:sz w:val="20"/>
        </w:rPr>
        <w:t xml:space="preserve">All authors declare that written informed consent was obtained from the patient (or other approved parties) for publication of this case report and accompanying images. A copy of the </w:t>
      </w:r>
      <w:r w:rsidRPr="00AD3135">
        <w:rPr>
          <w:rFonts w:ascii="Arial" w:hAnsi="Arial" w:cs="Arial"/>
          <w:b w:val="0"/>
          <w:caps w:val="0"/>
          <w:sz w:val="20"/>
        </w:rPr>
        <w:lastRenderedPageBreak/>
        <w:t>written consent is available for review by the Editorial office/Chief Editor/Editorial Board members of this journal.</w:t>
      </w:r>
    </w:p>
    <w:p w14:paraId="73437BC9" w14:textId="77777777" w:rsidR="001A29D8" w:rsidRDefault="001A29D8" w:rsidP="00441B6F">
      <w:pPr>
        <w:pStyle w:val="ReferHead"/>
        <w:spacing w:after="0"/>
        <w:jc w:val="both"/>
        <w:rPr>
          <w:rFonts w:ascii="Arial" w:hAnsi="Arial" w:cs="Arial"/>
          <w:b w:val="0"/>
          <w:caps w:val="0"/>
          <w:sz w:val="20"/>
        </w:rPr>
      </w:pPr>
    </w:p>
    <w:p w14:paraId="77F608EF" w14:textId="7735D44D" w:rsidR="005C784C" w:rsidRDefault="005C784C" w:rsidP="00441B6F">
      <w:pPr>
        <w:pStyle w:val="ReferHead"/>
        <w:spacing w:after="0"/>
        <w:jc w:val="both"/>
        <w:rPr>
          <w:rFonts w:ascii="Arial" w:hAnsi="Arial" w:cs="Arial"/>
          <w:bCs/>
        </w:rPr>
      </w:pPr>
      <w:r>
        <w:rPr>
          <w:rFonts w:ascii="Arial" w:hAnsi="Arial" w:cs="Arial"/>
          <w:bCs/>
        </w:rPr>
        <w:t xml:space="preserve">Ethical approval </w:t>
      </w:r>
    </w:p>
    <w:p w14:paraId="404618A6" w14:textId="3A0580FF" w:rsidR="00CD6856" w:rsidRDefault="004868FF" w:rsidP="00441B6F">
      <w:pPr>
        <w:pStyle w:val="ReferHead"/>
        <w:spacing w:after="0"/>
        <w:jc w:val="both"/>
        <w:rPr>
          <w:rFonts w:ascii="Arial" w:hAnsi="Arial" w:cs="Arial"/>
          <w:b w:val="0"/>
          <w:caps w:val="0"/>
          <w:sz w:val="20"/>
        </w:rPr>
      </w:pPr>
      <w:r w:rsidRPr="004868FF">
        <w:rPr>
          <w:rFonts w:ascii="Arial" w:hAnsi="Arial" w:cs="Arial"/>
          <w:b w:val="0"/>
          <w:caps w:val="0"/>
          <w:sz w:val="20"/>
        </w:rPr>
        <w:t>Ethical clearance permitting the conduct of this study was approved by research and ethics of Federal Medical Centre Asaba.</w:t>
      </w:r>
    </w:p>
    <w:p w14:paraId="31575947" w14:textId="77777777" w:rsidR="00CD6856" w:rsidRDefault="00CD6856" w:rsidP="00441B6F">
      <w:pPr>
        <w:pStyle w:val="ReferHead"/>
        <w:spacing w:after="0"/>
        <w:jc w:val="both"/>
        <w:rPr>
          <w:rFonts w:ascii="Arial" w:hAnsi="Arial" w:cs="Arial"/>
          <w:b w:val="0"/>
          <w:caps w:val="0"/>
          <w:sz w:val="20"/>
        </w:rPr>
      </w:pPr>
    </w:p>
    <w:p w14:paraId="7F08BF39" w14:textId="77777777" w:rsidR="0041027F" w:rsidRPr="00395507" w:rsidRDefault="00CD6856" w:rsidP="00441B6F">
      <w:pPr>
        <w:pStyle w:val="ReferHead"/>
        <w:spacing w:after="0"/>
        <w:jc w:val="both"/>
        <w:rPr>
          <w:rFonts w:ascii="Arial" w:hAnsi="Arial" w:cs="Arial"/>
          <w:b w:val="0"/>
          <w:caps w:val="0"/>
          <w:sz w:val="20"/>
        </w:rPr>
      </w:pPr>
      <w:r w:rsidRPr="00395507">
        <w:rPr>
          <w:rFonts w:ascii="Arial" w:hAnsi="Arial" w:cs="Arial"/>
          <w:b w:val="0"/>
          <w:caps w:val="0"/>
          <w:sz w:val="20"/>
        </w:rPr>
        <w:t>For manuscripts involving human experiments, Authors may use the following wordings for this section</w:t>
      </w:r>
      <w:r w:rsidR="001A29D8" w:rsidRPr="00395507">
        <w:rPr>
          <w:rFonts w:ascii="Arial" w:hAnsi="Arial" w:cs="Arial"/>
          <w:b w:val="0"/>
          <w:caps w:val="0"/>
          <w:sz w:val="20"/>
        </w:rPr>
        <w:t>: “All authors hereby declare that a</w:t>
      </w:r>
      <w:r w:rsidR="0041027F" w:rsidRPr="00395507">
        <w:rPr>
          <w:rFonts w:ascii="Arial" w:hAnsi="Arial" w:cs="Arial"/>
          <w:b w:val="0"/>
          <w:caps w:val="0"/>
          <w:sz w:val="20"/>
        </w:rPr>
        <w:t xml:space="preserve">ll </w:t>
      </w:r>
      <w:r w:rsidR="00F469F0" w:rsidRPr="00395507">
        <w:rPr>
          <w:rFonts w:ascii="Arial" w:hAnsi="Arial" w:cs="Arial"/>
          <w:b w:val="0"/>
          <w:caps w:val="0"/>
          <w:sz w:val="20"/>
        </w:rPr>
        <w:t>experiments</w:t>
      </w:r>
      <w:r w:rsidR="0041027F" w:rsidRPr="00395507">
        <w:rPr>
          <w:rFonts w:ascii="Arial" w:hAnsi="Arial" w:cs="Arial"/>
          <w:b w:val="0"/>
          <w:caps w:val="0"/>
          <w:sz w:val="20"/>
        </w:rPr>
        <w:t xml:space="preserve"> have been examined</w:t>
      </w:r>
      <w:r w:rsidR="001A29D8" w:rsidRPr="00395507">
        <w:rPr>
          <w:rFonts w:ascii="Arial" w:hAnsi="Arial" w:cs="Arial"/>
          <w:b w:val="0"/>
          <w:caps w:val="0"/>
          <w:sz w:val="20"/>
        </w:rPr>
        <w:t xml:space="preserve"> and approved</w:t>
      </w:r>
      <w:r w:rsidR="0041027F" w:rsidRPr="00395507">
        <w:rPr>
          <w:rFonts w:ascii="Arial" w:hAnsi="Arial" w:cs="Arial"/>
          <w:b w:val="0"/>
          <w:caps w:val="0"/>
          <w:sz w:val="20"/>
        </w:rPr>
        <w:t xml:space="preserve"> by the appropriate ethics committee and have therefore been performed in accordance with the ethical standards laid down in the 1964 Declaration of Helsinki.</w:t>
      </w:r>
      <w:r w:rsidR="001A29D8" w:rsidRPr="00395507">
        <w:rPr>
          <w:rFonts w:ascii="Arial" w:hAnsi="Arial" w:cs="Arial"/>
          <w:b w:val="0"/>
          <w:caps w:val="0"/>
          <w:sz w:val="20"/>
        </w:rPr>
        <w:t>”</w:t>
      </w:r>
    </w:p>
    <w:p w14:paraId="0D9CE406" w14:textId="77777777" w:rsidR="00860000" w:rsidRDefault="00860000" w:rsidP="00441B6F">
      <w:pPr>
        <w:pStyle w:val="ReferHead"/>
        <w:spacing w:after="0"/>
        <w:jc w:val="both"/>
        <w:rPr>
          <w:rFonts w:ascii="Arial" w:hAnsi="Arial" w:cs="Arial"/>
        </w:rPr>
      </w:pPr>
    </w:p>
    <w:p w14:paraId="56E46676"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45798C0D" w14:textId="734F41B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1. Najafabadi MP, Dagoohian A, Rajaie S, Esfahani SHZ, Edalati M. Common microbial causes of significant bacteriuria and their antibiotic</w:t>
      </w:r>
      <w:r>
        <w:rPr>
          <w:rFonts w:ascii="Arial" w:hAnsi="Arial" w:cs="Arial"/>
          <w:color w:val="000000"/>
        </w:rPr>
        <w:t xml:space="preserve"> </w:t>
      </w:r>
      <w:r w:rsidRPr="005C07C2">
        <w:rPr>
          <w:rFonts w:ascii="Arial" w:hAnsi="Arial" w:cs="Arial"/>
          <w:color w:val="000000"/>
        </w:rPr>
        <w:t>resistance pattern in the Isfahan Province of Iran. J Chemother</w:t>
      </w:r>
      <w:r>
        <w:rPr>
          <w:rFonts w:ascii="Arial" w:hAnsi="Arial" w:cs="Arial"/>
          <w:color w:val="000000"/>
        </w:rPr>
        <w:t xml:space="preserve">, </w:t>
      </w:r>
      <w:r w:rsidRPr="005C07C2">
        <w:rPr>
          <w:rFonts w:ascii="Arial" w:hAnsi="Arial" w:cs="Arial"/>
          <w:color w:val="000000"/>
        </w:rPr>
        <w:t>2018</w:t>
      </w:r>
      <w:r>
        <w:rPr>
          <w:rFonts w:ascii="Arial" w:hAnsi="Arial" w:cs="Arial"/>
          <w:color w:val="000000"/>
        </w:rPr>
        <w:t xml:space="preserve">; </w:t>
      </w:r>
      <w:r w:rsidRPr="005C07C2">
        <w:rPr>
          <w:rFonts w:ascii="Arial" w:hAnsi="Arial" w:cs="Arial"/>
          <w:color w:val="000000"/>
        </w:rPr>
        <w:t>30:</w:t>
      </w:r>
      <w:r>
        <w:rPr>
          <w:rFonts w:ascii="Arial" w:hAnsi="Arial" w:cs="Arial"/>
          <w:color w:val="000000"/>
        </w:rPr>
        <w:t xml:space="preserve"> </w:t>
      </w:r>
      <w:r w:rsidRPr="005C07C2">
        <w:rPr>
          <w:rFonts w:ascii="Arial" w:hAnsi="Arial" w:cs="Arial"/>
          <w:color w:val="000000"/>
        </w:rPr>
        <w:t>348–53.</w:t>
      </w:r>
    </w:p>
    <w:p w14:paraId="62FEA8B6" w14:textId="33ED79EF"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2. Tandogdu Z, Wagenlehner FM. Global epidemiology of urinary tract infections. Curr Opin Infect Dis</w:t>
      </w:r>
      <w:r>
        <w:rPr>
          <w:rFonts w:ascii="Arial" w:hAnsi="Arial" w:cs="Arial"/>
          <w:color w:val="000000"/>
        </w:rPr>
        <w:t xml:space="preserve">, </w:t>
      </w:r>
      <w:r w:rsidRPr="005C07C2">
        <w:rPr>
          <w:rFonts w:ascii="Arial" w:hAnsi="Arial" w:cs="Arial"/>
          <w:color w:val="000000"/>
        </w:rPr>
        <w:t>2016</w:t>
      </w:r>
      <w:r>
        <w:rPr>
          <w:rFonts w:ascii="Arial" w:hAnsi="Arial" w:cs="Arial"/>
          <w:color w:val="000000"/>
        </w:rPr>
        <w:t xml:space="preserve">; </w:t>
      </w:r>
      <w:r w:rsidRPr="005C07C2">
        <w:rPr>
          <w:rFonts w:ascii="Arial" w:hAnsi="Arial" w:cs="Arial"/>
          <w:color w:val="000000"/>
        </w:rPr>
        <w:t>29:</w:t>
      </w:r>
      <w:r>
        <w:rPr>
          <w:rFonts w:ascii="Arial" w:hAnsi="Arial" w:cs="Arial"/>
          <w:color w:val="000000"/>
        </w:rPr>
        <w:t xml:space="preserve"> </w:t>
      </w:r>
      <w:r w:rsidRPr="005C07C2">
        <w:rPr>
          <w:rFonts w:ascii="Arial" w:hAnsi="Arial" w:cs="Arial"/>
          <w:color w:val="000000"/>
        </w:rPr>
        <w:t>73–9.</w:t>
      </w:r>
    </w:p>
    <w:p w14:paraId="5E9B2DB9" w14:textId="77777777" w:rsidR="004E434E" w:rsidRDefault="004E434E" w:rsidP="004E434E">
      <w:pPr>
        <w:ind w:left="142" w:hanging="284"/>
        <w:jc w:val="both"/>
        <w:rPr>
          <w:rFonts w:ascii="Arial" w:hAnsi="Arial" w:cs="Arial"/>
          <w:color w:val="000000"/>
          <w:shd w:val="clear" w:color="auto" w:fill="FFFFFF"/>
        </w:rPr>
      </w:pPr>
      <w:r w:rsidRPr="005C07C2">
        <w:rPr>
          <w:rFonts w:ascii="Arial" w:hAnsi="Arial" w:cs="Arial"/>
          <w:color w:val="000000"/>
          <w:shd w:val="clear" w:color="auto" w:fill="FFFFFF"/>
        </w:rPr>
        <w:t>3. Muhammad, A., Khan, S. N., Ali, N., Rehman, M. U., &amp; Ali, I. Prevalence and antibiotic susceptibility pattern of uropathogens in outpatients at a tertiary care hospital. </w:t>
      </w:r>
      <w:r w:rsidRPr="005C07C2">
        <w:rPr>
          <w:rFonts w:ascii="Arial" w:hAnsi="Arial" w:cs="Arial"/>
          <w:i/>
          <w:iCs/>
          <w:color w:val="000000"/>
          <w:shd w:val="clear" w:color="auto" w:fill="FFFFFF"/>
        </w:rPr>
        <w:t>New Microbes and new infections</w:t>
      </w:r>
      <w:r w:rsidRPr="005C07C2">
        <w:rPr>
          <w:rFonts w:ascii="Arial" w:hAnsi="Arial" w:cs="Arial"/>
          <w:color w:val="000000"/>
          <w:shd w:val="clear" w:color="auto" w:fill="FFFFFF"/>
        </w:rPr>
        <w:t>,</w:t>
      </w:r>
      <w:r>
        <w:rPr>
          <w:rFonts w:ascii="Arial" w:hAnsi="Arial" w:cs="Arial"/>
          <w:color w:val="000000"/>
          <w:shd w:val="clear" w:color="auto" w:fill="FFFFFF"/>
        </w:rPr>
        <w:t xml:space="preserve"> </w:t>
      </w:r>
      <w:r w:rsidRPr="005C07C2">
        <w:rPr>
          <w:rFonts w:ascii="Arial" w:hAnsi="Arial" w:cs="Arial"/>
          <w:color w:val="000000"/>
          <w:shd w:val="clear" w:color="auto" w:fill="FFFFFF"/>
        </w:rPr>
        <w:t>2020</w:t>
      </w:r>
      <w:r>
        <w:rPr>
          <w:rFonts w:ascii="Arial" w:hAnsi="Arial" w:cs="Arial"/>
          <w:color w:val="000000"/>
          <w:shd w:val="clear" w:color="auto" w:fill="FFFFFF"/>
        </w:rPr>
        <w:t>;</w:t>
      </w:r>
      <w:r w:rsidRPr="005C07C2">
        <w:rPr>
          <w:rFonts w:ascii="Arial" w:hAnsi="Arial" w:cs="Arial"/>
          <w:color w:val="000000"/>
          <w:shd w:val="clear" w:color="auto" w:fill="FFFFFF"/>
        </w:rPr>
        <w:t> </w:t>
      </w:r>
      <w:r w:rsidRPr="005C07C2">
        <w:rPr>
          <w:rFonts w:ascii="Arial" w:hAnsi="Arial" w:cs="Arial"/>
          <w:i/>
          <w:iCs/>
          <w:color w:val="000000"/>
          <w:shd w:val="clear" w:color="auto" w:fill="FFFFFF"/>
        </w:rPr>
        <w:t>36</w:t>
      </w:r>
      <w:r>
        <w:rPr>
          <w:rFonts w:ascii="Arial" w:hAnsi="Arial" w:cs="Arial"/>
          <w:i/>
          <w:iCs/>
          <w:color w:val="000000"/>
          <w:shd w:val="clear" w:color="auto" w:fill="FFFFFF"/>
        </w:rPr>
        <w:t>:</w:t>
      </w:r>
      <w:r w:rsidRPr="005C07C2">
        <w:rPr>
          <w:rFonts w:ascii="Arial" w:hAnsi="Arial" w:cs="Arial"/>
          <w:color w:val="000000"/>
          <w:shd w:val="clear" w:color="auto" w:fill="FFFFFF"/>
        </w:rPr>
        <w:t xml:space="preserve"> 100716.</w:t>
      </w:r>
    </w:p>
    <w:p w14:paraId="023609B9" w14:textId="77777777" w:rsidR="004E434E" w:rsidRPr="005C07C2" w:rsidRDefault="004E434E" w:rsidP="004E434E">
      <w:pPr>
        <w:spacing w:line="259" w:lineRule="auto"/>
        <w:ind w:left="142" w:hanging="284"/>
        <w:jc w:val="both"/>
        <w:rPr>
          <w:rFonts w:ascii="Arial" w:hAnsi="Arial" w:cs="Arial"/>
          <w:color w:val="000000"/>
        </w:rPr>
      </w:pPr>
      <w:r w:rsidRPr="005C07C2">
        <w:rPr>
          <w:rFonts w:ascii="Arial" w:hAnsi="Arial" w:cs="Arial"/>
          <w:color w:val="000000"/>
        </w:rPr>
        <w:t>4. Arjunan M, Salamah A, Amuthan M. Prevalence and antibiotics susceptibility of uropathogens in patients from a rural environment, Tamilnadu. Am J Infect Dis</w:t>
      </w:r>
      <w:r>
        <w:rPr>
          <w:rFonts w:ascii="Arial" w:hAnsi="Arial" w:cs="Arial"/>
          <w:color w:val="000000"/>
        </w:rPr>
        <w:t xml:space="preserve">, </w:t>
      </w:r>
      <w:r w:rsidRPr="005C07C2">
        <w:rPr>
          <w:rFonts w:ascii="Arial" w:hAnsi="Arial" w:cs="Arial"/>
          <w:color w:val="000000"/>
        </w:rPr>
        <w:t>2010;</w:t>
      </w:r>
      <w:r>
        <w:rPr>
          <w:rFonts w:ascii="Arial" w:hAnsi="Arial" w:cs="Arial"/>
          <w:color w:val="000000"/>
        </w:rPr>
        <w:t xml:space="preserve"> </w:t>
      </w:r>
      <w:r w:rsidRPr="005C07C2">
        <w:rPr>
          <w:rFonts w:ascii="Arial" w:hAnsi="Arial" w:cs="Arial"/>
          <w:color w:val="000000"/>
        </w:rPr>
        <w:t>6:</w:t>
      </w:r>
      <w:r>
        <w:rPr>
          <w:rFonts w:ascii="Arial" w:hAnsi="Arial" w:cs="Arial"/>
          <w:color w:val="000000"/>
        </w:rPr>
        <w:t xml:space="preserve"> </w:t>
      </w:r>
      <w:r w:rsidRPr="005C07C2">
        <w:rPr>
          <w:rFonts w:ascii="Arial" w:hAnsi="Arial" w:cs="Arial"/>
          <w:color w:val="000000"/>
        </w:rPr>
        <w:t>29–33.</w:t>
      </w:r>
    </w:p>
    <w:p w14:paraId="6E1FA6D1"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5. Lichtenberger P, Hooton TM. Complicated urinary tract infections. Curr Infect Dis Rep</w:t>
      </w:r>
      <w:r>
        <w:rPr>
          <w:rFonts w:ascii="Arial" w:hAnsi="Arial" w:cs="Arial"/>
          <w:color w:val="000000"/>
        </w:rPr>
        <w:t xml:space="preserve">, </w:t>
      </w:r>
      <w:r w:rsidRPr="005C07C2">
        <w:rPr>
          <w:rFonts w:ascii="Arial" w:hAnsi="Arial" w:cs="Arial"/>
          <w:color w:val="000000"/>
        </w:rPr>
        <w:t>2008</w:t>
      </w:r>
      <w:r>
        <w:rPr>
          <w:rFonts w:ascii="Arial" w:hAnsi="Arial" w:cs="Arial"/>
          <w:color w:val="000000"/>
        </w:rPr>
        <w:t>;</w:t>
      </w:r>
      <w:r w:rsidRPr="005C07C2">
        <w:rPr>
          <w:rFonts w:ascii="Arial" w:hAnsi="Arial" w:cs="Arial"/>
          <w:color w:val="000000"/>
        </w:rPr>
        <w:t xml:space="preserve"> 10:</w:t>
      </w:r>
      <w:r>
        <w:rPr>
          <w:rFonts w:ascii="Arial" w:hAnsi="Arial" w:cs="Arial"/>
          <w:color w:val="000000"/>
        </w:rPr>
        <w:t xml:space="preserve"> </w:t>
      </w:r>
      <w:r w:rsidRPr="005C07C2">
        <w:rPr>
          <w:rFonts w:ascii="Arial" w:hAnsi="Arial" w:cs="Arial"/>
          <w:color w:val="000000"/>
        </w:rPr>
        <w:t>499–504.</w:t>
      </w:r>
    </w:p>
    <w:p w14:paraId="4F4F8B00"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6. Mireles ALF, Walker JN, Caparon M, Hultgren SJ. Urinary tract infections:epidemiology, mechanisms of infection, and treatment options.Nat Rev Microbiol</w:t>
      </w:r>
      <w:r>
        <w:rPr>
          <w:rFonts w:ascii="Arial" w:hAnsi="Arial" w:cs="Arial"/>
          <w:color w:val="000000"/>
        </w:rPr>
        <w:t xml:space="preserve">., </w:t>
      </w:r>
      <w:r w:rsidRPr="005C07C2">
        <w:rPr>
          <w:rFonts w:ascii="Arial" w:hAnsi="Arial" w:cs="Arial"/>
          <w:color w:val="000000"/>
        </w:rPr>
        <w:t>2015</w:t>
      </w:r>
      <w:r>
        <w:rPr>
          <w:rFonts w:ascii="Arial" w:hAnsi="Arial" w:cs="Arial"/>
          <w:color w:val="000000"/>
        </w:rPr>
        <w:t>;</w:t>
      </w:r>
      <w:r w:rsidRPr="005C07C2">
        <w:rPr>
          <w:rFonts w:ascii="Arial" w:hAnsi="Arial" w:cs="Arial"/>
          <w:color w:val="000000"/>
        </w:rPr>
        <w:t xml:space="preserve"> 13:</w:t>
      </w:r>
      <w:r>
        <w:rPr>
          <w:rFonts w:ascii="Arial" w:hAnsi="Arial" w:cs="Arial"/>
          <w:color w:val="000000"/>
        </w:rPr>
        <w:t xml:space="preserve"> </w:t>
      </w:r>
      <w:r w:rsidRPr="005C07C2">
        <w:rPr>
          <w:rFonts w:ascii="Arial" w:hAnsi="Arial" w:cs="Arial"/>
          <w:color w:val="000000"/>
        </w:rPr>
        <w:t>269–84.</w:t>
      </w:r>
    </w:p>
    <w:p w14:paraId="39945F22"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7. Prah JK, Amoah S, Ocansey DW, Arthur R, Walker E, Yeboah DO. Evaluation of urinalysis parameters and antimicrobial susceptibility of uropathogens among out-patients at the University of cape coast hospital. Ghana Med J</w:t>
      </w:r>
      <w:r>
        <w:rPr>
          <w:rFonts w:ascii="Arial" w:hAnsi="Arial" w:cs="Arial"/>
          <w:color w:val="000000"/>
        </w:rPr>
        <w:t xml:space="preserve">. </w:t>
      </w:r>
      <w:r w:rsidRPr="005C07C2">
        <w:rPr>
          <w:rFonts w:ascii="Arial" w:hAnsi="Arial" w:cs="Arial"/>
          <w:color w:val="000000"/>
        </w:rPr>
        <w:t>2019</w:t>
      </w:r>
      <w:r>
        <w:rPr>
          <w:rFonts w:ascii="Arial" w:hAnsi="Arial" w:cs="Arial"/>
          <w:color w:val="000000"/>
        </w:rPr>
        <w:t>;</w:t>
      </w:r>
      <w:r w:rsidRPr="005C07C2">
        <w:rPr>
          <w:rFonts w:ascii="Arial" w:hAnsi="Arial" w:cs="Arial"/>
          <w:color w:val="000000"/>
        </w:rPr>
        <w:t xml:space="preserve"> 53:</w:t>
      </w:r>
      <w:r>
        <w:rPr>
          <w:rFonts w:ascii="Arial" w:hAnsi="Arial" w:cs="Arial"/>
          <w:color w:val="000000"/>
        </w:rPr>
        <w:t xml:space="preserve"> </w:t>
      </w:r>
      <w:r w:rsidRPr="005C07C2">
        <w:rPr>
          <w:rFonts w:ascii="Arial" w:hAnsi="Arial" w:cs="Arial"/>
          <w:color w:val="000000"/>
        </w:rPr>
        <w:t>44–51.</w:t>
      </w:r>
    </w:p>
    <w:p w14:paraId="0C1276EB"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8. Spellberg B, Bartlett JG, Gilbert DN. The future of antibiotics and</w:t>
      </w:r>
      <w:r>
        <w:rPr>
          <w:rFonts w:ascii="Arial" w:hAnsi="Arial" w:cs="Arial"/>
          <w:color w:val="000000"/>
        </w:rPr>
        <w:t xml:space="preserve"> </w:t>
      </w:r>
      <w:r w:rsidRPr="005C07C2">
        <w:rPr>
          <w:rFonts w:ascii="Arial" w:hAnsi="Arial" w:cs="Arial"/>
          <w:color w:val="000000"/>
        </w:rPr>
        <w:t>resistance. N Engl J Med</w:t>
      </w:r>
      <w:r>
        <w:rPr>
          <w:rFonts w:ascii="Arial" w:hAnsi="Arial" w:cs="Arial"/>
          <w:color w:val="000000"/>
        </w:rPr>
        <w:t xml:space="preserve">., </w:t>
      </w:r>
      <w:r w:rsidRPr="005C07C2">
        <w:rPr>
          <w:rFonts w:ascii="Arial" w:hAnsi="Arial" w:cs="Arial"/>
          <w:color w:val="000000"/>
        </w:rPr>
        <w:t>2013</w:t>
      </w:r>
      <w:r>
        <w:rPr>
          <w:rFonts w:ascii="Arial" w:hAnsi="Arial" w:cs="Arial"/>
          <w:color w:val="000000"/>
        </w:rPr>
        <w:t>;</w:t>
      </w:r>
      <w:r w:rsidRPr="005C07C2">
        <w:rPr>
          <w:rFonts w:ascii="Arial" w:hAnsi="Arial" w:cs="Arial"/>
          <w:color w:val="000000"/>
        </w:rPr>
        <w:t xml:space="preserve"> 368:</w:t>
      </w:r>
      <w:r>
        <w:rPr>
          <w:rFonts w:ascii="Arial" w:hAnsi="Arial" w:cs="Arial"/>
          <w:color w:val="000000"/>
        </w:rPr>
        <w:t xml:space="preserve"> </w:t>
      </w:r>
      <w:r w:rsidRPr="005C07C2">
        <w:rPr>
          <w:rFonts w:ascii="Arial" w:hAnsi="Arial" w:cs="Arial"/>
          <w:color w:val="000000"/>
        </w:rPr>
        <w:t>299–302.</w:t>
      </w:r>
    </w:p>
    <w:p w14:paraId="3B68C780"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9. Onyango H. A., Ngugi C., Maina J., Kiiru, J. Urinary tract infection among pregnant women of Pumwani maternity hospital, Nairobi, Kenya: Bacterial Etiologic agents, antimicrobial susceptibility profiles and associated risk factors. Adv. Microbiol.</w:t>
      </w:r>
      <w:r>
        <w:rPr>
          <w:rFonts w:ascii="Arial" w:hAnsi="Arial" w:cs="Arial"/>
          <w:color w:val="000000"/>
        </w:rPr>
        <w:t xml:space="preserve">, </w:t>
      </w:r>
      <w:r w:rsidRPr="005C07C2">
        <w:rPr>
          <w:rFonts w:ascii="Arial" w:hAnsi="Arial" w:cs="Arial"/>
          <w:color w:val="000000"/>
        </w:rPr>
        <w:t>2018</w:t>
      </w:r>
      <w:r>
        <w:rPr>
          <w:rFonts w:ascii="Arial" w:hAnsi="Arial" w:cs="Arial"/>
          <w:color w:val="000000"/>
        </w:rPr>
        <w:t>;</w:t>
      </w:r>
      <w:r w:rsidRPr="005C07C2">
        <w:rPr>
          <w:rFonts w:ascii="Arial" w:hAnsi="Arial" w:cs="Arial"/>
          <w:color w:val="000000"/>
        </w:rPr>
        <w:t xml:space="preserve"> 8</w:t>
      </w:r>
      <w:r>
        <w:rPr>
          <w:rFonts w:ascii="Arial" w:hAnsi="Arial" w:cs="Arial"/>
          <w:color w:val="000000"/>
        </w:rPr>
        <w:t>:</w:t>
      </w:r>
      <w:r w:rsidRPr="005C07C2">
        <w:rPr>
          <w:rFonts w:ascii="Arial" w:hAnsi="Arial" w:cs="Arial"/>
          <w:color w:val="000000"/>
        </w:rPr>
        <w:t xml:space="preserve"> 175-87.</w:t>
      </w:r>
    </w:p>
    <w:p w14:paraId="3DBA40D5"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 xml:space="preserve">10. Kaduma J., Seni J., Chuma C., Kirita R., Maujuni F., Mushi M. F. </w:t>
      </w:r>
      <w:r w:rsidRPr="005C07C2">
        <w:rPr>
          <w:rFonts w:ascii="Arial" w:hAnsi="Arial" w:cs="Arial"/>
          <w:i/>
          <w:color w:val="000000"/>
        </w:rPr>
        <w:t>et al.</w:t>
      </w:r>
      <w:r>
        <w:rPr>
          <w:rFonts w:ascii="Arial" w:hAnsi="Arial" w:cs="Arial"/>
          <w:i/>
          <w:color w:val="000000"/>
        </w:rPr>
        <w:t xml:space="preserve"> </w:t>
      </w:r>
      <w:r w:rsidRPr="005C07C2">
        <w:rPr>
          <w:rFonts w:ascii="Arial" w:hAnsi="Arial" w:cs="Arial"/>
          <w:color w:val="000000"/>
        </w:rPr>
        <w:t>Urinary tract infections and preeclampsia among pregnant women attending two hospitals in Mwznza city, Tanzania: A1:2 matched case control study. BioMed Res. Inter.</w:t>
      </w:r>
      <w:r>
        <w:rPr>
          <w:rFonts w:ascii="Arial" w:hAnsi="Arial" w:cs="Arial"/>
          <w:color w:val="000000"/>
        </w:rPr>
        <w:t xml:space="preserve">, </w:t>
      </w:r>
      <w:r w:rsidRPr="005C07C2">
        <w:rPr>
          <w:rFonts w:ascii="Arial" w:hAnsi="Arial" w:cs="Arial"/>
          <w:color w:val="000000"/>
        </w:rPr>
        <w:t>2019</w:t>
      </w:r>
      <w:r>
        <w:rPr>
          <w:rFonts w:ascii="Arial" w:hAnsi="Arial" w:cs="Arial"/>
          <w:color w:val="000000"/>
        </w:rPr>
        <w:t>;</w:t>
      </w:r>
      <w:r w:rsidRPr="005C07C2">
        <w:rPr>
          <w:rFonts w:ascii="Arial" w:hAnsi="Arial" w:cs="Arial"/>
          <w:color w:val="000000"/>
        </w:rPr>
        <w:t xml:space="preserve"> Article ID 3937812.</w:t>
      </w:r>
    </w:p>
    <w:p w14:paraId="2D560239" w14:textId="77777777" w:rsidR="004E434E" w:rsidRPr="005C07C2" w:rsidRDefault="004E434E" w:rsidP="004E434E">
      <w:pPr>
        <w:autoSpaceDE w:val="0"/>
        <w:autoSpaceDN w:val="0"/>
        <w:adjustRightInd w:val="0"/>
        <w:ind w:left="142" w:hanging="284"/>
        <w:jc w:val="both"/>
        <w:rPr>
          <w:rFonts w:ascii="Arial" w:hAnsi="Arial" w:cs="Arial"/>
          <w:bCs/>
          <w:color w:val="000000"/>
        </w:rPr>
      </w:pPr>
      <w:r w:rsidRPr="005C07C2">
        <w:rPr>
          <w:rFonts w:ascii="Arial" w:hAnsi="Arial" w:cs="Arial"/>
          <w:color w:val="000000"/>
          <w:shd w:val="clear" w:color="auto" w:fill="FFFFFF"/>
        </w:rPr>
        <w:t>11. Ekwealor, C. C., Okonkwo, C. I., Anyaoha, V. I., &amp; Nwofor, M. N. Urinary Tract Infection and Antibiotic Susceptibility Profile of Uropathogens among Pregnant Women in Ogidi, Southeast Nigeria. </w:t>
      </w:r>
      <w:r w:rsidRPr="005C07C2">
        <w:rPr>
          <w:rFonts w:ascii="Arial" w:hAnsi="Arial" w:cs="Arial"/>
          <w:i/>
          <w:iCs/>
          <w:color w:val="000000"/>
          <w:shd w:val="clear" w:color="auto" w:fill="FFFFFF"/>
        </w:rPr>
        <w:t>African Journal of Biomedical Research</w:t>
      </w:r>
      <w:r w:rsidRPr="005C07C2">
        <w:rPr>
          <w:rFonts w:ascii="Arial" w:hAnsi="Arial" w:cs="Arial"/>
          <w:color w:val="000000"/>
          <w:shd w:val="clear" w:color="auto" w:fill="FFFFFF"/>
        </w:rPr>
        <w:t>,</w:t>
      </w:r>
      <w:r>
        <w:rPr>
          <w:rFonts w:ascii="Arial" w:hAnsi="Arial" w:cs="Arial"/>
          <w:color w:val="000000"/>
          <w:shd w:val="clear" w:color="auto" w:fill="FFFFFF"/>
        </w:rPr>
        <w:t xml:space="preserve"> </w:t>
      </w:r>
      <w:r w:rsidRPr="005C07C2">
        <w:rPr>
          <w:rFonts w:ascii="Arial" w:hAnsi="Arial" w:cs="Arial"/>
          <w:color w:val="000000"/>
          <w:shd w:val="clear" w:color="auto" w:fill="FFFFFF"/>
        </w:rPr>
        <w:t>2024</w:t>
      </w:r>
      <w:r>
        <w:rPr>
          <w:rFonts w:ascii="Arial" w:hAnsi="Arial" w:cs="Arial"/>
          <w:color w:val="000000"/>
          <w:shd w:val="clear" w:color="auto" w:fill="FFFFFF"/>
        </w:rPr>
        <w:t>;</w:t>
      </w:r>
      <w:r w:rsidRPr="005C07C2">
        <w:rPr>
          <w:rFonts w:ascii="Arial" w:hAnsi="Arial" w:cs="Arial"/>
          <w:color w:val="000000"/>
          <w:shd w:val="clear" w:color="auto" w:fill="FFFFFF"/>
        </w:rPr>
        <w:t> </w:t>
      </w:r>
      <w:r w:rsidRPr="005C07C2">
        <w:rPr>
          <w:rFonts w:ascii="Arial" w:hAnsi="Arial" w:cs="Arial"/>
          <w:i/>
          <w:iCs/>
          <w:color w:val="000000"/>
          <w:shd w:val="clear" w:color="auto" w:fill="FFFFFF"/>
        </w:rPr>
        <w:t>27</w:t>
      </w:r>
      <w:r w:rsidRPr="005C07C2">
        <w:rPr>
          <w:rFonts w:ascii="Arial" w:hAnsi="Arial" w:cs="Arial"/>
          <w:color w:val="000000"/>
          <w:shd w:val="clear" w:color="auto" w:fill="FFFFFF"/>
        </w:rPr>
        <w:t>(1)</w:t>
      </w:r>
      <w:r>
        <w:rPr>
          <w:rFonts w:ascii="Arial" w:hAnsi="Arial" w:cs="Arial"/>
          <w:color w:val="000000"/>
          <w:shd w:val="clear" w:color="auto" w:fill="FFFFFF"/>
        </w:rPr>
        <w:t>:</w:t>
      </w:r>
      <w:r w:rsidRPr="005C07C2">
        <w:rPr>
          <w:rFonts w:ascii="Arial" w:hAnsi="Arial" w:cs="Arial"/>
          <w:color w:val="000000"/>
          <w:shd w:val="clear" w:color="auto" w:fill="FFFFFF"/>
        </w:rPr>
        <w:t xml:space="preserve"> 21-7.</w:t>
      </w:r>
    </w:p>
    <w:p w14:paraId="57A00C30"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bCs/>
          <w:color w:val="000000"/>
        </w:rPr>
        <w:t xml:space="preserve">12. Thakur S., Nepal K. L. </w:t>
      </w:r>
      <w:r w:rsidRPr="005C07C2">
        <w:rPr>
          <w:rFonts w:ascii="Arial" w:hAnsi="Arial" w:cs="Arial"/>
          <w:color w:val="000000"/>
        </w:rPr>
        <w:t>Urinary tract infection in pregnant women at Kathmandu, Nepal J. Med. Care Res. Rev.</w:t>
      </w:r>
      <w:r>
        <w:rPr>
          <w:rFonts w:ascii="Arial" w:hAnsi="Arial" w:cs="Arial"/>
          <w:color w:val="000000"/>
        </w:rPr>
        <w:t>,</w:t>
      </w:r>
      <w:r w:rsidRPr="005C07C2">
        <w:rPr>
          <w:rFonts w:ascii="Arial" w:hAnsi="Arial" w:cs="Arial"/>
          <w:bCs/>
          <w:color w:val="000000"/>
        </w:rPr>
        <w:t xml:space="preserve"> 2020</w:t>
      </w:r>
      <w:r>
        <w:rPr>
          <w:rFonts w:ascii="Arial" w:hAnsi="Arial" w:cs="Arial"/>
          <w:bCs/>
          <w:color w:val="000000"/>
        </w:rPr>
        <w:t>;</w:t>
      </w:r>
      <w:r w:rsidRPr="005C07C2">
        <w:rPr>
          <w:rFonts w:ascii="Arial" w:hAnsi="Arial" w:cs="Arial"/>
          <w:color w:val="000000"/>
        </w:rPr>
        <w:t xml:space="preserve"> 3(9)</w:t>
      </w:r>
      <w:r>
        <w:rPr>
          <w:rFonts w:ascii="Arial" w:hAnsi="Arial" w:cs="Arial"/>
          <w:color w:val="000000"/>
        </w:rPr>
        <w:t>:</w:t>
      </w:r>
      <w:r w:rsidRPr="005C07C2">
        <w:rPr>
          <w:rFonts w:ascii="Arial" w:hAnsi="Arial" w:cs="Arial"/>
          <w:color w:val="000000"/>
        </w:rPr>
        <w:t xml:space="preserve"> 454-8</w:t>
      </w:r>
      <w:r>
        <w:rPr>
          <w:rFonts w:ascii="Arial" w:hAnsi="Arial" w:cs="Arial"/>
          <w:color w:val="000000"/>
        </w:rPr>
        <w:t>.</w:t>
      </w:r>
    </w:p>
    <w:p w14:paraId="32007238"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13. Garnizov T. M. Asymptomatic bacteriuria in pregnancy from the perspective of public health and maternal health care: review and case report. Biotech. Biotech. Equip.</w:t>
      </w:r>
      <w:r>
        <w:rPr>
          <w:rFonts w:ascii="Arial" w:hAnsi="Arial" w:cs="Arial"/>
          <w:color w:val="000000"/>
        </w:rPr>
        <w:t xml:space="preserve">, </w:t>
      </w:r>
      <w:r w:rsidRPr="005C07C2">
        <w:rPr>
          <w:rFonts w:ascii="Arial" w:hAnsi="Arial" w:cs="Arial"/>
          <w:color w:val="000000"/>
        </w:rPr>
        <w:t>2016</w:t>
      </w:r>
      <w:r>
        <w:rPr>
          <w:rFonts w:ascii="Arial" w:hAnsi="Arial" w:cs="Arial"/>
          <w:color w:val="000000"/>
        </w:rPr>
        <w:t>;</w:t>
      </w:r>
      <w:r w:rsidRPr="005C07C2">
        <w:rPr>
          <w:rFonts w:ascii="Arial" w:hAnsi="Arial" w:cs="Arial"/>
          <w:color w:val="000000"/>
        </w:rPr>
        <w:t xml:space="preserve"> 30(3)</w:t>
      </w:r>
      <w:r>
        <w:rPr>
          <w:rFonts w:ascii="Arial" w:hAnsi="Arial" w:cs="Arial"/>
          <w:color w:val="000000"/>
        </w:rPr>
        <w:t>:</w:t>
      </w:r>
      <w:r w:rsidRPr="005C07C2">
        <w:rPr>
          <w:rFonts w:ascii="Arial" w:hAnsi="Arial" w:cs="Arial"/>
          <w:color w:val="000000"/>
        </w:rPr>
        <w:t xml:space="preserve"> 443–7</w:t>
      </w:r>
      <w:r>
        <w:rPr>
          <w:rFonts w:ascii="Arial" w:hAnsi="Arial" w:cs="Arial"/>
          <w:color w:val="000000"/>
        </w:rPr>
        <w:t>.</w:t>
      </w:r>
      <w:r w:rsidRPr="005C07C2">
        <w:rPr>
          <w:rFonts w:ascii="Arial" w:hAnsi="Arial" w:cs="Arial"/>
          <w:color w:val="000000"/>
        </w:rPr>
        <w:t xml:space="preserve"> </w:t>
      </w:r>
    </w:p>
    <w:p w14:paraId="562A8D95"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bCs/>
          <w:color w:val="000000"/>
        </w:rPr>
        <w:t xml:space="preserve">14. Ekwealor C. C., Alaribe O. J., Ogbukagu C. M., Alaribe J. R., Kyrian-Ogbonna E. A. </w:t>
      </w:r>
      <w:r w:rsidRPr="005C07C2">
        <w:rPr>
          <w:rFonts w:ascii="Arial" w:hAnsi="Arial" w:cs="Arial"/>
          <w:color w:val="000000"/>
        </w:rPr>
        <w:t>Urinary tract infections</w:t>
      </w:r>
      <w:r w:rsidRPr="005C07C2">
        <w:rPr>
          <w:rFonts w:ascii="Arial" w:hAnsi="Arial" w:cs="Arial"/>
          <w:bCs/>
          <w:color w:val="000000"/>
        </w:rPr>
        <w:t xml:space="preserve"> </w:t>
      </w:r>
      <w:r w:rsidRPr="005C07C2">
        <w:rPr>
          <w:rFonts w:ascii="Arial" w:hAnsi="Arial" w:cs="Arial"/>
          <w:color w:val="000000"/>
        </w:rPr>
        <w:t>and antimicrobial sensitivity patterns of uropathogens isolated</w:t>
      </w:r>
      <w:r w:rsidRPr="005C07C2">
        <w:rPr>
          <w:rFonts w:ascii="Arial" w:hAnsi="Arial" w:cs="Arial"/>
          <w:bCs/>
          <w:color w:val="000000"/>
        </w:rPr>
        <w:t xml:space="preserve"> </w:t>
      </w:r>
      <w:r w:rsidRPr="005C07C2">
        <w:rPr>
          <w:rFonts w:ascii="Arial" w:hAnsi="Arial" w:cs="Arial"/>
          <w:color w:val="000000"/>
        </w:rPr>
        <w:t>from diabetic and non-diabetic patients attending some</w:t>
      </w:r>
      <w:r w:rsidRPr="005C07C2">
        <w:rPr>
          <w:rFonts w:ascii="Arial" w:hAnsi="Arial" w:cs="Arial"/>
          <w:bCs/>
          <w:color w:val="000000"/>
        </w:rPr>
        <w:t xml:space="preserve"> </w:t>
      </w:r>
      <w:r w:rsidRPr="005C07C2">
        <w:rPr>
          <w:rFonts w:ascii="Arial" w:hAnsi="Arial" w:cs="Arial"/>
          <w:color w:val="000000"/>
        </w:rPr>
        <w:t>hospitals in Awka. American J. Microb. Res.</w:t>
      </w:r>
      <w:r>
        <w:rPr>
          <w:rFonts w:ascii="Arial" w:hAnsi="Arial" w:cs="Arial"/>
          <w:color w:val="000000"/>
        </w:rPr>
        <w:t xml:space="preserve">, </w:t>
      </w:r>
      <w:r w:rsidRPr="005C07C2">
        <w:rPr>
          <w:rFonts w:ascii="Arial" w:hAnsi="Arial" w:cs="Arial"/>
          <w:bCs/>
          <w:color w:val="000000"/>
        </w:rPr>
        <w:t>2021</w:t>
      </w:r>
      <w:r>
        <w:rPr>
          <w:rFonts w:ascii="Arial" w:hAnsi="Arial" w:cs="Arial"/>
          <w:bCs/>
          <w:color w:val="000000"/>
        </w:rPr>
        <w:t>;</w:t>
      </w:r>
      <w:r w:rsidRPr="005C07C2">
        <w:rPr>
          <w:rFonts w:ascii="Arial" w:hAnsi="Arial" w:cs="Arial"/>
          <w:color w:val="000000"/>
        </w:rPr>
        <w:t xml:space="preserve"> 9(3)</w:t>
      </w:r>
      <w:r>
        <w:rPr>
          <w:rFonts w:ascii="Arial" w:hAnsi="Arial" w:cs="Arial"/>
          <w:color w:val="000000"/>
        </w:rPr>
        <w:t>:</w:t>
      </w:r>
      <w:r w:rsidRPr="005C07C2">
        <w:rPr>
          <w:rFonts w:ascii="Arial" w:hAnsi="Arial" w:cs="Arial"/>
          <w:color w:val="000000"/>
        </w:rPr>
        <w:t xml:space="preserve"> 83-91</w:t>
      </w:r>
      <w:r>
        <w:rPr>
          <w:rFonts w:ascii="Arial" w:hAnsi="Arial" w:cs="Arial"/>
          <w:color w:val="000000"/>
        </w:rPr>
        <w:t>.</w:t>
      </w:r>
    </w:p>
    <w:p w14:paraId="398672A8"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shd w:val="clear" w:color="auto" w:fill="FFFFFF"/>
        </w:rPr>
        <w:t xml:space="preserve">15. </w:t>
      </w:r>
      <w:r w:rsidRPr="005C07C2">
        <w:rPr>
          <w:rFonts w:ascii="Arial" w:hAnsi="Arial" w:cs="Arial"/>
          <w:color w:val="000000"/>
        </w:rPr>
        <w:t>Kashef N, Djavid GE, Shahbazi S. Antimicrobial susceptibility patterns of community-acquired uropathogens in Tehran, Iran. J Infect Dev</w:t>
      </w:r>
      <w:r>
        <w:rPr>
          <w:rFonts w:ascii="Arial" w:hAnsi="Arial" w:cs="Arial"/>
          <w:color w:val="000000"/>
        </w:rPr>
        <w:t xml:space="preserve"> </w:t>
      </w:r>
      <w:r w:rsidRPr="005C07C2">
        <w:rPr>
          <w:rFonts w:ascii="Arial" w:hAnsi="Arial" w:cs="Arial"/>
          <w:color w:val="000000"/>
        </w:rPr>
        <w:t>Countries</w:t>
      </w:r>
      <w:r>
        <w:rPr>
          <w:rFonts w:ascii="Arial" w:hAnsi="Arial" w:cs="Arial"/>
          <w:color w:val="000000"/>
        </w:rPr>
        <w:t>,</w:t>
      </w:r>
      <w:r w:rsidRPr="005C07C2">
        <w:rPr>
          <w:rFonts w:ascii="Arial" w:hAnsi="Arial" w:cs="Arial"/>
          <w:color w:val="000000"/>
        </w:rPr>
        <w:t xml:space="preserve"> 2010;</w:t>
      </w:r>
      <w:r>
        <w:rPr>
          <w:rFonts w:ascii="Arial" w:hAnsi="Arial" w:cs="Arial"/>
          <w:color w:val="000000"/>
        </w:rPr>
        <w:t xml:space="preserve"> </w:t>
      </w:r>
      <w:r w:rsidRPr="005C07C2">
        <w:rPr>
          <w:rFonts w:ascii="Arial" w:hAnsi="Arial" w:cs="Arial"/>
          <w:color w:val="000000"/>
        </w:rPr>
        <w:t>4:</w:t>
      </w:r>
      <w:r>
        <w:rPr>
          <w:rFonts w:ascii="Arial" w:hAnsi="Arial" w:cs="Arial"/>
          <w:color w:val="000000"/>
        </w:rPr>
        <w:t xml:space="preserve"> </w:t>
      </w:r>
      <w:r w:rsidRPr="005C07C2">
        <w:rPr>
          <w:rFonts w:ascii="Arial" w:hAnsi="Arial" w:cs="Arial"/>
          <w:color w:val="000000"/>
        </w:rPr>
        <w:t>202–6.</w:t>
      </w:r>
    </w:p>
    <w:p w14:paraId="75E97596"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bCs/>
          <w:color w:val="000000"/>
        </w:rPr>
        <w:lastRenderedPageBreak/>
        <w:t xml:space="preserve">16. Vicar E. K., Acquah S. E. K., Wallana W., Kuugbee E. D., Osbutey E. K., Aidoo A., Acheampong E., Mensah G. I. </w:t>
      </w:r>
      <w:r w:rsidRPr="005C07C2">
        <w:rPr>
          <w:rFonts w:ascii="Arial" w:hAnsi="Arial" w:cs="Arial"/>
          <w:color w:val="000000"/>
        </w:rPr>
        <w:t>Urinary tract infection and associated factors among</w:t>
      </w:r>
      <w:r w:rsidRPr="005C07C2">
        <w:rPr>
          <w:rFonts w:ascii="Arial" w:hAnsi="Arial" w:cs="Arial"/>
          <w:bCs/>
          <w:color w:val="000000"/>
        </w:rPr>
        <w:t xml:space="preserve"> </w:t>
      </w:r>
      <w:r w:rsidRPr="005C07C2">
        <w:rPr>
          <w:rFonts w:ascii="Arial" w:hAnsi="Arial" w:cs="Arial"/>
          <w:color w:val="000000"/>
        </w:rPr>
        <w:t>pregnant women receiving antenatal care at a primary health</w:t>
      </w:r>
      <w:r w:rsidRPr="005C07C2">
        <w:rPr>
          <w:rFonts w:ascii="Arial" w:hAnsi="Arial" w:cs="Arial"/>
          <w:bCs/>
          <w:color w:val="000000"/>
        </w:rPr>
        <w:t xml:space="preserve"> </w:t>
      </w:r>
      <w:r w:rsidRPr="005C07C2">
        <w:rPr>
          <w:rFonts w:ascii="Arial" w:hAnsi="Arial" w:cs="Arial"/>
          <w:color w:val="000000"/>
        </w:rPr>
        <w:t>care facility in the Northern Region of Ghana. Inter. J.</w:t>
      </w:r>
      <w:r w:rsidRPr="005C07C2">
        <w:rPr>
          <w:rFonts w:ascii="Arial" w:hAnsi="Arial" w:cs="Arial"/>
          <w:bCs/>
          <w:color w:val="000000"/>
        </w:rPr>
        <w:t xml:space="preserve"> </w:t>
      </w:r>
      <w:r w:rsidRPr="005C07C2">
        <w:rPr>
          <w:rFonts w:ascii="Arial" w:hAnsi="Arial" w:cs="Arial"/>
          <w:color w:val="000000"/>
        </w:rPr>
        <w:t>Microbiol.</w:t>
      </w:r>
      <w:r>
        <w:rPr>
          <w:rFonts w:ascii="Arial" w:hAnsi="Arial" w:cs="Arial"/>
          <w:color w:val="000000"/>
        </w:rPr>
        <w:t xml:space="preserve">, </w:t>
      </w:r>
      <w:r w:rsidRPr="005C07C2">
        <w:rPr>
          <w:rFonts w:ascii="Arial" w:hAnsi="Arial" w:cs="Arial"/>
          <w:bCs/>
          <w:color w:val="000000"/>
        </w:rPr>
        <w:t>2023</w:t>
      </w:r>
      <w:r>
        <w:rPr>
          <w:rFonts w:ascii="Arial" w:hAnsi="Arial" w:cs="Arial"/>
          <w:bCs/>
          <w:color w:val="000000"/>
        </w:rPr>
        <w:t>;</w:t>
      </w:r>
      <w:r w:rsidRPr="005C07C2">
        <w:rPr>
          <w:rFonts w:ascii="Arial" w:hAnsi="Arial" w:cs="Arial"/>
          <w:color w:val="000000"/>
        </w:rPr>
        <w:t xml:space="preserve"> 2</w:t>
      </w:r>
      <w:r>
        <w:rPr>
          <w:rFonts w:ascii="Arial" w:hAnsi="Arial" w:cs="Arial"/>
          <w:color w:val="000000"/>
        </w:rPr>
        <w:t>:</w:t>
      </w:r>
      <w:r w:rsidRPr="005C07C2">
        <w:rPr>
          <w:rFonts w:ascii="Arial" w:hAnsi="Arial" w:cs="Arial"/>
          <w:color w:val="000000"/>
        </w:rPr>
        <w:t xml:space="preserve"> 3727265</w:t>
      </w:r>
    </w:p>
    <w:p w14:paraId="1851048A" w14:textId="77777777" w:rsidR="004E434E" w:rsidRPr="005C07C2" w:rsidRDefault="004E434E" w:rsidP="004E434E">
      <w:pPr>
        <w:autoSpaceDE w:val="0"/>
        <w:autoSpaceDN w:val="0"/>
        <w:adjustRightInd w:val="0"/>
        <w:ind w:left="142" w:hanging="284"/>
        <w:jc w:val="both"/>
        <w:rPr>
          <w:rFonts w:ascii="Arial" w:hAnsi="Arial" w:cs="Arial"/>
          <w:bCs/>
          <w:color w:val="000000"/>
        </w:rPr>
      </w:pPr>
      <w:r w:rsidRPr="005C07C2">
        <w:rPr>
          <w:rFonts w:ascii="Arial" w:hAnsi="Arial" w:cs="Arial"/>
          <w:bCs/>
          <w:color w:val="000000"/>
        </w:rPr>
        <w:t xml:space="preserve">17. Johnson B, Stephen B. M., Joseph N., Asiphad O., Musa K., Taseera K. </w:t>
      </w:r>
      <w:r w:rsidRPr="005C07C2">
        <w:rPr>
          <w:rFonts w:ascii="Arial" w:hAnsi="Arial" w:cs="Arial"/>
          <w:color w:val="000000"/>
        </w:rPr>
        <w:t>Prevalence and bacteriology of</w:t>
      </w:r>
      <w:r w:rsidRPr="005C07C2">
        <w:rPr>
          <w:rFonts w:ascii="Arial" w:hAnsi="Arial" w:cs="Arial"/>
          <w:bCs/>
          <w:color w:val="000000"/>
        </w:rPr>
        <w:t xml:space="preserve"> </w:t>
      </w:r>
      <w:r w:rsidRPr="005C07C2">
        <w:rPr>
          <w:rFonts w:ascii="Arial" w:hAnsi="Arial" w:cs="Arial"/>
          <w:color w:val="000000"/>
        </w:rPr>
        <w:t>culture-positive urinary tract infections among pregnant women wit suspected urinary tract infection at Mbarara</w:t>
      </w:r>
      <w:r w:rsidRPr="005C07C2">
        <w:rPr>
          <w:rFonts w:ascii="Arial" w:hAnsi="Arial" w:cs="Arial"/>
          <w:bCs/>
          <w:color w:val="000000"/>
        </w:rPr>
        <w:t xml:space="preserve"> </w:t>
      </w:r>
      <w:r w:rsidRPr="005C07C2">
        <w:rPr>
          <w:rFonts w:ascii="Arial" w:hAnsi="Arial" w:cs="Arial"/>
          <w:color w:val="000000"/>
        </w:rPr>
        <w:t>regional referral hospital, South-West Uganda. BMC Pregnancy Childbirth</w:t>
      </w:r>
      <w:r>
        <w:rPr>
          <w:rFonts w:ascii="Arial" w:hAnsi="Arial" w:cs="Arial"/>
          <w:color w:val="000000"/>
        </w:rPr>
        <w:t xml:space="preserve">, </w:t>
      </w:r>
      <w:r w:rsidRPr="005C07C2">
        <w:rPr>
          <w:rFonts w:ascii="Arial" w:hAnsi="Arial" w:cs="Arial"/>
          <w:bCs/>
          <w:color w:val="000000"/>
        </w:rPr>
        <w:t>2021</w:t>
      </w:r>
      <w:r>
        <w:rPr>
          <w:rFonts w:ascii="Arial" w:hAnsi="Arial" w:cs="Arial"/>
          <w:bCs/>
          <w:color w:val="000000"/>
        </w:rPr>
        <w:t>;</w:t>
      </w:r>
      <w:r w:rsidRPr="005C07C2">
        <w:rPr>
          <w:rFonts w:ascii="Arial" w:hAnsi="Arial" w:cs="Arial"/>
          <w:color w:val="000000"/>
        </w:rPr>
        <w:t xml:space="preserve"> 21</w:t>
      </w:r>
      <w:r>
        <w:rPr>
          <w:rFonts w:ascii="Arial" w:hAnsi="Arial" w:cs="Arial"/>
          <w:color w:val="000000"/>
        </w:rPr>
        <w:t>:</w:t>
      </w:r>
      <w:r w:rsidRPr="005C07C2">
        <w:rPr>
          <w:rFonts w:ascii="Arial" w:hAnsi="Arial" w:cs="Arial"/>
          <w:color w:val="000000"/>
        </w:rPr>
        <w:t xml:space="preserve"> 159.</w:t>
      </w:r>
    </w:p>
    <w:p w14:paraId="7727DE26"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18. John-Onwe BN, Iroha IR, Moses IB, Onuora AL, Nwigwe JO, Adimora EE, Okolo IO, Uzoeto HO, Ngwu JN, Mohammed ID, Oladimeji AS. Prevalence and multidrug-resistant ESBL-producing E. coli in urinary tract infection cases of HIV patients attending Federal Teaching Hospital, Abakaliki, Nigeria. African Journal of Microbiology Research</w:t>
      </w:r>
      <w:r>
        <w:rPr>
          <w:rFonts w:ascii="Arial" w:hAnsi="Arial" w:cs="Arial"/>
          <w:color w:val="000000"/>
        </w:rPr>
        <w:t xml:space="preserve">, </w:t>
      </w:r>
      <w:r w:rsidRPr="005C07C2">
        <w:rPr>
          <w:rFonts w:ascii="Arial" w:hAnsi="Arial" w:cs="Arial"/>
          <w:color w:val="000000"/>
        </w:rPr>
        <w:t>2022</w:t>
      </w:r>
      <w:r>
        <w:rPr>
          <w:rFonts w:ascii="Arial" w:hAnsi="Arial" w:cs="Arial"/>
          <w:color w:val="000000"/>
        </w:rPr>
        <w:t>;</w:t>
      </w:r>
      <w:r w:rsidRPr="005C07C2">
        <w:rPr>
          <w:rFonts w:ascii="Arial" w:hAnsi="Arial" w:cs="Arial"/>
          <w:color w:val="000000"/>
        </w:rPr>
        <w:t xml:space="preserve"> 6(5):</w:t>
      </w:r>
      <w:r>
        <w:rPr>
          <w:rFonts w:ascii="Arial" w:hAnsi="Arial" w:cs="Arial"/>
          <w:color w:val="000000"/>
        </w:rPr>
        <w:t xml:space="preserve"> </w:t>
      </w:r>
      <w:r w:rsidRPr="005C07C2">
        <w:rPr>
          <w:rFonts w:ascii="Arial" w:hAnsi="Arial" w:cs="Arial"/>
          <w:color w:val="000000"/>
        </w:rPr>
        <w:t xml:space="preserve">196-201. </w:t>
      </w:r>
    </w:p>
    <w:p w14:paraId="4F82449A"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19. Ali A. H., Reda D.Y., Ormago M. D</w:t>
      </w:r>
      <w:r>
        <w:rPr>
          <w:rFonts w:ascii="Arial" w:hAnsi="Arial" w:cs="Arial"/>
          <w:color w:val="000000"/>
        </w:rPr>
        <w:t xml:space="preserve">. </w:t>
      </w:r>
      <w:r w:rsidRPr="005C07C2">
        <w:rPr>
          <w:rFonts w:ascii="Arial" w:hAnsi="Arial" w:cs="Arial"/>
          <w:color w:val="000000"/>
        </w:rPr>
        <w:t>Prevalence and antimicrobial susceptibility pattern of urinary tract infection among pregnant women attending Hargeisa Group Hospital, Hargeisa, Somaliland. Sci. Rep</w:t>
      </w:r>
      <w:r>
        <w:rPr>
          <w:rFonts w:ascii="Arial" w:hAnsi="Arial" w:cs="Arial"/>
          <w:color w:val="000000"/>
        </w:rPr>
        <w:t xml:space="preserve">, </w:t>
      </w:r>
      <w:r w:rsidRPr="005C07C2">
        <w:rPr>
          <w:rFonts w:ascii="Arial" w:hAnsi="Arial" w:cs="Arial"/>
          <w:color w:val="000000"/>
        </w:rPr>
        <w:t>2022</w:t>
      </w:r>
      <w:r>
        <w:rPr>
          <w:rFonts w:ascii="Arial" w:hAnsi="Arial" w:cs="Arial"/>
          <w:color w:val="000000"/>
        </w:rPr>
        <w:t>;</w:t>
      </w:r>
      <w:r w:rsidRPr="005C07C2">
        <w:rPr>
          <w:rFonts w:ascii="Arial" w:hAnsi="Arial" w:cs="Arial"/>
          <w:color w:val="000000"/>
        </w:rPr>
        <w:t xml:space="preserve"> 12</w:t>
      </w:r>
      <w:r>
        <w:rPr>
          <w:rFonts w:ascii="Arial" w:hAnsi="Arial" w:cs="Arial"/>
          <w:color w:val="000000"/>
        </w:rPr>
        <w:t>:</w:t>
      </w:r>
      <w:r w:rsidRPr="005C07C2">
        <w:rPr>
          <w:rFonts w:ascii="Arial" w:hAnsi="Arial" w:cs="Arial"/>
          <w:color w:val="000000"/>
        </w:rPr>
        <w:t xml:space="preserve"> 1419</w:t>
      </w:r>
      <w:r>
        <w:rPr>
          <w:rFonts w:ascii="Arial" w:hAnsi="Arial" w:cs="Arial"/>
          <w:color w:val="000000"/>
        </w:rPr>
        <w:t>.</w:t>
      </w:r>
    </w:p>
    <w:p w14:paraId="538E97E5"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20. Top K. A., Buet A., Whitter S., Ratner A. J., Saiman L. Predictors to Staphlococcus aureus rectovaginal colonization in pregnant women and risk factors for material and neonatal infections. J. Paed. Infect. Dis. Soc.</w:t>
      </w:r>
      <w:r>
        <w:rPr>
          <w:rFonts w:ascii="Arial" w:hAnsi="Arial" w:cs="Arial"/>
          <w:color w:val="000000"/>
        </w:rPr>
        <w:t xml:space="preserve">, </w:t>
      </w:r>
      <w:r w:rsidRPr="005C07C2">
        <w:rPr>
          <w:rFonts w:ascii="Arial" w:hAnsi="Arial" w:cs="Arial"/>
          <w:color w:val="000000"/>
        </w:rPr>
        <w:t>2012</w:t>
      </w:r>
      <w:r>
        <w:rPr>
          <w:rFonts w:ascii="Arial" w:hAnsi="Arial" w:cs="Arial"/>
          <w:color w:val="000000"/>
        </w:rPr>
        <w:t>;</w:t>
      </w:r>
      <w:r w:rsidRPr="005C07C2">
        <w:rPr>
          <w:rFonts w:ascii="Arial" w:hAnsi="Arial" w:cs="Arial"/>
          <w:color w:val="000000"/>
        </w:rPr>
        <w:t xml:space="preserve"> 1(1)</w:t>
      </w:r>
      <w:r>
        <w:rPr>
          <w:rFonts w:ascii="Arial" w:hAnsi="Arial" w:cs="Arial"/>
          <w:color w:val="000000"/>
        </w:rPr>
        <w:t>:</w:t>
      </w:r>
      <w:r w:rsidRPr="005C07C2">
        <w:rPr>
          <w:rFonts w:ascii="Arial" w:hAnsi="Arial" w:cs="Arial"/>
          <w:color w:val="000000"/>
        </w:rPr>
        <w:t xml:space="preserve"> 7-15</w:t>
      </w:r>
      <w:r>
        <w:rPr>
          <w:rFonts w:ascii="Arial" w:hAnsi="Arial" w:cs="Arial"/>
          <w:color w:val="000000"/>
        </w:rPr>
        <w:t>.</w:t>
      </w:r>
    </w:p>
    <w:p w14:paraId="2065FEC4" w14:textId="77777777" w:rsidR="004E434E" w:rsidRPr="005C07C2" w:rsidRDefault="004E434E" w:rsidP="004E434E">
      <w:pPr>
        <w:autoSpaceDE w:val="0"/>
        <w:autoSpaceDN w:val="0"/>
        <w:adjustRightInd w:val="0"/>
        <w:ind w:left="142" w:hanging="284"/>
        <w:jc w:val="both"/>
        <w:rPr>
          <w:rFonts w:ascii="Arial" w:hAnsi="Arial" w:cs="Arial"/>
          <w:color w:val="000000"/>
        </w:rPr>
      </w:pPr>
      <w:r w:rsidRPr="005C07C2">
        <w:rPr>
          <w:rFonts w:ascii="Arial" w:hAnsi="Arial" w:cs="Arial"/>
          <w:color w:val="000000"/>
        </w:rPr>
        <w:t>21. Taye S., Getachew M., Desalengn N., Biratu A. K. Bacteria profile, antibiotic susceptibility pattern and associated factors among pregnant women with urinary tract infection in Goba and Sinana Woredas, Bale Zone, Southeast Ethiopia. BMC Res. Notes</w:t>
      </w:r>
      <w:r>
        <w:rPr>
          <w:rFonts w:ascii="Arial" w:hAnsi="Arial" w:cs="Arial"/>
          <w:color w:val="000000"/>
        </w:rPr>
        <w:t xml:space="preserve">, </w:t>
      </w:r>
      <w:r w:rsidRPr="005C07C2">
        <w:rPr>
          <w:rFonts w:ascii="Arial" w:hAnsi="Arial" w:cs="Arial"/>
          <w:color w:val="000000"/>
        </w:rPr>
        <w:t>2018</w:t>
      </w:r>
      <w:r>
        <w:rPr>
          <w:rFonts w:ascii="Arial" w:hAnsi="Arial" w:cs="Arial"/>
          <w:color w:val="000000"/>
        </w:rPr>
        <w:t>;</w:t>
      </w:r>
      <w:r w:rsidRPr="005C07C2">
        <w:rPr>
          <w:rFonts w:ascii="Arial" w:hAnsi="Arial" w:cs="Arial"/>
          <w:color w:val="000000"/>
        </w:rPr>
        <w:t xml:space="preserve"> 11(1)</w:t>
      </w:r>
      <w:r>
        <w:rPr>
          <w:rFonts w:ascii="Arial" w:hAnsi="Arial" w:cs="Arial"/>
          <w:color w:val="000000"/>
        </w:rPr>
        <w:t>:</w:t>
      </w:r>
      <w:r w:rsidRPr="005C07C2">
        <w:rPr>
          <w:rFonts w:ascii="Arial" w:hAnsi="Arial" w:cs="Arial"/>
          <w:color w:val="000000"/>
        </w:rPr>
        <w:t xml:space="preserve"> 799</w:t>
      </w:r>
    </w:p>
    <w:p w14:paraId="77AD11C2" w14:textId="09243B57" w:rsidR="004E434E" w:rsidRPr="005C07C2" w:rsidRDefault="004E434E" w:rsidP="00C3323B">
      <w:pPr>
        <w:autoSpaceDE w:val="0"/>
        <w:autoSpaceDN w:val="0"/>
        <w:adjustRightInd w:val="0"/>
        <w:ind w:left="142" w:hanging="284"/>
        <w:jc w:val="both"/>
        <w:rPr>
          <w:rFonts w:ascii="Arial" w:hAnsi="Arial" w:cs="Arial"/>
          <w:sz w:val="18"/>
          <w:szCs w:val="18"/>
        </w:rPr>
      </w:pPr>
      <w:r w:rsidRPr="005C07C2">
        <w:rPr>
          <w:rFonts w:ascii="Arial" w:hAnsi="Arial" w:cs="Arial"/>
          <w:color w:val="000000"/>
        </w:rPr>
        <w:t>22. Cochran W. G., Sampling technigue. 3</w:t>
      </w:r>
      <w:r w:rsidRPr="005C07C2">
        <w:rPr>
          <w:rFonts w:ascii="Arial" w:hAnsi="Arial" w:cs="Arial"/>
          <w:color w:val="000000"/>
          <w:vertAlign w:val="superscript"/>
        </w:rPr>
        <w:t>rd</w:t>
      </w:r>
      <w:r w:rsidRPr="005C07C2">
        <w:rPr>
          <w:rFonts w:ascii="Arial" w:hAnsi="Arial" w:cs="Arial"/>
          <w:color w:val="000000"/>
        </w:rPr>
        <w:t xml:space="preserve"> Edition. New York. John Wiley &amp; Sons Inc. 1977:428</w:t>
      </w:r>
      <w:r>
        <w:rPr>
          <w:rFonts w:ascii="Arial" w:hAnsi="Arial" w:cs="Arial"/>
          <w:color w:val="000000"/>
        </w:rPr>
        <w:t>.</w:t>
      </w:r>
    </w:p>
    <w:p w14:paraId="6F14A7D8" w14:textId="458F3617" w:rsidR="003779F6" w:rsidRPr="00FB3A86" w:rsidRDefault="003779F6" w:rsidP="004E434E">
      <w:pPr>
        <w:pStyle w:val="Body"/>
        <w:rPr>
          <w:rFonts w:ascii="Arial" w:hAnsi="Arial" w:cs="Arial"/>
          <w:b/>
        </w:rPr>
        <w:sectPr w:rsidR="003779F6" w:rsidRPr="00FB3A86" w:rsidSect="00621D3F">
          <w:headerReference w:type="even" r:id="rId19"/>
          <w:headerReference w:type="default" r:id="rId20"/>
          <w:footerReference w:type="default" r:id="rId21"/>
          <w:headerReference w:type="first" r:id="rId22"/>
          <w:type w:val="continuous"/>
          <w:pgSz w:w="12240" w:h="15840"/>
          <w:pgMar w:top="1440" w:right="2016" w:bottom="2016" w:left="2016" w:header="720" w:footer="1123" w:gutter="0"/>
          <w:cols w:space="720"/>
          <w:docGrid w:linePitch="272"/>
        </w:sectPr>
      </w:pPr>
    </w:p>
    <w:p w14:paraId="0677FFDC" w14:textId="77777777" w:rsidR="00B01FCD" w:rsidRPr="00FB3A86" w:rsidRDefault="00B01FCD" w:rsidP="00441B6F">
      <w:pPr>
        <w:pStyle w:val="Appendix"/>
        <w:spacing w:after="0"/>
        <w:jc w:val="both"/>
        <w:rPr>
          <w:rFonts w:ascii="Arial" w:hAnsi="Arial" w:cs="Arial"/>
          <w:b w:val="0"/>
        </w:rPr>
      </w:pPr>
    </w:p>
    <w:sectPr w:rsidR="00B01FCD" w:rsidRPr="00FB3A86" w:rsidSect="00621D3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0308D" w14:textId="77777777" w:rsidR="00EE7CDA" w:rsidRDefault="00EE7CDA" w:rsidP="00C37E61">
      <w:r>
        <w:separator/>
      </w:r>
    </w:p>
  </w:endnote>
  <w:endnote w:type="continuationSeparator" w:id="0">
    <w:p w14:paraId="6607698D" w14:textId="77777777" w:rsidR="00EE7CDA" w:rsidRDefault="00EE7CD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51D34" w14:textId="77777777" w:rsidR="00711E0F" w:rsidRDefault="00711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D0519" w14:textId="77777777" w:rsidR="00711E0F" w:rsidRDefault="00711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849F6" w14:textId="425E26AC" w:rsidR="00754C9A" w:rsidRPr="00621D3F" w:rsidRDefault="00754C9A" w:rsidP="00621D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A8054"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828C0" w14:textId="77777777" w:rsidR="00EE7CDA" w:rsidRDefault="00EE7CDA" w:rsidP="00C37E61">
      <w:r>
        <w:separator/>
      </w:r>
    </w:p>
  </w:footnote>
  <w:footnote w:type="continuationSeparator" w:id="0">
    <w:p w14:paraId="6690CC15" w14:textId="77777777" w:rsidR="00EE7CDA" w:rsidRDefault="00EE7CD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AAEA3" w14:textId="5073A0BD" w:rsidR="00711E0F" w:rsidRDefault="00711E0F">
    <w:pPr>
      <w:pStyle w:val="Header"/>
    </w:pPr>
    <w:r>
      <w:rPr>
        <w:noProof/>
      </w:rPr>
      <w:pict w14:anchorId="7E885D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480876"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08DCF" w14:textId="447F926C" w:rsidR="00711E0F" w:rsidRDefault="00711E0F">
    <w:pPr>
      <w:pStyle w:val="Header"/>
    </w:pPr>
    <w:r>
      <w:rPr>
        <w:noProof/>
      </w:rPr>
      <w:pict w14:anchorId="290875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480877"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E5E9C" w14:textId="7B05947F" w:rsidR="00296529" w:rsidRPr="00296529" w:rsidRDefault="00711E0F" w:rsidP="00296529">
    <w:pPr>
      <w:ind w:left="2160"/>
      <w:jc w:val="center"/>
      <w:rPr>
        <w:rFonts w:ascii="Times New Roman" w:eastAsia="Calibri" w:hAnsi="Times New Roman"/>
        <w:i/>
        <w:sz w:val="18"/>
        <w:szCs w:val="22"/>
      </w:rPr>
    </w:pPr>
    <w:r>
      <w:rPr>
        <w:noProof/>
      </w:rPr>
      <w:pict w14:anchorId="7295E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480875"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E903FC5"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EEB2BC7"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EFB488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9198D8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4582A66"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55F4C2C"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25EB1" w14:textId="2B5F9B37" w:rsidR="00711E0F" w:rsidRDefault="00711E0F">
    <w:pPr>
      <w:pStyle w:val="Header"/>
    </w:pPr>
    <w:r>
      <w:rPr>
        <w:noProof/>
      </w:rPr>
      <w:pict w14:anchorId="10B92F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480879" o:spid="_x0000_s1029"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AEE26" w14:textId="412E1F79" w:rsidR="00711E0F" w:rsidRDefault="00711E0F">
    <w:pPr>
      <w:pStyle w:val="Header"/>
    </w:pPr>
    <w:r>
      <w:rPr>
        <w:noProof/>
      </w:rPr>
      <w:pict w14:anchorId="74AD8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480880" o:sp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629C2" w14:textId="0754F947" w:rsidR="00711E0F" w:rsidRDefault="00711E0F">
    <w:pPr>
      <w:pStyle w:val="Header"/>
    </w:pPr>
    <w:r>
      <w:rPr>
        <w:noProof/>
      </w:rPr>
      <w:pict w14:anchorId="114E63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480878" o:spid="_x0000_s1028"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759774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57922707">
    <w:abstractNumId w:val="15"/>
  </w:num>
  <w:num w:numId="3" w16cid:durableId="1175847475">
    <w:abstractNumId w:val="23"/>
  </w:num>
  <w:num w:numId="4" w16cid:durableId="1050375042">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926422180">
    <w:abstractNumId w:val="7"/>
  </w:num>
  <w:num w:numId="6" w16cid:durableId="380903980">
    <w:abstractNumId w:val="6"/>
  </w:num>
  <w:num w:numId="7" w16cid:durableId="173306165">
    <w:abstractNumId w:val="1"/>
  </w:num>
  <w:num w:numId="8" w16cid:durableId="1992098437">
    <w:abstractNumId w:val="12"/>
  </w:num>
  <w:num w:numId="9" w16cid:durableId="1399279823">
    <w:abstractNumId w:val="25"/>
  </w:num>
  <w:num w:numId="10" w16cid:durableId="1843817200">
    <w:abstractNumId w:val="2"/>
  </w:num>
  <w:num w:numId="11" w16cid:durableId="1139541095">
    <w:abstractNumId w:val="18"/>
  </w:num>
  <w:num w:numId="12" w16cid:durableId="872688353">
    <w:abstractNumId w:val="3"/>
  </w:num>
  <w:num w:numId="13" w16cid:durableId="60754627">
    <w:abstractNumId w:val="17"/>
  </w:num>
  <w:num w:numId="14" w16cid:durableId="589239080">
    <w:abstractNumId w:val="8"/>
  </w:num>
  <w:num w:numId="15" w16cid:durableId="2033914817">
    <w:abstractNumId w:val="21"/>
  </w:num>
  <w:num w:numId="16" w16cid:durableId="1478187005">
    <w:abstractNumId w:val="5"/>
  </w:num>
  <w:num w:numId="17" w16cid:durableId="1546943659">
    <w:abstractNumId w:val="22"/>
  </w:num>
  <w:num w:numId="18" w16cid:durableId="1327785686">
    <w:abstractNumId w:val="14"/>
  </w:num>
  <w:num w:numId="19" w16cid:durableId="451633366">
    <w:abstractNumId w:val="28"/>
  </w:num>
  <w:num w:numId="20" w16cid:durableId="1800106889">
    <w:abstractNumId w:val="11"/>
  </w:num>
  <w:num w:numId="21" w16cid:durableId="157817192">
    <w:abstractNumId w:val="9"/>
  </w:num>
  <w:num w:numId="22" w16cid:durableId="998002865">
    <w:abstractNumId w:val="13"/>
  </w:num>
  <w:num w:numId="23" w16cid:durableId="1819417037">
    <w:abstractNumId w:val="19"/>
  </w:num>
  <w:num w:numId="24" w16cid:durableId="97988907">
    <w:abstractNumId w:val="26"/>
  </w:num>
  <w:num w:numId="25" w16cid:durableId="339507657">
    <w:abstractNumId w:val="4"/>
  </w:num>
  <w:num w:numId="26" w16cid:durableId="379214181">
    <w:abstractNumId w:val="16"/>
  </w:num>
  <w:num w:numId="27" w16cid:durableId="1450078718">
    <w:abstractNumId w:val="20"/>
  </w:num>
  <w:num w:numId="28" w16cid:durableId="235283174">
    <w:abstractNumId w:val="27"/>
  </w:num>
  <w:num w:numId="29" w16cid:durableId="235171297">
    <w:abstractNumId w:val="24"/>
  </w:num>
  <w:num w:numId="30" w16cid:durableId="16741426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0F6"/>
    <w:rsid w:val="00000F8F"/>
    <w:rsid w:val="00030174"/>
    <w:rsid w:val="00036219"/>
    <w:rsid w:val="00041059"/>
    <w:rsid w:val="0004579C"/>
    <w:rsid w:val="00051BCD"/>
    <w:rsid w:val="0009575A"/>
    <w:rsid w:val="000A47FA"/>
    <w:rsid w:val="000A65D3"/>
    <w:rsid w:val="000B1E33"/>
    <w:rsid w:val="000B7D95"/>
    <w:rsid w:val="000D689F"/>
    <w:rsid w:val="000E7B7B"/>
    <w:rsid w:val="000E7D62"/>
    <w:rsid w:val="00103357"/>
    <w:rsid w:val="00104596"/>
    <w:rsid w:val="00123C9F"/>
    <w:rsid w:val="00126190"/>
    <w:rsid w:val="00130F17"/>
    <w:rsid w:val="001320BF"/>
    <w:rsid w:val="00154BC0"/>
    <w:rsid w:val="00156F06"/>
    <w:rsid w:val="00161D10"/>
    <w:rsid w:val="00162FD8"/>
    <w:rsid w:val="00163BC4"/>
    <w:rsid w:val="00175078"/>
    <w:rsid w:val="00180112"/>
    <w:rsid w:val="00187DE7"/>
    <w:rsid w:val="00191062"/>
    <w:rsid w:val="00192B72"/>
    <w:rsid w:val="00196806"/>
    <w:rsid w:val="001A29D8"/>
    <w:rsid w:val="001A5CAA"/>
    <w:rsid w:val="001B0427"/>
    <w:rsid w:val="001D3734"/>
    <w:rsid w:val="001D3A51"/>
    <w:rsid w:val="001D7C54"/>
    <w:rsid w:val="001E10D2"/>
    <w:rsid w:val="001E1F73"/>
    <w:rsid w:val="001E25B4"/>
    <w:rsid w:val="001E44FE"/>
    <w:rsid w:val="00200595"/>
    <w:rsid w:val="00204835"/>
    <w:rsid w:val="0021455B"/>
    <w:rsid w:val="00231920"/>
    <w:rsid w:val="0023195C"/>
    <w:rsid w:val="0024282C"/>
    <w:rsid w:val="002460DC"/>
    <w:rsid w:val="00250985"/>
    <w:rsid w:val="002556F6"/>
    <w:rsid w:val="002705E5"/>
    <w:rsid w:val="00283105"/>
    <w:rsid w:val="00283A10"/>
    <w:rsid w:val="00284C4C"/>
    <w:rsid w:val="002854EF"/>
    <w:rsid w:val="00296529"/>
    <w:rsid w:val="002B27FB"/>
    <w:rsid w:val="002B685A"/>
    <w:rsid w:val="002C57D2"/>
    <w:rsid w:val="002D2997"/>
    <w:rsid w:val="002E0D56"/>
    <w:rsid w:val="002E1D87"/>
    <w:rsid w:val="002F680E"/>
    <w:rsid w:val="00305EF9"/>
    <w:rsid w:val="00311DA2"/>
    <w:rsid w:val="00315186"/>
    <w:rsid w:val="003240A5"/>
    <w:rsid w:val="0033343E"/>
    <w:rsid w:val="003512C2"/>
    <w:rsid w:val="00360C8E"/>
    <w:rsid w:val="00371FB6"/>
    <w:rsid w:val="00374A30"/>
    <w:rsid w:val="003763C1"/>
    <w:rsid w:val="00376BBE"/>
    <w:rsid w:val="003779F6"/>
    <w:rsid w:val="0039224F"/>
    <w:rsid w:val="003926BE"/>
    <w:rsid w:val="00395507"/>
    <w:rsid w:val="003A43A4"/>
    <w:rsid w:val="003A56FE"/>
    <w:rsid w:val="003A7E18"/>
    <w:rsid w:val="003A7F3C"/>
    <w:rsid w:val="003B671D"/>
    <w:rsid w:val="003C2EA8"/>
    <w:rsid w:val="003C3225"/>
    <w:rsid w:val="003C4C86"/>
    <w:rsid w:val="003C54FC"/>
    <w:rsid w:val="003C6258"/>
    <w:rsid w:val="003D321B"/>
    <w:rsid w:val="003D53D9"/>
    <w:rsid w:val="003E2904"/>
    <w:rsid w:val="003F7AAD"/>
    <w:rsid w:val="00401361"/>
    <w:rsid w:val="00401927"/>
    <w:rsid w:val="00401964"/>
    <w:rsid w:val="0041027F"/>
    <w:rsid w:val="00412475"/>
    <w:rsid w:val="00420CBA"/>
    <w:rsid w:val="00423789"/>
    <w:rsid w:val="00440F43"/>
    <w:rsid w:val="00441B6F"/>
    <w:rsid w:val="004432D7"/>
    <w:rsid w:val="00446221"/>
    <w:rsid w:val="00450E62"/>
    <w:rsid w:val="004539DB"/>
    <w:rsid w:val="00456044"/>
    <w:rsid w:val="00470689"/>
    <w:rsid w:val="00471A80"/>
    <w:rsid w:val="00483372"/>
    <w:rsid w:val="004868FF"/>
    <w:rsid w:val="00487C6C"/>
    <w:rsid w:val="004D305E"/>
    <w:rsid w:val="004D3901"/>
    <w:rsid w:val="004D4277"/>
    <w:rsid w:val="004E434E"/>
    <w:rsid w:val="004E5C49"/>
    <w:rsid w:val="004F12F0"/>
    <w:rsid w:val="00502516"/>
    <w:rsid w:val="00505D42"/>
    <w:rsid w:val="00505F06"/>
    <w:rsid w:val="00506828"/>
    <w:rsid w:val="00511F38"/>
    <w:rsid w:val="00514BF2"/>
    <w:rsid w:val="00526694"/>
    <w:rsid w:val="0053056E"/>
    <w:rsid w:val="00554FDA"/>
    <w:rsid w:val="00597704"/>
    <w:rsid w:val="005C5C16"/>
    <w:rsid w:val="005C6996"/>
    <w:rsid w:val="005C784C"/>
    <w:rsid w:val="005D17F6"/>
    <w:rsid w:val="005E128F"/>
    <w:rsid w:val="005E5539"/>
    <w:rsid w:val="005F425B"/>
    <w:rsid w:val="00602BF5"/>
    <w:rsid w:val="00617FDD"/>
    <w:rsid w:val="00621D3F"/>
    <w:rsid w:val="00633614"/>
    <w:rsid w:val="00633F68"/>
    <w:rsid w:val="00636EB2"/>
    <w:rsid w:val="006375B8"/>
    <w:rsid w:val="0066510A"/>
    <w:rsid w:val="006726B6"/>
    <w:rsid w:val="00673F9F"/>
    <w:rsid w:val="00686953"/>
    <w:rsid w:val="00687DEA"/>
    <w:rsid w:val="00687E67"/>
    <w:rsid w:val="006967F7"/>
    <w:rsid w:val="006A250C"/>
    <w:rsid w:val="006A3E56"/>
    <w:rsid w:val="006B21D3"/>
    <w:rsid w:val="006B57D0"/>
    <w:rsid w:val="006C3EB6"/>
    <w:rsid w:val="006C6176"/>
    <w:rsid w:val="006D2E9F"/>
    <w:rsid w:val="006D30FF"/>
    <w:rsid w:val="006D6940"/>
    <w:rsid w:val="006F11EC"/>
    <w:rsid w:val="006F2906"/>
    <w:rsid w:val="006F3F37"/>
    <w:rsid w:val="0070082C"/>
    <w:rsid w:val="007034EE"/>
    <w:rsid w:val="00711E0F"/>
    <w:rsid w:val="007369E6"/>
    <w:rsid w:val="00746E59"/>
    <w:rsid w:val="00751A7C"/>
    <w:rsid w:val="00754C9A"/>
    <w:rsid w:val="0075599A"/>
    <w:rsid w:val="00761D52"/>
    <w:rsid w:val="00763865"/>
    <w:rsid w:val="00764486"/>
    <w:rsid w:val="0077749E"/>
    <w:rsid w:val="00783A0A"/>
    <w:rsid w:val="00790ADA"/>
    <w:rsid w:val="00797E1E"/>
    <w:rsid w:val="007A2EC8"/>
    <w:rsid w:val="007B02C3"/>
    <w:rsid w:val="007B3CBE"/>
    <w:rsid w:val="007B5FD3"/>
    <w:rsid w:val="007C0EDC"/>
    <w:rsid w:val="007C1BCD"/>
    <w:rsid w:val="007D08BC"/>
    <w:rsid w:val="007D2288"/>
    <w:rsid w:val="007E088F"/>
    <w:rsid w:val="007F4518"/>
    <w:rsid w:val="007F7B32"/>
    <w:rsid w:val="00804BC2"/>
    <w:rsid w:val="0081431A"/>
    <w:rsid w:val="00816EF5"/>
    <w:rsid w:val="008178FF"/>
    <w:rsid w:val="0083216F"/>
    <w:rsid w:val="0084626D"/>
    <w:rsid w:val="00860000"/>
    <w:rsid w:val="00863BD3"/>
    <w:rsid w:val="00866D66"/>
    <w:rsid w:val="008671C6"/>
    <w:rsid w:val="00872D80"/>
    <w:rsid w:val="00875803"/>
    <w:rsid w:val="00882819"/>
    <w:rsid w:val="008919BA"/>
    <w:rsid w:val="00893059"/>
    <w:rsid w:val="008B3409"/>
    <w:rsid w:val="008B459E"/>
    <w:rsid w:val="008C6214"/>
    <w:rsid w:val="008D0CE5"/>
    <w:rsid w:val="008D1E92"/>
    <w:rsid w:val="008E13AE"/>
    <w:rsid w:val="008E1506"/>
    <w:rsid w:val="008E710C"/>
    <w:rsid w:val="008F0319"/>
    <w:rsid w:val="008F1398"/>
    <w:rsid w:val="008F69D6"/>
    <w:rsid w:val="00901398"/>
    <w:rsid w:val="00902823"/>
    <w:rsid w:val="00915CA6"/>
    <w:rsid w:val="00927834"/>
    <w:rsid w:val="0093776C"/>
    <w:rsid w:val="00937ADD"/>
    <w:rsid w:val="009409AC"/>
    <w:rsid w:val="009500A6"/>
    <w:rsid w:val="00957C18"/>
    <w:rsid w:val="009659BA"/>
    <w:rsid w:val="009706D8"/>
    <w:rsid w:val="00983040"/>
    <w:rsid w:val="009975BB"/>
    <w:rsid w:val="009B3FB9"/>
    <w:rsid w:val="009B66B8"/>
    <w:rsid w:val="009C0F84"/>
    <w:rsid w:val="009C2465"/>
    <w:rsid w:val="009D35A0"/>
    <w:rsid w:val="009D7EB7"/>
    <w:rsid w:val="009E048A"/>
    <w:rsid w:val="009E08E9"/>
    <w:rsid w:val="009E3DB9"/>
    <w:rsid w:val="009E6E35"/>
    <w:rsid w:val="009F0EDA"/>
    <w:rsid w:val="00A03B96"/>
    <w:rsid w:val="00A05B19"/>
    <w:rsid w:val="00A1134E"/>
    <w:rsid w:val="00A24E7E"/>
    <w:rsid w:val="00A258C3"/>
    <w:rsid w:val="00A258DC"/>
    <w:rsid w:val="00A276D8"/>
    <w:rsid w:val="00A347C0"/>
    <w:rsid w:val="00A51431"/>
    <w:rsid w:val="00A539AD"/>
    <w:rsid w:val="00A94063"/>
    <w:rsid w:val="00A97015"/>
    <w:rsid w:val="00AA6219"/>
    <w:rsid w:val="00AA74E0"/>
    <w:rsid w:val="00AB0B71"/>
    <w:rsid w:val="00AB703F"/>
    <w:rsid w:val="00AC6BB8"/>
    <w:rsid w:val="00AD3135"/>
    <w:rsid w:val="00AE008F"/>
    <w:rsid w:val="00AE1263"/>
    <w:rsid w:val="00B01FCD"/>
    <w:rsid w:val="00B12FC5"/>
    <w:rsid w:val="00B1776C"/>
    <w:rsid w:val="00B40455"/>
    <w:rsid w:val="00B52896"/>
    <w:rsid w:val="00B911A2"/>
    <w:rsid w:val="00B95236"/>
    <w:rsid w:val="00B96BD9"/>
    <w:rsid w:val="00BA1B01"/>
    <w:rsid w:val="00BA2641"/>
    <w:rsid w:val="00BA2730"/>
    <w:rsid w:val="00BB33AE"/>
    <w:rsid w:val="00BB37AA"/>
    <w:rsid w:val="00BB770C"/>
    <w:rsid w:val="00BC53A0"/>
    <w:rsid w:val="00BE62AD"/>
    <w:rsid w:val="00BE6979"/>
    <w:rsid w:val="00BE76DE"/>
    <w:rsid w:val="00BF121F"/>
    <w:rsid w:val="00BF1F80"/>
    <w:rsid w:val="00BF3764"/>
    <w:rsid w:val="00BF77A6"/>
    <w:rsid w:val="00C14C59"/>
    <w:rsid w:val="00C166EF"/>
    <w:rsid w:val="00C17733"/>
    <w:rsid w:val="00C17EB0"/>
    <w:rsid w:val="00C27F5F"/>
    <w:rsid w:val="00C30A0F"/>
    <w:rsid w:val="00C3323B"/>
    <w:rsid w:val="00C37E61"/>
    <w:rsid w:val="00C5758A"/>
    <w:rsid w:val="00C63EE8"/>
    <w:rsid w:val="00C70F1B"/>
    <w:rsid w:val="00C71A47"/>
    <w:rsid w:val="00C7464C"/>
    <w:rsid w:val="00C85588"/>
    <w:rsid w:val="00CB5052"/>
    <w:rsid w:val="00CD316F"/>
    <w:rsid w:val="00CD6755"/>
    <w:rsid w:val="00CD6856"/>
    <w:rsid w:val="00CE0089"/>
    <w:rsid w:val="00CE793C"/>
    <w:rsid w:val="00CF7741"/>
    <w:rsid w:val="00D00406"/>
    <w:rsid w:val="00D173F1"/>
    <w:rsid w:val="00D53179"/>
    <w:rsid w:val="00D56D16"/>
    <w:rsid w:val="00D71713"/>
    <w:rsid w:val="00D77F74"/>
    <w:rsid w:val="00D80A51"/>
    <w:rsid w:val="00D8295D"/>
    <w:rsid w:val="00DB2684"/>
    <w:rsid w:val="00DC2A65"/>
    <w:rsid w:val="00DD20AC"/>
    <w:rsid w:val="00DE15F0"/>
    <w:rsid w:val="00DE5663"/>
    <w:rsid w:val="00DE78AA"/>
    <w:rsid w:val="00E053D0"/>
    <w:rsid w:val="00E057F5"/>
    <w:rsid w:val="00E0709B"/>
    <w:rsid w:val="00E15994"/>
    <w:rsid w:val="00E3114E"/>
    <w:rsid w:val="00E31A70"/>
    <w:rsid w:val="00E35B02"/>
    <w:rsid w:val="00E40A92"/>
    <w:rsid w:val="00E6165B"/>
    <w:rsid w:val="00E66496"/>
    <w:rsid w:val="00E66B35"/>
    <w:rsid w:val="00E66E10"/>
    <w:rsid w:val="00E72BED"/>
    <w:rsid w:val="00E769F6"/>
    <w:rsid w:val="00E8407C"/>
    <w:rsid w:val="00E84F3C"/>
    <w:rsid w:val="00EA012C"/>
    <w:rsid w:val="00ED0288"/>
    <w:rsid w:val="00ED0BB5"/>
    <w:rsid w:val="00EE52CB"/>
    <w:rsid w:val="00EE7CDA"/>
    <w:rsid w:val="00EF105E"/>
    <w:rsid w:val="00EF581D"/>
    <w:rsid w:val="00EF7FD8"/>
    <w:rsid w:val="00F06F59"/>
    <w:rsid w:val="00F17988"/>
    <w:rsid w:val="00F2465B"/>
    <w:rsid w:val="00F469F0"/>
    <w:rsid w:val="00F50E2F"/>
    <w:rsid w:val="00F53273"/>
    <w:rsid w:val="00F559FF"/>
    <w:rsid w:val="00F755E4"/>
    <w:rsid w:val="00F77D02"/>
    <w:rsid w:val="00F8125A"/>
    <w:rsid w:val="00F94057"/>
    <w:rsid w:val="00FB3A86"/>
    <w:rsid w:val="00FD36C8"/>
    <w:rsid w:val="00FE2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BC43E"/>
  <w15:docId w15:val="{F71FF34A-2883-C544-A802-F6109A71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511F3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511F38"/>
    <w:rPr>
      <w:color w:val="605E5C"/>
      <w:shd w:val="clear" w:color="auto" w:fill="E1DFDD"/>
    </w:rPr>
  </w:style>
  <w:style w:type="character" w:customStyle="1" w:styleId="Heading3Char">
    <w:name w:val="Heading 3 Char"/>
    <w:basedOn w:val="DefaultParagraphFont"/>
    <w:link w:val="Heading3"/>
    <w:semiHidden/>
    <w:rsid w:val="00511F3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67580640">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Sheet3!$C$5</c:f>
              <c:strCache>
                <c:ptCount val="1"/>
                <c:pt idx="0">
                  <c:v>Male</c:v>
                </c:pt>
              </c:strCache>
            </c:strRef>
          </c:tx>
          <c:spPr>
            <a:solidFill>
              <a:schemeClr val="accent1"/>
            </a:solidFill>
            <a:ln>
              <a:noFill/>
            </a:ln>
            <a:effectLst/>
          </c:spPr>
          <c:invertIfNegative val="0"/>
          <c:cat>
            <c:strRef>
              <c:f>Sheet3!$B$6:$B$13</c:f>
              <c:strCache>
                <c:ptCount val="7"/>
                <c:pt idx="0">
                  <c:v>S. aureus</c:v>
                </c:pt>
                <c:pt idx="1">
                  <c:v>E.coli</c:v>
                </c:pt>
                <c:pt idx="2">
                  <c:v>Klebsiella</c:v>
                </c:pt>
                <c:pt idx="3">
                  <c:v>Pseudomonas aeruginosa</c:v>
                </c:pt>
                <c:pt idx="4">
                  <c:v>Proteus.SPP</c:v>
                </c:pt>
                <c:pt idx="5">
                  <c:v>Strep.SPP</c:v>
                </c:pt>
                <c:pt idx="6">
                  <c:v>Pantoea SPP</c:v>
                </c:pt>
              </c:strCache>
            </c:strRef>
          </c:cat>
          <c:val>
            <c:numRef>
              <c:f>Sheet3!$C$6:$C$13</c:f>
              <c:numCache>
                <c:formatCode>General</c:formatCode>
                <c:ptCount val="8"/>
                <c:pt idx="0">
                  <c:v>285</c:v>
                </c:pt>
                <c:pt idx="1">
                  <c:v>294</c:v>
                </c:pt>
                <c:pt idx="2">
                  <c:v>62</c:v>
                </c:pt>
                <c:pt idx="3">
                  <c:v>29</c:v>
                </c:pt>
                <c:pt idx="4">
                  <c:v>13</c:v>
                </c:pt>
                <c:pt idx="5">
                  <c:v>0</c:v>
                </c:pt>
                <c:pt idx="6">
                  <c:v>0</c:v>
                </c:pt>
              </c:numCache>
            </c:numRef>
          </c:val>
          <c:extLst>
            <c:ext xmlns:c16="http://schemas.microsoft.com/office/drawing/2014/chart" uri="{C3380CC4-5D6E-409C-BE32-E72D297353CC}">
              <c16:uniqueId val="{00000000-CF70-41D4-93F0-8FF4D1FDF766}"/>
            </c:ext>
          </c:extLst>
        </c:ser>
        <c:ser>
          <c:idx val="1"/>
          <c:order val="1"/>
          <c:tx>
            <c:strRef>
              <c:f>Sheet3!$D$5</c:f>
              <c:strCache>
                <c:ptCount val="1"/>
                <c:pt idx="0">
                  <c:v>Female</c:v>
                </c:pt>
              </c:strCache>
            </c:strRef>
          </c:tx>
          <c:spPr>
            <a:solidFill>
              <a:schemeClr val="accent2"/>
            </a:solidFill>
            <a:ln>
              <a:noFill/>
            </a:ln>
            <a:effectLst/>
          </c:spPr>
          <c:invertIfNegative val="0"/>
          <c:cat>
            <c:strRef>
              <c:f>Sheet3!$B$6:$B$13</c:f>
              <c:strCache>
                <c:ptCount val="7"/>
                <c:pt idx="0">
                  <c:v>S. aureus</c:v>
                </c:pt>
                <c:pt idx="1">
                  <c:v>E.coli</c:v>
                </c:pt>
                <c:pt idx="2">
                  <c:v>Klebsiella</c:v>
                </c:pt>
                <c:pt idx="3">
                  <c:v>Pseudomonas aeruginosa</c:v>
                </c:pt>
                <c:pt idx="4">
                  <c:v>Proteus.SPP</c:v>
                </c:pt>
                <c:pt idx="5">
                  <c:v>Strep.SPP</c:v>
                </c:pt>
                <c:pt idx="6">
                  <c:v>Pantoea SPP</c:v>
                </c:pt>
              </c:strCache>
            </c:strRef>
          </c:cat>
          <c:val>
            <c:numRef>
              <c:f>Sheet3!$D$6:$D$13</c:f>
              <c:numCache>
                <c:formatCode>General</c:formatCode>
                <c:ptCount val="8"/>
                <c:pt idx="0">
                  <c:v>622</c:v>
                </c:pt>
                <c:pt idx="1">
                  <c:v>592</c:v>
                </c:pt>
                <c:pt idx="2">
                  <c:v>170</c:v>
                </c:pt>
                <c:pt idx="3">
                  <c:v>25</c:v>
                </c:pt>
                <c:pt idx="4">
                  <c:v>17</c:v>
                </c:pt>
                <c:pt idx="5">
                  <c:v>2</c:v>
                </c:pt>
                <c:pt idx="6">
                  <c:v>2</c:v>
                </c:pt>
              </c:numCache>
            </c:numRef>
          </c:val>
          <c:extLst>
            <c:ext xmlns:c16="http://schemas.microsoft.com/office/drawing/2014/chart" uri="{C3380CC4-5D6E-409C-BE32-E72D297353CC}">
              <c16:uniqueId val="{00000001-CF70-41D4-93F0-8FF4D1FDF766}"/>
            </c:ext>
          </c:extLst>
        </c:ser>
        <c:dLbls>
          <c:showLegendKey val="0"/>
          <c:showVal val="0"/>
          <c:showCatName val="0"/>
          <c:showSerName val="0"/>
          <c:showPercent val="0"/>
          <c:showBubbleSize val="0"/>
        </c:dLbls>
        <c:gapWidth val="300"/>
        <c:axId val="277633112"/>
        <c:axId val="277632328"/>
      </c:barChart>
      <c:catAx>
        <c:axId val="27763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en-US"/>
          </a:p>
        </c:txPr>
        <c:crossAx val="277632328"/>
        <c:crosses val="autoZero"/>
        <c:auto val="1"/>
        <c:lblAlgn val="ctr"/>
        <c:lblOffset val="100"/>
        <c:noMultiLvlLbl val="0"/>
      </c:catAx>
      <c:valAx>
        <c:axId val="2776323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lang="x-none" sz="1000" b="0" i="0" u="none" strike="noStrike" kern="1200" baseline="0">
                    <a:solidFill>
                      <a:schemeClr val="tx1">
                        <a:lumMod val="65000"/>
                        <a:lumOff val="35000"/>
                      </a:schemeClr>
                    </a:solidFill>
                    <a:latin typeface="+mn-lt"/>
                    <a:ea typeface="+mn-ea"/>
                    <a:cs typeface="+mn-cs"/>
                  </a:defRPr>
                </a:pPr>
                <a:r>
                  <a:rPr lang="en-US"/>
                  <a:t>Number of isolates based on gender</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en-US"/>
          </a:p>
        </c:txPr>
        <c:crossAx val="277633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x-none"/>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x-none" sz="1400" b="0" i="0" u="none" strike="noStrike" kern="1200" cap="none" spc="20" baseline="0">
                <a:solidFill>
                  <a:schemeClr val="tx1">
                    <a:lumMod val="50000"/>
                    <a:lumOff val="50000"/>
                  </a:schemeClr>
                </a:solidFill>
                <a:latin typeface="+mn-lt"/>
                <a:ea typeface="+mn-ea"/>
                <a:cs typeface="+mn-cs"/>
              </a:defRPr>
            </a:pPr>
            <a:r>
              <a:rPr lang="en-US"/>
              <a:t>Ofloxacin</a:t>
            </a:r>
          </a:p>
        </c:rich>
      </c:tx>
      <c:overlay val="0"/>
      <c:spPr>
        <a:noFill/>
        <a:ln>
          <a:noFill/>
        </a:ln>
        <a:effectLst/>
      </c:spPr>
    </c:title>
    <c:autoTitleDeleted val="0"/>
    <c:plotArea>
      <c:layout/>
      <c:barChart>
        <c:barDir val="col"/>
        <c:grouping val="clustered"/>
        <c:varyColors val="0"/>
        <c:ser>
          <c:idx val="0"/>
          <c:order val="0"/>
          <c:tx>
            <c:strRef>
              <c:f>Sheet2!$P$48</c:f>
              <c:strCache>
                <c:ptCount val="1"/>
                <c:pt idx="0">
                  <c:v>Resistance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Sheet2!$O$49:$O$56</c:f>
              <c:strCache>
                <c:ptCount val="7"/>
                <c:pt idx="0">
                  <c:v>S. aureus</c:v>
                </c:pt>
                <c:pt idx="1">
                  <c:v>E.coli</c:v>
                </c:pt>
                <c:pt idx="2">
                  <c:v>Klebsiella</c:v>
                </c:pt>
                <c:pt idx="3">
                  <c:v>Pseudomona aeruginosa</c:v>
                </c:pt>
                <c:pt idx="4">
                  <c:v>Proteus.SPP</c:v>
                </c:pt>
                <c:pt idx="5">
                  <c:v>Strep.SPP</c:v>
                </c:pt>
                <c:pt idx="6">
                  <c:v>Pantoea SPP</c:v>
                </c:pt>
              </c:strCache>
            </c:strRef>
          </c:cat>
          <c:val>
            <c:numRef>
              <c:f>Sheet2!$P$49:$P$56</c:f>
              <c:numCache>
                <c:formatCode>General</c:formatCode>
                <c:ptCount val="8"/>
                <c:pt idx="0">
                  <c:v>608</c:v>
                </c:pt>
                <c:pt idx="1">
                  <c:v>526</c:v>
                </c:pt>
                <c:pt idx="2">
                  <c:v>120</c:v>
                </c:pt>
                <c:pt idx="3">
                  <c:v>38</c:v>
                </c:pt>
                <c:pt idx="4">
                  <c:v>14</c:v>
                </c:pt>
                <c:pt idx="5">
                  <c:v>1</c:v>
                </c:pt>
                <c:pt idx="6">
                  <c:v>1</c:v>
                </c:pt>
              </c:numCache>
            </c:numRef>
          </c:val>
          <c:extLst>
            <c:ext xmlns:c16="http://schemas.microsoft.com/office/drawing/2014/chart" uri="{C3380CC4-5D6E-409C-BE32-E72D297353CC}">
              <c16:uniqueId val="{00000000-0C5B-4B9C-9F78-FCED83894793}"/>
            </c:ext>
          </c:extLst>
        </c:ser>
        <c:ser>
          <c:idx val="1"/>
          <c:order val="1"/>
          <c:tx>
            <c:strRef>
              <c:f>Sheet2!$Q$48</c:f>
              <c:strCache>
                <c:ptCount val="1"/>
                <c:pt idx="0">
                  <c:v>Susceptible</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Sheet2!$O$49:$O$56</c:f>
              <c:strCache>
                <c:ptCount val="7"/>
                <c:pt idx="0">
                  <c:v>S. aureus</c:v>
                </c:pt>
                <c:pt idx="1">
                  <c:v>E.coli</c:v>
                </c:pt>
                <c:pt idx="2">
                  <c:v>Klebsiella</c:v>
                </c:pt>
                <c:pt idx="3">
                  <c:v>Pseudomona aeruginosa</c:v>
                </c:pt>
                <c:pt idx="4">
                  <c:v>Proteus.SPP</c:v>
                </c:pt>
                <c:pt idx="5">
                  <c:v>Strep.SPP</c:v>
                </c:pt>
                <c:pt idx="6">
                  <c:v>Pantoea SPP</c:v>
                </c:pt>
              </c:strCache>
            </c:strRef>
          </c:cat>
          <c:val>
            <c:numRef>
              <c:f>Sheet2!$Q$49:$Q$56</c:f>
              <c:numCache>
                <c:formatCode>General</c:formatCode>
                <c:ptCount val="8"/>
                <c:pt idx="0">
                  <c:v>102</c:v>
                </c:pt>
                <c:pt idx="1">
                  <c:v>155</c:v>
                </c:pt>
                <c:pt idx="2">
                  <c:v>46</c:v>
                </c:pt>
                <c:pt idx="3">
                  <c:v>7</c:v>
                </c:pt>
                <c:pt idx="4">
                  <c:v>4</c:v>
                </c:pt>
                <c:pt idx="5">
                  <c:v>1</c:v>
                </c:pt>
                <c:pt idx="6">
                  <c:v>0</c:v>
                </c:pt>
              </c:numCache>
            </c:numRef>
          </c:val>
          <c:extLst>
            <c:ext xmlns:c16="http://schemas.microsoft.com/office/drawing/2014/chart" uri="{C3380CC4-5D6E-409C-BE32-E72D297353CC}">
              <c16:uniqueId val="{00000001-0C5B-4B9C-9F78-FCED83894793}"/>
            </c:ext>
          </c:extLst>
        </c:ser>
        <c:dLbls>
          <c:showLegendKey val="0"/>
          <c:showVal val="0"/>
          <c:showCatName val="0"/>
          <c:showSerName val="0"/>
          <c:showPercent val="0"/>
          <c:showBubbleSize val="0"/>
        </c:dLbls>
        <c:gapWidth val="150"/>
        <c:axId val="277634288"/>
        <c:axId val="277631544"/>
      </c:barChart>
      <c:catAx>
        <c:axId val="277634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x-none" sz="900" b="0" i="0" u="none" strike="noStrike" kern="1200" baseline="0">
                <a:solidFill>
                  <a:schemeClr val="tx1">
                    <a:lumMod val="50000"/>
                    <a:lumOff val="50000"/>
                  </a:schemeClr>
                </a:solidFill>
                <a:latin typeface="+mn-lt"/>
                <a:ea typeface="+mn-ea"/>
                <a:cs typeface="+mn-cs"/>
              </a:defRPr>
            </a:pPr>
            <a:endParaRPr lang="en-US"/>
          </a:p>
        </c:txPr>
        <c:crossAx val="277631544"/>
        <c:crosses val="autoZero"/>
        <c:auto val="1"/>
        <c:lblAlgn val="ctr"/>
        <c:lblOffset val="100"/>
        <c:noMultiLvlLbl val="0"/>
      </c:catAx>
      <c:valAx>
        <c:axId val="277631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x-none" sz="900" b="0" i="0" u="none" strike="noStrike" kern="1200" baseline="0">
                <a:solidFill>
                  <a:schemeClr val="tx1">
                    <a:lumMod val="50000"/>
                    <a:lumOff val="50000"/>
                  </a:schemeClr>
                </a:solidFill>
                <a:latin typeface="+mn-lt"/>
                <a:ea typeface="+mn-ea"/>
                <a:cs typeface="+mn-cs"/>
              </a:defRPr>
            </a:pPr>
            <a:endParaRPr lang="en-US"/>
          </a:p>
        </c:txPr>
        <c:crossAx val="27763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x-none"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x-none"/>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x-none"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ciprofloxacin</a:t>
            </a:r>
          </a:p>
        </c:rich>
      </c:tx>
      <c:overlay val="0"/>
      <c:spPr>
        <a:noFill/>
        <a:ln>
          <a:noFill/>
        </a:ln>
        <a:effectLst/>
      </c:spPr>
    </c:title>
    <c:autoTitleDeleted val="0"/>
    <c:plotArea>
      <c:layout/>
      <c:barChart>
        <c:barDir val="col"/>
        <c:grouping val="clustered"/>
        <c:varyColors val="0"/>
        <c:ser>
          <c:idx val="0"/>
          <c:order val="0"/>
          <c:tx>
            <c:strRef>
              <c:f>Sheet2!$P$6</c:f>
              <c:strCache>
                <c:ptCount val="1"/>
                <c:pt idx="0">
                  <c:v>Resistance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Sheet2!$O$7:$O$14</c:f>
              <c:strCache>
                <c:ptCount val="7"/>
                <c:pt idx="0">
                  <c:v>S. aureus</c:v>
                </c:pt>
                <c:pt idx="1">
                  <c:v>E.coli</c:v>
                </c:pt>
                <c:pt idx="2">
                  <c:v>Klebsiella</c:v>
                </c:pt>
                <c:pt idx="3">
                  <c:v>Pseudomona aeruginosa</c:v>
                </c:pt>
                <c:pt idx="4">
                  <c:v>Proteus.SPP</c:v>
                </c:pt>
                <c:pt idx="5">
                  <c:v>Strep.SPP</c:v>
                </c:pt>
                <c:pt idx="6">
                  <c:v>Pantoea SPP</c:v>
                </c:pt>
              </c:strCache>
            </c:strRef>
          </c:cat>
          <c:val>
            <c:numRef>
              <c:f>Sheet2!$P$7:$P$14</c:f>
              <c:numCache>
                <c:formatCode>General</c:formatCode>
                <c:ptCount val="8"/>
                <c:pt idx="0">
                  <c:v>530</c:v>
                </c:pt>
                <c:pt idx="1">
                  <c:v>528</c:v>
                </c:pt>
                <c:pt idx="2">
                  <c:v>128</c:v>
                </c:pt>
                <c:pt idx="3">
                  <c:v>35</c:v>
                </c:pt>
                <c:pt idx="4">
                  <c:v>15</c:v>
                </c:pt>
                <c:pt idx="5">
                  <c:v>0</c:v>
                </c:pt>
                <c:pt idx="6">
                  <c:v>1</c:v>
                </c:pt>
              </c:numCache>
            </c:numRef>
          </c:val>
          <c:extLst>
            <c:ext xmlns:c16="http://schemas.microsoft.com/office/drawing/2014/chart" uri="{C3380CC4-5D6E-409C-BE32-E72D297353CC}">
              <c16:uniqueId val="{00000000-FC40-4FDB-B5DE-C6C77CE87A15}"/>
            </c:ext>
          </c:extLst>
        </c:ser>
        <c:ser>
          <c:idx val="1"/>
          <c:order val="1"/>
          <c:tx>
            <c:strRef>
              <c:f>Sheet2!$Q$6</c:f>
              <c:strCache>
                <c:ptCount val="1"/>
                <c:pt idx="0">
                  <c:v>Susceptible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Sheet2!$O$7:$O$14</c:f>
              <c:strCache>
                <c:ptCount val="7"/>
                <c:pt idx="0">
                  <c:v>S. aureus</c:v>
                </c:pt>
                <c:pt idx="1">
                  <c:v>E.coli</c:v>
                </c:pt>
                <c:pt idx="2">
                  <c:v>Klebsiella</c:v>
                </c:pt>
                <c:pt idx="3">
                  <c:v>Pseudomona aeruginosa</c:v>
                </c:pt>
                <c:pt idx="4">
                  <c:v>Proteus.SPP</c:v>
                </c:pt>
                <c:pt idx="5">
                  <c:v>Strep.SPP</c:v>
                </c:pt>
                <c:pt idx="6">
                  <c:v>Pantoea SPP</c:v>
                </c:pt>
              </c:strCache>
            </c:strRef>
          </c:cat>
          <c:val>
            <c:numRef>
              <c:f>Sheet2!$Q$7:$Q$14</c:f>
              <c:numCache>
                <c:formatCode>General</c:formatCode>
                <c:ptCount val="8"/>
                <c:pt idx="0">
                  <c:v>117</c:v>
                </c:pt>
                <c:pt idx="1">
                  <c:v>179</c:v>
                </c:pt>
                <c:pt idx="2">
                  <c:v>63</c:v>
                </c:pt>
                <c:pt idx="3">
                  <c:v>12</c:v>
                </c:pt>
                <c:pt idx="4">
                  <c:v>7</c:v>
                </c:pt>
                <c:pt idx="5">
                  <c:v>1</c:v>
                </c:pt>
                <c:pt idx="6">
                  <c:v>1</c:v>
                </c:pt>
              </c:numCache>
            </c:numRef>
          </c:val>
          <c:extLst>
            <c:ext xmlns:c16="http://schemas.microsoft.com/office/drawing/2014/chart" uri="{C3380CC4-5D6E-409C-BE32-E72D297353CC}">
              <c16:uniqueId val="{00000001-FC40-4FDB-B5DE-C6C77CE87A15}"/>
            </c:ext>
          </c:extLst>
        </c:ser>
        <c:dLbls>
          <c:showLegendKey val="0"/>
          <c:showVal val="0"/>
          <c:showCatName val="0"/>
          <c:showSerName val="0"/>
          <c:showPercent val="0"/>
          <c:showBubbleSize val="0"/>
        </c:dLbls>
        <c:gapWidth val="100"/>
        <c:overlap val="-24"/>
        <c:axId val="277635072"/>
        <c:axId val="277635464"/>
      </c:barChart>
      <c:catAx>
        <c:axId val="2776350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x-none" sz="900" b="0" i="0" u="none" strike="noStrike" kern="1200" baseline="0">
                <a:solidFill>
                  <a:schemeClr val="lt1">
                    <a:lumMod val="85000"/>
                  </a:schemeClr>
                </a:solidFill>
                <a:latin typeface="+mn-lt"/>
                <a:ea typeface="+mn-ea"/>
                <a:cs typeface="+mn-cs"/>
              </a:defRPr>
            </a:pPr>
            <a:endParaRPr lang="en-US"/>
          </a:p>
        </c:txPr>
        <c:crossAx val="277635464"/>
        <c:crosses val="autoZero"/>
        <c:auto val="1"/>
        <c:lblAlgn val="ctr"/>
        <c:lblOffset val="100"/>
        <c:noMultiLvlLbl val="0"/>
      </c:catAx>
      <c:valAx>
        <c:axId val="27763546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x-none" sz="900" b="0" i="0" u="none" strike="noStrike" kern="1200" baseline="0">
                <a:solidFill>
                  <a:schemeClr val="lt1">
                    <a:lumMod val="85000"/>
                  </a:schemeClr>
                </a:solidFill>
                <a:latin typeface="+mn-lt"/>
                <a:ea typeface="+mn-ea"/>
                <a:cs typeface="+mn-cs"/>
              </a:defRPr>
            </a:pPr>
            <a:endParaRPr lang="en-US"/>
          </a:p>
        </c:txPr>
        <c:crossAx val="27763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x-none"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x-none"/>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x-none" sz="1400" b="0" i="0" u="none" strike="noStrike" kern="1200" spc="0" baseline="0">
                <a:solidFill>
                  <a:schemeClr val="tx1">
                    <a:lumMod val="65000"/>
                    <a:lumOff val="35000"/>
                  </a:schemeClr>
                </a:solidFill>
                <a:latin typeface="+mn-lt"/>
                <a:ea typeface="+mn-ea"/>
                <a:cs typeface="+mn-cs"/>
              </a:defRPr>
            </a:pPr>
            <a:r>
              <a:rPr lang="en-US"/>
              <a:t>Augmentin</a:t>
            </a:r>
          </a:p>
        </c:rich>
      </c:tx>
      <c:overlay val="0"/>
      <c:spPr>
        <a:noFill/>
        <a:ln>
          <a:noFill/>
        </a:ln>
        <a:effectLst/>
      </c:spPr>
    </c:title>
    <c:autoTitleDeleted val="0"/>
    <c:plotArea>
      <c:layout/>
      <c:barChart>
        <c:barDir val="col"/>
        <c:grouping val="clustered"/>
        <c:varyColors val="0"/>
        <c:ser>
          <c:idx val="0"/>
          <c:order val="0"/>
          <c:tx>
            <c:strRef>
              <c:f>Sheet2!$P$32</c:f>
              <c:strCache>
                <c:ptCount val="1"/>
                <c:pt idx="0">
                  <c:v>Resistance</c:v>
                </c:pt>
              </c:strCache>
            </c:strRef>
          </c:tx>
          <c:spPr>
            <a:solidFill>
              <a:schemeClr val="accent1"/>
            </a:solidFill>
            <a:ln>
              <a:noFill/>
            </a:ln>
            <a:effectLst/>
          </c:spPr>
          <c:invertIfNegative val="0"/>
          <c:cat>
            <c:strRef>
              <c:f>Sheet2!$O$33:$O$40</c:f>
              <c:strCache>
                <c:ptCount val="7"/>
                <c:pt idx="0">
                  <c:v>S. aureus</c:v>
                </c:pt>
                <c:pt idx="1">
                  <c:v>E.coli</c:v>
                </c:pt>
                <c:pt idx="2">
                  <c:v>Klebsiella</c:v>
                </c:pt>
                <c:pt idx="3">
                  <c:v>Pseudomona aeruginosa</c:v>
                </c:pt>
                <c:pt idx="4">
                  <c:v>Proteus.SPP</c:v>
                </c:pt>
                <c:pt idx="5">
                  <c:v>Strep.SPP</c:v>
                </c:pt>
                <c:pt idx="6">
                  <c:v>Pantoea SPP</c:v>
                </c:pt>
              </c:strCache>
            </c:strRef>
          </c:cat>
          <c:val>
            <c:numRef>
              <c:f>Sheet2!$P$33:$P$40</c:f>
              <c:numCache>
                <c:formatCode>General</c:formatCode>
                <c:ptCount val="8"/>
                <c:pt idx="0">
                  <c:v>463</c:v>
                </c:pt>
                <c:pt idx="1">
                  <c:v>610</c:v>
                </c:pt>
                <c:pt idx="2">
                  <c:v>140</c:v>
                </c:pt>
                <c:pt idx="3">
                  <c:v>29</c:v>
                </c:pt>
                <c:pt idx="4">
                  <c:v>13</c:v>
                </c:pt>
                <c:pt idx="5">
                  <c:v>1</c:v>
                </c:pt>
                <c:pt idx="6">
                  <c:v>1</c:v>
                </c:pt>
              </c:numCache>
            </c:numRef>
          </c:val>
          <c:extLst>
            <c:ext xmlns:c16="http://schemas.microsoft.com/office/drawing/2014/chart" uri="{C3380CC4-5D6E-409C-BE32-E72D297353CC}">
              <c16:uniqueId val="{00000000-2617-49E2-9243-B2DCECED9512}"/>
            </c:ext>
          </c:extLst>
        </c:ser>
        <c:ser>
          <c:idx val="1"/>
          <c:order val="1"/>
          <c:tx>
            <c:strRef>
              <c:f>Sheet2!$Q$32</c:f>
              <c:strCache>
                <c:ptCount val="1"/>
                <c:pt idx="0">
                  <c:v>Susceptible</c:v>
                </c:pt>
              </c:strCache>
            </c:strRef>
          </c:tx>
          <c:spPr>
            <a:solidFill>
              <a:schemeClr val="accent2"/>
            </a:solidFill>
            <a:ln>
              <a:noFill/>
            </a:ln>
            <a:effectLst/>
          </c:spPr>
          <c:invertIfNegative val="0"/>
          <c:cat>
            <c:strRef>
              <c:f>Sheet2!$O$33:$O$40</c:f>
              <c:strCache>
                <c:ptCount val="7"/>
                <c:pt idx="0">
                  <c:v>S. aureus</c:v>
                </c:pt>
                <c:pt idx="1">
                  <c:v>E.coli</c:v>
                </c:pt>
                <c:pt idx="2">
                  <c:v>Klebsiella</c:v>
                </c:pt>
                <c:pt idx="3">
                  <c:v>Pseudomona aeruginosa</c:v>
                </c:pt>
                <c:pt idx="4">
                  <c:v>Proteus.SPP</c:v>
                </c:pt>
                <c:pt idx="5">
                  <c:v>Strep.SPP</c:v>
                </c:pt>
                <c:pt idx="6">
                  <c:v>Pantoea SPP</c:v>
                </c:pt>
              </c:strCache>
            </c:strRef>
          </c:cat>
          <c:val>
            <c:numRef>
              <c:f>Sheet2!$Q$33:$Q$40</c:f>
              <c:numCache>
                <c:formatCode>General</c:formatCode>
                <c:ptCount val="8"/>
                <c:pt idx="0">
                  <c:v>95</c:v>
                </c:pt>
                <c:pt idx="1">
                  <c:v>31</c:v>
                </c:pt>
                <c:pt idx="2">
                  <c:v>1</c:v>
                </c:pt>
                <c:pt idx="3">
                  <c:v>1</c:v>
                </c:pt>
                <c:pt idx="4">
                  <c:v>0</c:v>
                </c:pt>
                <c:pt idx="5">
                  <c:v>0</c:v>
                </c:pt>
                <c:pt idx="6">
                  <c:v>0</c:v>
                </c:pt>
              </c:numCache>
            </c:numRef>
          </c:val>
          <c:extLst>
            <c:ext xmlns:c16="http://schemas.microsoft.com/office/drawing/2014/chart" uri="{C3380CC4-5D6E-409C-BE32-E72D297353CC}">
              <c16:uniqueId val="{00000001-2617-49E2-9243-B2DCECED9512}"/>
            </c:ext>
          </c:extLst>
        </c:ser>
        <c:dLbls>
          <c:showLegendKey val="0"/>
          <c:showVal val="0"/>
          <c:showCatName val="0"/>
          <c:showSerName val="0"/>
          <c:showPercent val="0"/>
          <c:showBubbleSize val="0"/>
        </c:dLbls>
        <c:gapWidth val="150"/>
        <c:axId val="277638208"/>
        <c:axId val="277637816"/>
      </c:barChart>
      <c:catAx>
        <c:axId val="27763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en-US"/>
          </a:p>
        </c:txPr>
        <c:crossAx val="277637816"/>
        <c:crosses val="autoZero"/>
        <c:auto val="1"/>
        <c:lblAlgn val="ctr"/>
        <c:lblOffset val="100"/>
        <c:noMultiLvlLbl val="0"/>
      </c:catAx>
      <c:valAx>
        <c:axId val="277637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en-US"/>
          </a:p>
        </c:txPr>
        <c:crossAx val="27763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x-none"/>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x-none"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Gentamicin</a:t>
            </a:r>
          </a:p>
        </c:rich>
      </c:tx>
      <c:overlay val="0"/>
      <c:spPr>
        <a:noFill/>
        <a:ln>
          <a:noFill/>
        </a:ln>
        <a:effectLst/>
      </c:spPr>
    </c:title>
    <c:autoTitleDeleted val="0"/>
    <c:plotArea>
      <c:layout/>
      <c:barChart>
        <c:barDir val="bar"/>
        <c:grouping val="clustered"/>
        <c:varyColors val="0"/>
        <c:ser>
          <c:idx val="0"/>
          <c:order val="0"/>
          <c:tx>
            <c:strRef>
              <c:f>Sheet2!$P$18</c:f>
              <c:strCache>
                <c:ptCount val="1"/>
                <c:pt idx="0">
                  <c:v>Resistance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Sheet2!$O$19:$O$26</c:f>
              <c:strCache>
                <c:ptCount val="8"/>
                <c:pt idx="0">
                  <c:v>S. aureus</c:v>
                </c:pt>
                <c:pt idx="1">
                  <c:v>E.coli</c:v>
                </c:pt>
                <c:pt idx="2">
                  <c:v>Klebsiella</c:v>
                </c:pt>
                <c:pt idx="3">
                  <c:v>Pseudomona aeruginosa</c:v>
                </c:pt>
                <c:pt idx="4">
                  <c:v>Proteus.SPP</c:v>
                </c:pt>
                <c:pt idx="5">
                  <c:v>Strep.SPP</c:v>
                </c:pt>
                <c:pt idx="6">
                  <c:v>Pantoea SPP</c:v>
                </c:pt>
                <c:pt idx="7">
                  <c:v>P.mirabis</c:v>
                </c:pt>
              </c:strCache>
            </c:strRef>
          </c:cat>
          <c:val>
            <c:numRef>
              <c:f>Sheet2!$P$19:$P$26</c:f>
              <c:numCache>
                <c:formatCode>General</c:formatCode>
                <c:ptCount val="8"/>
                <c:pt idx="0">
                  <c:v>499</c:v>
                </c:pt>
                <c:pt idx="1">
                  <c:v>509</c:v>
                </c:pt>
                <c:pt idx="2">
                  <c:v>156</c:v>
                </c:pt>
                <c:pt idx="3">
                  <c:v>39</c:v>
                </c:pt>
                <c:pt idx="4">
                  <c:v>12</c:v>
                </c:pt>
                <c:pt idx="5">
                  <c:v>1</c:v>
                </c:pt>
                <c:pt idx="6">
                  <c:v>1</c:v>
                </c:pt>
                <c:pt idx="7">
                  <c:v>1</c:v>
                </c:pt>
              </c:numCache>
            </c:numRef>
          </c:val>
          <c:extLst>
            <c:ext xmlns:c16="http://schemas.microsoft.com/office/drawing/2014/chart" uri="{C3380CC4-5D6E-409C-BE32-E72D297353CC}">
              <c16:uniqueId val="{00000000-B12C-4CA4-9C48-F33C3D63646A}"/>
            </c:ext>
          </c:extLst>
        </c:ser>
        <c:ser>
          <c:idx val="1"/>
          <c:order val="1"/>
          <c:tx>
            <c:strRef>
              <c:f>Sheet2!$Q$18</c:f>
              <c:strCache>
                <c:ptCount val="1"/>
                <c:pt idx="0">
                  <c:v>Susceptible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Sheet2!$O$19:$O$26</c:f>
              <c:strCache>
                <c:ptCount val="8"/>
                <c:pt idx="0">
                  <c:v>S. aureus</c:v>
                </c:pt>
                <c:pt idx="1">
                  <c:v>E.coli</c:v>
                </c:pt>
                <c:pt idx="2">
                  <c:v>Klebsiella</c:v>
                </c:pt>
                <c:pt idx="3">
                  <c:v>Pseudomona aeruginosa</c:v>
                </c:pt>
                <c:pt idx="4">
                  <c:v>Proteus.SPP</c:v>
                </c:pt>
                <c:pt idx="5">
                  <c:v>Strep.SPP</c:v>
                </c:pt>
                <c:pt idx="6">
                  <c:v>Pantoea SPP</c:v>
                </c:pt>
                <c:pt idx="7">
                  <c:v>P.mirabis</c:v>
                </c:pt>
              </c:strCache>
            </c:strRef>
          </c:cat>
          <c:val>
            <c:numRef>
              <c:f>Sheet2!$Q$19:$Q$26</c:f>
              <c:numCache>
                <c:formatCode>General</c:formatCode>
                <c:ptCount val="8"/>
                <c:pt idx="0">
                  <c:v>119</c:v>
                </c:pt>
                <c:pt idx="1">
                  <c:v>117</c:v>
                </c:pt>
                <c:pt idx="2">
                  <c:v>29</c:v>
                </c:pt>
                <c:pt idx="3">
                  <c:v>6</c:v>
                </c:pt>
                <c:pt idx="4">
                  <c:v>6</c:v>
                </c:pt>
                <c:pt idx="5">
                  <c:v>1</c:v>
                </c:pt>
                <c:pt idx="6">
                  <c:v>0</c:v>
                </c:pt>
                <c:pt idx="7">
                  <c:v>0</c:v>
                </c:pt>
              </c:numCache>
            </c:numRef>
          </c:val>
          <c:extLst>
            <c:ext xmlns:c16="http://schemas.microsoft.com/office/drawing/2014/chart" uri="{C3380CC4-5D6E-409C-BE32-E72D297353CC}">
              <c16:uniqueId val="{00000001-B12C-4CA4-9C48-F33C3D63646A}"/>
            </c:ext>
          </c:extLst>
        </c:ser>
        <c:dLbls>
          <c:showLegendKey val="0"/>
          <c:showVal val="0"/>
          <c:showCatName val="0"/>
          <c:showSerName val="0"/>
          <c:showPercent val="0"/>
          <c:showBubbleSize val="0"/>
        </c:dLbls>
        <c:gapWidth val="115"/>
        <c:overlap val="-20"/>
        <c:axId val="389095400"/>
        <c:axId val="389093440"/>
      </c:barChart>
      <c:catAx>
        <c:axId val="389095400"/>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x-none" sz="900" b="0" i="0" u="none" strike="noStrike" kern="1200" baseline="0">
                <a:solidFill>
                  <a:schemeClr val="lt1">
                    <a:lumMod val="85000"/>
                  </a:schemeClr>
                </a:solidFill>
                <a:latin typeface="+mn-lt"/>
                <a:ea typeface="+mn-ea"/>
                <a:cs typeface="+mn-cs"/>
              </a:defRPr>
            </a:pPr>
            <a:endParaRPr lang="en-US"/>
          </a:p>
        </c:txPr>
        <c:crossAx val="389093440"/>
        <c:crosses val="autoZero"/>
        <c:auto val="1"/>
        <c:lblAlgn val="ctr"/>
        <c:lblOffset val="100"/>
        <c:noMultiLvlLbl val="0"/>
      </c:catAx>
      <c:valAx>
        <c:axId val="389093440"/>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x-none" sz="900" b="0" i="0" u="none" strike="noStrike" kern="1200" baseline="0">
                <a:solidFill>
                  <a:schemeClr val="lt1">
                    <a:lumMod val="85000"/>
                  </a:schemeClr>
                </a:solidFill>
                <a:latin typeface="+mn-lt"/>
                <a:ea typeface="+mn-ea"/>
                <a:cs typeface="+mn-cs"/>
              </a:defRPr>
            </a:pPr>
            <a:endParaRPr lang="en-US"/>
          </a:p>
        </c:txPr>
        <c:crossAx val="389095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x-none"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x-none"/>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77B23-62D0-C24F-8C96-7639B4750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106</TotalTime>
  <Pages>8</Pages>
  <Words>3033</Words>
  <Characters>17293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20286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137</cp:revision>
  <cp:lastPrinted>1999-07-06T11:00:00Z</cp:lastPrinted>
  <dcterms:created xsi:type="dcterms:W3CDTF">2020-05-24T02:12:00Z</dcterms:created>
  <dcterms:modified xsi:type="dcterms:W3CDTF">2024-12-26T05:24:00Z</dcterms:modified>
</cp:coreProperties>
</file>