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51E2B" w14:textId="77777777" w:rsidR="00BA55A7" w:rsidRPr="00BA55A7" w:rsidRDefault="00BA55A7">
      <w:pPr>
        <w:spacing w:before="243"/>
        <w:ind w:left="1102" w:right="176" w:firstLine="1015"/>
        <w:jc w:val="right"/>
        <w:rPr>
          <w:rFonts w:ascii="Arial"/>
          <w:b/>
          <w:i/>
          <w:sz w:val="40"/>
          <w:u w:val="single"/>
        </w:rPr>
      </w:pPr>
      <w:r w:rsidRPr="00BA55A7">
        <w:rPr>
          <w:rFonts w:ascii="Arial"/>
          <w:b/>
          <w:i/>
          <w:sz w:val="40"/>
          <w:u w:val="single"/>
        </w:rPr>
        <w:t>Original Research Article</w:t>
      </w:r>
    </w:p>
    <w:p w14:paraId="09534B2A" w14:textId="77777777" w:rsidR="0048266F" w:rsidRPr="00AC67A2" w:rsidRDefault="00616C6F">
      <w:pPr>
        <w:spacing w:before="243"/>
        <w:ind w:left="1102" w:right="176" w:firstLine="1015"/>
        <w:jc w:val="right"/>
        <w:rPr>
          <w:rFonts w:ascii="Arial"/>
          <w:b/>
          <w:sz w:val="44"/>
        </w:rPr>
      </w:pPr>
      <w:r w:rsidRPr="00616C6F">
        <w:rPr>
          <w:rFonts w:ascii="Arial"/>
          <w:b/>
          <w:sz w:val="48"/>
        </w:rPr>
        <w:t xml:space="preserve">Effect </w:t>
      </w:r>
      <w:r w:rsidR="00F55F97">
        <w:rPr>
          <w:rFonts w:ascii="Arial"/>
          <w:b/>
          <w:sz w:val="48"/>
          <w:lang w:val="id-ID"/>
        </w:rPr>
        <w:t>o</w:t>
      </w:r>
      <w:r w:rsidR="00F55F97" w:rsidRPr="00616C6F">
        <w:rPr>
          <w:rFonts w:ascii="Arial"/>
          <w:b/>
          <w:sz w:val="48"/>
        </w:rPr>
        <w:t xml:space="preserve">f Different Types </w:t>
      </w:r>
      <w:r w:rsidR="00F55F97">
        <w:rPr>
          <w:rFonts w:ascii="Arial"/>
          <w:b/>
          <w:sz w:val="48"/>
          <w:lang w:val="id-ID"/>
        </w:rPr>
        <w:t>o</w:t>
      </w:r>
      <w:r w:rsidR="00F55F97" w:rsidRPr="00616C6F">
        <w:rPr>
          <w:rFonts w:ascii="Arial"/>
          <w:b/>
          <w:sz w:val="48"/>
        </w:rPr>
        <w:t xml:space="preserve">f Substrate </w:t>
      </w:r>
      <w:r w:rsidR="00F55F97">
        <w:rPr>
          <w:rFonts w:ascii="Arial"/>
          <w:b/>
          <w:sz w:val="48"/>
          <w:lang w:val="id-ID"/>
        </w:rPr>
        <w:t>o</w:t>
      </w:r>
      <w:r w:rsidR="00F55F97" w:rsidRPr="00616C6F">
        <w:rPr>
          <w:rFonts w:ascii="Arial"/>
          <w:b/>
          <w:sz w:val="48"/>
        </w:rPr>
        <w:t xml:space="preserve">n The </w:t>
      </w:r>
      <w:bookmarkStart w:id="0" w:name="_Hlk186123891"/>
      <w:r w:rsidR="00F55F97" w:rsidRPr="00616C6F">
        <w:rPr>
          <w:rFonts w:ascii="Arial"/>
          <w:b/>
          <w:sz w:val="48"/>
        </w:rPr>
        <w:t xml:space="preserve">Attachment Rate </w:t>
      </w:r>
      <w:r w:rsidR="00F55F97">
        <w:rPr>
          <w:rFonts w:ascii="Arial"/>
          <w:b/>
          <w:sz w:val="48"/>
          <w:lang w:val="id-ID"/>
        </w:rPr>
        <w:t>o</w:t>
      </w:r>
      <w:r w:rsidR="00F55F97" w:rsidRPr="00616C6F">
        <w:rPr>
          <w:rFonts w:ascii="Arial"/>
          <w:b/>
          <w:sz w:val="48"/>
        </w:rPr>
        <w:t xml:space="preserve">f Brown Mussel Juveniles </w:t>
      </w:r>
      <w:bookmarkEnd w:id="0"/>
      <w:r w:rsidRPr="00616C6F">
        <w:rPr>
          <w:rFonts w:ascii="Arial"/>
          <w:b/>
          <w:sz w:val="48"/>
        </w:rPr>
        <w:t>(</w:t>
      </w:r>
      <w:proofErr w:type="spellStart"/>
      <w:r w:rsidRPr="00B50574">
        <w:rPr>
          <w:rFonts w:ascii="Arial"/>
          <w:b/>
          <w:i/>
          <w:sz w:val="48"/>
        </w:rPr>
        <w:t>Mytilopsis</w:t>
      </w:r>
      <w:proofErr w:type="spellEnd"/>
      <w:r w:rsidRPr="00B50574">
        <w:rPr>
          <w:rFonts w:ascii="Arial"/>
          <w:b/>
          <w:i/>
          <w:sz w:val="48"/>
        </w:rPr>
        <w:t xml:space="preserve"> </w:t>
      </w:r>
      <w:proofErr w:type="spellStart"/>
      <w:r w:rsidRPr="00B50574">
        <w:rPr>
          <w:rFonts w:ascii="Arial"/>
          <w:b/>
          <w:i/>
          <w:sz w:val="48"/>
        </w:rPr>
        <w:t>adamsi</w:t>
      </w:r>
      <w:proofErr w:type="spellEnd"/>
      <w:r w:rsidRPr="00616C6F">
        <w:rPr>
          <w:rFonts w:ascii="Arial"/>
          <w:b/>
          <w:sz w:val="48"/>
        </w:rPr>
        <w:t>)</w:t>
      </w:r>
    </w:p>
    <w:p w14:paraId="503E31BF" w14:textId="77777777" w:rsidR="00B7111C" w:rsidRDefault="00B7111C" w:rsidP="00B50574">
      <w:pPr>
        <w:spacing w:before="275"/>
        <w:ind w:right="186"/>
        <w:jc w:val="right"/>
        <w:rPr>
          <w:rFonts w:ascii="Arial"/>
          <w:i/>
          <w:sz w:val="20"/>
        </w:rPr>
      </w:pPr>
    </w:p>
    <w:p w14:paraId="5343DDB1" w14:textId="77777777" w:rsidR="00737783" w:rsidRDefault="00737783" w:rsidP="00B50574">
      <w:pPr>
        <w:spacing w:before="275"/>
        <w:ind w:right="186"/>
        <w:jc w:val="right"/>
        <w:rPr>
          <w:rFonts w:ascii="Arial"/>
          <w:i/>
          <w:sz w:val="20"/>
        </w:rPr>
      </w:pPr>
    </w:p>
    <w:p w14:paraId="7D0756B5" w14:textId="77777777" w:rsidR="0048266F" w:rsidRDefault="0048266F">
      <w:pPr>
        <w:pStyle w:val="BodyText"/>
        <w:spacing w:before="1"/>
        <w:rPr>
          <w:rFonts w:ascii="Arial"/>
          <w:i/>
        </w:rPr>
      </w:pPr>
    </w:p>
    <w:p w14:paraId="1D96544B" w14:textId="77777777" w:rsidR="0048266F" w:rsidRDefault="0048266F">
      <w:pPr>
        <w:spacing w:before="183"/>
        <w:ind w:left="531" w:right="179" w:firstLine="6593"/>
        <w:jc w:val="right"/>
        <w:rPr>
          <w:sz w:val="16"/>
        </w:rPr>
      </w:pPr>
    </w:p>
    <w:p w14:paraId="2B2C8283" w14:textId="77777777" w:rsidR="0048266F" w:rsidRDefault="0048266F">
      <w:pPr>
        <w:pStyle w:val="BodyText"/>
        <w:rPr>
          <w:sz w:val="16"/>
        </w:rPr>
      </w:pPr>
    </w:p>
    <w:p w14:paraId="65979715" w14:textId="77777777" w:rsidR="0048266F" w:rsidRDefault="0048266F">
      <w:pPr>
        <w:pStyle w:val="BodyText"/>
        <w:spacing w:before="90"/>
        <w:rPr>
          <w:sz w:val="16"/>
        </w:rPr>
      </w:pPr>
    </w:p>
    <w:p w14:paraId="038BE304" w14:textId="299D579E" w:rsidR="00227A8D" w:rsidRDefault="00227A8D">
      <w:pPr>
        <w:ind w:left="7091" w:right="178" w:firstLine="76"/>
        <w:jc w:val="both"/>
        <w:rPr>
          <w:rFonts w:ascii="Arial"/>
          <w:b/>
          <w:i/>
          <w:sz w:val="20"/>
        </w:rPr>
      </w:pPr>
    </w:p>
    <w:p w14:paraId="2890B086" w14:textId="77777777" w:rsidR="006A3E0C" w:rsidRDefault="006A3E0C">
      <w:pPr>
        <w:ind w:left="7091" w:right="178" w:firstLine="76"/>
        <w:jc w:val="both"/>
        <w:rPr>
          <w:rFonts w:ascii="Arial"/>
          <w:b/>
          <w:i/>
          <w:spacing w:val="-14"/>
          <w:sz w:val="20"/>
        </w:rPr>
      </w:pPr>
    </w:p>
    <w:p w14:paraId="51D0D4A1" w14:textId="77777777" w:rsidR="0048266F" w:rsidRDefault="004644B9">
      <w:pPr>
        <w:ind w:left="7091" w:right="178" w:firstLine="76"/>
        <w:jc w:val="both"/>
        <w:rPr>
          <w:rFonts w:ascii="Arial"/>
          <w:b/>
          <w:i/>
          <w:sz w:val="20"/>
        </w:rPr>
      </w:pPr>
      <w:r>
        <w:rPr>
          <w:rFonts w:ascii="Arial"/>
          <w:b/>
          <w:i/>
          <w:spacing w:val="-14"/>
          <w:sz w:val="20"/>
        </w:rPr>
        <w:t xml:space="preserve"> </w:t>
      </w:r>
    </w:p>
    <w:p w14:paraId="5379F70F" w14:textId="77777777" w:rsidR="0048266F" w:rsidRDefault="004644B9">
      <w:pPr>
        <w:pStyle w:val="BodyText"/>
        <w:spacing w:before="13"/>
        <w:rPr>
          <w:rFonts w:ascii="Arial"/>
          <w:b/>
          <w:i/>
        </w:rPr>
      </w:pPr>
      <w:r>
        <w:rPr>
          <w:noProof/>
        </w:rPr>
        <mc:AlternateContent>
          <mc:Choice Requires="wps">
            <w:drawing>
              <wp:anchor distT="0" distB="0" distL="0" distR="0" simplePos="0" relativeHeight="487588352" behindDoc="1" locked="0" layoutInCell="1" allowOverlap="1" wp14:anchorId="411B7872" wp14:editId="55E87C16">
                <wp:simplePos x="0" y="0"/>
                <wp:positionH relativeFrom="page">
                  <wp:posOffset>923925</wp:posOffset>
                </wp:positionH>
                <wp:positionV relativeFrom="paragraph">
                  <wp:posOffset>169902</wp:posOffset>
                </wp:positionV>
                <wp:extent cx="572389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270"/>
                        </a:xfrm>
                        <a:custGeom>
                          <a:avLst/>
                          <a:gdLst/>
                          <a:ahLst/>
                          <a:cxnLst/>
                          <a:rect l="l" t="t" r="r" b="b"/>
                          <a:pathLst>
                            <a:path w="5723890">
                              <a:moveTo>
                                <a:pt x="0" y="0"/>
                              </a:moveTo>
                              <a:lnTo>
                                <a:pt x="572389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810690" id="Graphic 4" o:spid="_x0000_s1026" style="position:absolute;margin-left:72.75pt;margin-top:13.4pt;width:450.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23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" path="m,l5723890,e" filled="f" strokeweight="1.5pt">
                <v:path arrowok="t"/>
                <w10:wrap type="topAndBottom" anchorx="page"/>
              </v:shape>
            </w:pict>
          </mc:Fallback>
        </mc:AlternateContent>
      </w:r>
    </w:p>
    <w:p w14:paraId="0907DABC" w14:textId="77777777" w:rsidR="0048266F" w:rsidRDefault="004644B9">
      <w:pPr>
        <w:pStyle w:val="Heading1"/>
        <w:spacing w:before="226"/>
      </w:pPr>
      <w:r>
        <w:rPr>
          <w:spacing w:val="-2"/>
        </w:rPr>
        <w:t>ABSTRACT</w:t>
      </w:r>
    </w:p>
    <w:p w14:paraId="0D5F2170" w14:textId="77777777" w:rsidR="0048266F" w:rsidRDefault="004644B9">
      <w:pPr>
        <w:pStyle w:val="BodyText"/>
        <w:spacing w:before="10"/>
        <w:rPr>
          <w:rFonts w:ascii="Arial"/>
          <w:b/>
          <w:sz w:val="17"/>
        </w:rPr>
      </w:pPr>
      <w:r>
        <w:rPr>
          <w:noProof/>
        </w:rPr>
        <mc:AlternateContent>
          <mc:Choice Requires="wps">
            <w:drawing>
              <wp:anchor distT="0" distB="0" distL="0" distR="0" simplePos="0" relativeHeight="487588864" behindDoc="1" locked="0" layoutInCell="1" allowOverlap="1" wp14:anchorId="52ED4D8E" wp14:editId="74C51A33">
                <wp:simplePos x="0" y="0"/>
                <wp:positionH relativeFrom="page">
                  <wp:posOffset>935990</wp:posOffset>
                </wp:positionH>
                <wp:positionV relativeFrom="paragraph">
                  <wp:posOffset>147320</wp:posOffset>
                </wp:positionV>
                <wp:extent cx="5705475" cy="3415665"/>
                <wp:effectExtent l="0" t="0" r="28575" b="1333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3415665"/>
                        </a:xfrm>
                        <a:prstGeom prst="rect">
                          <a:avLst/>
                        </a:prstGeom>
                        <a:ln w="6095">
                          <a:solidFill>
                            <a:srgbClr val="000000"/>
                          </a:solidFill>
                          <a:prstDash val="solid"/>
                        </a:ln>
                      </wps:spPr>
                      <wps:txbx>
                        <w:txbxContent>
                          <w:p w14:paraId="48E07481" w14:textId="77777777" w:rsidR="00B7111C" w:rsidRPr="00F66B2E" w:rsidRDefault="00E25F1B" w:rsidP="00B7111C">
                            <w:pPr>
                              <w:pStyle w:val="BodyText"/>
                              <w:ind w:left="103" w:right="103"/>
                              <w:jc w:val="both"/>
                              <w:rPr>
                                <w:lang w:val="id-ID"/>
                              </w:rPr>
                            </w:pPr>
                            <w:r w:rsidRPr="00E25F1B">
                              <w:rPr>
                                <w:rFonts w:cs="Times New Roman"/>
                                <w:szCs w:val="24"/>
                              </w:rPr>
                              <w:t>Brown mussel (</w:t>
                            </w:r>
                            <w:r w:rsidR="00A82995" w:rsidRPr="00A82995">
                              <w:rPr>
                                <w:rFonts w:cs="Times New Roman"/>
                                <w:i/>
                                <w:szCs w:val="24"/>
                                <w:lang w:val="id-ID"/>
                              </w:rPr>
                              <w:t>M</w:t>
                            </w:r>
                            <w:proofErr w:type="spellStart"/>
                            <w:r w:rsidRPr="00A82995">
                              <w:rPr>
                                <w:rFonts w:cs="Times New Roman"/>
                                <w:i/>
                                <w:szCs w:val="24"/>
                              </w:rPr>
                              <w:t>ytilopsis</w:t>
                            </w:r>
                            <w:proofErr w:type="spellEnd"/>
                            <w:r w:rsidRPr="00A82995">
                              <w:rPr>
                                <w:rFonts w:cs="Times New Roman"/>
                                <w:i/>
                                <w:szCs w:val="24"/>
                              </w:rPr>
                              <w:t xml:space="preserve"> </w:t>
                            </w:r>
                            <w:proofErr w:type="spellStart"/>
                            <w:r w:rsidRPr="00A82995">
                              <w:rPr>
                                <w:rFonts w:cs="Times New Roman"/>
                                <w:i/>
                                <w:szCs w:val="24"/>
                              </w:rPr>
                              <w:t>adamsi</w:t>
                            </w:r>
                            <w:proofErr w:type="spellEnd"/>
                            <w:r w:rsidRPr="00E25F1B">
                              <w:rPr>
                                <w:rFonts w:cs="Times New Roman"/>
                                <w:szCs w:val="24"/>
                              </w:rPr>
                              <w:t>) is a potential alternative feed for lobster and crustacean aquaculture in Indonesia, with a balanced nutritional content of 13.29% protein and 80.30% water content, and does not compete with human food needs. This study was conducted because brown mussels are not consumed by humans, so they can be concentrated as lobster feed without competing food sources. By cultivating brown mussels, it is expected to increase lobster productivity in Indonesia and provide consistent fresh feed for cultured lobsters. The development of brown mussels as lobster feed is also encouraged by the Ministry of Marine Affairs and Fisheries (KKP) to overcome the problem of inconsistent feed supply and improve feed quality for lobsters.</w:t>
                            </w:r>
                            <w:r>
                              <w:rPr>
                                <w:rFonts w:cs="Times New Roman"/>
                                <w:szCs w:val="24"/>
                                <w:lang w:val="id-ID"/>
                              </w:rPr>
                              <w:t xml:space="preserve"> </w:t>
                            </w:r>
                            <w:r w:rsidRPr="00E25F1B">
                              <w:rPr>
                                <w:rFonts w:cs="Times New Roman"/>
                                <w:szCs w:val="24"/>
                              </w:rPr>
                              <w:t>This study</w:t>
                            </w:r>
                            <w:r w:rsidR="00B7111C">
                              <w:rPr>
                                <w:rFonts w:cs="Times New Roman"/>
                                <w:szCs w:val="24"/>
                              </w:rPr>
                              <w:t xml:space="preserve"> </w:t>
                            </w:r>
                            <w:r w:rsidR="00B7111C" w:rsidRPr="00E25F1B">
                              <w:rPr>
                                <w:rFonts w:cs="Times New Roman"/>
                                <w:szCs w:val="24"/>
                              </w:rPr>
                              <w:t xml:space="preserve">aimed to assess the effect of four types of substrates (80% </w:t>
                            </w:r>
                            <w:proofErr w:type="spellStart"/>
                            <w:r w:rsidR="00B7111C" w:rsidRPr="00E25F1B">
                              <w:rPr>
                                <w:rFonts w:cs="Times New Roman"/>
                                <w:szCs w:val="24"/>
                              </w:rPr>
                              <w:t>paranet</w:t>
                            </w:r>
                            <w:proofErr w:type="spellEnd"/>
                            <w:r w:rsidR="00B7111C" w:rsidRPr="00E25F1B">
                              <w:rPr>
                                <w:rFonts w:cs="Times New Roman"/>
                                <w:szCs w:val="24"/>
                              </w:rPr>
                              <w:t xml:space="preserve">, PE rope, white net and </w:t>
                            </w:r>
                            <w:proofErr w:type="spellStart"/>
                            <w:r w:rsidR="00B7111C" w:rsidRPr="00E25F1B">
                              <w:rPr>
                                <w:rFonts w:cs="Times New Roman"/>
                                <w:szCs w:val="24"/>
                              </w:rPr>
                              <w:t>paris</w:t>
                            </w:r>
                            <w:proofErr w:type="spellEnd"/>
                            <w:r w:rsidR="00B7111C" w:rsidRPr="00E25F1B">
                              <w:rPr>
                                <w:rFonts w:cs="Times New Roman"/>
                                <w:szCs w:val="24"/>
                              </w:rPr>
                              <w:t xml:space="preserve"> cloth) on the attachment of juvenile brown mussels for 30 days at BPBL West Lombok, using a completely randomized design with 6 replicates. The results showed that PE rope had the highest attachment density in the water column (1.62 fish/cm</w:t>
                            </w:r>
                            <w:r w:rsidR="00B7111C" w:rsidRPr="00F55F97">
                              <w:rPr>
                                <w:rFonts w:cs="Times New Roman"/>
                                <w:szCs w:val="24"/>
                                <w:vertAlign w:val="superscript"/>
                              </w:rPr>
                              <w:t>2</w:t>
                            </w:r>
                            <w:r w:rsidR="00B7111C" w:rsidRPr="00E25F1B">
                              <w:rPr>
                                <w:rFonts w:cs="Times New Roman"/>
                                <w:szCs w:val="24"/>
                              </w:rPr>
                              <w:t>) and at the bottom of the container (6.91 fish/cm</w:t>
                            </w:r>
                            <w:r w:rsidR="00B7111C" w:rsidRPr="00F55F97">
                              <w:rPr>
                                <w:rFonts w:cs="Times New Roman"/>
                                <w:szCs w:val="24"/>
                                <w:vertAlign w:val="superscript"/>
                              </w:rPr>
                              <w:t>2</w:t>
                            </w:r>
                            <w:r w:rsidR="00B7111C" w:rsidRPr="00E25F1B">
                              <w:rPr>
                                <w:rFonts w:cs="Times New Roman"/>
                                <w:szCs w:val="24"/>
                              </w:rPr>
                              <w:t>). The absolute growth rate was recorded in white netting (860</w:t>
                            </w:r>
                            <w:r w:rsidR="00B7111C">
                              <w:rPr>
                                <w:rFonts w:cs="Times New Roman"/>
                                <w:szCs w:val="24"/>
                                <w:lang w:val="id-ID"/>
                              </w:rPr>
                              <w:t xml:space="preserve"> </w:t>
                            </w:r>
                            <w:r w:rsidR="00B7111C" w:rsidRPr="00F55F97">
                              <w:rPr>
                                <w:szCs w:val="24"/>
                                <w:lang w:val="id-ID"/>
                              </w:rPr>
                              <w:t>µm</w:t>
                            </w:r>
                            <w:r w:rsidR="00B7111C" w:rsidRPr="00E25F1B">
                              <w:rPr>
                                <w:rFonts w:cs="Times New Roman"/>
                                <w:szCs w:val="24"/>
                              </w:rPr>
                              <w:t xml:space="preserve"> for AP length and 1630.17</w:t>
                            </w:r>
                            <w:r w:rsidR="00B7111C">
                              <w:rPr>
                                <w:rFonts w:cs="Times New Roman"/>
                                <w:szCs w:val="24"/>
                                <w:lang w:val="id-ID"/>
                              </w:rPr>
                              <w:t xml:space="preserve"> </w:t>
                            </w:r>
                            <w:r w:rsidR="00B7111C" w:rsidRPr="00F55F97">
                              <w:rPr>
                                <w:szCs w:val="24"/>
                                <w:lang w:val="id-ID"/>
                              </w:rPr>
                              <w:t>µm</w:t>
                            </w:r>
                            <w:r w:rsidR="00B7111C" w:rsidRPr="00E25F1B">
                              <w:rPr>
                                <w:rFonts w:cs="Times New Roman"/>
                                <w:szCs w:val="24"/>
                              </w:rPr>
                              <w:t xml:space="preserve"> for DV), while the highest specific growth rate was found in </w:t>
                            </w:r>
                            <w:proofErr w:type="spellStart"/>
                            <w:r w:rsidR="00B7111C" w:rsidRPr="00E25F1B">
                              <w:rPr>
                                <w:rFonts w:cs="Times New Roman"/>
                                <w:szCs w:val="24"/>
                              </w:rPr>
                              <w:t>paris</w:t>
                            </w:r>
                            <w:proofErr w:type="spellEnd"/>
                            <w:r w:rsidR="00B7111C" w:rsidRPr="00E25F1B">
                              <w:rPr>
                                <w:rFonts w:cs="Times New Roman"/>
                                <w:szCs w:val="24"/>
                              </w:rPr>
                              <w:t xml:space="preserve"> cloth for AP (0.154%/day) and PE rope for DV (0.186%/day). It can be concluded that the study showed that PE rope was the best substrate in terms of density. Waring excelled in the absolute growth of brown mussel juveniles. Fabric stood out for AP length-specific growth rate, while rope performed best for DV-specific growth rate. The substrate at the bottom of the container consistently gave better results than that in the water column. Further research is recommended to assess the effect of varying attachment density on other substrate types, as well as longer rearing duration.</w:t>
                            </w:r>
                          </w:p>
                          <w:p w14:paraId="65E25AF1" w14:textId="77777777" w:rsidR="005F5565" w:rsidRPr="00E25F1B" w:rsidRDefault="005F5565" w:rsidP="002746D9">
                            <w:pPr>
                              <w:jc w:val="both"/>
                              <w:rPr>
                                <w:sz w:val="16"/>
                                <w:lang w:val="id-ID"/>
                              </w:rPr>
                            </w:pPr>
                          </w:p>
                        </w:txbxContent>
                      </wps:txbx>
                      <wps:bodyPr wrap="square" lIns="0" tIns="0" rIns="0" bIns="0" rtlCol="0">
                        <a:noAutofit/>
                      </wps:bodyPr>
                    </wps:wsp>
                  </a:graphicData>
                </a:graphic>
                <wp14:sizeRelV relativeFrom="margin">
                  <wp14:pctHeight>0</wp14:pctHeight>
                </wp14:sizeRelV>
              </wp:anchor>
            </w:drawing>
          </mc:Choice>
          <mc:Fallback>
            <w:pict>
              <v:shapetype w14:anchorId="52ED4D8E" id="_x0000_t202" coordsize="21600,21600" o:spt="202" path="m,l,21600r21600,l21600,xe">
                <v:stroke joinstyle="miter"/>
                <v:path gradientshapeok="t" o:connecttype="rect"/>
              </v:shapetype>
              <v:shape id="Textbox 5" o:spid="_x0000_s1026" type="#_x0000_t202" style="position:absolute;margin-left:73.7pt;margin-top:11.6pt;width:449.25pt;height:268.95pt;z-index:-157276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" filled="f" strokeweight=".16931mm">
                <v:path arrowok="t"/>
                <v:textbox inset="0,0,0,0">
                  <w:txbxContent>
                    <w:p w14:paraId="48E07481" w14:textId="77777777" w:rsidR="00B7111C" w:rsidRPr="00F66B2E" w:rsidRDefault="00E25F1B" w:rsidP="00B7111C">
                      <w:pPr>
                        <w:pStyle w:val="BodyText"/>
                        <w:ind w:left="103" w:right="103"/>
                        <w:jc w:val="both"/>
                        <w:rPr>
                          <w:lang w:val="id-ID"/>
                        </w:rPr>
                      </w:pPr>
                      <w:r w:rsidRPr="00E25F1B">
                        <w:rPr>
                          <w:rFonts w:cs="Times New Roman"/>
                          <w:szCs w:val="24"/>
                        </w:rPr>
                        <w:t>Brown mussel (</w:t>
                      </w:r>
                      <w:r w:rsidR="00A82995" w:rsidRPr="00A82995">
                        <w:rPr>
                          <w:rFonts w:cs="Times New Roman"/>
                          <w:i/>
                          <w:szCs w:val="24"/>
                          <w:lang w:val="id-ID"/>
                        </w:rPr>
                        <w:t>M</w:t>
                      </w:r>
                      <w:proofErr w:type="spellStart"/>
                      <w:r w:rsidRPr="00A82995">
                        <w:rPr>
                          <w:rFonts w:cs="Times New Roman"/>
                          <w:i/>
                          <w:szCs w:val="24"/>
                        </w:rPr>
                        <w:t>ytilopsis</w:t>
                      </w:r>
                      <w:proofErr w:type="spellEnd"/>
                      <w:r w:rsidRPr="00A82995">
                        <w:rPr>
                          <w:rFonts w:cs="Times New Roman"/>
                          <w:i/>
                          <w:szCs w:val="24"/>
                        </w:rPr>
                        <w:t xml:space="preserve"> </w:t>
                      </w:r>
                      <w:proofErr w:type="spellStart"/>
                      <w:r w:rsidRPr="00A82995">
                        <w:rPr>
                          <w:rFonts w:cs="Times New Roman"/>
                          <w:i/>
                          <w:szCs w:val="24"/>
                        </w:rPr>
                        <w:t>adamsi</w:t>
                      </w:r>
                      <w:proofErr w:type="spellEnd"/>
                      <w:r w:rsidRPr="00E25F1B">
                        <w:rPr>
                          <w:rFonts w:cs="Times New Roman"/>
                          <w:szCs w:val="24"/>
                        </w:rPr>
                        <w:t>) is a potential alternative feed for lobster and crustacean aquaculture in Indonesia, with a balanced nutritional content of 13.29% protein and 80.30% water content, and does not compete with human food needs. This study was conducted because brown mussels are not consumed by humans, so they can be concentrated as lobster feed without competing food sources. By cultivating brown mussels, it is expected to increase lobster productivity in Indonesia and provide consistent fresh feed for cultured lobsters. The development of brown mussels as lobster feed is also encouraged by the Ministry of Marine Affairs and Fisheries (KKP) to overcome the problem of inconsistent feed supply and improve feed quality for lobsters.</w:t>
                      </w:r>
                      <w:r>
                        <w:rPr>
                          <w:rFonts w:cs="Times New Roman"/>
                          <w:szCs w:val="24"/>
                          <w:lang w:val="id-ID"/>
                        </w:rPr>
                        <w:t xml:space="preserve"> </w:t>
                      </w:r>
                      <w:r w:rsidRPr="00E25F1B">
                        <w:rPr>
                          <w:rFonts w:cs="Times New Roman"/>
                          <w:szCs w:val="24"/>
                        </w:rPr>
                        <w:t>This study</w:t>
                      </w:r>
                      <w:r w:rsidR="00B7111C">
                        <w:rPr>
                          <w:rFonts w:cs="Times New Roman"/>
                          <w:szCs w:val="24"/>
                        </w:rPr>
                        <w:t xml:space="preserve"> </w:t>
                      </w:r>
                      <w:r w:rsidR="00B7111C" w:rsidRPr="00E25F1B">
                        <w:rPr>
                          <w:rFonts w:cs="Times New Roman"/>
                          <w:szCs w:val="24"/>
                        </w:rPr>
                        <w:t xml:space="preserve">aimed to assess the effect of four types of substrates (80% </w:t>
                      </w:r>
                      <w:proofErr w:type="spellStart"/>
                      <w:r w:rsidR="00B7111C" w:rsidRPr="00E25F1B">
                        <w:rPr>
                          <w:rFonts w:cs="Times New Roman"/>
                          <w:szCs w:val="24"/>
                        </w:rPr>
                        <w:t>paranet</w:t>
                      </w:r>
                      <w:proofErr w:type="spellEnd"/>
                      <w:r w:rsidR="00B7111C" w:rsidRPr="00E25F1B">
                        <w:rPr>
                          <w:rFonts w:cs="Times New Roman"/>
                          <w:szCs w:val="24"/>
                        </w:rPr>
                        <w:t xml:space="preserve">, PE rope, white net and </w:t>
                      </w:r>
                      <w:proofErr w:type="spellStart"/>
                      <w:r w:rsidR="00B7111C" w:rsidRPr="00E25F1B">
                        <w:rPr>
                          <w:rFonts w:cs="Times New Roman"/>
                          <w:szCs w:val="24"/>
                        </w:rPr>
                        <w:t>paris</w:t>
                      </w:r>
                      <w:proofErr w:type="spellEnd"/>
                      <w:r w:rsidR="00B7111C" w:rsidRPr="00E25F1B">
                        <w:rPr>
                          <w:rFonts w:cs="Times New Roman"/>
                          <w:szCs w:val="24"/>
                        </w:rPr>
                        <w:t xml:space="preserve"> cloth) on the attachment of juvenile brown mussels for 30 days at BPBL West Lombok, using a completely randomized design with 6 replicates. The results showed that PE rope had the highest attachment density in the water column (1.62 fish/cm</w:t>
                      </w:r>
                      <w:r w:rsidR="00B7111C" w:rsidRPr="00F55F97">
                        <w:rPr>
                          <w:rFonts w:cs="Times New Roman"/>
                          <w:szCs w:val="24"/>
                          <w:vertAlign w:val="superscript"/>
                        </w:rPr>
                        <w:t>2</w:t>
                      </w:r>
                      <w:r w:rsidR="00B7111C" w:rsidRPr="00E25F1B">
                        <w:rPr>
                          <w:rFonts w:cs="Times New Roman"/>
                          <w:szCs w:val="24"/>
                        </w:rPr>
                        <w:t>) and at the bottom of the container (6.91 fish/cm</w:t>
                      </w:r>
                      <w:r w:rsidR="00B7111C" w:rsidRPr="00F55F97">
                        <w:rPr>
                          <w:rFonts w:cs="Times New Roman"/>
                          <w:szCs w:val="24"/>
                          <w:vertAlign w:val="superscript"/>
                        </w:rPr>
                        <w:t>2</w:t>
                      </w:r>
                      <w:r w:rsidR="00B7111C" w:rsidRPr="00E25F1B">
                        <w:rPr>
                          <w:rFonts w:cs="Times New Roman"/>
                          <w:szCs w:val="24"/>
                        </w:rPr>
                        <w:t>). The absolute growth rate was recorded in white netting (860</w:t>
                      </w:r>
                      <w:r w:rsidR="00B7111C">
                        <w:rPr>
                          <w:rFonts w:cs="Times New Roman"/>
                          <w:szCs w:val="24"/>
                          <w:lang w:val="id-ID"/>
                        </w:rPr>
                        <w:t xml:space="preserve"> </w:t>
                      </w:r>
                      <w:r w:rsidR="00B7111C" w:rsidRPr="00F55F97">
                        <w:rPr>
                          <w:szCs w:val="24"/>
                          <w:lang w:val="id-ID"/>
                        </w:rPr>
                        <w:t>µm</w:t>
                      </w:r>
                      <w:r w:rsidR="00B7111C" w:rsidRPr="00E25F1B">
                        <w:rPr>
                          <w:rFonts w:cs="Times New Roman"/>
                          <w:szCs w:val="24"/>
                        </w:rPr>
                        <w:t xml:space="preserve"> for AP length and 1630.17</w:t>
                      </w:r>
                      <w:r w:rsidR="00B7111C">
                        <w:rPr>
                          <w:rFonts w:cs="Times New Roman"/>
                          <w:szCs w:val="24"/>
                          <w:lang w:val="id-ID"/>
                        </w:rPr>
                        <w:t xml:space="preserve"> </w:t>
                      </w:r>
                      <w:r w:rsidR="00B7111C" w:rsidRPr="00F55F97">
                        <w:rPr>
                          <w:szCs w:val="24"/>
                          <w:lang w:val="id-ID"/>
                        </w:rPr>
                        <w:t>µm</w:t>
                      </w:r>
                      <w:r w:rsidR="00B7111C" w:rsidRPr="00E25F1B">
                        <w:rPr>
                          <w:rFonts w:cs="Times New Roman"/>
                          <w:szCs w:val="24"/>
                        </w:rPr>
                        <w:t xml:space="preserve"> for DV), while the highest specific growth rate was found in </w:t>
                      </w:r>
                      <w:proofErr w:type="spellStart"/>
                      <w:r w:rsidR="00B7111C" w:rsidRPr="00E25F1B">
                        <w:rPr>
                          <w:rFonts w:cs="Times New Roman"/>
                          <w:szCs w:val="24"/>
                        </w:rPr>
                        <w:t>paris</w:t>
                      </w:r>
                      <w:proofErr w:type="spellEnd"/>
                      <w:r w:rsidR="00B7111C" w:rsidRPr="00E25F1B">
                        <w:rPr>
                          <w:rFonts w:cs="Times New Roman"/>
                          <w:szCs w:val="24"/>
                        </w:rPr>
                        <w:t xml:space="preserve"> cloth for AP (0.154%/day) and PE rope for DV (0.186%/day). It can be concluded that the study showed that PE rope was the best substrate in terms of density. Waring excelled in the absolute growth of brown mussel juveniles. Fabric stood out for AP length-specific growth rate, while rope performed best for DV-specific growth rate. The substrate at the bottom of the container consistently gave better results than that in the water column. Further research is recommended to assess the effect of varying attachment density on other substrate types, as well as longer rearing duration.</w:t>
                      </w:r>
                    </w:p>
                    <w:p w14:paraId="65E25AF1" w14:textId="77777777" w:rsidR="005F5565" w:rsidRPr="00E25F1B" w:rsidRDefault="005F5565" w:rsidP="002746D9">
                      <w:pPr>
                        <w:jc w:val="both"/>
                        <w:rPr>
                          <w:sz w:val="16"/>
                          <w:lang w:val="id-ID"/>
                        </w:rPr>
                      </w:pPr>
                    </w:p>
                  </w:txbxContent>
                </v:textbox>
                <w10:wrap type="topAndBottom" anchorx="page"/>
              </v:shape>
            </w:pict>
          </mc:Fallback>
        </mc:AlternateContent>
      </w:r>
    </w:p>
    <w:p w14:paraId="15926F93" w14:textId="77777777" w:rsidR="0048266F" w:rsidRPr="000C102D" w:rsidRDefault="0048266F">
      <w:pPr>
        <w:pStyle w:val="BodyText"/>
        <w:spacing w:before="1"/>
        <w:rPr>
          <w:rFonts w:ascii="Arial"/>
          <w:b/>
          <w:sz w:val="16"/>
          <w:lang w:val="id-ID"/>
        </w:rPr>
      </w:pPr>
    </w:p>
    <w:p w14:paraId="2DCF227C" w14:textId="77777777" w:rsidR="0048266F" w:rsidRDefault="0048266F">
      <w:pPr>
        <w:pStyle w:val="BodyText"/>
        <w:spacing w:before="1"/>
        <w:rPr>
          <w:rFonts w:ascii="Arial"/>
          <w:i/>
          <w:sz w:val="16"/>
        </w:rPr>
      </w:pPr>
    </w:p>
    <w:p w14:paraId="7E6ABED8" w14:textId="77777777" w:rsidR="0048266F" w:rsidRDefault="004644B9">
      <w:pPr>
        <w:spacing w:before="194"/>
        <w:ind w:left="140"/>
        <w:rPr>
          <w:rFonts w:ascii="Arial"/>
          <w:i/>
          <w:sz w:val="20"/>
        </w:rPr>
      </w:pPr>
      <w:r>
        <w:rPr>
          <w:rFonts w:ascii="Arial"/>
          <w:i/>
          <w:sz w:val="20"/>
        </w:rPr>
        <w:t>Keywords:</w:t>
      </w:r>
      <w:r>
        <w:rPr>
          <w:rFonts w:ascii="Arial"/>
          <w:i/>
          <w:spacing w:val="-5"/>
          <w:sz w:val="20"/>
        </w:rPr>
        <w:t xml:space="preserve"> </w:t>
      </w:r>
      <w:r w:rsidR="009324C2" w:rsidRPr="009324C2">
        <w:rPr>
          <w:rFonts w:ascii="Arial"/>
          <w:i/>
          <w:sz w:val="20"/>
        </w:rPr>
        <w:t>juvenile/spawn clam, brown mussel, settlement, substrate, absolute growth, specific growth rate.</w:t>
      </w:r>
    </w:p>
    <w:p w14:paraId="60284F77" w14:textId="77777777" w:rsidR="0048266F" w:rsidRDefault="0048266F">
      <w:pPr>
        <w:pStyle w:val="BodyText"/>
        <w:spacing w:before="9"/>
        <w:rPr>
          <w:rFonts w:ascii="Arial"/>
          <w:i/>
          <w:sz w:val="11"/>
        </w:rPr>
      </w:pPr>
    </w:p>
    <w:p w14:paraId="1FD64A9B" w14:textId="77777777" w:rsidR="0048266F" w:rsidRDefault="0048266F">
      <w:pPr>
        <w:rPr>
          <w:rFonts w:ascii="Arial"/>
          <w:sz w:val="11"/>
        </w:rPr>
      </w:pPr>
    </w:p>
    <w:p w14:paraId="057D70C2" w14:textId="77777777" w:rsidR="00737783" w:rsidRDefault="00737783">
      <w:pPr>
        <w:rPr>
          <w:rFonts w:ascii="Arial"/>
          <w:sz w:val="11"/>
        </w:rPr>
        <w:sectPr w:rsidR="00737783" w:rsidSect="00781962">
          <w:headerReference w:type="even" r:id="rId8"/>
          <w:headerReference w:type="default" r:id="rId9"/>
          <w:footerReference w:type="even" r:id="rId10"/>
          <w:footerReference w:type="default" r:id="rId11"/>
          <w:headerReference w:type="first" r:id="rId12"/>
          <w:footerReference w:type="first" r:id="rId13"/>
          <w:pgSz w:w="11910" w:h="16840"/>
          <w:pgMar w:top="1640" w:right="1260" w:bottom="1280" w:left="1300" w:header="1440" w:footer="1092" w:gutter="0"/>
          <w:pgNumType w:start="119"/>
          <w:cols w:space="720"/>
        </w:sectPr>
      </w:pPr>
    </w:p>
    <w:p w14:paraId="385B84DD" w14:textId="77777777" w:rsidR="0048266F" w:rsidRDefault="004644B9" w:rsidP="00B73BA6">
      <w:pPr>
        <w:pStyle w:val="Heading1"/>
        <w:numPr>
          <w:ilvl w:val="0"/>
          <w:numId w:val="16"/>
        </w:numPr>
        <w:tabs>
          <w:tab w:val="left" w:pos="384"/>
        </w:tabs>
        <w:spacing w:before="94"/>
        <w:ind w:left="360"/>
      </w:pPr>
      <w:r>
        <w:rPr>
          <w:spacing w:val="-2"/>
        </w:rPr>
        <w:lastRenderedPageBreak/>
        <w:t>INTRODUCTION</w:t>
      </w:r>
    </w:p>
    <w:p w14:paraId="2A04E994" w14:textId="77777777" w:rsidR="00F92DD1" w:rsidRDefault="00E25F1B" w:rsidP="00B73BA6">
      <w:pPr>
        <w:pStyle w:val="BodyText"/>
        <w:ind w:left="285" w:right="6" w:firstLine="720"/>
        <w:jc w:val="both"/>
        <w:rPr>
          <w:rFonts w:ascii="Arial" w:hAnsi="Arial" w:cs="Arial"/>
          <w:bCs/>
          <w:lang w:val="id-ID"/>
        </w:rPr>
      </w:pPr>
      <w:r w:rsidRPr="00E25F1B">
        <w:rPr>
          <w:rFonts w:ascii="Arial" w:hAnsi="Arial" w:cs="Arial"/>
          <w:bCs/>
          <w:lang w:val="id-ID"/>
        </w:rPr>
        <w:t>Brown mussels (</w:t>
      </w:r>
      <w:r w:rsidRPr="00A82995">
        <w:rPr>
          <w:rFonts w:ascii="Arial" w:hAnsi="Arial" w:cs="Arial"/>
          <w:bCs/>
          <w:i/>
          <w:lang w:val="id-ID"/>
        </w:rPr>
        <w:t>Mytilopsis adamsi</w:t>
      </w:r>
      <w:r w:rsidRPr="00E25F1B">
        <w:rPr>
          <w:rFonts w:ascii="Arial" w:hAnsi="Arial" w:cs="Arial"/>
          <w:bCs/>
          <w:lang w:val="id-ID"/>
        </w:rPr>
        <w:t xml:space="preserve">) are an ideal choice as fresh feed for lobster farming and other crustaceans such as crabs. The brown mussel, a seawater clam originally described from the Gulf of Panama, invaded the indo-pacific oceans in the 19th century. It has been reported from </w:t>
      </w:r>
      <w:r w:rsidR="00B243DA" w:rsidRPr="00E25F1B">
        <w:rPr>
          <w:rFonts w:ascii="Arial" w:hAnsi="Arial" w:cs="Arial"/>
          <w:bCs/>
          <w:lang w:val="id-ID"/>
        </w:rPr>
        <w:t>Fiji, India, Malaysia, Singapore, Taiwan, Australia</w:t>
      </w:r>
      <w:r w:rsidR="00B243DA">
        <w:rPr>
          <w:rFonts w:ascii="Arial" w:hAnsi="Arial" w:cs="Arial"/>
          <w:bCs/>
          <w:lang w:val="id-ID"/>
        </w:rPr>
        <w:t xml:space="preserve"> and C</w:t>
      </w:r>
      <w:r w:rsidRPr="00E25F1B">
        <w:rPr>
          <w:rFonts w:ascii="Arial" w:hAnsi="Arial" w:cs="Arial"/>
          <w:bCs/>
          <w:lang w:val="id-ID"/>
        </w:rPr>
        <w:t xml:space="preserve">hina but mostly identified as </w:t>
      </w:r>
      <w:r w:rsidR="00B243DA" w:rsidRPr="00B243DA">
        <w:rPr>
          <w:rFonts w:ascii="Arial" w:hAnsi="Arial" w:cs="Arial"/>
          <w:bCs/>
          <w:i/>
          <w:lang w:val="id-ID"/>
        </w:rPr>
        <w:t>M</w:t>
      </w:r>
      <w:r w:rsidRPr="00B243DA">
        <w:rPr>
          <w:rFonts w:ascii="Arial" w:hAnsi="Arial" w:cs="Arial"/>
          <w:bCs/>
          <w:i/>
          <w:lang w:val="id-ID"/>
        </w:rPr>
        <w:t>ytilopsis sallei</w:t>
      </w:r>
      <w:r w:rsidRPr="00E25F1B">
        <w:rPr>
          <w:rFonts w:ascii="Arial" w:hAnsi="Arial" w:cs="Arial"/>
          <w:bCs/>
          <w:lang w:val="id-ID"/>
        </w:rPr>
        <w:t xml:space="preserve"> It contains balanced essential nutrients to support optimal grow</w:t>
      </w:r>
      <w:r w:rsidR="00397180">
        <w:rPr>
          <w:rFonts w:ascii="Arial" w:hAnsi="Arial" w:cs="Arial"/>
          <w:bCs/>
          <w:lang w:val="id-ID"/>
        </w:rPr>
        <w:t xml:space="preserve">th and development of lobsters </w:t>
      </w:r>
      <w:r w:rsidR="00F92DD1">
        <w:rPr>
          <w:rFonts w:ascii="Arial" w:hAnsi="Arial" w:cs="Arial"/>
          <w:bCs/>
          <w:lang w:val="id-ID"/>
        </w:rPr>
        <w:fldChar w:fldCharType="begin" w:fldLock="1"/>
      </w:r>
      <w:r w:rsidR="00F92DD1">
        <w:rPr>
          <w:rFonts w:ascii="Arial" w:hAnsi="Arial" w:cs="Arial"/>
          <w:bCs/>
          <w:lang w:val="id-ID"/>
        </w:rPr>
        <w:instrText>ADDIN CSL_CITATION {"citationItems":[{"id":"ITEM-1","itemData":{"DOI":"10.1007/s10201-017-0515-1","ISSN":"14398621","abstract":"The establishment of Mytilopsis adamsi Morrison, 1946 populations in areas around the mouth of the Songkhla Lagoon System, southern Thailand, was first reported in 2008. A recent survey has revealed they now have a wider distribution range. However, this distribution is surprisingly restricted to only within a number of the rivers running into the lower part of the Thale Sap Songkhla Lake, the southernmost part of the system. Moreover, these populations were not found within the lake itself. Effects of the fluctuation in salinity and the local dynamics of water current within the system on the mussels’ ability to disperse as possible causes of restricted distribution are discussed.","author":[{"dropping-particle":"","family":"Wangkulangkul","given":"Kringpaka","non-dropping-particle":"","parse-names":false,"suffix":""}],"container-title":"Limnology","id":"ITEM-1","issue":"1","issued":{"date-parts":[["2018"]]},"page":"151-156","publisher":"Springer Japan","title":"Comments on restricted distribution of Mytilopsis adamsi Morrison, 1946, a non-native false mussel in the Songkhla Lagoon System, southern Thailand","type":"article-journal","volume":"19"},"uris":["http://www.mendeley.com/documents/?uuid=5ea219eb-13e1-4bc1-be0a-687adf64ca23"]}],"mendeley":{"formattedCitation":"(Wangkulangkul, 2018)","plainTextFormattedCitation":"(Wangkulangkul, 2018)","previouslyFormattedCitation":"(Wangkulangkul, 2018)"},"properties":{"noteIndex":0},"schema":"https://github.com/citation-style-language/schema/raw/master/csl-citation.json"}</w:instrText>
      </w:r>
      <w:r w:rsidR="00F92DD1">
        <w:rPr>
          <w:rFonts w:ascii="Arial" w:hAnsi="Arial" w:cs="Arial"/>
          <w:bCs/>
          <w:lang w:val="id-ID"/>
        </w:rPr>
        <w:fldChar w:fldCharType="separate"/>
      </w:r>
      <w:r w:rsidR="00F92DD1" w:rsidRPr="00F92DD1">
        <w:rPr>
          <w:rFonts w:ascii="Arial" w:hAnsi="Arial" w:cs="Arial"/>
          <w:bCs/>
          <w:noProof/>
          <w:lang w:val="id-ID"/>
        </w:rPr>
        <w:t>(Wangkulangkul, 2018)</w:t>
      </w:r>
      <w:r w:rsidR="00F92DD1">
        <w:rPr>
          <w:rFonts w:ascii="Arial" w:hAnsi="Arial" w:cs="Arial"/>
          <w:bCs/>
          <w:lang w:val="id-ID"/>
        </w:rPr>
        <w:fldChar w:fldCharType="end"/>
      </w:r>
      <w:r w:rsidR="00F92DD1">
        <w:rPr>
          <w:rFonts w:ascii="Arial" w:hAnsi="Arial" w:cs="Arial"/>
          <w:bCs/>
          <w:lang w:val="id-ID"/>
        </w:rPr>
        <w:t>.</w:t>
      </w:r>
    </w:p>
    <w:p w14:paraId="19819DB2" w14:textId="77777777" w:rsidR="00F34676" w:rsidRDefault="00F92DD1" w:rsidP="00B73BA6">
      <w:pPr>
        <w:pStyle w:val="BodyText"/>
        <w:ind w:left="285" w:right="6" w:firstLine="720"/>
        <w:jc w:val="both"/>
        <w:rPr>
          <w:rFonts w:ascii="Arial" w:hAnsi="Arial" w:cs="Arial"/>
          <w:lang w:val="id-ID"/>
        </w:rPr>
      </w:pPr>
      <w:r w:rsidRPr="00F34676">
        <w:rPr>
          <w:rFonts w:ascii="Arial" w:hAnsi="Arial" w:cs="Arial"/>
          <w:lang w:val="id-ID"/>
        </w:rPr>
        <w:t xml:space="preserve"> </w:t>
      </w:r>
      <w:r w:rsidR="00F34676" w:rsidRPr="00F34676">
        <w:rPr>
          <w:rFonts w:ascii="Arial" w:hAnsi="Arial" w:cs="Arial"/>
          <w:lang w:val="id-ID"/>
        </w:rPr>
        <w:t>The nutritional content contained in mussels is actually almost the same as other marine life. Brown mussels, which have been tested at BPBL Lombok's integrated research and testing laboratory, show an interesting and useful nutritional profile. Laboratory analysis results showed a moisture content of 80.30%, reflecting the high moisture content of these mussels. In addition, the ash content of 5.12% indicates the amount of minerals contained. Brown mussels also contain a total fat of 1.28% as well as a fairly high protein of 13.29%, making them a good source of protein. The carbohydrate content is relatively low at 1.99%, indicating that these mussels are richer in protein compared to carbohydrates. With this nutritional composition, brown mussels have the potential to be a high-quality feed option for lobster farming.</w:t>
      </w:r>
    </w:p>
    <w:p w14:paraId="1C8B81B8" w14:textId="77777777" w:rsidR="008442D9" w:rsidRPr="00D37A5A" w:rsidRDefault="00F34676" w:rsidP="00B73BA6">
      <w:pPr>
        <w:pStyle w:val="BodyText"/>
        <w:ind w:left="285" w:right="6" w:firstLine="720"/>
        <w:jc w:val="both"/>
        <w:rPr>
          <w:rFonts w:ascii="Arial" w:hAnsi="Arial" w:cs="Arial"/>
          <w:lang w:val="id-ID"/>
        </w:rPr>
      </w:pPr>
      <w:r w:rsidRPr="00F34676">
        <w:rPr>
          <w:rFonts w:ascii="Arial" w:hAnsi="Arial" w:cs="Arial"/>
          <w:lang w:val="id-ID"/>
        </w:rPr>
        <w:t xml:space="preserve">The protein content in marine animals ranges from 6-24% which is crude protein content and the amount depends on the species, nutritional conditions and muscle type. The habit of bivalves is also thought to be the cause of differences in protein content in bivalves, in addition to the low water binding ability of clam meat affects the low protein content </w:t>
      </w:r>
      <w:r w:rsidR="009970B1">
        <w:rPr>
          <w:rFonts w:ascii="Arial" w:hAnsi="Arial" w:cs="Arial"/>
          <w:lang w:val="id-ID"/>
        </w:rPr>
        <w:fldChar w:fldCharType="begin" w:fldLock="1"/>
      </w:r>
      <w:r w:rsidR="00367E16">
        <w:rPr>
          <w:rFonts w:ascii="Arial" w:hAnsi="Arial" w:cs="Arial"/>
          <w:lang w:val="id-ID"/>
        </w:rPr>
        <w:instrText>ADDIN CSL_CITATION {"citationItems":[{"id":"ITEM-1","itemData":{"abstract":"This research was conducted at Arubara Beach, Ende District. The purpose of this study was to determine the types of bivalves consumed by the people and to know the percentage of nutrients content in meat bivalves consumed. Bivalves nutrient content was determined using proximate analysis method. The data obtained were analyzed descriptively. The results of research showed that the types of bivalves found in coastal Arubara is Anadara granosa, Tridacna maxima and Saccostrea cucculata. The result of proximate analysis showed that Anadara granosa has moisture content of 78,69%, ash content of 2,44%, protein content of 15,95%, fat content of 1,6% and carbohydrate content of 1,33%. Tridacna maxima has a water content of 77,32%, ash content of 2,65%, protein content of 12,99%, fat content of 5,24% and carbohydrate content of 1,8%. Saccostrea cucculata has moisture content of 84,65%, ash content of 1,70%, protein content of 10,22%, fat content of 1,01% and carbohydrate content of 2,53%. The measured environmental parameters during the research on the Arubara beach were temperatures ranging from 29,55-30 ºC and pH ranging from 7,8-8,13. Based on the results of this study, it can be concluded that Saccostrea cucculata has the highest water and carbohydrate content (84,65% and 2,53%), Tridacna maxima has the highest ash and fat content (2,65% and 5,24%), Anadara granosa has the highest protein (15,95%).","author":[{"dropping-particle":"","family":"Bhara","given":"Anselmus Mogo","non-dropping-particle":"","parse-names":false,"suffix":""},{"dropping-particle":"","family":"Meye","given":"Ermelinda D","non-dropping-particle":"","parse-names":false,"suffix":""},{"dropping-particle":"","family":"Kamlasi","given":"Yusuf","non-dropping-particle":"","parse-names":false,"suffix":""}],"container-title":"Jurnal Biotropikal Sains","id":"ITEM-1","issue":"3","issued":{"date-parts":[["2018"]]},"page":"38-48","title":"Analysis Of Bivalves Content Consumed In The Coastal Coast Of Arubara, Ende","type":"article-journal","volume":"15"},"uris":["http://www.mendeley.com/documents/?uuid=0d6c73b3-2cad-4070-b460-8a937fdd225e"]}],"mendeley":{"formattedCitation":"(Bhara et al., 2018)","plainTextFormattedCitation":"(Bhara et al., 2018)","previouslyFormattedCitation":"(Bhara et al., 2018)"},"properties":{"noteIndex":0},"schema":"https://github.com/citation-style-language/schema/raw/master/csl-citation.json"}</w:instrText>
      </w:r>
      <w:r w:rsidR="009970B1">
        <w:rPr>
          <w:rFonts w:ascii="Arial" w:hAnsi="Arial" w:cs="Arial"/>
          <w:lang w:val="id-ID"/>
        </w:rPr>
        <w:fldChar w:fldCharType="separate"/>
      </w:r>
      <w:r w:rsidR="009970B1" w:rsidRPr="009970B1">
        <w:rPr>
          <w:rFonts w:ascii="Arial" w:hAnsi="Arial" w:cs="Arial"/>
          <w:noProof/>
          <w:lang w:val="id-ID"/>
        </w:rPr>
        <w:t>(Bhara et al., 2018)</w:t>
      </w:r>
      <w:r w:rsidR="009970B1">
        <w:rPr>
          <w:rFonts w:ascii="Arial" w:hAnsi="Arial" w:cs="Arial"/>
          <w:lang w:val="id-ID"/>
        </w:rPr>
        <w:fldChar w:fldCharType="end"/>
      </w:r>
      <w:r w:rsidR="009970B1">
        <w:rPr>
          <w:rFonts w:ascii="Arial" w:hAnsi="Arial" w:cs="Arial"/>
          <w:lang w:val="id-ID"/>
        </w:rPr>
        <w:t>.</w:t>
      </w:r>
    </w:p>
    <w:p w14:paraId="2EFC3155" w14:textId="77777777" w:rsidR="008442D9" w:rsidRPr="00D37A5A" w:rsidRDefault="00F34676" w:rsidP="00B73BA6">
      <w:pPr>
        <w:pStyle w:val="BodyText"/>
        <w:ind w:left="285" w:right="6" w:firstLine="720"/>
        <w:jc w:val="both"/>
        <w:rPr>
          <w:rFonts w:ascii="Arial" w:hAnsi="Arial" w:cs="Arial"/>
          <w:bCs/>
          <w:lang w:val="id-ID"/>
        </w:rPr>
      </w:pPr>
      <w:r w:rsidRPr="00F34676">
        <w:rPr>
          <w:rFonts w:ascii="Arial" w:hAnsi="Arial" w:cs="Arial"/>
          <w:bCs/>
          <w:lang w:val="id-ID"/>
        </w:rPr>
        <w:t>A suitable substrate allows clams to adhere firmly, prevents drift, and fav</w:t>
      </w:r>
      <w:r w:rsidR="00F92DD1">
        <w:rPr>
          <w:rFonts w:ascii="Arial" w:hAnsi="Arial" w:cs="Arial"/>
          <w:bCs/>
          <w:lang w:val="id-ID"/>
        </w:rPr>
        <w:t xml:space="preserve">ors successful seed attachment </w:t>
      </w:r>
      <w:r w:rsidR="00F92DD1">
        <w:rPr>
          <w:rFonts w:ascii="Arial" w:hAnsi="Arial" w:cs="Arial"/>
          <w:bCs/>
          <w:lang w:val="id-ID"/>
        </w:rPr>
        <w:fldChar w:fldCharType="begin" w:fldLock="1"/>
      </w:r>
      <w:r w:rsidR="00F92DD1">
        <w:rPr>
          <w:rFonts w:ascii="Arial" w:hAnsi="Arial" w:cs="Arial"/>
          <w:bCs/>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approach.","author":[{"dropping-particle":"","family":"Hidayat","given":"Kurnopriawan","non-dropping-particle":"","parse-names":false,"suffix":""}],"container-title":"skripsi","id":"ITEM-1","issued":{"date-parts":[["2017"]]},"title":"PERFORMA PERTUMBUHAN KERANG HIJAU (Perna viridis Linn, 1758) DAN IKAN BAWAL BINTANG (Trachinotus blochii Lacepede, 1801) YANG DIBUDIDAYA SECARA POLIKULTUR DAN MONOKULTUR DI PULAU PASARAN","type":"article-journal","volume":"PROGRAM ST"},"uris":["http://www.mendeley.com/documents/?uuid=c5673ef1-3818-4778-915f-374b35fb0221"]}],"mendeley":{"formattedCitation":"(Hidayat, 2017)","plainTextFormattedCitation":"(Hidayat, 2017)","previouslyFormattedCitation":"(Hidayat, 2017)"},"properties":{"noteIndex":0},"schema":"https://github.com/citation-style-language/schema/raw/master/csl-citation.json"}</w:instrText>
      </w:r>
      <w:r w:rsidR="00F92DD1">
        <w:rPr>
          <w:rFonts w:ascii="Arial" w:hAnsi="Arial" w:cs="Arial"/>
          <w:bCs/>
          <w:lang w:val="id-ID"/>
        </w:rPr>
        <w:fldChar w:fldCharType="separate"/>
      </w:r>
      <w:r w:rsidR="00F92DD1" w:rsidRPr="00F92DD1">
        <w:rPr>
          <w:rFonts w:ascii="Arial" w:hAnsi="Arial" w:cs="Arial"/>
          <w:bCs/>
          <w:noProof/>
          <w:lang w:val="id-ID"/>
        </w:rPr>
        <w:t>(Hidayat, 2017)</w:t>
      </w:r>
      <w:r w:rsidR="00F92DD1">
        <w:rPr>
          <w:rFonts w:ascii="Arial" w:hAnsi="Arial" w:cs="Arial"/>
          <w:bCs/>
          <w:lang w:val="id-ID"/>
        </w:rPr>
        <w:fldChar w:fldCharType="end"/>
      </w:r>
      <w:r w:rsidRPr="00F34676">
        <w:rPr>
          <w:rFonts w:ascii="Arial" w:hAnsi="Arial" w:cs="Arial"/>
          <w:bCs/>
          <w:lang w:val="id-ID"/>
        </w:rPr>
        <w:t>. Clam larvae have substrate preferences, tending to select clam shells or areas previ</w:t>
      </w:r>
      <w:r w:rsidR="00F92DD1">
        <w:rPr>
          <w:rFonts w:ascii="Arial" w:hAnsi="Arial" w:cs="Arial"/>
          <w:bCs/>
          <w:lang w:val="id-ID"/>
        </w:rPr>
        <w:t xml:space="preserve">ously inhabited by adult clams </w:t>
      </w:r>
      <w:r w:rsidR="00F92DD1">
        <w:rPr>
          <w:rFonts w:ascii="Arial" w:hAnsi="Arial" w:cs="Arial"/>
          <w:bCs/>
          <w:lang w:val="id-ID"/>
        </w:rPr>
        <w:fldChar w:fldCharType="begin" w:fldLock="1"/>
      </w:r>
      <w:r w:rsidR="0041155F">
        <w:rPr>
          <w:rFonts w:ascii="Arial" w:hAnsi="Arial" w:cs="Arial"/>
          <w:bCs/>
          <w:lang w:val="id-ID"/>
        </w:rPr>
        <w:instrText>ADDIN CSL_CITATION {"citationItems":[{"id":"ITEM-1","itemData":{"DOI":"10.35800/jplt.10.3.2022.55017","abstract":" \r Research of mussel attachment, Septiver billocularis was carried out on the intertidal zone of coastal Tiwoho, north Sulawesi. The objectives of this study were 1) to identify type of substrates (organic and inorganic) to be attached by box mussel Septifer bilocularis, 2) to identify substrate preferences of Septifer bilocularis settlement. 3) to know the favorite position of settlement in mussel aggregation. The PVC plate has 16 holes, each with diameter of 1.8 cm, which had been filled randomly with organic substrate of coconut fibers and palm fibers, and mussel shell with byssus threads, then inorganic with plastic rope. Each substrate had 4 replicates. The PVC plate, four replications, each was placed at edge and middle of large aggregation, the PVC plate with substrates was also placed in isolated aggregation. All PVC plates were placed in intertidal Tiwoho for 1.5 months. The settlement data were analyzed using a Two-Way ANOVA with substrata and position in patch as the main factor. Before running the test, data were transformed using arcsin. The results showed that the settlement of box mussel (&lt; 1 mm) attached to organic substrata such as coconut and palm fibers, as well as inorganic substrates, plastic rope. Settlement of box mussels on shells with byssus threads had sizes ranging from &gt; 1 mm to - &lt; 3 mm. A Two-way ANOVA test shows that settlement was not affected by substrata (P &gt; 0.05), the settlement of box mussel was affected by position in aggregation (P &lt; 0.05). Factors such as the effect of physical, chemical, and biological on box mussel settlement are discussed.\r Keywords: Aggregation, Attachment, Shellfish, Substrate, Tiwoho Coast\r ABSTRAK\r `           Penelitian penempelan kerang Septiver bilocularis pada substrat telah dilakukan di zona intertidal di pesisir Tiwoho, Sulawesi Utara. Tujuan dari penelitian ini adalah 1) untuk mengidentifikasi jenis-jenis substrat organik dan non organik yang menjadi substrat penempelan kerang Septifer bilocularis, 2) untuk mengidentifikasi substrat preferensi (favorit) pada penempelan kerang Septifer bilocularis. 3) untuk mengetahui posisi favorit penempelan dalam agregasi kerang. Plat PVC memiliki 16 lubang dengan diameter masing-masing 1,8 cm yang telah diisi secara acak dengan substrat organik serabut kelapa, serabut pohon seho, dan cangkan dengan byssus, serta substrat inorganik tali plastic. Setiap substrat memiliki 4 ulangan. Plat PVC dengan substrat ditempatkan di posisi pinggir dan tengah a…","author":[{"dropping-particle":"","family":"Wagiu","given":"Farrel J. G.","non-dropping-particle":"","parse-names":false,"suffix":""},{"dropping-particle":"","family":"Ompi","given":"Medy","non-dropping-particle":"","parse-names":false,"suffix":""},{"dropping-particle":"","family":"Kaligis","given":"Erly Y.","non-dropping-particle":"","parse-names":false,"suffix":""},{"dropping-particle":"","family":"Rimper","given":"Joice R. T. S. L.","non-dropping-particle":"","parse-names":false,"suffix":""},{"dropping-particle":"","family":"Roeroe","given":"Kakaskasen A.","non-dropping-particle":"","parse-names":false,"suffix":""},{"dropping-particle":"","family":"Manginsela","given":"Fransine B.","non-dropping-particle":"","parse-names":false,"suffix":""}],"container-title":"Jurnal Pesisir Dan Laut Tropis","id":"ITEM-1","issue":"3","issued":{"date-parts":[["2022"]]},"page":"325-331","title":"PENEMPELAN KERANG Septifer bilocularis PADA SUBSTRAT DALAM AGREGASI KERANG DI DAERAH PASANG SURUT PESISIR TIWOHO","type":"article-journal","volume":"10"},"uris":["http://www.mendeley.com/documents/?uuid=1ab9fa54-9c5c-4333-9c16-00be826b401b"]}],"mendeley":{"formattedCitation":"(Wagiu et al., 2022)","plainTextFormattedCitation":"(Wagiu et al., 2022)","previouslyFormattedCitation":"(Wagiu et al., 2022)"},"properties":{"noteIndex":0},"schema":"https://github.com/citation-style-language/schema/raw/master/csl-citation.json"}</w:instrText>
      </w:r>
      <w:r w:rsidR="00F92DD1">
        <w:rPr>
          <w:rFonts w:ascii="Arial" w:hAnsi="Arial" w:cs="Arial"/>
          <w:bCs/>
          <w:lang w:val="id-ID"/>
        </w:rPr>
        <w:fldChar w:fldCharType="separate"/>
      </w:r>
      <w:r w:rsidR="00F92DD1" w:rsidRPr="00F92DD1">
        <w:rPr>
          <w:rFonts w:ascii="Arial" w:hAnsi="Arial" w:cs="Arial"/>
          <w:bCs/>
          <w:noProof/>
          <w:lang w:val="id-ID"/>
        </w:rPr>
        <w:t>(Wagiu et al., 2022)</w:t>
      </w:r>
      <w:r w:rsidR="00F92DD1">
        <w:rPr>
          <w:rFonts w:ascii="Arial" w:hAnsi="Arial" w:cs="Arial"/>
          <w:bCs/>
          <w:lang w:val="id-ID"/>
        </w:rPr>
        <w:fldChar w:fldCharType="end"/>
      </w:r>
      <w:r w:rsidRPr="00F34676">
        <w:rPr>
          <w:rFonts w:ascii="Arial" w:hAnsi="Arial" w:cs="Arial"/>
          <w:bCs/>
          <w:lang w:val="id-ID"/>
        </w:rPr>
        <w:t xml:space="preserve">. Several studies have been conducted related to the attachment substrate of various types of clams. </w:t>
      </w:r>
      <w:r w:rsidR="0041155F">
        <w:rPr>
          <w:rFonts w:ascii="Arial" w:hAnsi="Arial" w:cs="Arial"/>
          <w:bCs/>
          <w:lang w:val="id-ID"/>
        </w:rPr>
        <w:fldChar w:fldCharType="begin" w:fldLock="1"/>
      </w:r>
      <w:r w:rsidR="0041155F">
        <w:rPr>
          <w:rFonts w:ascii="Arial" w:hAnsi="Arial" w:cs="Arial"/>
          <w:bCs/>
          <w:lang w:val="id-ID"/>
        </w:rPr>
        <w:instrText>ADDIN CSL_CITATION {"citationItems":[{"id":"ITEM-1","itemData":{"DOI":"10.29239/j.agrikan.11.1.61-70","ISSN":"1979-6072","abstract":"Usaha budidaya kerang mutiara lebih banyak terarah pada kegiatan pembesaran dan produksi mutiara, sehingga kebutuhan akan spat sebagai bahan baku utama semakin meningkat. Penelitian telah dilakukan pada bulan oktober 2017 di Laboratorium Balai Pengembangan Perikanan Pantai Sekotong Lombok Barat menggunakan metoda eksperimen.Tujuan Penelitian ini adalah untuk mengetahui perbandingan kerapatan media kolektor yang berbeda terhadap proses penempelan yang lebih efektif pada larva tiram mutiara fase plantygrade di laboratorium. Hasil yang di peroleh pada perlakuan P2 Media substrat/kolektor kerapatan 80% sangat baik dan cukup padat yaitu sebanyak 370 ekor spat/substrat. Sedangkan penempelan spat terendah ditemukan pada perlakuan P1 Media kolektor kerapatan 50% sebanyak 217 ekor spat/substrat. Dapat disimpulkan bahwa semakin lebar kerapatan media kolektor maka semakin kecil proses penempelan larva fase plantygrade. Berdasarkan analisis statistik bahwa kerapatan 50% perlakuan P1 dan perlakuan P2 menunjukan adanyan berbeda nyata, dimana Thitung (1,561) &lt; Ttabel (2.228) ini berarti penempelan larva menggunakan substrat/kolektor kerapatan 50% dengan 80% yang berbeda tetapi tidak berpengaruh pada penempelan larva tiram mutiara fase plantygrade. Hasil pengamatan nilai rata-rata kualitas perairan seperti; Suhu 28,9 0C, pH 7,1, Salinitas 33 ppt, dan DO 5,9  ppm. Pemberian jenis pakan alami terhadap tiram mutiara pada fase plantygrade antara lain yaitu fitoplankton jenis  Isochrysis galbana, Chaetoceros simplex dan Nannoclhoropsis sp.","author":[{"dropping-particle":"","family":"Kotta","given":"Raismin","non-dropping-particle":"","parse-names":false,"suffix":""}],"container-title":"Agrikan: Jurnal Agribisnis Perikanan","id":"ITEM-1","issue":"1","issued":{"date-parts":[["2018"]]},"page":"61","title":"Efek Perbedaan Kerapatan Media Substrat Terhadap Proses Penempelan Larva Tiram Mutiara (Pinctada maxima)","type":"article-journal","volume":"11"},"uris":["http://www.mendeley.com/documents/?uuid=9b98fbb7-c896-4e7b-8739-6514ec74f2e2"]}],"mendeley":{"formattedCitation":"(Kotta, 2018)","plainTextFormattedCitation":"(Kotta, 2018)","previouslyFormattedCitation":"(Kotta, 2018)"},"properties":{"noteIndex":0},"schema":"https://github.com/citation-style-language/schema/raw/master/csl-citation.json"}</w:instrText>
      </w:r>
      <w:r w:rsidR="0041155F">
        <w:rPr>
          <w:rFonts w:ascii="Arial" w:hAnsi="Arial" w:cs="Arial"/>
          <w:bCs/>
          <w:lang w:val="id-ID"/>
        </w:rPr>
        <w:fldChar w:fldCharType="separate"/>
      </w:r>
      <w:r w:rsidR="0041155F" w:rsidRPr="0041155F">
        <w:rPr>
          <w:rFonts w:ascii="Arial" w:hAnsi="Arial" w:cs="Arial"/>
          <w:bCs/>
          <w:noProof/>
          <w:lang w:val="id-ID"/>
        </w:rPr>
        <w:t>(Kotta, 2018)</w:t>
      </w:r>
      <w:r w:rsidR="0041155F">
        <w:rPr>
          <w:rFonts w:ascii="Arial" w:hAnsi="Arial" w:cs="Arial"/>
          <w:bCs/>
          <w:lang w:val="id-ID"/>
        </w:rPr>
        <w:fldChar w:fldCharType="end"/>
      </w:r>
      <w:r w:rsidR="009970B1">
        <w:rPr>
          <w:rFonts w:ascii="Arial" w:hAnsi="Arial" w:cs="Arial"/>
          <w:bCs/>
          <w:lang w:val="id-ID"/>
        </w:rPr>
        <w:t xml:space="preserve"> </w:t>
      </w:r>
      <w:r w:rsidRPr="00F34676">
        <w:rPr>
          <w:rFonts w:ascii="Arial" w:hAnsi="Arial" w:cs="Arial"/>
          <w:bCs/>
          <w:lang w:val="id-ID"/>
        </w:rPr>
        <w:t xml:space="preserve">found that the density of substrate media affects the attachment of pearl oyster larvae Pinctada maxima. Meanwhile, </w:t>
      </w:r>
      <w:r w:rsidR="00810B0A">
        <w:rPr>
          <w:rFonts w:ascii="Arial" w:hAnsi="Arial" w:cs="Arial"/>
          <w:bCs/>
          <w:lang w:val="id-ID"/>
        </w:rPr>
        <w:fldChar w:fldCharType="begin" w:fldLock="1"/>
      </w:r>
      <w:r w:rsidR="009970B1">
        <w:rPr>
          <w:rFonts w:ascii="Arial" w:hAnsi="Arial" w:cs="Arial"/>
          <w:bCs/>
          <w:lang w:val="id-ID"/>
        </w:rPr>
        <w:instrText>ADDIN CSL_CITATION {"citationItems":[{"id":"ITEM-1","itemData":{"abstract":"Jim passed away peacefully at home,\\nwith family by his bedside, on September\\n13, 2009. Jim was born in Revelstoke\\nwhere his family worked a farm\\nin the Big Eddy area. In winters\\nhe helped run the family trapline up the Columbia River. It\\nwas during those years the seeds were planted for his two\\nlifetime sporting passions, bird hunting and fishing.\\nAfter schooling, Jim worked on the CPR trains until\\nCanada's involvement in WW II. He enlisted, took pilot training\\nand was commissioned as a Pilot Officer in late 1943.\\nHe was awarded the Distinguished Flying Cross for piloting\\nhis heavily damaged bomber back to safety in England\\nafter being attacked by a German fighter. A few months\\nlater his plane was shot down over Berlin. Jim was captured\\nand spent the remaining months of the war as a POW.\\nAfter the war Jim enrolled in forestry at UBC, lived in Fort\\nCamp on the UBC site, married and graduated with the class of\\n’50. He worked in logging camps on Vancouver Island and the\\nInterior, before moving to a job in Alberta. In 1956, he returned\\nto Vancouver to work for the federal Western Forest Products Lab\\n(now Forintek), received his RPF in 1964 and retired in 1984.\\nAfter retirement, he volunteered at the Seymour\\nDemonstration Forest and he made a scholarship endowment\\nto UBC Forestry. Forestry was in Jim's blood, often a subject of conversation\\nor debate, and he took great pride knowing\\nhe was to be part of a three generation RPF family.","author":[{"dropping-particle":"","family":"Setybudiandi","given":"Isdradjad","non-dropping-particle":"","parse-names":false,"suffix":""},{"dropping-particle":"","family":"Yonvitner","given":"Wazir Mawardi","non-dropping-particle":"","parse-names":false,"suffix":""},{"dropping-particle":"","family":"Arief","given":"Syachrul","non-dropping-particle":"","parse-names":false,"suffix":""}],"container-title":"Jurnal Ilmiah Pendidikan Biologi","id":"ITEM-1","issue":"2","issued":{"date-parts":[["2017"]]},"page":"12-17","title":"Kekuatan Penempelan Bysus Kerang Hijau (Perna viridis) Pada Media Penempel","type":"article-journal","volume":"2"},"uris":["http://www.mendeley.com/documents/?uuid=634e8d79-7f41-4990-a81c-ca1c90dbd410"]}],"mendeley":{"formattedCitation":"(Setybudiandi et al., 2017)","plainTextFormattedCitation":"(Setybudiandi et al., 2017)","previouslyFormattedCitation":"(Setybudiandi et al., 2017)"},"properties":{"noteIndex":0},"schema":"https://github.com/citation-style-language/schema/raw/master/csl-citation.json"}</w:instrText>
      </w:r>
      <w:r w:rsidR="00810B0A">
        <w:rPr>
          <w:rFonts w:ascii="Arial" w:hAnsi="Arial" w:cs="Arial"/>
          <w:bCs/>
          <w:lang w:val="id-ID"/>
        </w:rPr>
        <w:fldChar w:fldCharType="separate"/>
      </w:r>
      <w:r w:rsidR="00810B0A" w:rsidRPr="00810B0A">
        <w:rPr>
          <w:rFonts w:ascii="Arial" w:hAnsi="Arial" w:cs="Arial"/>
          <w:bCs/>
          <w:noProof/>
          <w:lang w:val="id-ID"/>
        </w:rPr>
        <w:t>(Setybudiandi et al., 2017)</w:t>
      </w:r>
      <w:r w:rsidR="00810B0A">
        <w:rPr>
          <w:rFonts w:ascii="Arial" w:hAnsi="Arial" w:cs="Arial"/>
          <w:bCs/>
          <w:lang w:val="id-ID"/>
        </w:rPr>
        <w:fldChar w:fldCharType="end"/>
      </w:r>
      <w:r w:rsidRPr="00F34676">
        <w:rPr>
          <w:rFonts w:ascii="Arial" w:hAnsi="Arial" w:cs="Arial"/>
          <w:bCs/>
          <w:lang w:val="id-ID"/>
        </w:rPr>
        <w:t xml:space="preserve"> observed variations in the attachment strength of green mussel Perna viridis byssus on various media. While these studies have provided valuable insights, there are still gaps in knowledge regarding specific substrate preferences for brown mussels.</w:t>
      </w:r>
    </w:p>
    <w:p w14:paraId="1BFD5A48" w14:textId="77777777" w:rsidR="00B472F6" w:rsidRDefault="00B472F6" w:rsidP="00B73BA6">
      <w:pPr>
        <w:pStyle w:val="BodyText"/>
        <w:ind w:left="285" w:right="6" w:firstLine="720"/>
        <w:jc w:val="both"/>
        <w:rPr>
          <w:rFonts w:ascii="Arial" w:hAnsi="Arial" w:cs="Arial"/>
          <w:lang w:val="id-ID"/>
        </w:rPr>
      </w:pPr>
      <w:r w:rsidRPr="00B472F6">
        <w:rPr>
          <w:rFonts w:ascii="Arial" w:hAnsi="Arial" w:cs="Arial"/>
          <w:lang w:val="id-ID"/>
        </w:rPr>
        <w:t>Therefore, further research should be conducted to identify and characterize substrates that are most suitable for the settlement and growth of brown mussel juveniles. Such research will enrich our understanding of the specific needs of brown mussels, but may also provide valuable insights for the development of more efficient and environmentally</w:t>
      </w:r>
      <w:r>
        <w:rPr>
          <w:rFonts w:ascii="Arial" w:hAnsi="Arial" w:cs="Arial"/>
          <w:lang w:val="id-ID"/>
        </w:rPr>
        <w:t xml:space="preserve"> friendly aquaculture practices</w:t>
      </w:r>
      <w:r w:rsidR="008442D9" w:rsidRPr="00D37A5A">
        <w:rPr>
          <w:rFonts w:ascii="Arial" w:hAnsi="Arial" w:cs="Arial"/>
          <w:lang w:val="id-ID"/>
        </w:rPr>
        <w:t>.</w:t>
      </w:r>
    </w:p>
    <w:p w14:paraId="617D2BCF" w14:textId="77777777" w:rsidR="00D56DE6" w:rsidRPr="00B472F6" w:rsidRDefault="00D56DE6" w:rsidP="00B472F6">
      <w:pPr>
        <w:pStyle w:val="BodyText"/>
        <w:ind w:left="425" w:right="6" w:firstLine="720"/>
        <w:jc w:val="both"/>
        <w:rPr>
          <w:rFonts w:ascii="Arial" w:hAnsi="Arial" w:cs="Arial"/>
          <w:lang w:val="id-ID"/>
        </w:rPr>
      </w:pPr>
    </w:p>
    <w:p w14:paraId="1A06921F" w14:textId="77777777" w:rsidR="00EC0E96" w:rsidRPr="00B472F6" w:rsidRDefault="004644B9" w:rsidP="00CE5435">
      <w:pPr>
        <w:pStyle w:val="Heading1"/>
        <w:numPr>
          <w:ilvl w:val="0"/>
          <w:numId w:val="16"/>
        </w:numPr>
        <w:tabs>
          <w:tab w:val="left" w:pos="384"/>
        </w:tabs>
        <w:spacing w:before="94"/>
        <w:ind w:left="238" w:hanging="238"/>
        <w:rPr>
          <w:b w:val="0"/>
          <w:szCs w:val="20"/>
        </w:rPr>
      </w:pPr>
      <w:r w:rsidRPr="00EC0E96">
        <w:rPr>
          <w:spacing w:val="-2"/>
          <w:szCs w:val="20"/>
        </w:rPr>
        <w:t>METHODOLOGY</w:t>
      </w:r>
    </w:p>
    <w:p w14:paraId="092074A6" w14:textId="77777777" w:rsidR="0048266F" w:rsidRPr="00B472F6" w:rsidRDefault="00B472F6" w:rsidP="00B73BA6">
      <w:pPr>
        <w:pStyle w:val="BodyText"/>
        <w:ind w:left="285" w:right="6" w:firstLine="720"/>
        <w:jc w:val="both"/>
        <w:rPr>
          <w:rFonts w:ascii="Arial" w:hAnsi="Arial" w:cs="Arial"/>
          <w:lang w:val="id-ID"/>
        </w:rPr>
      </w:pPr>
      <w:r w:rsidRPr="00B472F6">
        <w:rPr>
          <w:rFonts w:ascii="Arial" w:hAnsi="Arial" w:cs="Arial"/>
        </w:rPr>
        <w:t xml:space="preserve">This research was conducted for 30 days, starting from September to October 2024 at the West </w:t>
      </w:r>
      <w:proofErr w:type="spellStart"/>
      <w:r w:rsidRPr="00B472F6">
        <w:rPr>
          <w:rFonts w:ascii="Arial" w:hAnsi="Arial" w:cs="Arial"/>
        </w:rPr>
        <w:t>Sekotong</w:t>
      </w:r>
      <w:proofErr w:type="spellEnd"/>
      <w:r w:rsidRPr="00B472F6">
        <w:rPr>
          <w:rFonts w:ascii="Arial" w:hAnsi="Arial" w:cs="Arial"/>
        </w:rPr>
        <w:t xml:space="preserve"> Marine Aquaculture Center (BPBL), which is located in </w:t>
      </w:r>
      <w:proofErr w:type="spellStart"/>
      <w:r w:rsidRPr="00B472F6">
        <w:rPr>
          <w:rFonts w:ascii="Arial" w:hAnsi="Arial" w:cs="Arial"/>
        </w:rPr>
        <w:t>Sekotong</w:t>
      </w:r>
      <w:proofErr w:type="spellEnd"/>
      <w:r w:rsidRPr="00B472F6">
        <w:rPr>
          <w:rFonts w:ascii="Arial" w:hAnsi="Arial" w:cs="Arial"/>
        </w:rPr>
        <w:t xml:space="preserve"> sub-district, West Lombok Regency, West Nusa Tenggara. This research is an experimental study using a completely randomized design (CRD) consisting of 4 treatments and 6 replicates. Treatment 1 80% </w:t>
      </w:r>
      <w:proofErr w:type="spellStart"/>
      <w:r w:rsidRPr="00B472F6">
        <w:rPr>
          <w:rFonts w:ascii="Arial" w:hAnsi="Arial" w:cs="Arial"/>
        </w:rPr>
        <w:t>paranet</w:t>
      </w:r>
      <w:proofErr w:type="spellEnd"/>
      <w:r w:rsidRPr="00B472F6">
        <w:rPr>
          <w:rFonts w:ascii="Arial" w:hAnsi="Arial" w:cs="Arial"/>
        </w:rPr>
        <w:t xml:space="preserve"> (control), treatment 2 PE (polyethylene) rope, treatment 3 white netting, treatment 4 black </w:t>
      </w:r>
      <w:proofErr w:type="spellStart"/>
      <w:r w:rsidRPr="00B472F6">
        <w:rPr>
          <w:rFonts w:ascii="Arial" w:hAnsi="Arial" w:cs="Arial"/>
        </w:rPr>
        <w:t>paris</w:t>
      </w:r>
      <w:proofErr w:type="spellEnd"/>
      <w:r w:rsidRPr="00B472F6">
        <w:rPr>
          <w:rFonts w:ascii="Arial" w:hAnsi="Arial" w:cs="Arial"/>
        </w:rPr>
        <w:t xml:space="preserve"> cloth. The construction of the research layout design can be seen in Figure 1 &amp; Figure 2.</w:t>
      </w:r>
    </w:p>
    <w:p w14:paraId="3D27BF6C" w14:textId="77777777" w:rsidR="000B3197" w:rsidRPr="00D37A5A" w:rsidRDefault="000B3197" w:rsidP="00D37A5A">
      <w:pPr>
        <w:pStyle w:val="BodyText"/>
        <w:ind w:right="182"/>
        <w:jc w:val="both"/>
        <w:rPr>
          <w:rFonts w:ascii="Arial" w:hAnsi="Arial" w:cs="Arial"/>
          <w:noProof/>
        </w:rPr>
      </w:pPr>
      <w:r w:rsidRPr="00D37A5A">
        <w:rPr>
          <w:rFonts w:ascii="Arial" w:hAnsi="Arial" w:cs="Arial"/>
        </w:rPr>
        <w:t xml:space="preserve"> </w:t>
      </w:r>
    </w:p>
    <w:p w14:paraId="38E77823" w14:textId="77777777" w:rsidR="000B3197" w:rsidRPr="00D37A5A" w:rsidRDefault="000B3197" w:rsidP="00D37A5A">
      <w:pPr>
        <w:pStyle w:val="BodyText"/>
        <w:ind w:left="140" w:right="182"/>
        <w:jc w:val="both"/>
        <w:rPr>
          <w:rFonts w:ascii="Arial" w:hAnsi="Arial" w:cs="Arial"/>
        </w:rPr>
      </w:pPr>
      <w:r w:rsidRPr="00D37A5A">
        <w:rPr>
          <w:rFonts w:ascii="Arial" w:hAnsi="Arial" w:cs="Arial"/>
          <w:noProof/>
        </w:rPr>
        <w:drawing>
          <wp:inline distT="0" distB="0" distL="0" distR="0" wp14:anchorId="488AF9A8" wp14:editId="169887DD">
            <wp:extent cx="2011680" cy="1581954"/>
            <wp:effectExtent l="0" t="0" r="762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315" t="30314" r="9714" b="12507"/>
                    <a:stretch/>
                  </pic:blipFill>
                  <pic:spPr bwMode="auto">
                    <a:xfrm>
                      <a:off x="0" y="0"/>
                      <a:ext cx="2023229" cy="1591036"/>
                    </a:xfrm>
                    <a:prstGeom prst="rect">
                      <a:avLst/>
                    </a:prstGeom>
                    <a:ln>
                      <a:noFill/>
                    </a:ln>
                    <a:extLst>
                      <a:ext uri="{53640926-AAD7-44D8-BBD7-CCE9431645EC}">
                        <a14:shadowObscured xmlns:a14="http://schemas.microsoft.com/office/drawing/2010/main"/>
                      </a:ext>
                    </a:extLst>
                  </pic:spPr>
                </pic:pic>
              </a:graphicData>
            </a:graphic>
          </wp:inline>
        </w:drawing>
      </w:r>
    </w:p>
    <w:p w14:paraId="22F8B1C1" w14:textId="77777777" w:rsidR="000B3197" w:rsidRPr="00C906B9" w:rsidRDefault="00437CD4" w:rsidP="006E68DF">
      <w:pPr>
        <w:pStyle w:val="Caption"/>
        <w:rPr>
          <w:rFonts w:ascii="Arial" w:hAnsi="Arial" w:cs="Arial"/>
          <w:lang w:val="id-ID"/>
        </w:rPr>
      </w:pPr>
      <w:r w:rsidRPr="00437CD4">
        <w:rPr>
          <w:rFonts w:ascii="Arial" w:hAnsi="Arial" w:cs="Arial"/>
        </w:rPr>
        <w:t>Figure 1. layout of substrates suspended in the water column of each experimental unit.</w:t>
      </w:r>
    </w:p>
    <w:p w14:paraId="39C80730" w14:textId="77777777" w:rsidR="000B3197" w:rsidRPr="00D37A5A" w:rsidRDefault="000B3197" w:rsidP="00D37A5A">
      <w:pPr>
        <w:pStyle w:val="BodyText"/>
        <w:ind w:left="140" w:right="182"/>
        <w:jc w:val="both"/>
        <w:rPr>
          <w:rFonts w:ascii="Arial" w:hAnsi="Arial" w:cs="Arial"/>
        </w:rPr>
      </w:pPr>
      <w:r w:rsidRPr="00D37A5A">
        <w:rPr>
          <w:rFonts w:ascii="Arial" w:hAnsi="Arial" w:cs="Arial"/>
          <w:noProof/>
        </w:rPr>
        <w:lastRenderedPageBreak/>
        <w:drawing>
          <wp:inline distT="0" distB="0" distL="0" distR="0" wp14:anchorId="74A0D6FD" wp14:editId="5964A078">
            <wp:extent cx="1967789" cy="1421262"/>
            <wp:effectExtent l="0" t="0" r="0" b="762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324" t="25492" r="10437" b="17472"/>
                    <a:stretch/>
                  </pic:blipFill>
                  <pic:spPr bwMode="auto">
                    <a:xfrm>
                      <a:off x="0" y="0"/>
                      <a:ext cx="1980921" cy="1430747"/>
                    </a:xfrm>
                    <a:prstGeom prst="rect">
                      <a:avLst/>
                    </a:prstGeom>
                    <a:ln>
                      <a:noFill/>
                    </a:ln>
                    <a:extLst>
                      <a:ext uri="{53640926-AAD7-44D8-BBD7-CCE9431645EC}">
                        <a14:shadowObscured xmlns:a14="http://schemas.microsoft.com/office/drawing/2010/main"/>
                      </a:ext>
                    </a:extLst>
                  </pic:spPr>
                </pic:pic>
              </a:graphicData>
            </a:graphic>
          </wp:inline>
        </w:drawing>
      </w:r>
    </w:p>
    <w:p w14:paraId="49C8A09E" w14:textId="77777777" w:rsidR="000B3197" w:rsidRPr="00D37A5A" w:rsidRDefault="000B3197" w:rsidP="00D37A5A">
      <w:pPr>
        <w:pStyle w:val="BodyText"/>
        <w:ind w:left="140" w:right="182"/>
        <w:jc w:val="both"/>
        <w:rPr>
          <w:rFonts w:ascii="Arial" w:hAnsi="Arial" w:cs="Arial"/>
        </w:rPr>
      </w:pPr>
    </w:p>
    <w:p w14:paraId="30C6A19E" w14:textId="77777777" w:rsidR="000B3197" w:rsidRPr="00C906B9" w:rsidRDefault="00437CD4" w:rsidP="00864721">
      <w:pPr>
        <w:pStyle w:val="Caption"/>
        <w:rPr>
          <w:rFonts w:ascii="Arial" w:hAnsi="Arial" w:cs="Arial"/>
          <w:lang w:val="id-ID"/>
        </w:rPr>
      </w:pPr>
      <w:r w:rsidRPr="00437CD4">
        <w:rPr>
          <w:rFonts w:ascii="Arial" w:hAnsi="Arial" w:cs="Arial"/>
        </w:rPr>
        <w:t>Figure 2. layout of the substrate at the bottom of the container for each experimental unit.</w:t>
      </w:r>
    </w:p>
    <w:p w14:paraId="4F330A88" w14:textId="77777777" w:rsidR="00EC0E96" w:rsidRPr="00EC0E96" w:rsidRDefault="00EC0E96" w:rsidP="00976E28">
      <w:pPr>
        <w:widowControl/>
        <w:autoSpaceDE/>
        <w:autoSpaceDN/>
        <w:jc w:val="both"/>
        <w:rPr>
          <w:rFonts w:ascii="Arial" w:hAnsi="Arial" w:cs="Arial"/>
          <w:b/>
          <w:szCs w:val="20"/>
        </w:rPr>
      </w:pPr>
      <w:r>
        <w:rPr>
          <w:rFonts w:ascii="Arial" w:hAnsi="Arial" w:cs="Arial"/>
          <w:b/>
          <w:szCs w:val="20"/>
        </w:rPr>
        <w:t xml:space="preserve">2.1 </w:t>
      </w:r>
      <w:r w:rsidR="00437CD4" w:rsidRPr="00437CD4">
        <w:rPr>
          <w:rFonts w:ascii="Arial" w:hAnsi="Arial" w:cs="Arial"/>
          <w:b/>
          <w:szCs w:val="20"/>
        </w:rPr>
        <w:t>Research Procedure</w:t>
      </w:r>
    </w:p>
    <w:p w14:paraId="7427DEF7" w14:textId="77777777" w:rsidR="00976E28" w:rsidRDefault="00165AB6" w:rsidP="00B73BA6">
      <w:pPr>
        <w:pStyle w:val="BodyText"/>
        <w:ind w:left="285" w:right="6" w:firstLine="720"/>
        <w:jc w:val="both"/>
        <w:rPr>
          <w:rFonts w:ascii="Segoe UI" w:hAnsi="Segoe UI" w:cs="Segoe UI"/>
          <w:color w:val="000000"/>
          <w:shd w:val="clear" w:color="auto" w:fill="EEFFDE"/>
        </w:rPr>
      </w:pPr>
      <w:r w:rsidRPr="00165AB6">
        <w:rPr>
          <w:rFonts w:ascii="Arial" w:hAnsi="Arial" w:cs="Arial"/>
        </w:rPr>
        <w:t>The preparatory stage in the cultivation of brown mussels begins with preparing the rearing container, which is a 70 cm x 50 cm x 45 cm container with a volume of 100 liters filled with sea air and equipped with an aeration system to maintain air quality and oxygen. A total of 18,866 14-day-old brown mussel spawn were transferred into the tanks, which were the result of spawning of the parents in the laboratory. For the attachment media, materials such as 0.9 mm diameter PE rope and netting were cut to the required size, then weighted to prevent</w:t>
      </w:r>
      <w:r>
        <w:rPr>
          <w:rFonts w:ascii="Arial" w:hAnsi="Arial" w:cs="Arial"/>
        </w:rPr>
        <w:t xml:space="preserve"> them from floating in the air</w:t>
      </w:r>
      <w:r w:rsidR="00976E28" w:rsidRPr="00976E28">
        <w:rPr>
          <w:rFonts w:ascii="Arial" w:hAnsi="Arial" w:cs="Arial"/>
        </w:rPr>
        <w:t>.</w:t>
      </w:r>
    </w:p>
    <w:p w14:paraId="38A1A896" w14:textId="77777777" w:rsidR="004E34E0" w:rsidRPr="00D37A5A" w:rsidRDefault="00165AB6" w:rsidP="00B73BA6">
      <w:pPr>
        <w:pStyle w:val="BodyText"/>
        <w:ind w:left="285" w:right="6" w:firstLine="720"/>
        <w:jc w:val="both"/>
        <w:rPr>
          <w:rFonts w:ascii="Arial" w:hAnsi="Arial" w:cs="Arial"/>
          <w:color w:val="FF0000"/>
        </w:rPr>
      </w:pPr>
      <w:r w:rsidRPr="00165AB6">
        <w:rPr>
          <w:rFonts w:ascii="Arial" w:hAnsi="Arial" w:cs="Arial"/>
        </w:rPr>
        <w:t xml:space="preserve">At the implementation stage, natural food such as </w:t>
      </w:r>
      <w:r w:rsidRPr="00B243DA">
        <w:rPr>
          <w:rFonts w:ascii="Arial" w:hAnsi="Arial" w:cs="Arial"/>
          <w:i/>
        </w:rPr>
        <w:t xml:space="preserve">Pavlova </w:t>
      </w:r>
      <w:proofErr w:type="spellStart"/>
      <w:r w:rsidRPr="00B243DA">
        <w:rPr>
          <w:rFonts w:ascii="Arial" w:hAnsi="Arial" w:cs="Arial"/>
          <w:i/>
        </w:rPr>
        <w:t>lutheri</w:t>
      </w:r>
      <w:proofErr w:type="spellEnd"/>
      <w:r w:rsidRPr="00B243DA">
        <w:rPr>
          <w:rFonts w:ascii="Arial" w:hAnsi="Arial" w:cs="Arial"/>
          <w:i/>
        </w:rPr>
        <w:t xml:space="preserve">, </w:t>
      </w:r>
      <w:proofErr w:type="spellStart"/>
      <w:r w:rsidRPr="00B243DA">
        <w:rPr>
          <w:rFonts w:ascii="Arial" w:hAnsi="Arial" w:cs="Arial"/>
          <w:i/>
        </w:rPr>
        <w:t>Isochrysis</w:t>
      </w:r>
      <w:proofErr w:type="spellEnd"/>
      <w:r w:rsidRPr="00B243DA">
        <w:rPr>
          <w:rFonts w:ascii="Arial" w:hAnsi="Arial" w:cs="Arial"/>
          <w:i/>
        </w:rPr>
        <w:t xml:space="preserve"> </w:t>
      </w:r>
      <w:proofErr w:type="spellStart"/>
      <w:r w:rsidRPr="00B243DA">
        <w:rPr>
          <w:rFonts w:ascii="Arial" w:hAnsi="Arial" w:cs="Arial"/>
          <w:i/>
        </w:rPr>
        <w:t>galbana</w:t>
      </w:r>
      <w:proofErr w:type="spellEnd"/>
      <w:r w:rsidRPr="00165AB6">
        <w:rPr>
          <w:rFonts w:ascii="Arial" w:hAnsi="Arial" w:cs="Arial"/>
        </w:rPr>
        <w:t xml:space="preserve">, and </w:t>
      </w:r>
      <w:proofErr w:type="spellStart"/>
      <w:r w:rsidRPr="00B243DA">
        <w:rPr>
          <w:rFonts w:ascii="Arial" w:hAnsi="Arial" w:cs="Arial"/>
          <w:i/>
        </w:rPr>
        <w:t>Chaetoceros</w:t>
      </w:r>
      <w:proofErr w:type="spellEnd"/>
      <w:r w:rsidRPr="00165AB6">
        <w:rPr>
          <w:rFonts w:ascii="Arial" w:hAnsi="Arial" w:cs="Arial"/>
        </w:rPr>
        <w:t xml:space="preserve"> sp. was given once a day at 3:00 pm using a 2 liter plastic container. Air circulation is done daily to remove feed residue and maintain optimal air quality. Larval control is conducted regularly to ensure growth and spat attachment to the substrate, while growth surveys include monitoring environmental factors such as air quality, temperature, salinity, and pH that may affect the survival and g</w:t>
      </w:r>
      <w:r>
        <w:rPr>
          <w:rFonts w:ascii="Arial" w:hAnsi="Arial" w:cs="Arial"/>
        </w:rPr>
        <w:t>rowth rate of brown mussel spat</w:t>
      </w:r>
      <w:r w:rsidR="00976E28" w:rsidRPr="00976E28">
        <w:rPr>
          <w:rFonts w:ascii="Arial" w:hAnsi="Arial" w:cs="Arial"/>
        </w:rPr>
        <w:t>.</w:t>
      </w:r>
    </w:p>
    <w:p w14:paraId="2CCD49E6" w14:textId="77777777" w:rsidR="000B3197" w:rsidRPr="00D37A5A" w:rsidRDefault="00165AB6" w:rsidP="00B73BA6">
      <w:pPr>
        <w:pStyle w:val="BodyText"/>
        <w:ind w:left="285" w:right="6" w:firstLine="720"/>
        <w:jc w:val="both"/>
        <w:rPr>
          <w:rFonts w:ascii="Arial" w:hAnsi="Arial" w:cs="Arial"/>
        </w:rPr>
      </w:pPr>
      <w:r w:rsidRPr="00165AB6">
        <w:rPr>
          <w:rFonts w:ascii="Arial" w:hAnsi="Arial" w:cs="Arial"/>
          <w:lang w:val="id-ID"/>
        </w:rPr>
        <w:t>The position of the Dorsal-Ventral (DV), Anterior Posterior (AP) section of the clam can be seen in Figure 3.</w:t>
      </w:r>
    </w:p>
    <w:p w14:paraId="5A98DA5D" w14:textId="77777777" w:rsidR="000B3197" w:rsidRPr="00D37A5A" w:rsidRDefault="006C45C6" w:rsidP="00B73BA6">
      <w:pPr>
        <w:widowControl/>
        <w:autoSpaceDE/>
        <w:autoSpaceDN/>
        <w:ind w:left="285"/>
        <w:jc w:val="both"/>
        <w:rPr>
          <w:rFonts w:ascii="Arial" w:hAnsi="Arial" w:cs="Arial"/>
          <w:b/>
          <w:lang w:val="id-ID"/>
        </w:rPr>
      </w:pPr>
      <w:r>
        <w:rPr>
          <w:noProof/>
        </w:rPr>
        <w:drawing>
          <wp:inline distT="0" distB="0" distL="0" distR="0" wp14:anchorId="046CFF7A" wp14:editId="6491A3AA">
            <wp:extent cx="1609725" cy="876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4653" t="24088" r="16666" b="19090"/>
                    <a:stretch/>
                  </pic:blipFill>
                  <pic:spPr bwMode="auto">
                    <a:xfrm>
                      <a:off x="0" y="0"/>
                      <a:ext cx="1607862" cy="875286"/>
                    </a:xfrm>
                    <a:prstGeom prst="rect">
                      <a:avLst/>
                    </a:prstGeom>
                    <a:ln>
                      <a:noFill/>
                    </a:ln>
                    <a:extLst>
                      <a:ext uri="{53640926-AAD7-44D8-BBD7-CCE9431645EC}">
                        <a14:shadowObscured xmlns:a14="http://schemas.microsoft.com/office/drawing/2010/main"/>
                      </a:ext>
                    </a:extLst>
                  </pic:spPr>
                </pic:pic>
              </a:graphicData>
            </a:graphic>
          </wp:inline>
        </w:drawing>
      </w:r>
    </w:p>
    <w:p w14:paraId="34FE0B83" w14:textId="77777777" w:rsidR="00781962" w:rsidRDefault="00781962" w:rsidP="00C906B9">
      <w:pPr>
        <w:pStyle w:val="Caption"/>
        <w:ind w:left="378"/>
        <w:rPr>
          <w:rFonts w:ascii="Arial" w:hAnsi="Arial" w:cs="Arial"/>
        </w:rPr>
      </w:pPr>
    </w:p>
    <w:p w14:paraId="110C5F62" w14:textId="77777777" w:rsidR="000B3197" w:rsidRPr="00C906B9" w:rsidRDefault="00781962" w:rsidP="00C906B9">
      <w:pPr>
        <w:pStyle w:val="Caption"/>
        <w:ind w:left="378"/>
        <w:rPr>
          <w:rFonts w:ascii="Arial" w:hAnsi="Arial" w:cs="Arial"/>
          <w:b w:val="0"/>
        </w:rPr>
      </w:pPr>
      <w:r w:rsidRPr="00781962">
        <w:rPr>
          <w:rFonts w:ascii="Arial" w:hAnsi="Arial" w:cs="Arial"/>
        </w:rPr>
        <w:t>Figure 3</w:t>
      </w:r>
      <w:r>
        <w:rPr>
          <w:rFonts w:ascii="Arial" w:hAnsi="Arial" w:cs="Arial"/>
        </w:rPr>
        <w:t xml:space="preserve">. </w:t>
      </w:r>
      <w:r w:rsidR="00165AB6" w:rsidRPr="00165AB6">
        <w:rPr>
          <w:rFonts w:ascii="Arial" w:hAnsi="Arial" w:cs="Arial"/>
        </w:rPr>
        <w:t>Morphometric measurements of brown mussel juveniles (A: Anterior; B: Posterior; C: Dorsal; D: Ventral)</w:t>
      </w:r>
    </w:p>
    <w:p w14:paraId="22B3EE52" w14:textId="77777777" w:rsidR="000B3197" w:rsidRDefault="00165AB6" w:rsidP="00D56DE6">
      <w:pPr>
        <w:widowControl/>
        <w:autoSpaceDE/>
        <w:autoSpaceDN/>
        <w:ind w:left="360" w:firstLine="720"/>
        <w:jc w:val="both"/>
        <w:rPr>
          <w:rFonts w:ascii="Arial" w:hAnsi="Arial" w:cs="Arial"/>
          <w:noProof/>
          <w:sz w:val="20"/>
          <w:szCs w:val="20"/>
        </w:rPr>
      </w:pPr>
      <w:r w:rsidRPr="00165AB6">
        <w:rPr>
          <w:rFonts w:ascii="Arial" w:hAnsi="Arial" w:cs="Arial"/>
          <w:noProof/>
          <w:sz w:val="20"/>
          <w:szCs w:val="20"/>
          <w:lang w:val="id-ID"/>
        </w:rPr>
        <w:t>The morphometric growth of the mussels was measured while attached to the substrate using a microscope with a magnification between 40 and 200. To ensure measurement accuracy, the microscope is equipped with a scale that helps in measuring the exact size of the clam shell.</w:t>
      </w:r>
      <w:r w:rsidR="004E34E0" w:rsidRPr="00D37A5A">
        <w:rPr>
          <w:rFonts w:ascii="Arial" w:hAnsi="Arial" w:cs="Arial"/>
          <w:noProof/>
          <w:sz w:val="20"/>
          <w:szCs w:val="20"/>
        </w:rPr>
        <w:t xml:space="preserve"> </w:t>
      </w:r>
    </w:p>
    <w:p w14:paraId="6BCA90B6" w14:textId="77777777" w:rsidR="00D56DE6" w:rsidRPr="00D37A5A" w:rsidRDefault="00D56DE6" w:rsidP="00D56DE6">
      <w:pPr>
        <w:widowControl/>
        <w:autoSpaceDE/>
        <w:autoSpaceDN/>
        <w:ind w:left="360" w:firstLine="720"/>
        <w:jc w:val="both"/>
        <w:rPr>
          <w:rFonts w:ascii="Arial" w:hAnsi="Arial" w:cs="Arial"/>
          <w:noProof/>
          <w:sz w:val="20"/>
          <w:szCs w:val="20"/>
        </w:rPr>
      </w:pPr>
    </w:p>
    <w:p w14:paraId="551E768D" w14:textId="77777777" w:rsidR="00320A40" w:rsidRDefault="00320A40" w:rsidP="00165AB6">
      <w:pPr>
        <w:pStyle w:val="ListParagraph"/>
        <w:ind w:left="360"/>
        <w:jc w:val="both"/>
        <w:rPr>
          <w:b/>
          <w:bCs/>
          <w:szCs w:val="20"/>
          <w:lang w:val="id-ID"/>
        </w:rPr>
      </w:pPr>
      <w:bookmarkStart w:id="1" w:name="_bookmark22"/>
      <w:bookmarkEnd w:id="1"/>
      <w:r w:rsidRPr="00320A40">
        <w:rPr>
          <w:b/>
          <w:bCs/>
          <w:szCs w:val="20"/>
        </w:rPr>
        <w:t>2.2 Research Parameters</w:t>
      </w:r>
    </w:p>
    <w:p w14:paraId="0CB6D060" w14:textId="77777777" w:rsidR="00165AB6" w:rsidRPr="00165AB6" w:rsidRDefault="00165AB6" w:rsidP="00B73BA6">
      <w:pPr>
        <w:pStyle w:val="BodyText"/>
        <w:ind w:left="285" w:right="6" w:firstLine="720"/>
        <w:jc w:val="both"/>
      </w:pPr>
      <w:r w:rsidRPr="00165AB6">
        <w:t>Parameters measured in this study include, Absolute Length Growth, Specific Growth Rate (SGR), density and spat attachment rate of brown mussels, and measuring water quality.</w:t>
      </w:r>
    </w:p>
    <w:p w14:paraId="5C649B7C" w14:textId="77777777" w:rsidR="00165AB6" w:rsidRPr="00165AB6" w:rsidRDefault="00165AB6" w:rsidP="00D31924">
      <w:pPr>
        <w:pStyle w:val="ListParagraph"/>
        <w:ind w:left="285" w:firstLine="0"/>
        <w:jc w:val="both"/>
        <w:rPr>
          <w:sz w:val="20"/>
          <w:szCs w:val="20"/>
        </w:rPr>
      </w:pPr>
      <w:r w:rsidRPr="00165AB6">
        <w:rPr>
          <w:sz w:val="20"/>
          <w:szCs w:val="20"/>
        </w:rPr>
        <w:t>Absolute Length Growth</w:t>
      </w:r>
    </w:p>
    <w:p w14:paraId="1AADCF1F" w14:textId="77777777" w:rsidR="000B3197" w:rsidRPr="009970B1" w:rsidRDefault="00165AB6" w:rsidP="00D31924">
      <w:pPr>
        <w:pStyle w:val="ListParagraph"/>
        <w:ind w:left="285" w:firstLine="0"/>
        <w:jc w:val="both"/>
        <w:rPr>
          <w:sz w:val="20"/>
          <w:szCs w:val="20"/>
          <w:lang w:val="id-ID"/>
        </w:rPr>
      </w:pPr>
      <w:r w:rsidRPr="00165AB6">
        <w:rPr>
          <w:sz w:val="20"/>
          <w:szCs w:val="20"/>
        </w:rPr>
        <w:t xml:space="preserve">Calculating the difference between the final length and the initial length </w:t>
      </w:r>
      <w:r w:rsidR="00B243DA">
        <w:rPr>
          <w:sz w:val="20"/>
          <w:szCs w:val="20"/>
        </w:rPr>
        <w:t>of the spat in a certain period</w:t>
      </w:r>
      <w:r w:rsidRPr="00165AB6">
        <w:rPr>
          <w:sz w:val="20"/>
          <w:szCs w:val="20"/>
        </w:rPr>
        <w:t xml:space="preserve"> </w:t>
      </w:r>
      <w:r w:rsidR="0041155F">
        <w:rPr>
          <w:sz w:val="20"/>
          <w:szCs w:val="20"/>
        </w:rPr>
        <w:fldChar w:fldCharType="begin" w:fldLock="1"/>
      </w:r>
      <w:r w:rsidR="0041155F">
        <w:rPr>
          <w:sz w:val="20"/>
          <w:szCs w:val="20"/>
        </w:rPr>
        <w:instrText>ADDIN CSL_CITATION {"citationItems":[{"id":"ITEM-1","itemData":{"DOI":"10.29303/jp.v11i1.224","ISSN":"2302-6049","abstract":"Kerang mutiara (Pinctada maxima) merupakan salah satu sumber daya laut yang memiliki nilai ekonomi tinggi namun produksinya membutuhkan waktu yang lama, sehingga membutuhkan waktu yang lama untuk dipasarkan. Ketidakseimbangan antara kebutuhan pakan dengan ketersediaan pakan alami di perairan diduga menjadi salah satu faktor lambatnya pertumbuhan benih kerang mutiara. Permasalahan ini dapat ditanggulangi dengan melakukan perendaman dalam bak pakan alami secara periodik sehingga kebutuhan pakan benih kerangmutiara dapat terpenuhi. Tujuan dari penelitian ini adalah untuk mengetahui pengaruh periode perendaman benih dalam bak pakan alami terhadap pertumbuhan benih kerang mutiara. Penelitian ini dilaksanakan pada Juni – September 2019 di Teluk Siung, Desa Batu Putih, Kecamatan Sekotong Barat, Kabupaten Lombok Barat, Nusa Tenggara Barat. Rancangan yang digunakan adalah rancangan acak lengkap teridiri atas lima perlakuakn yaitu A, tanpa perendaman (sebagi kontrol); B, perendaman dengan interval 1 minggu; C, perendaman dengan interval 2 minggu; D, perendaman dengan interval 3 minggu; dan E, perendaman dengan interval 4 minggu. Hasil penelitian menunjukkan bahwa perendaman dalam bak pakan alami memberi pengaruh yang signifikan pada pertumbuhan cangkang (dorso-ventral) benih kerang mutiara Pinctada maxima (p&lt;0,05). Pertumbuhan tertinggi dicapai pada perendaman dengan interval waktu tiap 2 minggu denga nilai pertumbuhan mutlak sebesar 10,99 mm, pertumbuhan spesifik sebesar 219,8 % dari ukuran awal, dan laju pertumbuhan spesifik sebesar 1,30 % per hari. Metode ini perlu diuji pada benih yang berukuran lebih besar dari yang digunakan dalam penelitian ini untuk melihat konsistensi penerapan metoda perendaman dalam budidaya benih kerang mutiara.","author":[{"dropping-particle":"","family":"Mukhlis","given":"Alis","non-dropping-particle":"","parse-names":false,"suffix":""},{"dropping-particle":"","family":"Ilmi","given":"Nadirah Karimatul","non-dropping-particle":"","parse-names":false,"suffix":""},{"dropping-particle":"","family":"Rahmatullah","given":"Sanca","non-dropping-particle":"","parse-names":false,"suffix":""},{"dropping-particle":"","family":"Ilyas","given":"Anita Prihatini","non-dropping-particle":"","parse-names":false,"suffix":""},{"dropping-particle":"","family":"Dermawan","given":"Awan","non-dropping-particle":"","parse-names":false,"suffix":""}],"container-title":"Jurnal Perikanan Unram","id":"ITEM-1","issue":"1","issued":{"date-parts":[["2021"]]},"page":"1-12","title":"PERCEPATAN PERTUMBUHAN BENIH KERANG MUTIARA (Pinctada maxima) MENGGUNAKAN METODA PERENDAMAN DALAM BAK PAKAN ALAMI","type":"article-journal","volume":"11"},"uris":["http://www.mendeley.com/documents/?uuid=bcc0d50a-d914-4186-b602-57dd11397378"]}],"mendeley":{"formattedCitation":"(Mukhlis et al., 2021)","plainTextFormattedCitation":"(Mukhlis et al., 2021)","previouslyFormattedCitation":"(Mukhlis et al., 2021)"},"properties":{"noteIndex":0},"schema":"https://github.com/citation-style-language/schema/raw/master/csl-citation.json"}</w:instrText>
      </w:r>
      <w:r w:rsidR="0041155F">
        <w:rPr>
          <w:sz w:val="20"/>
          <w:szCs w:val="20"/>
        </w:rPr>
        <w:fldChar w:fldCharType="separate"/>
      </w:r>
      <w:r w:rsidR="0041155F" w:rsidRPr="0041155F">
        <w:rPr>
          <w:noProof/>
          <w:sz w:val="20"/>
          <w:szCs w:val="20"/>
        </w:rPr>
        <w:t>(Mukhlis et al., 2021)</w:t>
      </w:r>
      <w:r w:rsidR="0041155F">
        <w:rPr>
          <w:sz w:val="20"/>
          <w:szCs w:val="20"/>
        </w:rPr>
        <w:fldChar w:fldCharType="end"/>
      </w:r>
      <w:r w:rsidR="009970B1">
        <w:rPr>
          <w:sz w:val="20"/>
          <w:szCs w:val="20"/>
          <w:lang w:val="id-ID"/>
        </w:rPr>
        <w:t>.</w:t>
      </w:r>
    </w:p>
    <w:p w14:paraId="18EFA165" w14:textId="77777777" w:rsidR="000B3197" w:rsidRPr="00D37A5A" w:rsidRDefault="000B3197" w:rsidP="00D31924">
      <w:pPr>
        <w:spacing w:after="120"/>
        <w:ind w:left="98" w:firstLine="720"/>
        <w:rPr>
          <w:rFonts w:ascii="Cambria Math" w:hAnsi="Cambria Math" w:cs="Arial"/>
          <w:sz w:val="20"/>
          <w:szCs w:val="20"/>
          <w:lang w:val="id-ID"/>
          <w:oMath/>
        </w:rPr>
      </w:pPr>
      <m:oMathPara>
        <m:oMath>
          <m:r>
            <w:rPr>
              <w:rFonts w:ascii="Cambria Math" w:hAnsi="Cambria Math" w:cs="Arial"/>
              <w:sz w:val="20"/>
              <w:szCs w:val="20"/>
              <w:lang w:val="id-ID"/>
            </w:rPr>
            <m:t xml:space="preserve">β = Lt – L0 </m:t>
          </m:r>
        </m:oMath>
      </m:oMathPara>
    </w:p>
    <w:p w14:paraId="3C0F5DF5" w14:textId="77777777" w:rsidR="000B3197" w:rsidRPr="00D37A5A" w:rsidRDefault="000B3197" w:rsidP="00D31924">
      <w:pPr>
        <w:ind w:firstLine="720"/>
        <w:rPr>
          <w:rFonts w:ascii="Arial" w:hAnsi="Arial" w:cs="Arial"/>
          <w:sz w:val="20"/>
          <w:szCs w:val="20"/>
          <w:lang w:val="id-ID"/>
        </w:rPr>
      </w:pPr>
      <w:r w:rsidRPr="00D37A5A">
        <w:rPr>
          <w:rFonts w:ascii="Arial" w:hAnsi="Arial" w:cs="Arial"/>
          <w:sz w:val="20"/>
          <w:szCs w:val="20"/>
          <w:lang w:val="id-ID"/>
        </w:rPr>
        <w:t xml:space="preserve">Keterangan : </w:t>
      </w:r>
    </w:p>
    <w:p w14:paraId="349457AC" w14:textId="77777777" w:rsidR="000B3197" w:rsidRPr="00D37A5A" w:rsidRDefault="000B3197" w:rsidP="00D31924">
      <w:pPr>
        <w:tabs>
          <w:tab w:val="left" w:pos="1276"/>
          <w:tab w:val="left" w:pos="1418"/>
        </w:tabs>
        <w:ind w:left="1343" w:hanging="698"/>
        <w:rPr>
          <w:rFonts w:ascii="Arial" w:hAnsi="Arial" w:cs="Arial"/>
          <w:sz w:val="20"/>
          <w:szCs w:val="20"/>
          <w:lang w:val="id-ID"/>
        </w:rPr>
      </w:pPr>
      <w:r w:rsidRPr="00D37A5A">
        <w:rPr>
          <w:rFonts w:ascii="Arial" w:hAnsi="Arial" w:cs="Arial"/>
          <w:sz w:val="20"/>
          <w:szCs w:val="20"/>
          <w:lang w:val="id-ID"/>
        </w:rPr>
        <w:t xml:space="preserve">β </w:t>
      </w:r>
      <w:r w:rsidRPr="00D37A5A">
        <w:rPr>
          <w:rFonts w:ascii="Arial" w:hAnsi="Arial" w:cs="Arial"/>
          <w:sz w:val="20"/>
          <w:szCs w:val="20"/>
        </w:rPr>
        <w:tab/>
      </w:r>
      <w:r w:rsidRPr="00D37A5A">
        <w:rPr>
          <w:rFonts w:ascii="Arial" w:hAnsi="Arial" w:cs="Arial"/>
          <w:sz w:val="20"/>
          <w:szCs w:val="20"/>
          <w:lang w:val="id-ID"/>
        </w:rPr>
        <w:t xml:space="preserve">= </w:t>
      </w:r>
      <w:r w:rsidR="00165AB6" w:rsidRPr="00165AB6">
        <w:rPr>
          <w:rFonts w:ascii="Arial" w:hAnsi="Arial" w:cs="Arial"/>
          <w:sz w:val="20"/>
          <w:szCs w:val="20"/>
          <w:lang w:val="id-ID"/>
        </w:rPr>
        <w:t>Absolute growth (mm)</w:t>
      </w:r>
      <w:r w:rsidRPr="00D37A5A">
        <w:rPr>
          <w:rFonts w:ascii="Arial" w:hAnsi="Arial" w:cs="Arial"/>
          <w:sz w:val="20"/>
          <w:szCs w:val="20"/>
          <w:lang w:val="id-ID"/>
        </w:rPr>
        <w:t xml:space="preserve"> </w:t>
      </w:r>
    </w:p>
    <w:p w14:paraId="39F428E4" w14:textId="77777777" w:rsidR="000B3197" w:rsidRPr="00D37A5A" w:rsidRDefault="000B3197" w:rsidP="00D31924">
      <w:pPr>
        <w:tabs>
          <w:tab w:val="left" w:pos="1276"/>
          <w:tab w:val="left" w:pos="1418"/>
        </w:tabs>
        <w:ind w:left="1343" w:hanging="698"/>
        <w:rPr>
          <w:rFonts w:ascii="Arial" w:hAnsi="Arial" w:cs="Arial"/>
          <w:sz w:val="20"/>
          <w:szCs w:val="20"/>
          <w:lang w:val="id-ID"/>
        </w:rPr>
      </w:pPr>
      <w:r w:rsidRPr="00D37A5A">
        <w:rPr>
          <w:rFonts w:ascii="Arial" w:hAnsi="Arial" w:cs="Arial"/>
          <w:sz w:val="20"/>
          <w:szCs w:val="20"/>
          <w:lang w:val="id-ID"/>
        </w:rPr>
        <w:t>L0</w:t>
      </w:r>
      <w:r w:rsidR="00D56DE6">
        <w:rPr>
          <w:rFonts w:ascii="Arial" w:hAnsi="Arial" w:cs="Arial"/>
          <w:sz w:val="20"/>
          <w:szCs w:val="20"/>
        </w:rPr>
        <w:tab/>
      </w:r>
      <w:r w:rsidRPr="00D37A5A">
        <w:rPr>
          <w:rFonts w:ascii="Arial" w:hAnsi="Arial" w:cs="Arial"/>
          <w:sz w:val="20"/>
          <w:szCs w:val="20"/>
          <w:lang w:val="id-ID"/>
        </w:rPr>
        <w:t xml:space="preserve">= </w:t>
      </w:r>
      <w:r w:rsidR="00165AB6" w:rsidRPr="00165AB6">
        <w:rPr>
          <w:rFonts w:ascii="Arial" w:hAnsi="Arial" w:cs="Arial"/>
          <w:sz w:val="20"/>
          <w:szCs w:val="20"/>
          <w:lang w:val="id-ID"/>
        </w:rPr>
        <w:t>Clam length at the beginning of the experiment (mm)</w:t>
      </w:r>
      <w:r w:rsidRPr="00D37A5A">
        <w:rPr>
          <w:rFonts w:ascii="Arial" w:hAnsi="Arial" w:cs="Arial"/>
          <w:sz w:val="20"/>
          <w:szCs w:val="20"/>
          <w:lang w:val="id-ID"/>
        </w:rPr>
        <w:t xml:space="preserve"> </w:t>
      </w:r>
    </w:p>
    <w:p w14:paraId="66D190A3" w14:textId="77777777" w:rsidR="005C20C8" w:rsidRDefault="000B3197" w:rsidP="00D31924">
      <w:pPr>
        <w:tabs>
          <w:tab w:val="left" w:pos="1276"/>
          <w:tab w:val="left" w:pos="1418"/>
        </w:tabs>
        <w:ind w:left="1343" w:hanging="698"/>
        <w:rPr>
          <w:rFonts w:ascii="Arial" w:hAnsi="Arial" w:cs="Arial"/>
          <w:sz w:val="20"/>
          <w:szCs w:val="20"/>
        </w:rPr>
      </w:pPr>
      <w:r w:rsidRPr="00D37A5A">
        <w:rPr>
          <w:rFonts w:ascii="Arial" w:hAnsi="Arial" w:cs="Arial"/>
          <w:sz w:val="20"/>
          <w:szCs w:val="20"/>
          <w:lang w:val="id-ID"/>
        </w:rPr>
        <w:t>Lt</w:t>
      </w:r>
      <w:r w:rsidRPr="00D37A5A">
        <w:rPr>
          <w:rFonts w:ascii="Arial" w:hAnsi="Arial" w:cs="Arial"/>
          <w:sz w:val="20"/>
          <w:szCs w:val="20"/>
        </w:rPr>
        <w:tab/>
      </w:r>
      <w:r w:rsidRPr="00D37A5A">
        <w:rPr>
          <w:rFonts w:ascii="Arial" w:hAnsi="Arial" w:cs="Arial"/>
          <w:sz w:val="20"/>
          <w:szCs w:val="20"/>
          <w:lang w:val="id-ID"/>
        </w:rPr>
        <w:t xml:space="preserve">= </w:t>
      </w:r>
      <w:r w:rsidR="00165AB6" w:rsidRPr="00165AB6">
        <w:rPr>
          <w:rFonts w:ascii="Arial" w:hAnsi="Arial" w:cs="Arial"/>
          <w:sz w:val="20"/>
          <w:szCs w:val="20"/>
          <w:lang w:val="id-ID"/>
        </w:rPr>
        <w:t>Clam length at time (mm)</w:t>
      </w:r>
    </w:p>
    <w:p w14:paraId="10A6A6F1" w14:textId="77777777" w:rsidR="00D56DE6" w:rsidRPr="00D56DE6" w:rsidRDefault="00D56DE6" w:rsidP="00D56DE6">
      <w:pPr>
        <w:tabs>
          <w:tab w:val="left" w:pos="1276"/>
          <w:tab w:val="left" w:pos="1418"/>
        </w:tabs>
        <w:ind w:left="1418" w:hanging="698"/>
        <w:rPr>
          <w:rFonts w:ascii="Arial" w:hAnsi="Arial" w:cs="Arial"/>
          <w:sz w:val="14"/>
          <w:szCs w:val="20"/>
        </w:rPr>
      </w:pPr>
    </w:p>
    <w:p w14:paraId="645F2A57" w14:textId="77777777" w:rsidR="000B3197" w:rsidRPr="005C20C8" w:rsidRDefault="00165AB6" w:rsidP="00D31924">
      <w:pPr>
        <w:ind w:left="269" w:firstLine="536"/>
        <w:jc w:val="both"/>
        <w:rPr>
          <w:rFonts w:ascii="Arial" w:hAnsi="Arial" w:cs="Arial"/>
          <w:sz w:val="20"/>
          <w:szCs w:val="20"/>
          <w:lang w:val="id-ID"/>
        </w:rPr>
      </w:pPr>
      <w:r w:rsidRPr="00165AB6">
        <w:rPr>
          <w:sz w:val="20"/>
          <w:szCs w:val="20"/>
          <w:lang w:val="id-ID"/>
        </w:rPr>
        <w:t xml:space="preserve">Specific Growth Rate Expressed in percentage, measured by comparing the weight of mussels at the beginning and end of rearing and the number of individuals in each treatment </w:t>
      </w:r>
      <w:r w:rsidR="0041155F">
        <w:rPr>
          <w:sz w:val="20"/>
          <w:szCs w:val="20"/>
          <w:lang w:val="id-ID"/>
        </w:rPr>
        <w:fldChar w:fldCharType="begin" w:fldLock="1"/>
      </w:r>
      <w:r w:rsidR="0041155F">
        <w:rPr>
          <w:sz w:val="20"/>
          <w:szCs w:val="20"/>
          <w:lang w:val="id-ID"/>
        </w:rPr>
        <w:instrText>ADDIN CSL_CITATION {"citationItems":[{"id":"ITEM-1","itemData":{"DOI":"10.35726/jvip.v4i1.7086","abstract":"Kerang mutiara sebagai salah satu jenis biota penghasil permata hayati yang memiliki nilai jual yang tinggi. Hal utama yang perlu diperhatikan dalam budidaya kerang mutiara adalah ketersediaan kerang ukuran operasi dalam jumlah yang cukup dan berkesinambungan. Penelitian ini bertujuan untuk mengetahui pengaruh kepadatan kerang mutiara (Pinctada maxima) yang dipelihara dengan kepadatan yang berbeda pada metode longline. Biota uji yang digunakan adalah kerang mutiara yang berukuran 6-14 cm sebanyak 90 individu. Kerang mutiara dibudidayakan pada 3 longline. Rancangan percobaan menggunakan RAK dengan 3 perlakuan dan 3 ulangan. Perlakuan A terdiri dari 8 individu/poket net, perlakuan B 10 individu/poket net dan perlakuan C 12 individu/poket net. Hasil penelitian menunjukan bahwa pengaruh kepadatan tidak berpengaruh terhadap pertumbuhan kerang mutiara. Pertumbuhan panjang mutlak sebesar 1,198 cm pada perlakuan B dan laju pertumbuhan spesifik sebesar 5,56% pada perlakuan B","author":[{"dropping-particle":"","family":"Luruk","given":"Adolfina","non-dropping-particle":"","parse-names":false,"suffix":""},{"dropping-particle":"","family":"Santoso","given":"Priyo","non-dropping-particle":"","parse-names":false,"suffix":""},{"dropping-particle":"","family":"Tjendanawangi","given":"Agnette","non-dropping-particle":"","parse-names":false,"suffix":""}],"container-title":"Jurnal Vokasi Ilmu-Ilmu Perikanan (Jvip)","id":"ITEM-1","issue":"1","issued":{"date-parts":[["2023"]]},"page":"147","title":"Pengaruh Kepadatan Terhadap Pertumbuhan Kerang Mutiara (Pinctada maxima) Pada Metode Longline","type":"article-journal","volume":"4"},"uris":["http://www.mendeley.com/documents/?uuid=b06e23d5-4e73-425a-aa4b-27795574f279"]}],"mendeley":{"formattedCitation":"(Luruk et al., 2023)","plainTextFormattedCitation":"(Luruk et al., 2023)","previouslyFormattedCitation":"(Luruk et al., 2023)"},"properties":{"noteIndex":0},"schema":"https://github.com/citation-style-language/schema/raw/master/csl-citation.json"}</w:instrText>
      </w:r>
      <w:r w:rsidR="0041155F">
        <w:rPr>
          <w:sz w:val="20"/>
          <w:szCs w:val="20"/>
          <w:lang w:val="id-ID"/>
        </w:rPr>
        <w:fldChar w:fldCharType="separate"/>
      </w:r>
      <w:r w:rsidR="0041155F" w:rsidRPr="0041155F">
        <w:rPr>
          <w:noProof/>
          <w:sz w:val="20"/>
          <w:szCs w:val="20"/>
          <w:lang w:val="id-ID"/>
        </w:rPr>
        <w:t>(Luruk et al., 2023)</w:t>
      </w:r>
      <w:r w:rsidR="0041155F">
        <w:rPr>
          <w:sz w:val="20"/>
          <w:szCs w:val="20"/>
          <w:lang w:val="id-ID"/>
        </w:rPr>
        <w:fldChar w:fldCharType="end"/>
      </w:r>
      <w:r w:rsidR="009970B1">
        <w:rPr>
          <w:sz w:val="20"/>
          <w:szCs w:val="20"/>
          <w:lang w:val="id-ID"/>
        </w:rPr>
        <w:t>.</w:t>
      </w:r>
    </w:p>
    <w:p w14:paraId="31E82DB0" w14:textId="77777777" w:rsidR="000B3197" w:rsidRPr="00D37A5A" w:rsidRDefault="000B3197" w:rsidP="00D31924">
      <w:pPr>
        <w:pStyle w:val="ListParagraph"/>
        <w:spacing w:before="60"/>
        <w:ind w:left="272" w:firstLine="720"/>
        <w:rPr>
          <w:sz w:val="20"/>
          <w:szCs w:val="20"/>
          <w:lang w:val="id-ID"/>
        </w:rPr>
      </w:pPr>
      <m:oMathPara>
        <m:oMath>
          <m:r>
            <m:rPr>
              <m:sty m:val="p"/>
            </m:rPr>
            <w:rPr>
              <w:rFonts w:ascii="Cambria Math" w:hAnsi="Cambria Math"/>
              <w:sz w:val="20"/>
              <w:szCs w:val="20"/>
              <w:lang w:val="id-ID"/>
            </w:rPr>
            <m:t>SGR=</m:t>
          </m:r>
          <m:f>
            <m:fPr>
              <m:ctrlPr>
                <w:rPr>
                  <w:rFonts w:ascii="Cambria Math" w:hAnsi="Cambria Math"/>
                  <w:sz w:val="20"/>
                  <w:szCs w:val="20"/>
                  <w:lang w:val="id-ID"/>
                </w:rPr>
              </m:ctrlPr>
            </m:fPr>
            <m:num>
              <m:r>
                <w:rPr>
                  <w:rFonts w:ascii="Cambria Math" w:hAnsi="Cambria Math"/>
                  <w:sz w:val="20"/>
                  <w:szCs w:val="20"/>
                  <w:lang w:val="id-ID"/>
                </w:rPr>
                <m:t>LnWt-LnWo</m:t>
              </m:r>
            </m:num>
            <m:den>
              <m:r>
                <w:rPr>
                  <w:rFonts w:ascii="Cambria Math" w:hAnsi="Cambria Math"/>
                  <w:sz w:val="20"/>
                  <w:szCs w:val="20"/>
                  <w:lang w:val="id-ID"/>
                </w:rPr>
                <m:t>t</m:t>
              </m:r>
            </m:den>
          </m:f>
          <m:r>
            <m:rPr>
              <m:sty m:val="p"/>
            </m:rPr>
            <w:rPr>
              <w:rFonts w:ascii="Cambria Math" w:hAnsi="Cambria Math"/>
              <w:sz w:val="20"/>
              <w:szCs w:val="20"/>
              <w:lang w:val="id-ID"/>
            </w:rPr>
            <m:t xml:space="preserve"> ×100%</m:t>
          </m:r>
        </m:oMath>
      </m:oMathPara>
    </w:p>
    <w:p w14:paraId="332D89DC" w14:textId="77777777" w:rsidR="000B3197" w:rsidRPr="00D37A5A" w:rsidRDefault="000B3197" w:rsidP="00D31924">
      <w:pPr>
        <w:pStyle w:val="ListParagraph"/>
        <w:ind w:left="497" w:hanging="228"/>
        <w:rPr>
          <w:sz w:val="20"/>
          <w:szCs w:val="20"/>
          <w:lang w:val="id-ID"/>
        </w:rPr>
      </w:pPr>
      <w:r w:rsidRPr="00D37A5A">
        <w:rPr>
          <w:sz w:val="20"/>
          <w:szCs w:val="20"/>
          <w:lang w:val="id-ID"/>
        </w:rPr>
        <w:t xml:space="preserve">Keterangan : </w:t>
      </w:r>
    </w:p>
    <w:p w14:paraId="750E9D5A" w14:textId="77777777" w:rsidR="000B3197" w:rsidRPr="00D37A5A" w:rsidRDefault="000B3197" w:rsidP="00602670">
      <w:pPr>
        <w:pStyle w:val="ListParagraph"/>
        <w:tabs>
          <w:tab w:val="left" w:pos="851"/>
          <w:tab w:val="left" w:pos="1134"/>
        </w:tabs>
        <w:ind w:left="1134" w:hanging="865"/>
        <w:rPr>
          <w:sz w:val="20"/>
          <w:szCs w:val="20"/>
          <w:lang w:val="id-ID"/>
        </w:rPr>
      </w:pPr>
      <w:r w:rsidRPr="00D37A5A">
        <w:rPr>
          <w:sz w:val="20"/>
          <w:szCs w:val="20"/>
          <w:lang w:val="id-ID"/>
        </w:rPr>
        <w:t xml:space="preserve">SGR </w:t>
      </w:r>
      <w:r w:rsidR="00602670">
        <w:rPr>
          <w:sz w:val="20"/>
          <w:szCs w:val="20"/>
        </w:rPr>
        <w:tab/>
      </w:r>
      <w:r w:rsidRPr="00D37A5A">
        <w:rPr>
          <w:sz w:val="20"/>
          <w:szCs w:val="20"/>
          <w:lang w:val="id-ID"/>
        </w:rPr>
        <w:t xml:space="preserve">= </w:t>
      </w:r>
      <w:r w:rsidR="00602670">
        <w:rPr>
          <w:sz w:val="20"/>
          <w:szCs w:val="20"/>
        </w:rPr>
        <w:tab/>
      </w:r>
      <w:r w:rsidR="00993286" w:rsidRPr="00993286">
        <w:rPr>
          <w:sz w:val="20"/>
          <w:szCs w:val="20"/>
          <w:lang w:val="id-ID"/>
        </w:rPr>
        <w:t>Specific growth rate (%/day)</w:t>
      </w:r>
    </w:p>
    <w:p w14:paraId="4CB77D21" w14:textId="77777777" w:rsidR="000B3197" w:rsidRPr="00D37A5A" w:rsidRDefault="000B3197" w:rsidP="00602670">
      <w:pPr>
        <w:pStyle w:val="ListParagraph"/>
        <w:tabs>
          <w:tab w:val="left" w:pos="851"/>
          <w:tab w:val="left" w:pos="1134"/>
        </w:tabs>
        <w:ind w:left="1134" w:hanging="865"/>
        <w:rPr>
          <w:sz w:val="20"/>
          <w:szCs w:val="20"/>
          <w:lang w:val="id-ID"/>
        </w:rPr>
      </w:pPr>
      <w:r w:rsidRPr="00D37A5A">
        <w:rPr>
          <w:sz w:val="20"/>
          <w:szCs w:val="20"/>
          <w:lang w:val="id-ID"/>
        </w:rPr>
        <w:lastRenderedPageBreak/>
        <w:t xml:space="preserve">Wt      = </w:t>
      </w:r>
      <w:r w:rsidR="00602670">
        <w:rPr>
          <w:sz w:val="20"/>
          <w:szCs w:val="20"/>
        </w:rPr>
        <w:tab/>
      </w:r>
      <w:r w:rsidR="00993286" w:rsidRPr="00993286">
        <w:rPr>
          <w:sz w:val="20"/>
          <w:szCs w:val="20"/>
          <w:lang w:val="id-ID"/>
        </w:rPr>
        <w:t>Average weight at the end of observation (gr)</w:t>
      </w:r>
    </w:p>
    <w:p w14:paraId="36484982" w14:textId="77777777" w:rsidR="000B3197" w:rsidRPr="00D37A5A" w:rsidRDefault="000B3197" w:rsidP="00602670">
      <w:pPr>
        <w:pStyle w:val="ListParagraph"/>
        <w:tabs>
          <w:tab w:val="left" w:pos="851"/>
          <w:tab w:val="left" w:pos="1134"/>
        </w:tabs>
        <w:ind w:left="1134" w:hanging="865"/>
        <w:rPr>
          <w:sz w:val="20"/>
          <w:szCs w:val="20"/>
          <w:lang w:val="id-ID"/>
        </w:rPr>
      </w:pPr>
      <w:r w:rsidRPr="00D37A5A">
        <w:rPr>
          <w:sz w:val="20"/>
          <w:szCs w:val="20"/>
          <w:lang w:val="id-ID"/>
        </w:rPr>
        <w:t xml:space="preserve">Wo   </w:t>
      </w:r>
      <w:r w:rsidR="00602670">
        <w:rPr>
          <w:sz w:val="20"/>
          <w:szCs w:val="20"/>
        </w:rPr>
        <w:tab/>
      </w:r>
      <w:r w:rsidRPr="00D37A5A">
        <w:rPr>
          <w:sz w:val="20"/>
          <w:szCs w:val="20"/>
          <w:lang w:val="id-ID"/>
        </w:rPr>
        <w:t>=</w:t>
      </w:r>
      <w:r w:rsidR="00602670">
        <w:rPr>
          <w:sz w:val="20"/>
          <w:szCs w:val="20"/>
        </w:rPr>
        <w:tab/>
      </w:r>
      <w:r w:rsidR="00993286" w:rsidRPr="00993286">
        <w:rPr>
          <w:sz w:val="20"/>
          <w:szCs w:val="20"/>
          <w:lang w:val="id-ID"/>
        </w:rPr>
        <w:t>Average weight at the beginning of observation (gr)</w:t>
      </w:r>
    </w:p>
    <w:p w14:paraId="0E38D6FF" w14:textId="77777777" w:rsidR="000B3197" w:rsidRPr="00D37A5A" w:rsidRDefault="000B3197" w:rsidP="00602670">
      <w:pPr>
        <w:pStyle w:val="ListParagraph"/>
        <w:tabs>
          <w:tab w:val="left" w:pos="851"/>
          <w:tab w:val="left" w:pos="1134"/>
        </w:tabs>
        <w:ind w:left="1134" w:hanging="865"/>
        <w:rPr>
          <w:sz w:val="20"/>
          <w:szCs w:val="20"/>
          <w:lang w:val="id-ID"/>
        </w:rPr>
      </w:pPr>
      <w:r w:rsidRPr="00D37A5A">
        <w:rPr>
          <w:sz w:val="20"/>
          <w:szCs w:val="20"/>
          <w:lang w:val="id-ID"/>
        </w:rPr>
        <w:t xml:space="preserve"> t       </w:t>
      </w:r>
      <w:r w:rsidR="00602670">
        <w:rPr>
          <w:sz w:val="20"/>
          <w:szCs w:val="20"/>
        </w:rPr>
        <w:tab/>
      </w:r>
      <w:r w:rsidRPr="00D37A5A">
        <w:rPr>
          <w:sz w:val="20"/>
          <w:szCs w:val="20"/>
          <w:lang w:val="id-ID"/>
        </w:rPr>
        <w:t>=</w:t>
      </w:r>
      <w:r w:rsidR="00602670">
        <w:rPr>
          <w:sz w:val="20"/>
          <w:szCs w:val="20"/>
        </w:rPr>
        <w:tab/>
      </w:r>
      <w:r w:rsidR="00993286" w:rsidRPr="00993286">
        <w:rPr>
          <w:sz w:val="20"/>
          <w:szCs w:val="20"/>
          <w:lang w:val="id-ID"/>
        </w:rPr>
        <w:t>Maintenance time (days)</w:t>
      </w:r>
    </w:p>
    <w:p w14:paraId="359CB527" w14:textId="77777777" w:rsidR="00B73BA6" w:rsidRDefault="00B73BA6" w:rsidP="00D31924">
      <w:pPr>
        <w:adjustRightInd w:val="0"/>
        <w:ind w:left="269"/>
        <w:jc w:val="both"/>
        <w:rPr>
          <w:rFonts w:ascii="Arial" w:hAnsi="Arial" w:cs="Arial"/>
          <w:b/>
          <w:sz w:val="20"/>
          <w:szCs w:val="20"/>
        </w:rPr>
      </w:pPr>
    </w:p>
    <w:p w14:paraId="57DE5BB4" w14:textId="77777777" w:rsidR="00320A40" w:rsidRDefault="00320A40" w:rsidP="00D31924">
      <w:pPr>
        <w:adjustRightInd w:val="0"/>
        <w:ind w:left="269"/>
        <w:jc w:val="both"/>
        <w:rPr>
          <w:rFonts w:ascii="Arial" w:hAnsi="Arial" w:cs="Arial"/>
          <w:b/>
          <w:sz w:val="20"/>
          <w:szCs w:val="20"/>
          <w:lang w:val="id-ID"/>
        </w:rPr>
      </w:pPr>
      <w:r w:rsidRPr="00320A40">
        <w:rPr>
          <w:rFonts w:ascii="Arial" w:hAnsi="Arial" w:cs="Arial"/>
          <w:b/>
          <w:sz w:val="20"/>
          <w:szCs w:val="20"/>
          <w:lang w:val="id-ID"/>
        </w:rPr>
        <w:t>Attachment rate</w:t>
      </w:r>
    </w:p>
    <w:p w14:paraId="0870ED9F" w14:textId="77777777" w:rsidR="000B3197" w:rsidRPr="009970B1" w:rsidRDefault="00993286" w:rsidP="00D31924">
      <w:pPr>
        <w:adjustRightInd w:val="0"/>
        <w:ind w:left="269" w:firstLine="720"/>
        <w:jc w:val="both"/>
        <w:rPr>
          <w:rFonts w:ascii="Arial" w:hAnsi="Arial" w:cs="Arial"/>
          <w:sz w:val="20"/>
          <w:szCs w:val="20"/>
          <w:lang w:val="id-ID"/>
        </w:rPr>
      </w:pPr>
      <w:r w:rsidRPr="00993286">
        <w:rPr>
          <w:rFonts w:ascii="Arial" w:hAnsi="Arial" w:cs="Arial"/>
          <w:sz w:val="20"/>
          <w:szCs w:val="20"/>
        </w:rPr>
        <w:t xml:space="preserve">attachment rate indicates the success of juvenile colonization,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ISSN":"2597-5315","author":[{"dropping-particle":"","family":"Sulvina","given":"S.","non-dropping-particle":"","parse-names":false,"suffix":""},{"dropping-particle":"","family":"Noor","given":"N.","non-dropping-particle":"","parse-names":false,"suffix":""},{"dropping-particle":"","family":"Wijayanti","given":"H.","non-dropping-particle":"","parse-names":false,"suffix":""},{"dropping-particle":"","family":"Hudaidah","given":"S.","non-dropping-particle":"","parse-names":false,"suffix":""}],"container-title":"e-Jurnal Rekayasa dan Teknologi Budidaya Perairan","id":"ITEM-1","issue":"1","issued":{"date-parts":[["2015"]]},"page":"471-478","title":"Pengaruh Perbedaan Jenis Tali Terhadap Tingkat Penempelan Benih Kerang Hijau (Perna viridis)","type":"article-journal","volume":"4"},"uris":["http://www.mendeley.com/documents/?uuid=061eeb6a-c79f-4711-b759-699f45a0e5f0"]}],"mendeley":{"formattedCitation":"(Sulvina et al., 2015)","plainTextFormattedCitation":"(Sulvina et al., 2015)","previouslyFormattedCitation":"(Sulvina et al., 2015)"},"properties":{"noteIndex":0},"schema":"https://github.com/citation-style-language/schema/raw/master/csl-citation.json"}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(Sulvina et al., 2015)</w:t>
      </w:r>
      <w:r w:rsidR="0041155F">
        <w:rPr>
          <w:rFonts w:ascii="Arial" w:hAnsi="Arial" w:cs="Arial"/>
          <w:sz w:val="20"/>
          <w:szCs w:val="20"/>
        </w:rPr>
        <w:fldChar w:fldCharType="end"/>
      </w:r>
      <w:r w:rsidR="009970B1">
        <w:rPr>
          <w:rFonts w:ascii="Arial" w:hAnsi="Arial" w:cs="Arial"/>
          <w:sz w:val="20"/>
          <w:szCs w:val="20"/>
          <w:lang w:val="id-ID"/>
        </w:rPr>
        <w:t>:</w:t>
      </w:r>
    </w:p>
    <w:p w14:paraId="6F58AF72" w14:textId="77777777" w:rsidR="000B3197" w:rsidRPr="00D37A5A" w:rsidRDefault="000B3197" w:rsidP="00D56DE6">
      <w:pPr>
        <w:adjustRightInd w:val="0"/>
        <w:ind w:left="407" w:firstLine="720"/>
        <w:jc w:val="both"/>
        <w:rPr>
          <w:rFonts w:ascii="Arial" w:hAnsi="Arial" w:cs="Arial"/>
          <w:sz w:val="20"/>
          <w:szCs w:val="20"/>
        </w:rPr>
      </w:pPr>
      <m:oMathPara>
        <m:oMath>
          <m:r>
            <m:rPr>
              <m:sty m:val="p"/>
            </m:rPr>
            <w:rPr>
              <w:rFonts w:ascii="Cambria Math" w:hAnsi="Cambria Math" w:cs="Arial"/>
              <w:sz w:val="20"/>
              <w:szCs w:val="20"/>
              <w:lang w:val="id-ID"/>
            </w:rPr>
            <m:t>P=</m:t>
          </m:r>
          <m:f>
            <m:fPr>
              <m:ctrlPr>
                <w:rPr>
                  <w:rFonts w:ascii="Cambria Math" w:hAnsi="Cambria Math" w:cs="Arial"/>
                  <w:sz w:val="20"/>
                  <w:szCs w:val="20"/>
                  <w:lang w:val="id-ID"/>
                </w:rPr>
              </m:ctrlPr>
            </m:fPr>
            <m:num>
              <m:r>
                <m:rPr>
                  <m:sty m:val="p"/>
                </m:rPr>
                <w:rPr>
                  <w:rFonts w:ascii="Cambria Math" w:hAnsi="Cambria Math" w:cs="Arial"/>
                  <w:sz w:val="20"/>
                  <w:szCs w:val="20"/>
                  <w:lang w:val="id-ID"/>
                </w:rPr>
                <m:t>Po</m:t>
              </m:r>
            </m:num>
            <m:den>
              <m:r>
                <m:rPr>
                  <m:sty m:val="p"/>
                </m:rPr>
                <w:rPr>
                  <w:rFonts w:ascii="Cambria Math" w:hAnsi="Cambria Math" w:cs="Arial"/>
                  <w:sz w:val="20"/>
                  <w:szCs w:val="20"/>
                  <w:lang w:val="id-ID"/>
                </w:rPr>
                <m:t>Pt</m:t>
              </m:r>
            </m:den>
          </m:f>
          <m:r>
            <w:rPr>
              <w:rFonts w:ascii="Cambria Math" w:hAnsi="Cambria Math" w:cs="Arial"/>
              <w:sz w:val="20"/>
              <w:szCs w:val="20"/>
              <w:lang w:val="id-ID"/>
            </w:rPr>
            <m:t>×100%</m:t>
          </m:r>
        </m:oMath>
      </m:oMathPara>
    </w:p>
    <w:p w14:paraId="384F9B94" w14:textId="77777777" w:rsidR="000B3197" w:rsidRPr="00D37A5A" w:rsidRDefault="000B3197" w:rsidP="00D56DE6">
      <w:pPr>
        <w:tabs>
          <w:tab w:val="left" w:pos="1307"/>
        </w:tabs>
        <w:ind w:left="407"/>
        <w:rPr>
          <w:rFonts w:ascii="Arial" w:hAnsi="Arial" w:cs="Arial"/>
          <w:sz w:val="20"/>
          <w:szCs w:val="20"/>
          <w:lang w:val="id-ID"/>
        </w:rPr>
      </w:pPr>
      <w:r w:rsidRPr="00D37A5A">
        <w:rPr>
          <w:rFonts w:ascii="Arial" w:hAnsi="Arial" w:cs="Arial"/>
          <w:sz w:val="20"/>
          <w:szCs w:val="20"/>
          <w:lang w:val="id-ID"/>
        </w:rPr>
        <w:t>Keterangan :</w:t>
      </w:r>
    </w:p>
    <w:p w14:paraId="61105DA5" w14:textId="77777777" w:rsidR="000B3197" w:rsidRPr="00D37A5A" w:rsidRDefault="000B3197" w:rsidP="00D56DE6">
      <w:pPr>
        <w:tabs>
          <w:tab w:val="left" w:pos="1134"/>
          <w:tab w:val="left" w:pos="1276"/>
        </w:tabs>
        <w:ind w:left="1105" w:hanging="698"/>
        <w:rPr>
          <w:rFonts w:ascii="Arial" w:hAnsi="Arial" w:cs="Arial"/>
          <w:sz w:val="20"/>
          <w:szCs w:val="20"/>
          <w:lang w:val="id-ID"/>
        </w:rPr>
      </w:pPr>
      <w:r w:rsidRPr="00D37A5A">
        <w:rPr>
          <w:rFonts w:ascii="Arial" w:hAnsi="Arial" w:cs="Arial"/>
          <w:sz w:val="20"/>
          <w:szCs w:val="20"/>
          <w:lang w:val="id-ID"/>
        </w:rPr>
        <w:t xml:space="preserve">P </w:t>
      </w:r>
      <w:r w:rsidRPr="00D37A5A">
        <w:rPr>
          <w:rFonts w:ascii="Arial" w:hAnsi="Arial" w:cs="Arial"/>
          <w:sz w:val="20"/>
          <w:szCs w:val="20"/>
        </w:rPr>
        <w:tab/>
      </w:r>
      <w:r w:rsidRPr="00D37A5A">
        <w:rPr>
          <w:rFonts w:ascii="Arial" w:hAnsi="Arial" w:cs="Arial"/>
          <w:sz w:val="20"/>
          <w:szCs w:val="20"/>
          <w:lang w:val="id-ID"/>
        </w:rPr>
        <w:t xml:space="preserve">= </w:t>
      </w:r>
      <w:r w:rsidR="00993286" w:rsidRPr="00993286">
        <w:rPr>
          <w:rFonts w:ascii="Arial" w:hAnsi="Arial" w:cs="Arial"/>
          <w:sz w:val="20"/>
          <w:szCs w:val="20"/>
          <w:lang w:val="id-ID"/>
        </w:rPr>
        <w:t>Shell attachment</w:t>
      </w:r>
      <w:r w:rsidRPr="00D37A5A">
        <w:rPr>
          <w:rFonts w:ascii="Arial" w:hAnsi="Arial" w:cs="Arial"/>
          <w:sz w:val="20"/>
          <w:szCs w:val="20"/>
          <w:lang w:val="id-ID"/>
        </w:rPr>
        <w:t xml:space="preserve"> </w:t>
      </w:r>
    </w:p>
    <w:p w14:paraId="4BE57DD3" w14:textId="77777777" w:rsidR="000B3197" w:rsidRPr="00D37A5A" w:rsidRDefault="000B3197" w:rsidP="00D56DE6">
      <w:pPr>
        <w:tabs>
          <w:tab w:val="left" w:pos="1134"/>
          <w:tab w:val="left" w:pos="1276"/>
        </w:tabs>
        <w:ind w:left="1105" w:hanging="698"/>
        <w:rPr>
          <w:rFonts w:ascii="Arial" w:hAnsi="Arial" w:cs="Arial"/>
          <w:sz w:val="20"/>
          <w:szCs w:val="20"/>
          <w:lang w:val="id-ID"/>
        </w:rPr>
      </w:pPr>
      <w:r w:rsidRPr="00D37A5A">
        <w:rPr>
          <w:rFonts w:ascii="Arial" w:hAnsi="Arial" w:cs="Arial"/>
          <w:sz w:val="20"/>
          <w:szCs w:val="20"/>
          <w:lang w:val="id-ID"/>
        </w:rPr>
        <w:t>Po</w:t>
      </w:r>
      <w:r w:rsidRPr="00D37A5A">
        <w:rPr>
          <w:rFonts w:ascii="Arial" w:hAnsi="Arial" w:cs="Arial"/>
          <w:sz w:val="20"/>
          <w:szCs w:val="20"/>
        </w:rPr>
        <w:tab/>
      </w:r>
      <w:r w:rsidRPr="00D37A5A">
        <w:rPr>
          <w:rFonts w:ascii="Arial" w:hAnsi="Arial" w:cs="Arial"/>
          <w:sz w:val="20"/>
          <w:szCs w:val="20"/>
          <w:lang w:val="id-ID"/>
        </w:rPr>
        <w:t xml:space="preserve">= </w:t>
      </w:r>
      <w:r w:rsidR="00993286" w:rsidRPr="00993286">
        <w:rPr>
          <w:rFonts w:ascii="Arial" w:hAnsi="Arial" w:cs="Arial"/>
          <w:sz w:val="20"/>
          <w:szCs w:val="20"/>
          <w:lang w:val="id-ID"/>
        </w:rPr>
        <w:t>Length of Sticking Area</w:t>
      </w:r>
      <w:r w:rsidRPr="00D37A5A">
        <w:rPr>
          <w:rFonts w:ascii="Arial" w:hAnsi="Arial" w:cs="Arial"/>
          <w:sz w:val="20"/>
          <w:szCs w:val="20"/>
          <w:lang w:val="id-ID"/>
        </w:rPr>
        <w:t xml:space="preserve"> </w:t>
      </w:r>
    </w:p>
    <w:p w14:paraId="3E18DD4C" w14:textId="77777777" w:rsidR="000B3197" w:rsidRPr="00D37A5A" w:rsidRDefault="000B3197" w:rsidP="00D56DE6">
      <w:pPr>
        <w:tabs>
          <w:tab w:val="left" w:pos="1134"/>
          <w:tab w:val="left" w:pos="1276"/>
        </w:tabs>
        <w:ind w:left="1105" w:hanging="698"/>
        <w:rPr>
          <w:rFonts w:ascii="Arial" w:hAnsi="Arial" w:cs="Arial"/>
          <w:sz w:val="20"/>
          <w:szCs w:val="20"/>
          <w:lang w:val="id-ID"/>
        </w:rPr>
      </w:pPr>
      <w:r w:rsidRPr="00D37A5A">
        <w:rPr>
          <w:rFonts w:ascii="Arial" w:hAnsi="Arial" w:cs="Arial"/>
          <w:sz w:val="20"/>
          <w:szCs w:val="20"/>
          <w:lang w:val="id-ID"/>
        </w:rPr>
        <w:t xml:space="preserve">Pt </w:t>
      </w:r>
      <w:r w:rsidRPr="00D37A5A">
        <w:rPr>
          <w:rFonts w:ascii="Arial" w:hAnsi="Arial" w:cs="Arial"/>
          <w:sz w:val="20"/>
          <w:szCs w:val="20"/>
        </w:rPr>
        <w:tab/>
      </w:r>
      <w:r w:rsidRPr="00D37A5A">
        <w:rPr>
          <w:rFonts w:ascii="Arial" w:hAnsi="Arial" w:cs="Arial"/>
          <w:sz w:val="20"/>
          <w:szCs w:val="20"/>
          <w:lang w:val="id-ID"/>
        </w:rPr>
        <w:t xml:space="preserve">= </w:t>
      </w:r>
      <w:r w:rsidR="00993286" w:rsidRPr="00993286">
        <w:rPr>
          <w:rFonts w:ascii="Arial" w:hAnsi="Arial" w:cs="Arial"/>
          <w:sz w:val="20"/>
          <w:szCs w:val="20"/>
          <w:lang w:val="id-ID"/>
        </w:rPr>
        <w:t>Total Length of PE Rope</w:t>
      </w:r>
    </w:p>
    <w:p w14:paraId="5AEE77B0" w14:textId="77777777" w:rsidR="000B3197" w:rsidRPr="00D37A5A" w:rsidRDefault="000B3197" w:rsidP="00D56DE6">
      <w:pPr>
        <w:tabs>
          <w:tab w:val="left" w:pos="1985"/>
        </w:tabs>
        <w:ind w:left="719"/>
        <w:rPr>
          <w:rFonts w:ascii="Arial" w:hAnsi="Arial" w:cs="Arial"/>
          <w:sz w:val="20"/>
          <w:szCs w:val="20"/>
          <w:lang w:val="id-ID"/>
        </w:rPr>
      </w:pPr>
    </w:p>
    <w:p w14:paraId="097274EE" w14:textId="77777777" w:rsidR="000B3197" w:rsidRPr="00D37A5A" w:rsidRDefault="00320A40" w:rsidP="00D31924">
      <w:pPr>
        <w:pStyle w:val="Heading2"/>
        <w:ind w:left="369"/>
        <w:jc w:val="both"/>
        <w:rPr>
          <w:sz w:val="20"/>
          <w:szCs w:val="20"/>
        </w:rPr>
      </w:pPr>
      <w:bookmarkStart w:id="2" w:name="_bookmark23"/>
      <w:bookmarkEnd w:id="2"/>
      <w:r>
        <w:rPr>
          <w:sz w:val="20"/>
          <w:szCs w:val="20"/>
          <w:lang w:val="id-ID"/>
        </w:rPr>
        <w:t xml:space="preserve">2.3 </w:t>
      </w:r>
      <w:r w:rsidRPr="00320A40">
        <w:rPr>
          <w:sz w:val="20"/>
          <w:szCs w:val="20"/>
        </w:rPr>
        <w:t>Data analysis</w:t>
      </w:r>
    </w:p>
    <w:p w14:paraId="06FC87B6" w14:textId="77777777" w:rsidR="000B3197" w:rsidRPr="00D37A5A" w:rsidRDefault="00993286" w:rsidP="00D31924">
      <w:pPr>
        <w:ind w:left="369"/>
        <w:jc w:val="both"/>
        <w:rPr>
          <w:rFonts w:ascii="Arial" w:hAnsi="Arial" w:cs="Arial"/>
          <w:sz w:val="20"/>
          <w:szCs w:val="20"/>
        </w:rPr>
      </w:pPr>
      <w:r w:rsidRPr="00993286">
        <w:rPr>
          <w:rFonts w:ascii="Arial" w:hAnsi="Arial" w:cs="Arial"/>
          <w:sz w:val="20"/>
          <w:szCs w:val="20"/>
          <w:lang w:val="id-ID"/>
        </w:rPr>
        <w:t>The study used a completely randomized design (CRD) and the resulting data were analyzed (ANOVA) with the help of the SPSS version 16 application. The purpose of this analysis is to determine the effect of treatment (independent variable), namely the type of substrate on the parameters measured, namely the level of attachment density of brown mussel juveniles, besides that the data analyzed also includes absolute growth and specific growth rate. If the results of the F test showed a significant difference (sig value &lt;0.05) then a further test was carried out using the Duncan test at the 95% confidence level to identify which treatments had significantly different values.</w:t>
      </w:r>
      <w:r w:rsidR="000B3197" w:rsidRPr="00D37A5A">
        <w:rPr>
          <w:rFonts w:ascii="Arial" w:hAnsi="Arial" w:cs="Arial"/>
          <w:sz w:val="20"/>
          <w:szCs w:val="20"/>
          <w:lang w:val="id-ID"/>
        </w:rPr>
        <w:t xml:space="preserve"> </w:t>
      </w:r>
    </w:p>
    <w:p w14:paraId="20EEFBE7" w14:textId="77777777" w:rsidR="000B3197" w:rsidRPr="00D37A5A" w:rsidRDefault="000B3197" w:rsidP="00D37A5A">
      <w:pPr>
        <w:jc w:val="both"/>
        <w:rPr>
          <w:rFonts w:ascii="Arial" w:hAnsi="Arial" w:cs="Arial"/>
          <w:sz w:val="20"/>
          <w:szCs w:val="20"/>
        </w:rPr>
      </w:pPr>
    </w:p>
    <w:p w14:paraId="0B429BE5" w14:textId="77777777" w:rsidR="009001AD" w:rsidRPr="005C20C8" w:rsidRDefault="009001AD" w:rsidP="00D37A5A">
      <w:pPr>
        <w:jc w:val="both"/>
        <w:rPr>
          <w:rFonts w:ascii="Arial" w:hAnsi="Arial" w:cs="Arial"/>
          <w:b/>
          <w:szCs w:val="20"/>
        </w:rPr>
      </w:pPr>
      <w:r w:rsidRPr="005C20C8">
        <w:rPr>
          <w:rFonts w:ascii="Arial" w:hAnsi="Arial" w:cs="Arial"/>
          <w:b/>
          <w:szCs w:val="20"/>
        </w:rPr>
        <w:t xml:space="preserve">3. </w:t>
      </w:r>
      <w:r w:rsidR="00320A40" w:rsidRPr="00320A40">
        <w:rPr>
          <w:rFonts w:ascii="Arial" w:hAnsi="Arial" w:cs="Arial"/>
          <w:b/>
          <w:szCs w:val="20"/>
        </w:rPr>
        <w:t>RESULTS AND DISCUSSION</w:t>
      </w:r>
    </w:p>
    <w:p w14:paraId="156364E7" w14:textId="77777777" w:rsidR="009001AD" w:rsidRPr="005C20C8" w:rsidRDefault="005C20C8" w:rsidP="005C20C8">
      <w:pPr>
        <w:widowControl/>
        <w:autoSpaceDE/>
        <w:autoSpaceDN/>
        <w:jc w:val="both"/>
        <w:rPr>
          <w:b/>
          <w:sz w:val="20"/>
          <w:szCs w:val="20"/>
        </w:rPr>
      </w:pPr>
      <w:r>
        <w:rPr>
          <w:b/>
          <w:sz w:val="20"/>
          <w:szCs w:val="20"/>
        </w:rPr>
        <w:t xml:space="preserve">3.1 </w:t>
      </w:r>
      <w:r w:rsidR="00320A40" w:rsidRPr="00320A40">
        <w:rPr>
          <w:b/>
          <w:sz w:val="20"/>
          <w:szCs w:val="20"/>
          <w:lang w:val="id-ID"/>
        </w:rPr>
        <w:t>Absolute Length Growth</w:t>
      </w:r>
      <w:r w:rsidR="009001AD" w:rsidRPr="005C20C8">
        <w:rPr>
          <w:b/>
          <w:sz w:val="20"/>
          <w:szCs w:val="20"/>
          <w:lang w:val="id-ID"/>
        </w:rPr>
        <w:t xml:space="preserve"> </w:t>
      </w:r>
    </w:p>
    <w:p w14:paraId="2122BB0D" w14:textId="77777777" w:rsidR="00C438C4" w:rsidRPr="00D37A5A" w:rsidRDefault="00993286" w:rsidP="00D56DE6">
      <w:pPr>
        <w:pStyle w:val="ListParagraph"/>
        <w:widowControl/>
        <w:autoSpaceDE/>
        <w:ind w:left="360" w:firstLine="0"/>
        <w:jc w:val="both"/>
        <w:rPr>
          <w:rFonts w:eastAsia="Times New Roman"/>
          <w:sz w:val="20"/>
          <w:szCs w:val="20"/>
          <w:lang w:val="id-ID"/>
        </w:rPr>
      </w:pPr>
      <w:r w:rsidRPr="00993286">
        <w:rPr>
          <w:sz w:val="20"/>
          <w:szCs w:val="20"/>
          <w:lang w:val="id-ID"/>
        </w:rPr>
        <w:t>In order to measure absolute growth, data taken during the study were data on the growth of brown mussel shell length including Anterior-Posterior (AP) and Dorsal-Ventral (DV) lengths both on substrates suspended in the water column and on substrates placed at the bottom of the container.</w:t>
      </w:r>
    </w:p>
    <w:p w14:paraId="4C6E9FFD" w14:textId="77777777" w:rsidR="00C438C4" w:rsidRPr="00D37A5A" w:rsidRDefault="00CE0143" w:rsidP="00CE0143">
      <w:pPr>
        <w:pStyle w:val="ListParagraph"/>
        <w:widowControl/>
        <w:numPr>
          <w:ilvl w:val="0"/>
          <w:numId w:val="10"/>
        </w:numPr>
        <w:autoSpaceDE/>
        <w:autoSpaceDN/>
        <w:jc w:val="both"/>
        <w:rPr>
          <w:b/>
          <w:sz w:val="20"/>
          <w:szCs w:val="20"/>
          <w:lang w:val="id-ID"/>
        </w:rPr>
      </w:pPr>
      <w:bookmarkStart w:id="3" w:name="_Toc184320958"/>
      <w:r w:rsidRPr="00CE0143">
        <w:rPr>
          <w:b/>
          <w:sz w:val="20"/>
          <w:szCs w:val="20"/>
          <w:lang w:val="id-ID"/>
        </w:rPr>
        <w:t>Absolute Growth in Water Column</w:t>
      </w:r>
    </w:p>
    <w:p w14:paraId="4AFC8493" w14:textId="77777777" w:rsidR="005D655D" w:rsidRDefault="00A82995" w:rsidP="00D56DE6">
      <w:pPr>
        <w:widowControl/>
        <w:autoSpaceDE/>
        <w:autoSpaceDN/>
        <w:ind w:left="378"/>
        <w:rPr>
          <w:rFonts w:ascii="Arial" w:hAnsi="Arial" w:cs="Arial"/>
          <w:b/>
          <w:noProof/>
          <w:sz w:val="20"/>
          <w:szCs w:val="20"/>
        </w:rPr>
      </w:pPr>
      <w:r>
        <w:rPr>
          <w:rFonts w:ascii="Arial" w:hAnsi="Arial" w:cs="Arial"/>
          <w:b/>
          <w:noProof/>
          <w:sz w:val="20"/>
          <w:szCs w:val="20"/>
        </w:rPr>
        <w:drawing>
          <wp:inline distT="0" distB="0" distL="0" distR="0" wp14:anchorId="4240A160" wp14:editId="3971C24E">
            <wp:extent cx="2417196" cy="1460887"/>
            <wp:effectExtent l="0" t="0" r="254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7942" cy="1461338"/>
                    </a:xfrm>
                    <a:prstGeom prst="rect">
                      <a:avLst/>
                    </a:prstGeom>
                    <a:noFill/>
                  </pic:spPr>
                </pic:pic>
              </a:graphicData>
            </a:graphic>
          </wp:inline>
        </w:drawing>
      </w:r>
    </w:p>
    <w:p w14:paraId="5476E92C" w14:textId="77777777" w:rsidR="00D65E18" w:rsidRPr="00CE0143" w:rsidRDefault="00CE0143" w:rsidP="00E54E15">
      <w:pPr>
        <w:pStyle w:val="Caption"/>
        <w:ind w:left="378"/>
        <w:jc w:val="both"/>
        <w:rPr>
          <w:rFonts w:ascii="Arial" w:hAnsi="Arial" w:cs="Arial"/>
          <w:b w:val="0"/>
          <w:noProof/>
        </w:rPr>
      </w:pPr>
      <w:r w:rsidRPr="00CE0143">
        <w:rPr>
          <w:rFonts w:ascii="Arial" w:hAnsi="Arial" w:cs="Arial"/>
        </w:rPr>
        <w:t>Figure 4.</w:t>
      </w:r>
      <w:r w:rsidR="00602670">
        <w:rPr>
          <w:rFonts w:ascii="Arial" w:hAnsi="Arial" w:cs="Arial"/>
        </w:rPr>
        <w:t xml:space="preserve"> </w:t>
      </w:r>
      <w:r w:rsidRPr="00CE0143">
        <w:rPr>
          <w:rFonts w:ascii="Arial" w:hAnsi="Arial" w:cs="Arial"/>
        </w:rPr>
        <w:t>Absolute Growth of Anterior-Posterior (AP) Length in the Water Column</w:t>
      </w:r>
    </w:p>
    <w:p w14:paraId="70DC1ACB" w14:textId="77777777" w:rsidR="004919AB" w:rsidRDefault="00A82995" w:rsidP="00D37A5A">
      <w:pPr>
        <w:widowControl/>
        <w:autoSpaceDE/>
        <w:autoSpaceDN/>
        <w:ind w:left="720"/>
        <w:rPr>
          <w:rFonts w:ascii="Arial" w:hAnsi="Arial" w:cs="Arial"/>
          <w:b/>
          <w:noProof/>
          <w:sz w:val="20"/>
          <w:szCs w:val="20"/>
        </w:rPr>
      </w:pPr>
      <w:r>
        <w:rPr>
          <w:rFonts w:ascii="Arial" w:hAnsi="Arial" w:cs="Arial"/>
          <w:b/>
          <w:noProof/>
          <w:sz w:val="20"/>
          <w:szCs w:val="20"/>
        </w:rPr>
        <w:drawing>
          <wp:inline distT="0" distB="0" distL="0" distR="0" wp14:anchorId="599912C3" wp14:editId="584DBDA8">
            <wp:extent cx="2341820" cy="1415332"/>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9870" cy="1420197"/>
                    </a:xfrm>
                    <a:prstGeom prst="rect">
                      <a:avLst/>
                    </a:prstGeom>
                    <a:noFill/>
                  </pic:spPr>
                </pic:pic>
              </a:graphicData>
            </a:graphic>
          </wp:inline>
        </w:drawing>
      </w:r>
    </w:p>
    <w:p w14:paraId="46FCC778" w14:textId="77777777" w:rsidR="00D65E18" w:rsidRPr="00C906B9" w:rsidRDefault="00CE0143" w:rsidP="00215482">
      <w:pPr>
        <w:pStyle w:val="Caption"/>
        <w:ind w:left="378"/>
        <w:rPr>
          <w:rFonts w:ascii="Arial" w:hAnsi="Arial" w:cs="Arial"/>
          <w:noProof/>
        </w:rPr>
      </w:pPr>
      <w:r w:rsidRPr="00CE0143">
        <w:rPr>
          <w:rFonts w:ascii="Arial" w:hAnsi="Arial" w:cs="Arial"/>
        </w:rPr>
        <w:t>Figure 5.</w:t>
      </w:r>
      <w:r w:rsidR="00602670">
        <w:rPr>
          <w:rFonts w:ascii="Arial" w:hAnsi="Arial" w:cs="Arial"/>
        </w:rPr>
        <w:t xml:space="preserve"> </w:t>
      </w:r>
      <w:r w:rsidRPr="00CE0143">
        <w:rPr>
          <w:rFonts w:ascii="Arial" w:hAnsi="Arial" w:cs="Arial"/>
        </w:rPr>
        <w:t>Absolute Growth of Dorsal-Ventral Length (DV) in the Water Column</w:t>
      </w:r>
    </w:p>
    <w:p w14:paraId="6A7D2BD2" w14:textId="77777777" w:rsidR="00C438C4" w:rsidRPr="00D37A5A" w:rsidRDefault="009001AD" w:rsidP="00D56DE6">
      <w:pPr>
        <w:pStyle w:val="ListParagraph"/>
        <w:widowControl/>
        <w:autoSpaceDE/>
        <w:ind w:left="720" w:firstLine="0"/>
        <w:jc w:val="both"/>
        <w:rPr>
          <w:rFonts w:eastAsia="Times New Roman"/>
          <w:sz w:val="20"/>
          <w:szCs w:val="20"/>
          <w:lang w:val="id-ID"/>
        </w:rPr>
      </w:pPr>
      <w:r w:rsidRPr="00D37A5A">
        <w:rPr>
          <w:b/>
          <w:sz w:val="20"/>
          <w:szCs w:val="20"/>
          <w:lang w:val="id-ID"/>
        </w:rPr>
        <w:t xml:space="preserve">   </w:t>
      </w:r>
      <w:r w:rsidR="00993286" w:rsidRPr="00993286">
        <w:rPr>
          <w:sz w:val="20"/>
          <w:szCs w:val="20"/>
          <w:lang w:val="id-ID"/>
        </w:rPr>
        <w:t>From the graph above, it can be seen that for Anterior-Posterior (AP) length, all treatments give significantly different results with the average value of Anterior-Posterior (AP) length in a row from the lowest is the treatment P2 (Rope), P4 (Paris cloth), P1 (Paranet 80%), P3 (Waring). As for the Dorsal-Ventral (DV) length, it can be seen that P1 (Paranet 80%) is significantly different from P2 (Tali) P3 (Waring), and P4 (Kain), while P2 (Tali) is significantly different from P3 (Waring) but not significantly different from P4 (Kain).</w:t>
      </w:r>
    </w:p>
    <w:p w14:paraId="5F070056" w14:textId="77777777" w:rsidR="00B73BA6" w:rsidRDefault="00B73BA6" w:rsidP="00D37A5A">
      <w:pPr>
        <w:widowControl/>
        <w:autoSpaceDE/>
        <w:autoSpaceDN/>
        <w:ind w:left="720"/>
        <w:rPr>
          <w:rFonts w:ascii="Arial" w:hAnsi="Arial" w:cs="Arial"/>
          <w:b/>
          <w:sz w:val="20"/>
          <w:szCs w:val="20"/>
        </w:rPr>
      </w:pPr>
    </w:p>
    <w:p w14:paraId="2AA4D669" w14:textId="77777777" w:rsidR="009001AD" w:rsidRPr="00D37A5A" w:rsidRDefault="009001AD" w:rsidP="00D37A5A">
      <w:pPr>
        <w:widowControl/>
        <w:autoSpaceDE/>
        <w:autoSpaceDN/>
        <w:ind w:left="720"/>
        <w:rPr>
          <w:rFonts w:ascii="Arial" w:hAnsi="Arial" w:cs="Arial"/>
          <w:b/>
          <w:sz w:val="20"/>
          <w:szCs w:val="20"/>
          <w:lang w:val="id-ID"/>
        </w:rPr>
      </w:pPr>
      <w:r w:rsidRPr="00D37A5A">
        <w:rPr>
          <w:rFonts w:ascii="Arial" w:hAnsi="Arial" w:cs="Arial"/>
          <w:b/>
          <w:sz w:val="20"/>
          <w:szCs w:val="20"/>
          <w:lang w:val="id-ID"/>
        </w:rPr>
        <w:t xml:space="preserve">   </w:t>
      </w:r>
    </w:p>
    <w:bookmarkEnd w:id="3"/>
    <w:p w14:paraId="10C23498" w14:textId="77777777" w:rsidR="00C438C4" w:rsidRPr="00D37A5A" w:rsidRDefault="00CE0143" w:rsidP="00CE0143">
      <w:pPr>
        <w:pStyle w:val="ListParagraph"/>
        <w:widowControl/>
        <w:numPr>
          <w:ilvl w:val="0"/>
          <w:numId w:val="10"/>
        </w:numPr>
        <w:autoSpaceDE/>
        <w:jc w:val="both"/>
        <w:rPr>
          <w:rFonts w:eastAsia="Times New Roman"/>
          <w:b/>
          <w:sz w:val="20"/>
          <w:szCs w:val="20"/>
          <w:lang w:val="id-ID"/>
        </w:rPr>
      </w:pPr>
      <w:r w:rsidRPr="00CE0143">
        <w:rPr>
          <w:b/>
          <w:sz w:val="20"/>
          <w:szCs w:val="20"/>
          <w:lang w:val="id-ID"/>
        </w:rPr>
        <w:t>Absolute Growth at the Container Bottom</w:t>
      </w:r>
    </w:p>
    <w:p w14:paraId="05685269" w14:textId="77777777" w:rsidR="004919AB" w:rsidRDefault="00A82995" w:rsidP="00B73BA6">
      <w:pPr>
        <w:ind w:left="360"/>
        <w:jc w:val="both"/>
        <w:rPr>
          <w:rFonts w:ascii="Arial" w:hAnsi="Arial" w:cs="Arial"/>
          <w:sz w:val="20"/>
          <w:szCs w:val="20"/>
        </w:rPr>
      </w:pPr>
      <w:r>
        <w:rPr>
          <w:rFonts w:ascii="Arial" w:hAnsi="Arial" w:cs="Arial"/>
          <w:noProof/>
          <w:sz w:val="20"/>
          <w:szCs w:val="20"/>
        </w:rPr>
        <w:lastRenderedPageBreak/>
        <w:drawing>
          <wp:inline distT="0" distB="0" distL="0" distR="0" wp14:anchorId="0568C4C9" wp14:editId="649F8F6A">
            <wp:extent cx="2267712" cy="137226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7017" cy="1377894"/>
                    </a:xfrm>
                    <a:prstGeom prst="rect">
                      <a:avLst/>
                    </a:prstGeom>
                    <a:noFill/>
                  </pic:spPr>
                </pic:pic>
              </a:graphicData>
            </a:graphic>
          </wp:inline>
        </w:drawing>
      </w:r>
    </w:p>
    <w:p w14:paraId="0E2E398C" w14:textId="77777777" w:rsidR="00D65E18" w:rsidRPr="00C906B9" w:rsidRDefault="00CE0143" w:rsidP="00E54E15">
      <w:pPr>
        <w:pStyle w:val="Caption"/>
        <w:spacing w:line="240" w:lineRule="auto"/>
        <w:ind w:left="360"/>
        <w:jc w:val="both"/>
        <w:rPr>
          <w:rFonts w:ascii="Arial" w:hAnsi="Arial" w:cs="Arial"/>
        </w:rPr>
      </w:pPr>
      <w:r w:rsidRPr="00CE0143">
        <w:rPr>
          <w:rFonts w:ascii="Arial" w:hAnsi="Arial" w:cs="Arial"/>
        </w:rPr>
        <w:t>Figure 6.</w:t>
      </w:r>
      <w:r w:rsidR="00602670">
        <w:rPr>
          <w:rFonts w:ascii="Arial" w:hAnsi="Arial" w:cs="Arial"/>
        </w:rPr>
        <w:t xml:space="preserve"> </w:t>
      </w:r>
      <w:r w:rsidRPr="00CE0143">
        <w:rPr>
          <w:rFonts w:ascii="Arial" w:hAnsi="Arial" w:cs="Arial"/>
        </w:rPr>
        <w:t>Absolute Anterior-Posterior (AP) Growth at Container Bottom</w:t>
      </w:r>
    </w:p>
    <w:p w14:paraId="1E627A91" w14:textId="77777777" w:rsidR="005D655D" w:rsidRPr="00D37A5A" w:rsidRDefault="00A82995" w:rsidP="00B73BA6">
      <w:pPr>
        <w:ind w:left="266"/>
        <w:jc w:val="both"/>
        <w:rPr>
          <w:rFonts w:ascii="Arial" w:hAnsi="Arial" w:cs="Arial"/>
          <w:sz w:val="20"/>
          <w:szCs w:val="20"/>
        </w:rPr>
      </w:pPr>
      <w:r>
        <w:rPr>
          <w:rFonts w:ascii="Arial" w:hAnsi="Arial" w:cs="Arial"/>
          <w:noProof/>
          <w:sz w:val="20"/>
          <w:szCs w:val="20"/>
        </w:rPr>
        <w:drawing>
          <wp:inline distT="0" distB="0" distL="0" distR="0" wp14:anchorId="2ADE1025" wp14:editId="241E1B95">
            <wp:extent cx="2143354" cy="1295383"/>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3638" cy="1301598"/>
                    </a:xfrm>
                    <a:prstGeom prst="rect">
                      <a:avLst/>
                    </a:prstGeom>
                    <a:noFill/>
                  </pic:spPr>
                </pic:pic>
              </a:graphicData>
            </a:graphic>
          </wp:inline>
        </w:drawing>
      </w:r>
    </w:p>
    <w:p w14:paraId="4304C3D3" w14:textId="77777777" w:rsidR="00D65E18" w:rsidRPr="00C906B9" w:rsidRDefault="00CE0143" w:rsidP="00E54E15">
      <w:pPr>
        <w:pStyle w:val="Caption"/>
        <w:ind w:left="360"/>
        <w:jc w:val="both"/>
        <w:rPr>
          <w:rFonts w:ascii="Arial" w:hAnsi="Arial" w:cs="Arial"/>
          <w:lang w:val="id-ID"/>
        </w:rPr>
      </w:pPr>
      <w:r w:rsidRPr="00CE0143">
        <w:rPr>
          <w:rFonts w:ascii="Arial" w:hAnsi="Arial" w:cs="Arial"/>
        </w:rPr>
        <w:t>Figure 7.</w:t>
      </w:r>
      <w:r w:rsidR="00602670">
        <w:rPr>
          <w:rFonts w:ascii="Arial" w:hAnsi="Arial" w:cs="Arial"/>
        </w:rPr>
        <w:t xml:space="preserve"> </w:t>
      </w:r>
      <w:r w:rsidRPr="00CE0143">
        <w:rPr>
          <w:rFonts w:ascii="Arial" w:hAnsi="Arial" w:cs="Arial"/>
        </w:rPr>
        <w:t>Absolute Dorsal-Ventral (DV) Growth at the Bottom of the Container</w:t>
      </w:r>
    </w:p>
    <w:p w14:paraId="28D94381" w14:textId="77777777" w:rsidR="00993286" w:rsidRPr="00993286" w:rsidRDefault="00993286" w:rsidP="00B73BA6">
      <w:pPr>
        <w:ind w:left="360" w:firstLine="720"/>
        <w:jc w:val="both"/>
        <w:rPr>
          <w:rFonts w:ascii="Arial" w:hAnsi="Arial" w:cs="Arial"/>
          <w:sz w:val="20"/>
          <w:szCs w:val="20"/>
          <w:lang w:val="id-ID"/>
        </w:rPr>
      </w:pPr>
      <w:r w:rsidRPr="00993286">
        <w:rPr>
          <w:rFonts w:ascii="Arial" w:hAnsi="Arial" w:cs="Arial"/>
          <w:sz w:val="20"/>
          <w:szCs w:val="20"/>
          <w:lang w:val="id-ID"/>
        </w:rPr>
        <w:t xml:space="preserve">From the graph above, it can be seen that for Anterior-Posterior (AP) and Dorsal-Ventral (DV), all treatments give significantly different results with the average value of the length of Anterior-Posterior (AP) and Dorsal-Ventral (DV) respectively from the lowest is the treatment P2 (Rope), P4 (Paris cloth), P1 (80% Paranet), P3 (Waring). </w:t>
      </w:r>
    </w:p>
    <w:p w14:paraId="31FF7B23" w14:textId="77777777" w:rsidR="000E79C8" w:rsidRDefault="00993286" w:rsidP="00B73BA6">
      <w:pPr>
        <w:ind w:left="360" w:firstLine="720"/>
        <w:jc w:val="both"/>
        <w:rPr>
          <w:rFonts w:ascii="Arial" w:hAnsi="Arial" w:cs="Arial"/>
          <w:sz w:val="20"/>
          <w:szCs w:val="20"/>
        </w:rPr>
      </w:pPr>
      <w:r w:rsidRPr="00993286">
        <w:rPr>
          <w:rFonts w:ascii="Arial" w:hAnsi="Arial" w:cs="Arial"/>
          <w:sz w:val="20"/>
          <w:szCs w:val="20"/>
          <w:lang w:val="id-ID"/>
        </w:rPr>
        <w:t>Based on research for 30 days, it shows that the type of substrate has a significant effect on the growth of absolute length of juvenile brown mussels, with a white waring substrate (P3) in the column and bottom waters producing the best growth with an average of 860.50 µm (AP) and 1630.17 µm (DV). Substrate quality is critical to support larval attachment and metamorphosis</w:t>
      </w:r>
      <w:r w:rsidR="0041155F">
        <w:rPr>
          <w:rFonts w:ascii="Arial" w:hAnsi="Arial" w:cs="Arial"/>
          <w:sz w:val="20"/>
          <w:szCs w:val="20"/>
          <w:lang w:val="id-ID"/>
        </w:rPr>
        <w:fldChar w:fldCharType="begin" w:fldLock="1"/>
      </w:r>
      <w:r w:rsidR="0041155F">
        <w:rPr>
          <w:rFonts w:ascii="Arial" w:hAnsi="Arial" w:cs="Arial"/>
          <w:sz w:val="20"/>
          <w:szCs w:val="20"/>
          <w:lang w:val="id-ID"/>
        </w:rPr>
        <w:instrText>ADDIN CSL_CITATION {"citationItems":[{"id":"ITEM-1","itemData":{"DOI":"10.35800/jplt.10.3.2022.55017","abstract":" \r Research of mussel attachment, Septiver billocularis was carried out on the intertidal zone of coastal Tiwoho, north Sulawesi. The objectives of this study were 1) to identify type of substrates (organic and inorganic) to be attached by box mussel Septifer bilocularis, 2) to identify substrate preferences of Septifer bilocularis settlement. 3) to know the favorite position of settlement in mussel aggregation. The PVC plate has 16 holes, each with diameter of 1.8 cm, which had been filled randomly with organic substrate of coconut fibers and palm fibers, and mussel shell with byssus threads, then inorganic with plastic rope. Each substrate had 4 replicates. The PVC plate, four replications, each was placed at edge and middle of large aggregation, the PVC plate with substrates was also placed in isolated aggregation. All PVC plates were placed in intertidal Tiwoho for 1.5 months. The settlement data were analyzed using a Two-Way ANOVA with substrata and position in patch as the main factor. Before running the test, data were transformed using arcsin. The results showed that the settlement of box mussel (&lt; 1 mm) attached to organic substrata such as coconut and palm fibers, as well as inorganic substrates, plastic rope. Settlement of box mussels on shells with byssus threads had sizes ranging from &gt; 1 mm to - &lt; 3 mm. A Two-way ANOVA test shows that settlement was not affected by substrata (P &gt; 0.05), the settlement of box mussel was affected by position in aggregation (P &lt; 0.05). Factors such as the effect of physical, chemical, and biological on box mussel settlement are discussed.\r Keywords: Aggregation, Attachment, Shellfish, Substrate, Tiwoho Coast\r ABSTRAK\r `           Penelitian penempelan kerang Septiver bilocularis pada substrat telah dilakukan di zona intertidal di pesisir Tiwoho, Sulawesi Utara. Tujuan dari penelitian ini adalah 1) untuk mengidentifikasi jenis-jenis substrat organik dan non organik yang menjadi substrat penempelan kerang Septifer bilocularis, 2) untuk mengidentifikasi substrat preferensi (favorit) pada penempelan kerang Septifer bilocularis. 3) untuk mengetahui posisi favorit penempelan dalam agregasi kerang. Plat PVC memiliki 16 lubang dengan diameter masing-masing 1,8 cm yang telah diisi secara acak dengan substrat organik serabut kelapa, serabut pohon seho, dan cangkan dengan byssus, serta substrat inorganik tali plastic. Setiap substrat memiliki 4 ulangan. Plat PVC dengan substrat ditempatkan di posisi pinggir dan tengah a…","author":[{"dropping-particle":"","family":"Wagiu","given":"Farrel J. G.","non-dropping-particle":"","parse-names":false,"suffix":""},{"dropping-particle":"","family":"Ompi","given":"Medy","non-dropping-particle":"","parse-names":false,"suffix":""},{"dropping-particle":"","family":"Kaligis","given":"Erly Y.","non-dropping-particle":"","parse-names":false,"suffix":""},{"dropping-particle":"","family":"Rimper","given":"Joice R. T. S. L.","non-dropping-particle":"","parse-names":false,"suffix":""},{"dropping-particle":"","family":"Roeroe","given":"Kakaskasen A.","non-dropping-particle":"","parse-names":false,"suffix":""},{"dropping-particle":"","family":"Manginsela","given":"Fransine B.","non-dropping-particle":"","parse-names":false,"suffix":""}],"container-title":"Jurnal Pesisir Dan Laut Tropis","id":"ITEM-1","issue":"3","issued":{"date-parts":[["2022"]]},"page":"325-331","title":"PENEMPELAN KERANG Septifer bilocularis PADA SUBSTRAT DALAM AGREGASI KERANG DI DAERAH PASANG SURUT PESISIR TIWOHO","type":"article-journal","volume":"10"},"uris":["http://www.mendeley.com/documents/?uuid=1ab9fa54-9c5c-4333-9c16-00be826b401b"]}],"mendeley":{"formattedCitation":"(Wagiu et al., 2022)","plainTextFormattedCitation":"(Wagiu et al., 2022)","previouslyFormattedCitation":"(Wagiu et al., 2022)"},"properties":{"noteIndex":0},"schema":"https://github.com/citation-style-language/schema/raw/master/csl-citation.json"}</w:instrText>
      </w:r>
      <w:r w:rsidR="0041155F">
        <w:rPr>
          <w:rFonts w:ascii="Arial" w:hAnsi="Arial" w:cs="Arial"/>
          <w:sz w:val="20"/>
          <w:szCs w:val="20"/>
          <w:lang w:val="id-ID"/>
        </w:rPr>
        <w:fldChar w:fldCharType="separate"/>
      </w:r>
      <w:r w:rsidR="0041155F" w:rsidRPr="0041155F">
        <w:rPr>
          <w:rFonts w:ascii="Arial" w:hAnsi="Arial" w:cs="Arial"/>
          <w:noProof/>
          <w:sz w:val="20"/>
          <w:szCs w:val="20"/>
          <w:lang w:val="id-ID"/>
        </w:rPr>
        <w:t>(Wagiu et al., 2022)</w:t>
      </w:r>
      <w:r w:rsidR="0041155F">
        <w:rPr>
          <w:rFonts w:ascii="Arial" w:hAnsi="Arial" w:cs="Arial"/>
          <w:sz w:val="20"/>
          <w:szCs w:val="20"/>
          <w:lang w:val="id-ID"/>
        </w:rPr>
        <w:fldChar w:fldCharType="end"/>
      </w:r>
      <w:r w:rsidRPr="00993286">
        <w:rPr>
          <w:rFonts w:ascii="Arial" w:hAnsi="Arial" w:cs="Arial"/>
          <w:sz w:val="20"/>
          <w:szCs w:val="20"/>
          <w:lang w:val="id-ID"/>
        </w:rPr>
        <w:t xml:space="preserve">. The white waring substrate, which has a complex structure and many holes, facilitates the accumulation of microorganisms and nutrients, and allows the movement of mussel larvae. Growth differences between the water column and bottom are influenced by environmental factors. High stocking densities can reduce food availability and inhibit growth due to space constraints, leading to physical contact of individual spat </w:t>
      </w:r>
      <w:r w:rsidR="0041155F">
        <w:rPr>
          <w:rFonts w:ascii="Arial" w:hAnsi="Arial" w:cs="Arial"/>
          <w:sz w:val="20"/>
          <w:szCs w:val="20"/>
          <w:lang w:val="id-ID"/>
        </w:rPr>
        <w:fldChar w:fldCharType="begin" w:fldLock="1"/>
      </w:r>
      <w:r w:rsidR="0041155F">
        <w:rPr>
          <w:rFonts w:ascii="Arial" w:hAnsi="Arial" w:cs="Arial"/>
          <w:sz w:val="20"/>
          <w:szCs w:val="20"/>
          <w:lang w:val="id-ID"/>
        </w:rPr>
        <w:instrText>ADDIN CSL_CITATION {"citationItems":[{"id":"ITEM-1","itemData":{"author":[{"dropping-particle":"","family":"Rahayu","given":"Eka Puji","non-dropping-particle":"","parse-names":false,"suffix":""},{"dropping-particle":"","family":"Hastuti","given":"Sri","non-dropping-particle":"","parse-names":false,"suffix":""},{"dropping-particle":"","family":"Widowati","given":"Lestari Lakhsmi","non-dropping-particle":"","parse-names":false,"suffix":""}],"container-title":"Aquaculture Management and Technology","id":"ITEM-1","issue":"1","issued":{"date-parts":[["2024"]]},"page":"1-10","title":"Profil Kelulushidupan dan Pertumbuhan Kerang Hijau ( Perna viridis ) pada Posisi Compound Structure yang Berbeda di Timbulsloko, Sayung, Demak","type":"article-journal","volume":"13"},"uris":["http://www.mendeley.com/documents/?uuid=e989ed57-26bd-4056-a99e-72c3213382a3"]}],"mendeley":{"formattedCitation":"(Rahayu et al., 2024)","plainTextFormattedCitation":"(Rahayu et al., 2024)","previouslyFormattedCitation":"(Rahayu et al., 2024)"},"properties":{"noteIndex":0},"schema":"https://github.com/citation-style-language/schema/raw/master/csl-citation.json"}</w:instrText>
      </w:r>
      <w:r w:rsidR="0041155F">
        <w:rPr>
          <w:rFonts w:ascii="Arial" w:hAnsi="Arial" w:cs="Arial"/>
          <w:sz w:val="20"/>
          <w:szCs w:val="20"/>
          <w:lang w:val="id-ID"/>
        </w:rPr>
        <w:fldChar w:fldCharType="separate"/>
      </w:r>
      <w:r w:rsidR="0041155F" w:rsidRPr="0041155F">
        <w:rPr>
          <w:rFonts w:ascii="Arial" w:hAnsi="Arial" w:cs="Arial"/>
          <w:noProof/>
          <w:sz w:val="20"/>
          <w:szCs w:val="20"/>
          <w:lang w:val="id-ID"/>
        </w:rPr>
        <w:t>(Rahayu et al., 2024)</w:t>
      </w:r>
      <w:r w:rsidR="0041155F">
        <w:rPr>
          <w:rFonts w:ascii="Arial" w:hAnsi="Arial" w:cs="Arial"/>
          <w:sz w:val="20"/>
          <w:szCs w:val="20"/>
          <w:lang w:val="id-ID"/>
        </w:rPr>
        <w:fldChar w:fldCharType="end"/>
      </w:r>
      <w:r w:rsidRPr="00993286">
        <w:rPr>
          <w:rFonts w:ascii="Arial" w:hAnsi="Arial" w:cs="Arial"/>
          <w:sz w:val="20"/>
          <w:szCs w:val="20"/>
          <w:lang w:val="id-ID"/>
        </w:rPr>
        <w:t>. Spats that are crowded together experience abnormal growth, especially if attached to larger spats.</w:t>
      </w:r>
      <w:r w:rsidR="000E79C8" w:rsidRPr="00D37A5A">
        <w:rPr>
          <w:rFonts w:ascii="Arial" w:hAnsi="Arial" w:cs="Arial"/>
          <w:sz w:val="20"/>
          <w:szCs w:val="20"/>
        </w:rPr>
        <w:t xml:space="preserve"> </w:t>
      </w:r>
      <w:r w:rsidRPr="00993286">
        <w:rPr>
          <w:rFonts w:ascii="Arial" w:hAnsi="Arial" w:cs="Arial"/>
          <w:sz w:val="20"/>
          <w:szCs w:val="20"/>
        </w:rPr>
        <w:t xml:space="preserve">Limiting levels affect the growth rate and growth pattern of individuals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{"citationItems":[{"id":"ITEM-1","itemData":{"abstract":"Stocking density was affected to the growth and survival rate of spat. The objective of this study is to obtain information optimal stocking density and morphology of spat during nursery culture. Randomized block design was applied with four stocking density treatments i.e.(A) 500, (B) 1000, (C) 1500, (D) 2000 individu(ind)collector-1, conducted in triplcateThe result showed that optimum density of P. maxima spat was500 ind collector-1. The best of survival rate was found at density 500 indcollector-1and the best of growth at treatment 500 indcollector-1(36.50 x 33.37 mm).At the density of 500 ind collector1shell morphology was normal, otherwise at high density (1,500 –2,000 ind collector1) slower growth spat, shells shape is unnormal, for example the shape of an elongated shell (DV&gt; AP), or widened shape (DV &lt;AP).","author":[{"dropping-particle":"","family":"Winanto","given":"Tjahjo","non-dropping-particle":"","parse-names":false,"suffix":""},{"dropping-particle":"","family":"Marasabessy","given":"Mohammad Djen","non-dropping-particle":"","parse-names":false,"suffix":""},{"dropping-particle":"","family":"Dody","given":"Safar","non-dropping-particle":"","parse-names":false,"suffix":""}],"container-title":"Omni Akuatika","id":"ITEM-1","issue":"3","issued":{"date-parts":[["2016"]]},"page":"138-143","title":"Kepadatan Optimum dan Morfologi Spat Tiram Mutiara Pinctada maxima (Jameson) pada Pemeliharaan dengan Tingkat Kepadatan Berbeda","type":"article-journal","volume":"12"},"uris":["http://www.mendeley.com/documents/?uuid=b0c23071-e7a8-49c7-8cf2-6ddce1a9f9a4"]}],"mendeley":{"formattedCitation":"(Winanto et al., 2016)","plainTextFormattedCitation":"(Winanto et al., 2016)","previouslyFormattedCitation":"(Winanto et al., 2016)"},"properties":{"noteIndex":0},"schema":"https://github.com/citation-style-language/schema/raw/master/csl-citation.json"}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(Winanto et al., 2016)</w:t>
      </w:r>
      <w:r w:rsidR="0041155F">
        <w:rPr>
          <w:rFonts w:ascii="Arial" w:hAnsi="Arial" w:cs="Arial"/>
          <w:sz w:val="20"/>
          <w:szCs w:val="20"/>
        </w:rPr>
        <w:fldChar w:fldCharType="end"/>
      </w:r>
      <w:r w:rsidRPr="00993286">
        <w:rPr>
          <w:rFonts w:ascii="Arial" w:hAnsi="Arial" w:cs="Arial"/>
          <w:sz w:val="20"/>
          <w:szCs w:val="20"/>
        </w:rPr>
        <w:t xml:space="preserve">. Brown mussels prefer to stick to the bottom of the water because of the availability of more abundant food, such as plankton and organic detritus, as well as more stable currents, which make it easier for them to filter food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{"citationItems":[{"id":"ITEM-1","itemData":{"author":[{"dropping-particle":"","family":"Langkameng","given":"Parti A. T.","non-dropping-particle":"","parse-names":false,"suffix":""},{"dropping-particle":"","family":"Sunadji","given":"","non-dropping-particle":"","parse-names":false,"suffix":""},{"dropping-particle":"","family":"Tjendanawangi","given":"Agnette","non-dropping-particle":"","parse-names":false,"suffix":""}],"container-title":"Jurnal Akuatik","id":"ITEM-1","issue":"2","issued":{"date-parts":[["2021"]]},"page":"31-37","title":"PENGARUH PERBEDAAN DIAMETER TALI NILON SEBAGAI BAHAN KOLEKTOR TERHADAP JUMLAH PENEMPELAN SPAT, KELANGSUNGAN HIDUP DAN PERTUMBUHAN TIRAM MUTIARA (Pinctada maxima)","type":"article-journal","volume":"4"},"uris":["http://www.mendeley.com/documents/?uuid=204bd296-9faa-42f2-bf5a-e551af06ad80"]}],"mendeley":{"formattedCitation":"(Langkameng et al., 2021)","plainTextFormattedCitation":"(Langkameng et al., 2021)","previouslyFormattedCitation":"(Langkameng et al., 2021)"},"properties":{"noteIndex":0},"schema":"https://github.com/citation-style-language/schema/raw/master/csl-citation.json"}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(Langkameng et al., 2021)</w:t>
      </w:r>
      <w:r w:rsidR="0041155F">
        <w:rPr>
          <w:rFonts w:ascii="Arial" w:hAnsi="Arial" w:cs="Arial"/>
          <w:sz w:val="20"/>
          <w:szCs w:val="20"/>
        </w:rPr>
        <w:fldChar w:fldCharType="end"/>
      </w:r>
      <w:r w:rsidRPr="00993286">
        <w:rPr>
          <w:rFonts w:ascii="Arial" w:hAnsi="Arial" w:cs="Arial"/>
          <w:sz w:val="20"/>
          <w:szCs w:val="20"/>
        </w:rPr>
        <w:t xml:space="preserve"> Space and food availability are major factors in the growth of Pearl mussel spat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{"citationItems":[{"id":"ITEM-1","itemData":{"DOI":"10.29303/jbt.v19i2.1273","ISSN":"1411-9587","abstract":"Abstrak : Penelitian kepadatan spat kerang mutiara yang dipelihara di alam perlu terus dilakukan karena belum ada patokan tingkat kepadatan yang sesuai untuk usaha komersial. Oleh karena itu dilakukan penelitian dengan tujuan mengetahui pengaruh kepadatan terhadap pertumbuhan dan tingkat kelangsungan hidup spat kerang mutiara (Pinctada maxima). ÃÂ Metode yang digunakan adalah Rancangan Acak Kelompok (RAK) terdiri dari 5 perlakuan dan 3 ulangan, yakni perlakuan A (60 ind/poket), B (75 ind/poket), C (90 ind/poket), D (105 ind/poket), dan perlakuan E (120 ind/poket). Ukuran spat yang digunakan rata-rata 1 cm pada poket (keranjang pemeliharaan) 45x60 cm2. Hasil penelitian selama 45 hari menunjukan bahwa pertumbuhan pada semua perlakuan tidak berbeda nyata, namun pertumbuhan terbaik dengan nilai 0,70 cm untuk pertumbuhan mutlak dan 0,69% untuk laju pertumbuhan harian dimiliki oleh kepadatan yang rendah yakni 60 ind/poket, disusul oleh perlakuan lainnya seperti perlakuan B,C,D, dan E. Hasil uji ANOVA, SR didapatkan hasil persentase yang berbeda nyata, yakni terdapat pada perlakuan A (60 ind/poket) dengan nilai SR 90,44% dan pada perlakuan E (120 ind/poket) dengan nilai SR 74,44%. Berdasarkan hasil penelitian, disimpulkan bahwa padat penebaran yang berbeda tidak berpengaruh nyata terhadap pertumbuhan spat kerang mutiara, namun berpengaruh nyata terhadap tingkat kelangsungan hidup (SR) spat kerang mutiara (Pinctada maxima) yang dipelihara selama 45 hari.Kata kunci : Pertumbuhan, kelangsungan hidup, spat, Pinctada maximaAbstract : The study of pearl shell spat density maintained in nature needs to be continued because there is no standard level of density suitable for commercial businesses. Therefore a study was conducted with the aim of knowing the effect of density on growth and survival rate of pearl oyster spat (Pinctada maxima). The method used is Randomized Block Design (RBD) consisting of 5 treatments and 3 replications, namely treatment A (60 ind / pocket), B (75 ind / pocket), C (90 ind / pocket), D (105 ind / pocket) ), and treatment E (120 ind / pocket). The size of the spat used was 1 cm on the pocket (maintenance basket) 45x60 cm2. The results of the 45-day study showed that growth in all treatments was not significantly different, but the best growth was 0.70 cm for absolute growth and 0.69% for the daily growth rate owned by a low density of 60 ind / pocket, followed by treatment others such as treatment B, C, D, and E. The results of the SR ANOV…","author":[{"dropping-particle":"","family":"Ahmad","given":"Zaenal","non-dropping-particle":"","parse-names":false,"suffix":""},{"dropping-particle":"","family":"Junaidi","given":"Muhammad","non-dropping-particle":"","parse-names":false,"suffix":""},{"dropping-particle":"","family":"Astriana","given":"Baiq Hilda","non-dropping-particle":"","parse-names":false,"suffix":""}],"container-title":"Jurnal Biologi Tropis","id":"ITEM-1","issue":"2","issued":{"date-parts":[["2019"]]},"page":"221-228","title":"Pengaruh Kepadatan Spat Kerang Mutiara (Pinctada Maxima) Dengan Metode Longline Terhadap Pertumbuhan Dan Kelangsungan Hidup","type":"article-journal","volume":"19"},"uris":["http://www.mendeley.com/documents/?uuid=08ab8a77-dc5f-49a8-8d45-cab6ca88a446"]}],"mendeley":{"formattedCitation":"(Ahmad et al., 2019)","plainTextFormattedCitation":"(Ahmad et al., 2019)","previouslyFormattedCitation":"(Ahmad et al., 2019)"},"properties":{"noteIndex":0},"schema":"https://github.com/citation-style-language/schema/raw/master/csl-citation.json"}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(Ahmad et al., 2019)</w:t>
      </w:r>
      <w:r w:rsidR="0041155F">
        <w:rPr>
          <w:rFonts w:ascii="Arial" w:hAnsi="Arial" w:cs="Arial"/>
          <w:sz w:val="20"/>
          <w:szCs w:val="20"/>
        </w:rPr>
        <w:fldChar w:fldCharType="end"/>
      </w:r>
      <w:r w:rsidRPr="00993286">
        <w:rPr>
          <w:rFonts w:ascii="Arial" w:hAnsi="Arial" w:cs="Arial"/>
          <w:sz w:val="20"/>
          <w:szCs w:val="20"/>
        </w:rPr>
        <w:t xml:space="preserve"> Research by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{"citationItems":[{"id":"ITEM-1","itemData":{"abstract":"Kerang hijau adalah komoditas laut endemik perairan Indonesia yang bernilai ekonomis penting dan potensial dijadikan sebagai objek eduwisata terkait aspek biologis dan habitatnya yang terintegrasi dengan ekosistem hutan mangrove. Desa Banyuurip memiliki potensi kerang hijau melimpah yang telah lama dibudidayakan oleh nelayan tradisional di Laut Jawa, berdekatan dengan area ekowisata Banyuurip Mangrove Center (BMC), sehingga perlu diujicobakan kerang hijau yang dibudidayakan dalam unit karamba apung sebagai objek eduwisata. Tujuan penelitian adalah menganalisis pertumbuhan dan hasil panen kerang hijau dalam karamba apung yang dioperasikan pada koordinat 06°52'18.84\" LS dan 112°29'41.19\" BT di Laut Jawa Desa Banyuurip Kecamatan Ujungpangkah. Karamba apung memiliki area terang dan area gelap terkait dengan penerimaan cahaya matahari di kolom air, dimana area gelap terjadi akibat penutupan permukaan karamba apung yang diperuntukkan sebagia area catwalk agar area karamba mudah diiakses bagii siapa pun yang berkunjung ke sana. Metode penelitian ini adalah deskriptif dan sampel diambil secara purposive random sampling. Sampel kerang hijau dari area terang (n= 4354) dan (gelap n=2416) dianalisis aspek biometri, laju pertumbuhan, dan biomassa panen. Parameter kualitas air diukur secara berkala. Uji t (α=5%) digunakan untuk menetapkan perbedaan rerata variabel populasi dari area terang dan gelap. Aspek biometri lebar di area terang (17,69±3,99 mm) berbeda nyata (P&lt;0.05) dari lebar di area gelap (17,14±3,76 mm), tinggi di area terang (11,75±2,86 mm) berbeda nyata (P&lt;0.05) dari tinggi di area gelap (11,32±2,78 mm). Nilai ‘b” hubungan aspek biometri memiliki pola pertumbuhan allometric negative atau (b&lt; 3) dimana pada area terang 2.39 dan area gelap 2.45. SGR pada area terang 1.57%/hari dan pada area gelap 1,55%/hari. Hasil panen pada area terang berkisar antara 3414–4992 g sedangkan pada area gelap 3331 – 3530 g, yang berkaitan dengan luasan dan jumlah tali kolektor di kedua area. Parameter kulitas air pada lokasi tersebut meliputi suhu 27,83±0.980C, pH 7,17±0.75 ppm, DO 6,92±0,74 mg/l, kecerahan 152±31,07 cm, dan salinitas 24,17±1,47 ppt masih dalam kondisi optimal untuk pertumbuhan kerang hijau. Berdasarkan hasil penelitian, disimpulkan bahwa hasil panen berdasarkan aspek biometri kerang hijau di area terang lebih baik dari pada di area gelap sedangkan laju pertumbuhan di area terang sama dengan di area gelap. Hasil penelitian ini diharapkan menjadi bahan rekomen…","author":[{"dropping-particle":"","family":"Mazida","given":"Anfa’u","non-dropping-particle":"","parse-names":false,"suffix":""},{"dropping-particle":"","family":"Aminin","given":"","non-dropping-particle":"","parse-names":false,"suffix":""},{"dropping-particle":"","family":"Farikhah","given":"","non-dropping-particle":"","parse-names":false,"suffix":""}],"container-title":"Journal of Marine Research","id":"ITEM-1","issue":"2","issued":{"date-parts":[["2023"]]},"page":"240-249","title":"Analisis Biometri dan Laju Pertumbuhan Kerang Hijau ( Perna viridis ) yang Dibudidayakan Dalam Karamba Apung di Laut Jawa Desa Banyuurip Kecamatan Ujungpangkah","type":"article-journal","volume":"12"},"uris":["http://www.mendeley.com/documents/?uuid=659d716c-4226-40db-9a97-5368fba20cb4"]}],"mendeley":{"formattedCitation":"(Mazida et al., 2023)","plainTextFormattedCitation":"(Mazida et al., 2023)","previouslyFormattedCitation":"(Mazida et al., 2023)"},"properties":{"noteIndex":0},"schema":"https://github.com/citation-style-language/schema/raw/master/csl-citation.json"}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(Mazida et al., 2023)</w:t>
      </w:r>
      <w:r w:rsidR="0041155F">
        <w:rPr>
          <w:rFonts w:ascii="Arial" w:hAnsi="Arial" w:cs="Arial"/>
          <w:sz w:val="20"/>
          <w:szCs w:val="20"/>
        </w:rPr>
        <w:fldChar w:fldCharType="end"/>
      </w:r>
      <w:r w:rsidRPr="00993286">
        <w:rPr>
          <w:rFonts w:ascii="Arial" w:hAnsi="Arial" w:cs="Arial"/>
          <w:sz w:val="20"/>
          <w:szCs w:val="20"/>
        </w:rPr>
        <w:t xml:space="preserve"> also shows that the substrate in the cage system affects the growth of mussels. Factors such as airflow, food availability, and space to move interact with each other in a complex manner.</w:t>
      </w:r>
    </w:p>
    <w:p w14:paraId="3123CE4C" w14:textId="77777777" w:rsidR="00B73BA6" w:rsidRPr="001C28FD" w:rsidRDefault="00B73BA6" w:rsidP="00B73BA6">
      <w:pPr>
        <w:ind w:left="360" w:firstLine="720"/>
        <w:jc w:val="both"/>
        <w:rPr>
          <w:rFonts w:ascii="Arial" w:hAnsi="Arial" w:cs="Arial"/>
          <w:sz w:val="20"/>
          <w:szCs w:val="20"/>
        </w:rPr>
      </w:pPr>
    </w:p>
    <w:p w14:paraId="45AE189E" w14:textId="77777777" w:rsidR="000E4495" w:rsidRPr="005C20C8" w:rsidRDefault="00CE0143" w:rsidP="00CE0143">
      <w:pPr>
        <w:pStyle w:val="ListParagraph"/>
        <w:widowControl/>
        <w:numPr>
          <w:ilvl w:val="1"/>
          <w:numId w:val="17"/>
        </w:numPr>
        <w:autoSpaceDE/>
        <w:jc w:val="both"/>
        <w:rPr>
          <w:rFonts w:eastAsia="Times New Roman"/>
          <w:b/>
          <w:sz w:val="20"/>
          <w:szCs w:val="20"/>
          <w:lang w:val="id-ID"/>
        </w:rPr>
      </w:pPr>
      <w:r w:rsidRPr="00CE0143">
        <w:rPr>
          <w:b/>
          <w:sz w:val="20"/>
          <w:szCs w:val="20"/>
          <w:lang w:val="id-ID"/>
        </w:rPr>
        <w:t>Specific Growth Rate</w:t>
      </w:r>
    </w:p>
    <w:p w14:paraId="42F34B87" w14:textId="77777777" w:rsidR="000E4495" w:rsidRPr="00CE0143" w:rsidRDefault="00CE0143" w:rsidP="00CE0143">
      <w:pPr>
        <w:pStyle w:val="ListParagraph"/>
        <w:numPr>
          <w:ilvl w:val="0"/>
          <w:numId w:val="20"/>
        </w:numPr>
        <w:jc w:val="both"/>
        <w:rPr>
          <w:sz w:val="20"/>
          <w:szCs w:val="20"/>
          <w:lang w:val="id-ID"/>
        </w:rPr>
      </w:pPr>
      <w:r w:rsidRPr="00CE0143">
        <w:rPr>
          <w:b/>
          <w:sz w:val="20"/>
          <w:szCs w:val="20"/>
          <w:lang w:val="id-ID"/>
        </w:rPr>
        <w:t>Specific Growth in the Water Column</w:t>
      </w:r>
      <w:r w:rsidR="000E4495" w:rsidRPr="00CE0143">
        <w:rPr>
          <w:b/>
          <w:sz w:val="20"/>
          <w:szCs w:val="20"/>
          <w:lang w:val="id-ID"/>
        </w:rPr>
        <w:t xml:space="preserve"> </w:t>
      </w:r>
    </w:p>
    <w:p w14:paraId="0AA543A0" w14:textId="77777777" w:rsidR="004919AB" w:rsidRDefault="00A82995" w:rsidP="00B73BA6">
      <w:pPr>
        <w:ind w:left="360"/>
        <w:jc w:val="both"/>
        <w:rPr>
          <w:rFonts w:ascii="Arial" w:hAnsi="Arial" w:cs="Arial"/>
          <w:sz w:val="20"/>
          <w:szCs w:val="20"/>
          <w:lang w:val="id-ID"/>
        </w:rPr>
      </w:pPr>
      <w:r>
        <w:rPr>
          <w:rFonts w:ascii="Arial" w:hAnsi="Arial" w:cs="Arial"/>
          <w:noProof/>
          <w:sz w:val="20"/>
          <w:szCs w:val="20"/>
        </w:rPr>
        <w:drawing>
          <wp:inline distT="0" distB="0" distL="0" distR="0" wp14:anchorId="3214E930" wp14:editId="6742A9E8">
            <wp:extent cx="2070202" cy="1232973"/>
            <wp:effectExtent l="0" t="0" r="635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1537" cy="1233768"/>
                    </a:xfrm>
                    <a:prstGeom prst="rect">
                      <a:avLst/>
                    </a:prstGeom>
                    <a:noFill/>
                  </pic:spPr>
                </pic:pic>
              </a:graphicData>
            </a:graphic>
          </wp:inline>
        </w:drawing>
      </w:r>
    </w:p>
    <w:p w14:paraId="012012D7" w14:textId="77777777" w:rsidR="00D65E18" w:rsidRPr="00C906B9" w:rsidRDefault="00CE0143" w:rsidP="00B73BA6">
      <w:pPr>
        <w:pStyle w:val="Caption"/>
        <w:ind w:left="360"/>
        <w:jc w:val="both"/>
        <w:rPr>
          <w:rFonts w:ascii="Arial" w:hAnsi="Arial" w:cs="Arial"/>
          <w:lang w:val="id-ID"/>
        </w:rPr>
      </w:pPr>
      <w:r w:rsidRPr="00CE0143">
        <w:rPr>
          <w:rFonts w:ascii="Arial" w:hAnsi="Arial" w:cs="Arial"/>
        </w:rPr>
        <w:t>Figure 8. Anterior-Posterior (AP) Specific Growth Rate in the Water Column</w:t>
      </w:r>
    </w:p>
    <w:p w14:paraId="467F810C" w14:textId="77777777" w:rsidR="004919AB" w:rsidRDefault="00A82995" w:rsidP="00B73BA6">
      <w:pPr>
        <w:ind w:left="360"/>
        <w:rPr>
          <w:rFonts w:ascii="Arial" w:hAnsi="Arial" w:cs="Arial"/>
          <w:sz w:val="20"/>
          <w:szCs w:val="20"/>
          <w:lang w:val="id-ID"/>
        </w:rPr>
      </w:pPr>
      <w:r>
        <w:rPr>
          <w:rFonts w:ascii="Arial" w:hAnsi="Arial" w:cs="Arial"/>
          <w:noProof/>
          <w:sz w:val="20"/>
          <w:szCs w:val="20"/>
        </w:rPr>
        <w:lastRenderedPageBreak/>
        <w:drawing>
          <wp:inline distT="0" distB="0" distL="0" distR="0" wp14:anchorId="037D1076" wp14:editId="6FED36E9">
            <wp:extent cx="2216314" cy="132344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0140" cy="1325731"/>
                    </a:xfrm>
                    <a:prstGeom prst="rect">
                      <a:avLst/>
                    </a:prstGeom>
                    <a:noFill/>
                  </pic:spPr>
                </pic:pic>
              </a:graphicData>
            </a:graphic>
          </wp:inline>
        </w:drawing>
      </w:r>
    </w:p>
    <w:p w14:paraId="24867304" w14:textId="77777777" w:rsidR="00D65E18" w:rsidRPr="00C906B9" w:rsidRDefault="00CE0143" w:rsidP="00E54E15">
      <w:pPr>
        <w:pStyle w:val="Caption"/>
        <w:ind w:left="360"/>
        <w:jc w:val="both"/>
        <w:rPr>
          <w:rFonts w:ascii="Arial" w:hAnsi="Arial" w:cs="Arial"/>
          <w:lang w:val="id-ID"/>
        </w:rPr>
      </w:pPr>
      <w:r w:rsidRPr="00CE0143">
        <w:rPr>
          <w:rFonts w:ascii="Arial" w:hAnsi="Arial" w:cs="Arial"/>
        </w:rPr>
        <w:t>Figure 9. Dorsal-Ventral Specific Growth Rate (DV) in the Water Column</w:t>
      </w:r>
    </w:p>
    <w:p w14:paraId="54F73499" w14:textId="77777777" w:rsidR="000E4495" w:rsidRPr="00D37A5A" w:rsidRDefault="00993286" w:rsidP="00B73BA6">
      <w:pPr>
        <w:ind w:left="360"/>
        <w:jc w:val="both"/>
        <w:rPr>
          <w:rFonts w:ascii="Arial" w:eastAsia="Times New Roman" w:hAnsi="Arial" w:cs="Arial"/>
          <w:sz w:val="20"/>
          <w:szCs w:val="20"/>
          <w:lang w:val="id-ID"/>
        </w:rPr>
      </w:pPr>
      <w:r w:rsidRPr="00993286">
        <w:rPr>
          <w:rFonts w:ascii="Arial" w:hAnsi="Arial" w:cs="Arial"/>
          <w:sz w:val="20"/>
          <w:szCs w:val="20"/>
          <w:lang w:val="id-ID"/>
        </w:rPr>
        <w:t>From the graph above, it can be seen that for the length of Anterior-Posterior (AP) and Dorsal-Ventral (DV), all treatments give significantly different results with the average value of Anterior-Posterior (AP) length in a row from the lowest is the treatment of P3 (Waring), P1 (Paranet 80%), P2 (Rope), P4 (Paris cloth), while the average value of Dorsal-Ventral (DV) in a row from the lowest is the treatment of P3 (Waring), P1 (Paranet 80%), P4 (Paris cloth), P2 (Rope).</w:t>
      </w:r>
      <w:r w:rsidR="000E4495" w:rsidRPr="00D37A5A">
        <w:rPr>
          <w:rFonts w:ascii="Arial" w:hAnsi="Arial" w:cs="Arial"/>
          <w:sz w:val="20"/>
          <w:szCs w:val="20"/>
          <w:lang w:val="id-ID"/>
        </w:rPr>
        <w:t xml:space="preserve"> </w:t>
      </w:r>
    </w:p>
    <w:p w14:paraId="2AA9AAC0" w14:textId="77777777" w:rsidR="000E4495" w:rsidRPr="00D37A5A" w:rsidRDefault="000E4495" w:rsidP="00D37A5A">
      <w:pPr>
        <w:jc w:val="both"/>
        <w:rPr>
          <w:rFonts w:ascii="Arial" w:hAnsi="Arial" w:cs="Arial"/>
          <w:sz w:val="20"/>
          <w:szCs w:val="20"/>
        </w:rPr>
      </w:pPr>
    </w:p>
    <w:p w14:paraId="4A084112" w14:textId="77777777" w:rsidR="000E4495" w:rsidRPr="00CE0143" w:rsidRDefault="00CE0143" w:rsidP="00CE0143">
      <w:pPr>
        <w:pStyle w:val="ListParagraph"/>
        <w:numPr>
          <w:ilvl w:val="0"/>
          <w:numId w:val="20"/>
        </w:numPr>
        <w:jc w:val="both"/>
        <w:rPr>
          <w:rFonts w:eastAsia="Times New Roman"/>
          <w:sz w:val="20"/>
          <w:szCs w:val="20"/>
          <w:lang w:val="id-ID"/>
        </w:rPr>
      </w:pPr>
      <w:r w:rsidRPr="00CE0143">
        <w:rPr>
          <w:b/>
          <w:sz w:val="20"/>
          <w:szCs w:val="20"/>
          <w:lang w:val="id-ID"/>
        </w:rPr>
        <w:t>Specific Growth on Container Bottom</w:t>
      </w:r>
      <w:r w:rsidR="000E4495" w:rsidRPr="00CE0143">
        <w:rPr>
          <w:b/>
          <w:sz w:val="20"/>
          <w:szCs w:val="20"/>
          <w:lang w:val="id-ID"/>
        </w:rPr>
        <w:t xml:space="preserve"> </w:t>
      </w:r>
    </w:p>
    <w:p w14:paraId="39B527A8" w14:textId="77777777" w:rsidR="000E4495" w:rsidRDefault="00A82995" w:rsidP="00B73BA6">
      <w:pPr>
        <w:ind w:left="360"/>
        <w:jc w:val="both"/>
        <w:rPr>
          <w:rFonts w:ascii="Arial" w:hAnsi="Arial" w:cs="Arial"/>
          <w:sz w:val="20"/>
          <w:szCs w:val="20"/>
        </w:rPr>
      </w:pPr>
      <w:r>
        <w:rPr>
          <w:rFonts w:ascii="Arial" w:hAnsi="Arial" w:cs="Arial"/>
          <w:noProof/>
          <w:sz w:val="20"/>
          <w:szCs w:val="20"/>
        </w:rPr>
        <w:drawing>
          <wp:inline distT="0" distB="0" distL="0" distR="0" wp14:anchorId="7A6083C0" wp14:editId="048104BE">
            <wp:extent cx="2146892" cy="1278648"/>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5553" cy="1283806"/>
                    </a:xfrm>
                    <a:prstGeom prst="rect">
                      <a:avLst/>
                    </a:prstGeom>
                    <a:noFill/>
                  </pic:spPr>
                </pic:pic>
              </a:graphicData>
            </a:graphic>
          </wp:inline>
        </w:drawing>
      </w:r>
    </w:p>
    <w:p w14:paraId="75BF22E2" w14:textId="77777777" w:rsidR="00B73BA6" w:rsidRDefault="00CE0143" w:rsidP="00E54E15">
      <w:pPr>
        <w:pStyle w:val="Caption"/>
        <w:spacing w:line="240" w:lineRule="auto"/>
        <w:ind w:left="360"/>
        <w:jc w:val="both"/>
        <w:rPr>
          <w:rFonts w:ascii="Arial" w:hAnsi="Arial" w:cs="Arial"/>
        </w:rPr>
      </w:pPr>
      <w:r w:rsidRPr="00CE0143">
        <w:rPr>
          <w:rFonts w:ascii="Arial" w:hAnsi="Arial" w:cs="Arial"/>
        </w:rPr>
        <w:t xml:space="preserve">Figure 10. Anterior-Posterior (AP) specific growth rate at the bottom of the container </w:t>
      </w:r>
    </w:p>
    <w:p w14:paraId="40AA238D" w14:textId="77777777" w:rsidR="00B73BA6" w:rsidRDefault="00A82995" w:rsidP="00B73BA6">
      <w:pPr>
        <w:pStyle w:val="Caption"/>
        <w:spacing w:after="0" w:line="240" w:lineRule="auto"/>
        <w:ind w:left="357"/>
        <w:rPr>
          <w:rFonts w:ascii="Arial" w:hAnsi="Arial" w:cs="Arial"/>
        </w:rPr>
      </w:pPr>
      <w:r>
        <w:rPr>
          <w:rFonts w:ascii="Arial" w:hAnsi="Arial" w:cs="Arial"/>
          <w:noProof/>
        </w:rPr>
        <w:drawing>
          <wp:inline distT="0" distB="0" distL="0" distR="0" wp14:anchorId="3CDDF3A2" wp14:editId="22DC9D08">
            <wp:extent cx="2250349" cy="1343770"/>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7373" cy="1347964"/>
                    </a:xfrm>
                    <a:prstGeom prst="rect">
                      <a:avLst/>
                    </a:prstGeom>
                    <a:noFill/>
                  </pic:spPr>
                </pic:pic>
              </a:graphicData>
            </a:graphic>
          </wp:inline>
        </w:drawing>
      </w:r>
    </w:p>
    <w:p w14:paraId="5A229DFB" w14:textId="77777777" w:rsidR="004919AB" w:rsidRPr="00C906B9" w:rsidRDefault="009E078E" w:rsidP="00B73BA6">
      <w:pPr>
        <w:pStyle w:val="Caption"/>
        <w:spacing w:after="0" w:line="240" w:lineRule="auto"/>
        <w:ind w:left="357"/>
        <w:rPr>
          <w:rFonts w:ascii="Arial" w:hAnsi="Arial" w:cs="Arial"/>
        </w:rPr>
      </w:pPr>
      <w:r w:rsidRPr="009E078E">
        <w:rPr>
          <w:rFonts w:ascii="Arial" w:hAnsi="Arial" w:cs="Arial"/>
        </w:rPr>
        <w:t>Figure 11.</w:t>
      </w:r>
      <w:r w:rsidR="00602670">
        <w:rPr>
          <w:rFonts w:ascii="Arial" w:hAnsi="Arial" w:cs="Arial"/>
        </w:rPr>
        <w:t xml:space="preserve"> </w:t>
      </w:r>
      <w:r w:rsidRPr="009E078E">
        <w:rPr>
          <w:rFonts w:ascii="Arial" w:hAnsi="Arial" w:cs="Arial"/>
        </w:rPr>
        <w:t>Dorsal-Ventral (DV) specific growth rate at the bottom of the container</w:t>
      </w:r>
    </w:p>
    <w:p w14:paraId="7D138424" w14:textId="77777777" w:rsidR="000E4495" w:rsidRPr="00D37A5A" w:rsidRDefault="00993286" w:rsidP="00B73BA6">
      <w:pPr>
        <w:ind w:left="401"/>
        <w:jc w:val="both"/>
        <w:rPr>
          <w:rFonts w:ascii="Arial" w:hAnsi="Arial" w:cs="Arial"/>
          <w:sz w:val="20"/>
          <w:szCs w:val="20"/>
          <w:lang w:val="id-ID"/>
        </w:rPr>
      </w:pPr>
      <w:r w:rsidRPr="00993286">
        <w:rPr>
          <w:rFonts w:ascii="Arial" w:hAnsi="Arial" w:cs="Arial"/>
          <w:sz w:val="20"/>
          <w:szCs w:val="20"/>
          <w:lang w:val="id-ID"/>
        </w:rPr>
        <w:t>From the graph above, it can be seen that for the length of Anterior-Posterior (AP) and Dorsal-Ventral (DV), all treatments give significantly different results with the average value of Anterior-Posterior (AP) length in a row from the lowest is the treatment of P3 (Waring), P1 (Paranet 80%), P2 (Rope), P4 (Paris cloth), while the average value of Dorsal-Ventral (DV) length in a row from the lowest is the treatment of P3 (Waring), P1 (Paranet 80%), P4 (Paris cloth), P2 (Rope).</w:t>
      </w:r>
      <w:r w:rsidR="000E4495" w:rsidRPr="00D37A5A">
        <w:rPr>
          <w:rFonts w:ascii="Arial" w:hAnsi="Arial" w:cs="Arial"/>
          <w:sz w:val="20"/>
          <w:szCs w:val="20"/>
          <w:lang w:val="id-ID"/>
        </w:rPr>
        <w:t xml:space="preserve"> </w:t>
      </w:r>
    </w:p>
    <w:p w14:paraId="70C150BC" w14:textId="77777777" w:rsidR="000E4495" w:rsidRPr="00D37A5A" w:rsidRDefault="005B780E" w:rsidP="00B73BA6">
      <w:pPr>
        <w:widowControl/>
        <w:autoSpaceDE/>
        <w:ind w:left="412" w:firstLine="720"/>
        <w:jc w:val="both"/>
        <w:rPr>
          <w:rFonts w:ascii="Arial" w:hAnsi="Arial" w:cs="Arial"/>
          <w:sz w:val="20"/>
          <w:szCs w:val="20"/>
        </w:rPr>
      </w:pPr>
      <w:r w:rsidRPr="005B780E">
        <w:rPr>
          <w:sz w:val="20"/>
          <w:szCs w:val="24"/>
        </w:rPr>
        <w:t xml:space="preserve">Based on the available data, the specific Dorsal-Ventral (DV) growth rate of the water column showed different patterns, where substrate P2 (PE rope) recorded the highest value of 0.187 (%/day). Proper substrate selection, taking into account the ability to support nutrient exchange, is key to the success of brown mussel aquaculture. These factors collectively influence the productivity and long-term desirability of brown mussel farming. The </w:t>
      </w:r>
      <w:proofErr w:type="spellStart"/>
      <w:r w:rsidRPr="005B780E">
        <w:rPr>
          <w:sz w:val="20"/>
          <w:szCs w:val="24"/>
        </w:rPr>
        <w:t>paris</w:t>
      </w:r>
      <w:proofErr w:type="spellEnd"/>
      <w:r w:rsidRPr="005B780E">
        <w:rPr>
          <w:sz w:val="20"/>
          <w:szCs w:val="24"/>
        </w:rPr>
        <w:t xml:space="preserve"> cloth also shows advantages with its fine texture and small pores that create an optimal microhabitat for nutrient and oxygen exchange. </w:t>
      </w:r>
      <w:r w:rsidR="0041155F">
        <w:rPr>
          <w:sz w:val="20"/>
          <w:szCs w:val="24"/>
        </w:rPr>
        <w:fldChar w:fldCharType="begin" w:fldLock="1"/>
      </w:r>
      <w:r w:rsidR="0041155F">
        <w:rPr>
          <w:sz w:val="20"/>
          <w:szCs w:val="24"/>
        </w:rPr>
        <w:instrText>ADDIN CSL_CITATION {"citationItems":[{"id":"ITEM-1","itemData":{"abstract":"This study was aimed to analyze the prospects of development of the This research was aimed to analyze the relationship between plankton abundance and morphometric growth of Mud Clam (Polymesoda erosa). The study was located in an idle brackish water pond in Mahakam Delta, by culturing Polymesoda erosa in small scale. Grouping random design was applied for sampling. Treatment was divided into factor A and B. Factor A is related to shell size: size I (40 – 60,99 mm), II (61 – 80,99 mm) and size III (81 – 100 mm). Factor B is indicating to study location with vegetation (Rhizophora sp) and no vegetation. In order to analyze plankton abundance, a quantitative descriptive analysis was applied, in addition of ANOVA test to analyze the growth. The result indicated that between two study ponds is different. The number of plankton per liter water from vegetated pond has more plankton individual than the sample from non- vegetated pond. The applied treatment on study ponds and shell size determined the morphometric growth and biometric. The growth of shell length is faster than that on height and thickness. The growth of mud clam in vegetated ponds relatively better that the pond without vegetation. PEND","author":[{"dropping-particle":"","family":"Rizal","given":"Samsul","non-dropping-particle":"","parse-names":false,"suffix":""},{"dropping-particle":"","family":"Jailani","given":"","non-dropping-particle":"","parse-names":false,"suffix":""}],"container-title":"Jurnal Ilmu Perikanan Tropis","id":"ITEM-1","issue":"2","issued":{"date-parts":[["2022"]]},"page":"160-167","title":"Analisis Kelimpahan Plankton dan Pertumbuhan Kerang Kepah Polymesoda erosa (Solander, 1786) yang Dipelihara Pada Tambak Di Delta Mahakam (Analysis of Plankton Abundance and Growth of Cultured Mud Clam in Mahakam Delta Pond)","type":"article-journal","volume":"1"},"uris":["http://www.mendeley.com/documents/?uuid=4ccc884b-4ee7-402b-ae3c-35ff4c294e58"]}],"mendeley":{"formattedCitation":"(Rizal &amp; Jailani, 2022)","plainTextFormattedCitation":"(Rizal &amp; Jailani, 2022)","previouslyFormattedCitation":"(Rizal &amp; Jailani, 2022)"},"properties":{"noteIndex":0},"schema":"https://github.com/citation-style-language/schema/raw/master/csl-citation.json"}</w:instrText>
      </w:r>
      <w:r w:rsidR="0041155F">
        <w:rPr>
          <w:sz w:val="20"/>
          <w:szCs w:val="24"/>
        </w:rPr>
        <w:fldChar w:fldCharType="separate"/>
      </w:r>
      <w:r w:rsidR="0041155F" w:rsidRPr="0041155F">
        <w:rPr>
          <w:noProof/>
          <w:sz w:val="20"/>
          <w:szCs w:val="24"/>
        </w:rPr>
        <w:t>(Rizal &amp; Jailani, 2022)</w:t>
      </w:r>
      <w:r w:rsidR="0041155F">
        <w:rPr>
          <w:sz w:val="20"/>
          <w:szCs w:val="24"/>
        </w:rPr>
        <w:fldChar w:fldCharType="end"/>
      </w:r>
      <w:r w:rsidRPr="005B780E">
        <w:rPr>
          <w:sz w:val="20"/>
          <w:szCs w:val="24"/>
        </w:rPr>
        <w:t xml:space="preserve"> added that mussels obtain their food by filtering the air using their gills to capture small plankton. Although the white waring substrate protects mussels from predators, it is less flexible than PE rope and </w:t>
      </w:r>
      <w:proofErr w:type="spellStart"/>
      <w:r w:rsidRPr="005B780E">
        <w:rPr>
          <w:sz w:val="20"/>
          <w:szCs w:val="24"/>
        </w:rPr>
        <w:t>paris</w:t>
      </w:r>
      <w:proofErr w:type="spellEnd"/>
      <w:r w:rsidRPr="005B780E">
        <w:rPr>
          <w:sz w:val="20"/>
          <w:szCs w:val="24"/>
        </w:rPr>
        <w:t xml:space="preserve"> cloth in adjusti</w:t>
      </w:r>
      <w:r>
        <w:rPr>
          <w:sz w:val="20"/>
          <w:szCs w:val="24"/>
        </w:rPr>
        <w:t>ng the position of air currents</w:t>
      </w:r>
      <w:r w:rsidR="00887468" w:rsidRPr="00D37A5A">
        <w:rPr>
          <w:rFonts w:ascii="Arial" w:hAnsi="Arial" w:cs="Arial"/>
          <w:sz w:val="20"/>
          <w:szCs w:val="20"/>
        </w:rPr>
        <w:t xml:space="preserve">. </w:t>
      </w:r>
    </w:p>
    <w:p w14:paraId="43433FA5" w14:textId="77777777" w:rsidR="00887468" w:rsidRPr="00D37A5A" w:rsidRDefault="0041155F" w:rsidP="00B73BA6">
      <w:pPr>
        <w:widowControl/>
        <w:autoSpaceDE/>
        <w:ind w:left="412" w:firstLine="720"/>
        <w:jc w:val="both"/>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ADDIN CSL_CITATION {"citationItems":[{"id":"ITEM-1","itemData":{"DOI":"10.29303/jp.v11i1.224","ISSN":"2302-6049","abstract":"Kerang mutiara (Pinctada maxima) merupakan salah satu sumber daya laut yang memiliki nilai ekonomi tinggi namun produksinya membutuhkan waktu yang lama, sehingga membutuhkan waktu yang lama untuk dipasarkan. Ketidakseimbangan antara kebutuhan pakan dengan ketersediaan pakan alami di perairan diduga menjadi salah satu faktor lambatnya pertumbuhan benih kerang mutiara. Permasalahan ini dapat ditanggulangi dengan melakukan perendaman dalam bak pakan alami secara periodik sehingga kebutuhan pakan benih kerangmutiara dapat terpenuhi. Tujuan dari penelitian ini adalah untuk mengetahui pengaruh periode perendaman benih dalam bak pakan alami terhadap pertumbuhan benih kerang mutiara. Penelitian ini dilaksanakan pada Juni – September 2019 di Teluk Siung, Desa Batu Putih, Kecamatan Sekotong Barat, Kabupaten Lombok Barat, Nusa Tenggara Barat. Rancangan yang digunakan adalah rancangan acak lengkap teridiri atas lima perlakuakn yaitu A, tanpa perendaman (sebagi kontrol); B, perendaman dengan interval 1 minggu; C, perendaman dengan interval 2 minggu; D, perendaman dengan interval 3 minggu; dan E, perendaman dengan interval 4 minggu. Hasil penelitian menunjukkan bahwa perendaman dalam bak pakan alami memberi pengaruh yang signifikan pada pertumbuhan cangkang (dorso-ventral) benih kerang mutiara Pinctada maxima (p&lt;0,05). Pertumbuhan tertinggi dicapai pada perendaman dengan interval waktu tiap 2 minggu denga nilai pertumbuhan mutlak sebesar 10,99 mm, pertumbuhan spesifik sebesar 219,8 % dari ukuran awal, dan laju pertumbuhan spesifik sebesar 1,30 % per hari. Metode ini perlu diuji pada benih yang berukuran lebih besar dari yang digunakan dalam penelitian ini untuk melihat konsistensi penerapan metoda perendaman dalam budidaya benih kerang mutiara.","author":[{"dropping-particle":"","family":"Mukhlis","given":"Alis","non-dropping-particle":"","parse-names":false,"suffix":""},{"dropping-particle":"","family":"Ilmi","given":"Nadirah Karimatul","non-dropping-particle":"","parse-names":false,"suffix":""},{"dropping-particle":"","family":"Rahmatullah","given":"Sanca","non-dropping-particle":"","parse-names":false,"suffix":""},{"dropping-particle":"","family":"Ilyas","given":"Anita Prihatini","non-dropping-particle":"","parse-names":false,"suffix":""},{"dropping-particle":"","family":"Dermawan","given":"Awan","non-dropping-particle":"","parse-names":false,"suffix":""}],"container-title":"Jurnal Perikanan Unram","id":"ITEM-1","issue":"1","issued":{"date-parts":[["2021"]]},"page":"1-12","title":"PERCEPATAN PERTUMBUHAN BENIH KERANG MUTIARA (Pinctada maxima) MENGGUNAKAN METODA PERENDAMAN DALAM BAK PAKAN ALAMI","type":"article-journal","volume":"11"},"uris":["http://www.mendeley.com/documents/?uuid=bcc0d50a-d914-4186-b602-57dd11397378"]}],"mendeley":{"formattedCitation":"(Mukhlis et al., 2021)","plainTextFormattedCitation":"(Mukhlis et al., 2021)","previouslyFormattedCitation":"(Mukhlis et al., 2021)"},"properties":{"noteIndex":0},"schema":"https://github.com/citation-style-language/schema/raw/master/csl-citation.json"}</w:instrText>
      </w:r>
      <w:r>
        <w:rPr>
          <w:rFonts w:ascii="Arial" w:hAnsi="Arial" w:cs="Arial"/>
          <w:sz w:val="20"/>
          <w:szCs w:val="20"/>
        </w:rPr>
        <w:fldChar w:fldCharType="separate"/>
      </w:r>
      <w:r w:rsidRPr="0041155F">
        <w:rPr>
          <w:rFonts w:ascii="Arial" w:hAnsi="Arial" w:cs="Arial"/>
          <w:noProof/>
          <w:sz w:val="20"/>
          <w:szCs w:val="20"/>
        </w:rPr>
        <w:t>(Mukhlis et al., 2021)</w:t>
      </w:r>
      <w:r>
        <w:rPr>
          <w:rFonts w:ascii="Arial" w:hAnsi="Arial" w:cs="Arial"/>
          <w:sz w:val="20"/>
          <w:szCs w:val="20"/>
        </w:rPr>
        <w:fldChar w:fldCharType="end"/>
      </w:r>
      <w:r w:rsidR="005B780E" w:rsidRPr="005B780E">
        <w:rPr>
          <w:rFonts w:ascii="Arial" w:hAnsi="Arial" w:cs="Arial"/>
          <w:sz w:val="20"/>
          <w:szCs w:val="20"/>
        </w:rPr>
        <w:t xml:space="preserve"> stresses the importance of the quality of the attachment site and the availability of food for the growth of young clams. Research by </w:t>
      </w:r>
      <w:r>
        <w:rPr>
          <w:rFonts w:ascii="Arial" w:hAnsi="Arial" w:cs="Arial"/>
          <w:sz w:val="20"/>
          <w:szCs w:val="20"/>
        </w:rPr>
        <w:fldChar w:fldCharType="begin" w:fldLock="1"/>
      </w:r>
      <w:r>
        <w:rPr>
          <w:rFonts w:ascii="Arial" w:hAnsi="Arial" w:cs="Arial"/>
          <w:sz w:val="20"/>
          <w:szCs w:val="20"/>
        </w:rPr>
        <w:instrText>ADDIN CSL_CITATION {"citationItems":[{"id":"ITEM-1","itemData":{"DOI":"10.15578/jra.12.1.2017.57-68","ISSN":"1907-6754","abstract":"Kerang hijau merupakan komoditas budidaya laut yang sangat prospektif untuk dikembangkan pada suatu sistem budidaya, karena dapat dilakukan dengan biaya produksi yang rendah namun menghasilkan profitabilitas yang tinggi. Penelitian ini bertujuan untuk mengetahui metode dan kepadatan yang paling optimal untuk budidaya kerang hijau di perairan pesisir Kuala Langsa, Aceh. Metode penelitian menggunakan rancangan acak lengkap faktorial yang terdiri atas faktor metode (long line dan stick) dan faktor kepadatan (20, 30, dan 40 individu/kantong 5,30 L), masing-masing diulang sebanyak empat kali. Berdasarkan sidik ragam data Specific Growth Rate (SGR) dari panjang (SGL L) dan bobot (SGR W) menunjukkan semua perlakuan metode, kepadatan dan interaksi berbeda signifikan pada taraf uji 5% (P&lt;0,05), di mana perlakuan yang paling optimal yaitu perlakuan metode long line dengan kepadatan 20 individu/kantong 5,30 L diperoleh rata-rata nilai SGR (L) sebesar 0,86 ± 0,01%/hari dan SGR (W) sebesar 1,18 ± 0,04%/hari dengan sintasan mencapai 92,50 ± 2,89%. Parameter kualitas perairan selama periode budidaya masih sesuai untuk mendukung kehidupan kerang hijau di mana suhu berkisar 27,5-34,0°C; salinitas 28,5-33,0 ppt; pH 7,8-8,6; dan oksigen terlarut 4,5-6,5 mg/L; serta kecepatan arus 0,1-0,3 m/s. Budidaya kerang hijau dengan metode long line pada kepadatan 20 individu/kantong 5,30 L merupakan pola budidaya yang paling optimal untuk diterapkan di perairan pesisir Kuala Langsa, Aceh.Green mussel is a very prospective marine aquaculture commodity due to its low cost production but with high profitability. This research aimed to determine the most optimal method and densities for green mussel culture in coastal waters of Kuala Langsa, Aceh. The research used a completely randomized factorial design consisting of methods factor (long line and stick) and densities factor (20, 30, and 40 individuals/basket 5.30 L), each repeated four times. Based on the variance analysis of specific growth rate (SGR) data of the length (SGR L) and weight (SGR W), all treatments of different methods and densities as well as their interactions were significant different (P&lt;0.05). This study suggested that long line method with a densities of 20 individuals/basket 5.30 L was found to be the most optimal treatment for green mussel culture in coastal waters of Kuala Langsa. With this long line method an average SGR (L) value of 0.86 ± 0.01%/day, SGR (W) value of 1.18 ± 0.04%/day, and survival rate of 92.…","author":[{"dropping-particle":"","family":"Sagita","given":"Andi","non-dropping-particle":"","parse-names":false,"suffix":""},{"dropping-particle":"","family":"Kurnia","given":"Rahmat","non-dropping-particle":"","parse-names":false,"suffix":""},{"dropping-particle":"","family":"Sulistiono","given":"Sulistiono","non-dropping-particle":"","parse-names":false,"suffix":""}],"container-title":"Jurnal Riset Akuakultur","id":"ITEM-1","issue":"1","issued":{"date-parts":[["2017"]]},"page":"57","title":"BUDIDAYA KERANG HIJAU (Perna viridis L.) DENGAN METODE DAN KEPADATAN BERBEDA DI PERAIRAN PESISIR KUALA LANGSA, ACEH","type":"article-journal","volume":"12"},"uris":["http://www.mendeley.com/documents/?uuid=f5ac5683-7f52-4d54-83e0-e89625e79f15"]}],"mendeley":{"formattedCitation":"(Sagita et al., 2017)","plainTextFormattedCitation":"(Sagita et al., 2017)","previouslyFormattedCitation":"(Sagita et al., 2017)"},"properties":{"noteIndex":0},"schema":"https://github.com/citation-style-language/schema/raw/master/csl-citation.json"}</w:instrText>
      </w:r>
      <w:r>
        <w:rPr>
          <w:rFonts w:ascii="Arial" w:hAnsi="Arial" w:cs="Arial"/>
          <w:sz w:val="20"/>
          <w:szCs w:val="20"/>
        </w:rPr>
        <w:fldChar w:fldCharType="separate"/>
      </w:r>
      <w:r w:rsidRPr="0041155F">
        <w:rPr>
          <w:rFonts w:ascii="Arial" w:hAnsi="Arial" w:cs="Arial"/>
          <w:noProof/>
          <w:sz w:val="20"/>
          <w:szCs w:val="20"/>
        </w:rPr>
        <w:t>(Sagita et al., 2017)</w:t>
      </w:r>
      <w:r>
        <w:rPr>
          <w:rFonts w:ascii="Arial" w:hAnsi="Arial" w:cs="Arial"/>
          <w:sz w:val="20"/>
          <w:szCs w:val="20"/>
        </w:rPr>
        <w:fldChar w:fldCharType="end"/>
      </w:r>
      <w:r w:rsidR="005B780E" w:rsidRPr="005B780E">
        <w:rPr>
          <w:rFonts w:ascii="Arial" w:hAnsi="Arial" w:cs="Arial"/>
          <w:sz w:val="20"/>
          <w:szCs w:val="20"/>
        </w:rPr>
        <w:t xml:space="preserve"> explains that the number of clams and the type of substrate affect their growth rate due to reduced competition. </w:t>
      </w:r>
      <w:r>
        <w:rPr>
          <w:rFonts w:ascii="Arial" w:hAnsi="Arial" w:cs="Arial"/>
          <w:sz w:val="20"/>
          <w:szCs w:val="20"/>
        </w:rPr>
        <w:fldChar w:fldCharType="begin" w:fldLock="1"/>
      </w:r>
      <w:r>
        <w:rPr>
          <w:rFonts w:ascii="Arial" w:hAnsi="Arial" w:cs="Arial"/>
          <w:sz w:val="20"/>
          <w:szCs w:val="20"/>
        </w:rPr>
        <w:instrText>ADDIN CSL_CITATION {"citationItems":[{"id":"ITEM-1","itemData":{"DOI":"10.35800/jplt.10.3.2022.55017","abstract":" \r Research of mussel attachment, Septiver billocularis was carried out on the intertidal zone of coastal Tiwoho, north Sulawesi. The objectives of this study were 1) to identify type of substrates (organic and inorganic) to be attached by box mussel Septifer bilocularis, 2) to identify substrate preferences of Septifer bilocularis settlement. 3) to know the favorite position of settlement in mussel aggregation. The PVC plate has 16 holes, each with diameter of 1.8 cm, which had been filled randomly with organic substrate of coconut fibers and palm fibers, and mussel shell with byssus threads, then inorganic with plastic rope. Each substrate had 4 replicates. The PVC plate, four replications, each was placed at edge and middle of large aggregation, the PVC plate with substrates was also placed in isolated aggregation. All PVC plates were placed in intertidal Tiwoho for 1.5 months. The settlement data were analyzed using a Two-Way ANOVA with substrata and position in patch as the main factor. Before running the test, data were transformed using arcsin. The results showed that the settlement of box mussel (&lt; 1 mm) attached to organic substrata such as coconut and palm fibers, as well as inorganic substrates, plastic rope. Settlement of box mussels on shells with byssus threads had sizes ranging from &gt; 1 mm to - &lt; 3 mm. A Two-way ANOVA test shows that settlement was not affected by substrata (P &gt; 0.05), the settlement of box mussel was affected by position in aggregation (P &lt; 0.05). Factors such as the effect of physical, chemical, and biological on box mussel settlement are discussed.\r Keywords: Aggregation, Attachment, Shellfish, Substrate, Tiwoho Coast\r ABSTRAK\r `           Penelitian penempelan kerang Septiver bilocularis pada substrat telah dilakukan di zona intertidal di pesisir Tiwoho, Sulawesi Utara. Tujuan dari penelitian ini adalah 1) untuk mengidentifikasi jenis-jenis substrat organik dan non organik yang menjadi substrat penempelan kerang Septifer bilocularis, 2) untuk mengidentifikasi substrat preferensi (favorit) pada penempelan kerang Septifer bilocularis. 3) untuk mengetahui posisi favorit penempelan dalam agregasi kerang. Plat PVC memiliki 16 lubang dengan diameter masing-masing 1,8 cm yang telah diisi secara acak dengan substrat organik serabut kelapa, serabut pohon seho, dan cangkan dengan byssus, serta substrat inorganik tali plastic. Setiap substrat memiliki 4 ulangan. Plat PVC dengan substrat ditempatkan di posisi pinggir dan tengah a…","author":[{"dropping-particle":"","family":"Wagiu","given":"Farrel J. G.","non-dropping-particle":"","parse-names":false,"suffix":""},{"dropping-particle":"","family":"Ompi","given":"Medy","non-dropping-particle":"","parse-names":false,"suffix":""},{"dropping-particle":"","family":"Kaligis","given":"Erly Y.","non-dropping-particle":"","parse-names":false,"suffix":""},{"dropping-particle":"","family":"Rimper","given":"Joice R. T. S. L.","non-dropping-particle":"","parse-names":false,"suffix":""},{"dropping-particle":"","family":"Roeroe","given":"Kakaskasen A.","non-dropping-particle":"","parse-names":false,"suffix":""},{"dropping-particle":"","family":"Manginsela","given":"Fransine B.","non-dropping-particle":"","parse-names":false,"suffix":""}],"container-title":"Jurnal Pesisir Dan Laut Tropis","id":"ITEM-1","issue":"3","issued":{"date-parts":[["2022"]]},"page":"325-331","title":"PENEMPELAN KERANG Septifer bilocularis PADA SUBSTRAT DALAM AGREGASI KERANG DI DAERAH PASANG SURUT PESISIR TIWOHO","type":"article-journal","volume":"10"},"uris":["http://www.mendeley.com/documents/?uuid=1ab9fa54-9c5c-4333-9c16-00be826b401b"]}],"mendeley":{"formattedCitation":"(Wagiu et al., 2022)","plainTextFormattedCitation":"(Wagiu et al., 2022)","previouslyFormattedCitation":"(Wagiu et al., 2022)"},"properties":{"noteIndex":0},"schema":"https://github.com/citation-style-language/schema/raw/master/csl-citation.json"}</w:instrText>
      </w:r>
      <w:r>
        <w:rPr>
          <w:rFonts w:ascii="Arial" w:hAnsi="Arial" w:cs="Arial"/>
          <w:sz w:val="20"/>
          <w:szCs w:val="20"/>
        </w:rPr>
        <w:fldChar w:fldCharType="separate"/>
      </w:r>
      <w:r w:rsidRPr="0041155F">
        <w:rPr>
          <w:rFonts w:ascii="Arial" w:hAnsi="Arial" w:cs="Arial"/>
          <w:noProof/>
          <w:sz w:val="20"/>
          <w:szCs w:val="20"/>
        </w:rPr>
        <w:t>(Wagiu et al., 2022)</w:t>
      </w:r>
      <w:r>
        <w:rPr>
          <w:rFonts w:ascii="Arial" w:hAnsi="Arial" w:cs="Arial"/>
          <w:sz w:val="20"/>
          <w:szCs w:val="20"/>
        </w:rPr>
        <w:fldChar w:fldCharType="end"/>
      </w:r>
      <w:r w:rsidR="009970B1">
        <w:rPr>
          <w:rFonts w:ascii="Arial" w:hAnsi="Arial" w:cs="Arial"/>
          <w:sz w:val="20"/>
          <w:szCs w:val="20"/>
          <w:lang w:val="id-ID"/>
        </w:rPr>
        <w:t xml:space="preserve"> </w:t>
      </w:r>
      <w:r w:rsidR="005B780E" w:rsidRPr="005B780E">
        <w:rPr>
          <w:rFonts w:ascii="Arial" w:hAnsi="Arial" w:cs="Arial"/>
          <w:sz w:val="20"/>
          <w:szCs w:val="20"/>
        </w:rPr>
        <w:t xml:space="preserve">explained that clam larvae will grow into young clams, while </w:t>
      </w:r>
      <w:r>
        <w:rPr>
          <w:rFonts w:ascii="Arial" w:hAnsi="Arial" w:cs="Arial"/>
          <w:sz w:val="20"/>
          <w:szCs w:val="20"/>
        </w:rPr>
        <w:fldChar w:fldCharType="begin" w:fldLock="1"/>
      </w:r>
      <w:r>
        <w:rPr>
          <w:rFonts w:ascii="Arial" w:hAnsi="Arial" w:cs="Arial"/>
          <w:sz w:val="20"/>
          <w:szCs w:val="20"/>
        </w:rPr>
        <w:instrText>ADDIN CSL_CITATION {"citationItems":[{"id":"ITEM-1","itemData":{"abstract":"Stocking density was affected to the growth and survival rate of spat. The objective of this study is to obtain information optimal stocking density and morphology of spat during nursery culture. Randomized block design was applied with four stocking density treatments i.e.(A) 500, (B) 1000, (C) 1500, (D) 2000 individu(ind)collector-1, conducted in triplcateThe result showed that optimum density of P. maxima spat was500 ind collector-1. The best of survival rate was found at density 500 indcollector-1and the best of growth at treatment 500 indcollector-1(36.50 x 33.37 mm).At the density of 500 ind collector1shell morphology was normal, otherwise at high density (1,500 –2,000 ind collector1) slower growth spat, shells shape is unnormal, for example the shape of an elongated shell (DV&gt; AP), or widened shape (DV &lt;AP).","author":[{"dropping-particle":"","family":"Winanto","given":"Tjahjo","non-dropping-particle":"","parse-names":false,"suffix":""},{"dropping-particle":"","family":"Marasabessy","given":"Mohammad Djen","non-dropping-particle":"","parse-names":false,"suffix":""},{"dropping-particle":"","family":"Dody","given":"Safar","non-dropping-particle":"","parse-names":false,"suffix":""}],"container-title":"Omni Akuatika","id":"ITEM-1","issue":"3","issued":{"date-parts":[["2016"]]},"page":"138-143","title":"Kepadatan Optimum dan Morfologi Spat Tiram Mutiara Pinctada maxima (Jameson) pada Pemeliharaan dengan Tingkat Kepadatan Berbeda","type":"article-journal","volume":"12"},"uris":["http://www.mendeley.com/documents/?uuid=b0c23071-e7a8-49c7-8cf2-6ddce1a9f9a4"]}],"mendeley":{"formattedCitation":"(Winanto et al., 2016)","plainTextFormattedCitation":"(Winanto et al., 2016)","previouslyFormattedCitation":"(Winanto et al., 2016)"},"properties":{"noteIndex":0},"schema":"https://github.com/citation-style-language/schema/raw/master/csl-citation.json"}</w:instrText>
      </w:r>
      <w:r>
        <w:rPr>
          <w:rFonts w:ascii="Arial" w:hAnsi="Arial" w:cs="Arial"/>
          <w:sz w:val="20"/>
          <w:szCs w:val="20"/>
        </w:rPr>
        <w:fldChar w:fldCharType="separate"/>
      </w:r>
      <w:r w:rsidRPr="0041155F">
        <w:rPr>
          <w:rFonts w:ascii="Arial" w:hAnsi="Arial" w:cs="Arial"/>
          <w:noProof/>
          <w:sz w:val="20"/>
          <w:szCs w:val="20"/>
        </w:rPr>
        <w:t>(Winanto et al., 2016)</w:t>
      </w:r>
      <w:r>
        <w:rPr>
          <w:rFonts w:ascii="Arial" w:hAnsi="Arial" w:cs="Arial"/>
          <w:sz w:val="20"/>
          <w:szCs w:val="20"/>
        </w:rPr>
        <w:fldChar w:fldCharType="end"/>
      </w:r>
      <w:r w:rsidR="005B780E" w:rsidRPr="005B780E">
        <w:rPr>
          <w:rFonts w:ascii="Arial" w:hAnsi="Arial" w:cs="Arial"/>
          <w:sz w:val="20"/>
          <w:szCs w:val="20"/>
        </w:rPr>
        <w:t xml:space="preserve"> warned that too many clams in one place can inhibit the growth of their shells. Proper substrate selection is crucial in brown mussel aquaculture, considering the malleability of the material, the ability to support nutrient exchange, and create a good microenvironment for growth. All these factors together determine the long-term success and desirability of brown mussel farming.</w:t>
      </w:r>
    </w:p>
    <w:p w14:paraId="05ED86D2" w14:textId="77777777" w:rsidR="000E4495" w:rsidRPr="00D37A5A" w:rsidRDefault="000E4495" w:rsidP="00D37A5A">
      <w:pPr>
        <w:ind w:left="993"/>
        <w:jc w:val="both"/>
        <w:rPr>
          <w:rFonts w:ascii="Arial" w:hAnsi="Arial" w:cs="Arial"/>
          <w:sz w:val="20"/>
          <w:szCs w:val="20"/>
          <w:lang w:val="id-ID"/>
        </w:rPr>
      </w:pPr>
    </w:p>
    <w:p w14:paraId="0459CCA8" w14:textId="77777777" w:rsidR="00B73BA6" w:rsidRDefault="00B73BA6">
      <w:pPr>
        <w:rPr>
          <w:rFonts w:ascii="Arial" w:eastAsia="Arial" w:hAnsi="Arial" w:cs="Arial"/>
          <w:b/>
          <w:sz w:val="20"/>
          <w:szCs w:val="20"/>
          <w:lang w:val="id-ID"/>
        </w:rPr>
      </w:pPr>
      <w:r>
        <w:rPr>
          <w:b/>
          <w:sz w:val="20"/>
          <w:szCs w:val="20"/>
          <w:lang w:val="id-ID"/>
        </w:rPr>
        <w:br w:type="page"/>
      </w:r>
    </w:p>
    <w:p w14:paraId="040CFC83" w14:textId="77777777" w:rsidR="000E4495" w:rsidRPr="00D37A5A" w:rsidRDefault="0086256E" w:rsidP="0086256E">
      <w:pPr>
        <w:pStyle w:val="ListParagraph"/>
        <w:widowControl/>
        <w:numPr>
          <w:ilvl w:val="1"/>
          <w:numId w:val="17"/>
        </w:numPr>
        <w:autoSpaceDE/>
        <w:jc w:val="both"/>
        <w:rPr>
          <w:rFonts w:eastAsia="Times New Roman"/>
          <w:b/>
          <w:sz w:val="20"/>
          <w:szCs w:val="20"/>
          <w:lang w:val="id-ID"/>
        </w:rPr>
      </w:pPr>
      <w:r w:rsidRPr="0086256E">
        <w:rPr>
          <w:b/>
          <w:sz w:val="20"/>
          <w:szCs w:val="20"/>
          <w:lang w:val="id-ID"/>
        </w:rPr>
        <w:lastRenderedPageBreak/>
        <w:t>Water Column Density</w:t>
      </w:r>
    </w:p>
    <w:p w14:paraId="013FD8E7" w14:textId="77777777" w:rsidR="009B3286" w:rsidRPr="00D37A5A" w:rsidRDefault="00A82995" w:rsidP="00D37A5A">
      <w:pPr>
        <w:pStyle w:val="ListParagraph"/>
        <w:widowControl/>
        <w:autoSpaceDE/>
        <w:ind w:left="927" w:firstLine="0"/>
        <w:jc w:val="both"/>
        <w:rPr>
          <w:rFonts w:eastAsia="Times New Roman"/>
          <w:b/>
          <w:sz w:val="20"/>
          <w:szCs w:val="20"/>
        </w:rPr>
      </w:pPr>
      <w:r>
        <w:rPr>
          <w:rFonts w:eastAsia="Times New Roman"/>
          <w:b/>
          <w:noProof/>
          <w:sz w:val="20"/>
          <w:szCs w:val="20"/>
        </w:rPr>
        <w:drawing>
          <wp:inline distT="0" distB="0" distL="0" distR="0" wp14:anchorId="6EACDBDB" wp14:editId="787B63D4">
            <wp:extent cx="2106603" cy="1259665"/>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5558" cy="1265020"/>
                    </a:xfrm>
                    <a:prstGeom prst="rect">
                      <a:avLst/>
                    </a:prstGeom>
                    <a:noFill/>
                  </pic:spPr>
                </pic:pic>
              </a:graphicData>
            </a:graphic>
          </wp:inline>
        </w:drawing>
      </w:r>
    </w:p>
    <w:p w14:paraId="0970C8F3" w14:textId="77777777" w:rsidR="00D65E18" w:rsidRPr="00C906B9" w:rsidRDefault="0086256E" w:rsidP="00D56DE6">
      <w:pPr>
        <w:pStyle w:val="Caption"/>
        <w:spacing w:line="240" w:lineRule="auto"/>
        <w:ind w:left="378"/>
        <w:jc w:val="both"/>
        <w:rPr>
          <w:rFonts w:ascii="Arial" w:hAnsi="Arial" w:cs="Arial"/>
          <w:lang w:val="id-ID"/>
        </w:rPr>
      </w:pPr>
      <w:r w:rsidRPr="0086256E">
        <w:rPr>
          <w:rFonts w:ascii="Arial" w:hAnsi="Arial" w:cs="Arial"/>
        </w:rPr>
        <w:t>Figure 12: Graph of Density in the Water Column</w:t>
      </w:r>
    </w:p>
    <w:p w14:paraId="46D9BA24" w14:textId="77777777" w:rsidR="000E4495" w:rsidRPr="00D37A5A" w:rsidRDefault="005B780E" w:rsidP="00D37A5A">
      <w:pPr>
        <w:pStyle w:val="ListParagraph"/>
        <w:ind w:left="360" w:firstLine="0"/>
        <w:jc w:val="both"/>
        <w:rPr>
          <w:rFonts w:eastAsia="Times New Roman"/>
          <w:sz w:val="20"/>
          <w:szCs w:val="20"/>
          <w:lang w:val="id-ID"/>
        </w:rPr>
      </w:pPr>
      <w:r w:rsidRPr="005B780E">
        <w:rPr>
          <w:sz w:val="20"/>
          <w:szCs w:val="20"/>
          <w:lang w:val="id-ID"/>
        </w:rPr>
        <w:t>From the data above, it can be seen that the P2 (Tali) treatment shows higher density results compared to the other treatments. The P2 (Rope) treatment was significantly different from P1 (Paranet 80%), P3 (Waring) and P4 (Paris cloth) (notation). The second density was shown in P4 (Paris cloth) with results that were not significantly different from P3 (Waring) but significantly different from P1 (Paranet 80%). The lowest density was observed in P1 (80% shade cloth).</w:t>
      </w:r>
      <w:r w:rsidR="000E4495" w:rsidRPr="00D37A5A">
        <w:rPr>
          <w:sz w:val="20"/>
          <w:szCs w:val="20"/>
          <w:lang w:val="id-ID"/>
        </w:rPr>
        <w:t xml:space="preserve"> </w:t>
      </w:r>
    </w:p>
    <w:p w14:paraId="29C6CE55" w14:textId="77777777" w:rsidR="006B3DA9" w:rsidRPr="00D37A5A" w:rsidRDefault="00616C6F" w:rsidP="00D56DE6">
      <w:pPr>
        <w:widowControl/>
        <w:autoSpaceDE/>
        <w:ind w:left="360" w:firstLine="720"/>
        <w:jc w:val="both"/>
        <w:rPr>
          <w:rFonts w:ascii="Arial" w:hAnsi="Arial" w:cs="Arial"/>
          <w:sz w:val="20"/>
          <w:szCs w:val="20"/>
        </w:rPr>
      </w:pPr>
      <w:r w:rsidRPr="00616C6F">
        <w:rPr>
          <w:rFonts w:ascii="Arial" w:hAnsi="Arial" w:cs="Arial"/>
          <w:sz w:val="20"/>
          <w:szCs w:val="20"/>
        </w:rPr>
        <w:t>Mussel density showed significant differences between the column and bottom of the container. In the water column, PE rope achieved the highest density (1.62 individuals/cm</w:t>
      </w:r>
      <w:r w:rsidRPr="005F4423">
        <w:rPr>
          <w:rFonts w:ascii="Arial" w:hAnsi="Arial" w:cs="Arial"/>
          <w:sz w:val="20"/>
          <w:szCs w:val="20"/>
          <w:vertAlign w:val="superscript"/>
        </w:rPr>
        <w:t>2</w:t>
      </w:r>
      <w:r w:rsidRPr="00616C6F">
        <w:rPr>
          <w:rFonts w:ascii="Arial" w:hAnsi="Arial" w:cs="Arial"/>
          <w:sz w:val="20"/>
          <w:szCs w:val="20"/>
        </w:rPr>
        <w:t xml:space="preserve">) because its filamentous and rough texture strongly favors larval attachment through the byssus organ. This is reinforced by </w:t>
      </w:r>
      <w:r w:rsidR="00810B0A">
        <w:rPr>
          <w:rFonts w:ascii="Arial" w:hAnsi="Arial" w:cs="Arial"/>
          <w:sz w:val="20"/>
          <w:szCs w:val="20"/>
        </w:rPr>
        <w:fldChar w:fldCharType="begin" w:fldLock="1"/>
      </w:r>
      <w:r w:rsidR="00810B0A">
        <w:rPr>
          <w:rFonts w:ascii="Arial" w:hAnsi="Arial" w:cs="Arial"/>
          <w:sz w:val="20"/>
          <w:szCs w:val="20"/>
        </w:rPr>
        <w:instrText>ADDIN CSL_CITATION {"citationItems":[{"id":"ITEM-1","itemData":{"author":[{"dropping-particle":"","family":"Ayu","given":"Selviana","non-dropping-particle":"","parse-names":false,"suffix":""},{"dropping-particle":"","family":"Rahman","given":"Abdul","non-dropping-particle":"","parse-names":false,"suffix":""},{"dropping-particle":"","family":"Abidin","given":"La Ode Baytul","non-dropping-particle":"","parse-names":false,"suffix":""}],"container-title":"Jurnal Ilmiah Jurusan Budidaya Perairan","id":"ITEM-1","issue":"3","issued":{"date-parts":[["2024"]]},"page":"109-115","title":"Penggunaan Kolektor dari Bahan Waring , Kayu dan Bambu Terhadap Kelimpahan dan Pertumbuhan Spat Kerang Mutiara Pteria penguin di Pantai Desa Palabusa","type":"article-journal","volume":"9"},"uris":["http://www.mendeley.com/documents/?uuid=4eb377e3-1f6b-4f24-8436-7a688adf2edb"]}],"mendeley":{"formattedCitation":"(Ayu et al., 2024)","plainTextFormattedCitation":"(Ayu et al., 2024)","previouslyFormattedCitation":"(Ayu et al., 2024)"},"properties":{"noteIndex":0},"schema":"https://github.com/citation-style-language/schema/raw/master/csl-citation.json"}</w:instrText>
      </w:r>
      <w:r w:rsidR="00810B0A">
        <w:rPr>
          <w:rFonts w:ascii="Arial" w:hAnsi="Arial" w:cs="Arial"/>
          <w:sz w:val="20"/>
          <w:szCs w:val="20"/>
        </w:rPr>
        <w:fldChar w:fldCharType="separate"/>
      </w:r>
      <w:r w:rsidR="00810B0A" w:rsidRPr="00810B0A">
        <w:rPr>
          <w:rFonts w:ascii="Arial" w:hAnsi="Arial" w:cs="Arial"/>
          <w:noProof/>
          <w:sz w:val="20"/>
          <w:szCs w:val="20"/>
        </w:rPr>
        <w:t>(Ayu et al., 2024)</w:t>
      </w:r>
      <w:r w:rsidR="00810B0A">
        <w:rPr>
          <w:rFonts w:ascii="Arial" w:hAnsi="Arial" w:cs="Arial"/>
          <w:sz w:val="20"/>
          <w:szCs w:val="20"/>
        </w:rPr>
        <w:fldChar w:fldCharType="end"/>
      </w:r>
      <w:r w:rsidRPr="00616C6F">
        <w:rPr>
          <w:rFonts w:ascii="Arial" w:hAnsi="Arial" w:cs="Arial"/>
          <w:sz w:val="20"/>
          <w:szCs w:val="20"/>
        </w:rPr>
        <w:t xml:space="preserve"> who explained that rough surfaces are preferred by Pearl clam spat because they provide protection from currents and predators.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ISSN":"2597-5315","author":[{"dropping-particle":"","family":"Sulvina","given":"S.","non-dropping-particle":"","parse-names":false,"suffix":""},{"dropping-particle":"","family":"Noor","given":"N.","non-dropping-particle":"","parse-names":false,"suffix":""},{"dropping-particle":"","family":"Wijayanti","given":"H.","non-dropping-particle":"","parse-names":false,"suffix":""},{"dropping-particle":"","family":"Hudaidah","given":"S.","non-dropping-particle":"","parse-names":false,"suffix":""}],"container-title":"e-Jurnal Rekayasa dan Teknologi Budidaya Perairan","id":"ITEM-1","issue":"1","issued":{"date-parts":[["2015"]]},"page":"471-478","title":"Pengaruh Perbedaan Jenis Tali Terhadap Tingkat Penempelan Benih Kerang Hijau (Perna viridis)","type":"article-journal","volume":"4"},"uris":["http://www.mendeley.com/documents/?uuid=061eeb6a-c79f-4711-b759-699f45a0e5f0"]}],"mendeley":{"formattedCitation":"(Sulvina et al., 2015)","plainTextFormattedCitation":"(Sulvina et al., 2015)","previouslyFormattedCitation":"(Sulvina et al., 2015)"},"properties":{"noteIndex":0},"schema":"https://github.com/citation-style-language/schema/raw/master/csl-citation.json"}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(Sulvina et al., 2015)</w:t>
      </w:r>
      <w:r w:rsidR="0041155F">
        <w:rPr>
          <w:rFonts w:ascii="Arial" w:hAnsi="Arial" w:cs="Arial"/>
          <w:sz w:val="20"/>
          <w:szCs w:val="20"/>
        </w:rPr>
        <w:fldChar w:fldCharType="end"/>
      </w:r>
      <w:r w:rsidRPr="00616C6F">
        <w:rPr>
          <w:rFonts w:ascii="Arial" w:hAnsi="Arial" w:cs="Arial"/>
          <w:sz w:val="20"/>
          <w:szCs w:val="20"/>
        </w:rPr>
        <w:t xml:space="preserve"> found the texture of PE rope to be ideal for </w:t>
      </w:r>
      <w:proofErr w:type="spellStart"/>
      <w:r w:rsidRPr="005F4423">
        <w:rPr>
          <w:rFonts w:ascii="Arial" w:hAnsi="Arial" w:cs="Arial"/>
          <w:i/>
          <w:sz w:val="20"/>
          <w:szCs w:val="20"/>
        </w:rPr>
        <w:t>P.viridis</w:t>
      </w:r>
      <w:proofErr w:type="spellEnd"/>
      <w:r w:rsidRPr="00616C6F">
        <w:rPr>
          <w:rFonts w:ascii="Arial" w:hAnsi="Arial" w:cs="Arial"/>
          <w:sz w:val="20"/>
          <w:szCs w:val="20"/>
        </w:rPr>
        <w:t xml:space="preserve"> byssus binding compared to other </w:t>
      </w:r>
      <w:proofErr w:type="spellStart"/>
      <w:r w:rsidRPr="00616C6F">
        <w:rPr>
          <w:rFonts w:ascii="Arial" w:hAnsi="Arial" w:cs="Arial"/>
          <w:sz w:val="20"/>
          <w:szCs w:val="20"/>
        </w:rPr>
        <w:t>susbtrates</w:t>
      </w:r>
      <w:proofErr w:type="spellEnd"/>
      <w:r w:rsidRPr="00616C6F">
        <w:rPr>
          <w:rFonts w:ascii="Arial" w:hAnsi="Arial" w:cs="Arial"/>
          <w:sz w:val="20"/>
          <w:szCs w:val="20"/>
        </w:rPr>
        <w:t xml:space="preserve">. Paris cloth and white waring were less effective because their surfaces were too smooth, making it difficult for larvae to get a firm grip.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author":[{"dropping-particle":"","family":"Rosanawita","given":"Resy","non-dropping-particle":"","parse-names":false,"suffix":""},{"dropping-particle":"","family":"Dewiyanti","given":"Irma","non-dropping-particle":"","parse-names":false,"suffix":""},{"dropping-particle":"","family":"Octavina","given":"Chitra","non-dropping-particle":"","parse-names":false,"suffix":""}],"container-title":"Jurnal Ilmiah Mahasiswa Kelautan dan Perikanan Unsyiah","id":"ITEM-1","issue":"1","issued":{"date-parts":[["2017"]]},"page":"213-220","title":"Pengaruh Padat Penebaran Terhadap Pertumbuhan dan Kelangsungan Hidup Tiram (Crassostrea sp.) Effect","type":"article-journal","volume":"2"},"uris":["http://www.mendeley.com/documents/?uuid=d0d508cb-7d7f-4f6b-a8dd-4a9cfd9cadd7"]}],"mendeley":{"formattedCitation":"(Rosanawita et al., 2017)","plainTextFormattedCitation":"(Rosanawita et al., 2017)","previouslyFormattedCitation":"(Rosanawita et al., 2017)"},"properties":{"noteIndex":0},"schema":"https://github.com/citation-style-language/schema/raw/master/csl-citation.json"}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(Rosanawita et al., 2017)</w:t>
      </w:r>
      <w:r w:rsidR="0041155F">
        <w:rPr>
          <w:rFonts w:ascii="Arial" w:hAnsi="Arial" w:cs="Arial"/>
          <w:sz w:val="20"/>
          <w:szCs w:val="20"/>
        </w:rPr>
        <w:fldChar w:fldCharType="end"/>
      </w:r>
      <w:r w:rsidRPr="00616C6F">
        <w:rPr>
          <w:rFonts w:ascii="Arial" w:hAnsi="Arial" w:cs="Arial"/>
          <w:sz w:val="20"/>
          <w:szCs w:val="20"/>
        </w:rPr>
        <w:t xml:space="preserve"> explained that when spat metamorphose into spat, clams will look for a suitable environment by crawling and attaching to hard objects such as mangroves, wood, or branches.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{"citationItems":[{"id":"ITEM-1","itemData":{"DOI":"10.29239/j.agrikan.11.1.61-70","ISSN":"1979-6072","abstract":"Usaha budidaya kerang mutiara lebih banyak terarah pada kegiatan pembesaran dan produksi mutiara, sehingga kebutuhan akan spat sebagai bahan baku utama semakin meningkat. Penelitian telah dilakukan pada bulan oktober 2017 di Laboratorium Balai Pengembangan Perikanan Pantai Sekotong Lombok Barat menggunakan metoda eksperimen.Tujuan Penelitian ini adalah untuk mengetahui perbandingan kerapatan media kolektor yang berbeda terhadap proses penempelan yang lebih efektif pada larva tiram mutiara fase plantygrade di laboratorium. Hasil yang di peroleh pada perlakuan P2 Media substrat/kolektor kerapatan 80% sangat baik dan cukup padat yaitu sebanyak 370 ekor spat/substrat. Sedangkan penempelan spat terendah ditemukan pada perlakuan P1 Media kolektor kerapatan 50% sebanyak 217 ekor spat/substrat. Dapat disimpulkan bahwa semakin lebar kerapatan media kolektor maka semakin kecil proses penempelan larva fase plantygrade. Berdasarkan analisis statistik bahwa kerapatan 50% perlakuan P1 dan perlakuan P2 menunjukan adanyan berbeda nyata, dimana Thitung (1,561) &lt; Ttabel (2.228) ini berarti penempelan larva menggunakan substrat/kolektor kerapatan 50% dengan 80% yang berbeda tetapi tidak berpengaruh pada penempelan larva tiram mutiara fase plantygrade. Hasil pengamatan nilai rata-rata kualitas perairan seperti; Suhu 28,9 0C, pH 7,1, Salinitas 33 ppt, dan DO 5,9  ppm. Pemberian jenis pakan alami terhadap tiram mutiara pada fase plantygrade antara lain yaitu fitoplankton jenis  Isochrysis galbana, Chaetoceros simplex dan Nannoclhoropsis sp.","author":[{"dropping-particle":"","family":"Kotta","given":"Raismin","non-dropping-particle":"","parse-names":false,"suffix":""}],"container-title":"Agrikan: Jurnal Agribisnis Perikanan","id":"ITEM-1","issue":"1","issued":{"date-parts":[["2018"]]},"page":"61","title":"Efek Perbedaan Kerapatan Media Substrat Terhadap Proses Penempelan Larva Tiram Mutiara (Pinctada maxima)","type":"article-journal","volume":"11"},"uris":["http://www.mendeley.com/documents/?uuid=9b98fbb7-c896-4e7b-8739-6514ec74f2e2"]}],"mendeley":{"formattedCitation":"(Kotta, 2018)","plainTextFormattedCitation":"(Kotta, 2018)","previouslyFormattedCitation":"(Kotta, 2018)"},"properties":{"noteIndex":0},"schema":"https://github.com/citation-style-language/schema/raw/master/csl-citation.json"}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(Kotta, 2018)</w:t>
      </w:r>
      <w:r w:rsidR="0041155F">
        <w:rPr>
          <w:rFonts w:ascii="Arial" w:hAnsi="Arial" w:cs="Arial"/>
          <w:sz w:val="20"/>
          <w:szCs w:val="20"/>
        </w:rPr>
        <w:fldChar w:fldCharType="end"/>
      </w:r>
      <w:r w:rsidRPr="00616C6F">
        <w:rPr>
          <w:rFonts w:ascii="Arial" w:hAnsi="Arial" w:cs="Arial"/>
          <w:sz w:val="20"/>
          <w:szCs w:val="20"/>
        </w:rPr>
        <w:t xml:space="preserve"> added that at an optimal density with a suitable substrate, spat can develop well, while a tenuous substrate makes it difficult fo</w:t>
      </w:r>
      <w:r>
        <w:rPr>
          <w:rFonts w:ascii="Arial" w:hAnsi="Arial" w:cs="Arial"/>
          <w:sz w:val="20"/>
          <w:szCs w:val="20"/>
        </w:rPr>
        <w:t>r the larval attachment process</w:t>
      </w:r>
      <w:r w:rsidR="008F5F9A" w:rsidRPr="00D37A5A">
        <w:rPr>
          <w:rFonts w:ascii="Arial" w:hAnsi="Arial" w:cs="Arial"/>
          <w:sz w:val="20"/>
          <w:szCs w:val="20"/>
        </w:rPr>
        <w:t>.</w:t>
      </w:r>
    </w:p>
    <w:p w14:paraId="4AE66D8B" w14:textId="77777777" w:rsidR="00616C6F" w:rsidRPr="00616C6F" w:rsidRDefault="00616C6F" w:rsidP="00C906B9">
      <w:pPr>
        <w:widowControl/>
        <w:autoSpaceDE/>
        <w:jc w:val="both"/>
        <w:rPr>
          <w:rFonts w:ascii="Arial" w:hAnsi="Arial" w:cs="Arial"/>
          <w:b/>
          <w:sz w:val="20"/>
          <w:szCs w:val="20"/>
          <w:lang w:val="id-ID"/>
        </w:rPr>
      </w:pPr>
    </w:p>
    <w:p w14:paraId="05053F19" w14:textId="77777777" w:rsidR="000E4495" w:rsidRPr="00D37A5A" w:rsidRDefault="005C20C8" w:rsidP="00C906B9">
      <w:pPr>
        <w:widowControl/>
        <w:autoSpaceDE/>
        <w:jc w:val="both"/>
        <w:rPr>
          <w:rFonts w:ascii="Arial" w:eastAsia="Times New Roman" w:hAnsi="Arial" w:cs="Arial"/>
          <w:b/>
          <w:sz w:val="20"/>
          <w:szCs w:val="20"/>
          <w:lang w:val="id-ID"/>
        </w:rPr>
      </w:pPr>
      <w:r>
        <w:rPr>
          <w:rFonts w:ascii="Arial" w:hAnsi="Arial" w:cs="Arial"/>
          <w:b/>
          <w:sz w:val="20"/>
          <w:szCs w:val="20"/>
        </w:rPr>
        <w:t xml:space="preserve">3.4 </w:t>
      </w:r>
      <w:r w:rsidR="0086256E" w:rsidRPr="0086256E">
        <w:rPr>
          <w:rFonts w:ascii="Arial" w:hAnsi="Arial" w:cs="Arial"/>
          <w:b/>
          <w:sz w:val="20"/>
          <w:szCs w:val="20"/>
          <w:lang w:val="id-ID"/>
        </w:rPr>
        <w:t>Container Bottom Density</w:t>
      </w:r>
    </w:p>
    <w:p w14:paraId="35524E24" w14:textId="77777777" w:rsidR="009B3286" w:rsidRPr="00D37A5A" w:rsidRDefault="00A82995" w:rsidP="00D37A5A">
      <w:pPr>
        <w:pStyle w:val="ListParagraph"/>
        <w:ind w:left="360" w:firstLine="0"/>
        <w:jc w:val="both"/>
        <w:rPr>
          <w:rFonts w:eastAsia="Times New Roman"/>
          <w:sz w:val="20"/>
          <w:szCs w:val="20"/>
        </w:rPr>
      </w:pPr>
      <w:r>
        <w:rPr>
          <w:rFonts w:eastAsia="Times New Roman"/>
          <w:noProof/>
          <w:sz w:val="20"/>
          <w:szCs w:val="20"/>
        </w:rPr>
        <w:drawing>
          <wp:inline distT="0" distB="0" distL="0" distR="0" wp14:anchorId="30B1C536" wp14:editId="11130CBE">
            <wp:extent cx="2380229" cy="1423284"/>
            <wp:effectExtent l="0" t="0" r="1270" b="571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5459" cy="1426412"/>
                    </a:xfrm>
                    <a:prstGeom prst="rect">
                      <a:avLst/>
                    </a:prstGeom>
                    <a:noFill/>
                  </pic:spPr>
                </pic:pic>
              </a:graphicData>
            </a:graphic>
          </wp:inline>
        </w:drawing>
      </w:r>
    </w:p>
    <w:p w14:paraId="318C8D6D" w14:textId="77777777" w:rsidR="00D65E18" w:rsidRPr="00C906B9" w:rsidRDefault="0086256E" w:rsidP="00E54E15">
      <w:pPr>
        <w:pStyle w:val="Caption"/>
        <w:ind w:left="360"/>
        <w:jc w:val="both"/>
        <w:rPr>
          <w:rFonts w:ascii="Arial" w:hAnsi="Arial" w:cs="Arial"/>
          <w:lang w:val="id-ID"/>
        </w:rPr>
      </w:pPr>
      <w:r w:rsidRPr="0086256E">
        <w:rPr>
          <w:rFonts w:ascii="Arial" w:hAnsi="Arial" w:cs="Arial"/>
        </w:rPr>
        <w:t>Figure 13: Density at the bottom of the container</w:t>
      </w:r>
    </w:p>
    <w:p w14:paraId="781A59F9" w14:textId="77777777" w:rsidR="00616C6F" w:rsidRDefault="00616C6F" w:rsidP="00E54E15">
      <w:pPr>
        <w:widowControl/>
        <w:autoSpaceDE/>
        <w:ind w:left="360" w:firstLine="720"/>
        <w:jc w:val="both"/>
        <w:rPr>
          <w:rFonts w:ascii="Arial" w:hAnsi="Arial" w:cs="Arial"/>
          <w:sz w:val="20"/>
          <w:szCs w:val="20"/>
          <w:lang w:val="id-ID"/>
        </w:rPr>
      </w:pPr>
      <w:r w:rsidRPr="00616C6F">
        <w:rPr>
          <w:rFonts w:ascii="Arial" w:hAnsi="Arial" w:cs="Arial"/>
          <w:sz w:val="20"/>
          <w:szCs w:val="20"/>
          <w:lang w:val="id-ID"/>
        </w:rPr>
        <w:t>From the data above, it can be seen that the P2 treatment (Rope) shows higher density results compared to the other treatments. P2 treatment is significantly different from P1 (80% Paranet), P3 (Waring) and P4 (Paris cloth) (notation). The second density was shown in P3 (Waring) with results that were not significantly different from P4 (Paris cloth) and P1 (Paranet 80%). The lowest density was aimed at P1 (80% paranet).</w:t>
      </w:r>
    </w:p>
    <w:p w14:paraId="25FA9B52" w14:textId="77777777" w:rsidR="000E4495" w:rsidRDefault="00616C6F" w:rsidP="00E54E15">
      <w:pPr>
        <w:widowControl/>
        <w:autoSpaceDE/>
        <w:ind w:left="360" w:firstLine="720"/>
        <w:jc w:val="both"/>
        <w:rPr>
          <w:rFonts w:ascii="Arial" w:hAnsi="Arial" w:cs="Arial"/>
          <w:sz w:val="20"/>
          <w:szCs w:val="20"/>
          <w:lang w:val="id-ID"/>
        </w:rPr>
      </w:pPr>
      <w:r w:rsidRPr="00616C6F">
        <w:rPr>
          <w:rFonts w:ascii="Arial" w:hAnsi="Arial" w:cs="Arial"/>
          <w:sz w:val="20"/>
          <w:szCs w:val="20"/>
        </w:rPr>
        <w:t>At the bottom of the container, the density of spat on the pe rope reached a fairly high number of 6.91 individuals/cm</w:t>
      </w:r>
      <w:r w:rsidRPr="00F55F97">
        <w:rPr>
          <w:rFonts w:ascii="Arial" w:hAnsi="Arial" w:cs="Arial"/>
          <w:sz w:val="20"/>
          <w:szCs w:val="20"/>
          <w:vertAlign w:val="superscript"/>
        </w:rPr>
        <w:t>2</w:t>
      </w:r>
      <w:r w:rsidRPr="00616C6F">
        <w:rPr>
          <w:rFonts w:ascii="Arial" w:hAnsi="Arial" w:cs="Arial"/>
          <w:sz w:val="20"/>
          <w:szCs w:val="20"/>
        </w:rPr>
        <w:t xml:space="preserve">, far exceeding the density in the water column.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{"citationItems":[{"id":"ITEM-1","itemData":{"DOI":"10.1007/s12562-021-01550-5","ISBN":"1256202101550","ISSN":"14442906","abstract":"Mussels are a group of bivalves that includes the dominant species of shallow-sea, freshwater, and deep-sea chemosynthetic ecosystems. Mussels cling to various solid underwater surfaces using a proteinaceous thread, called the byssus, which is central to their ecology, physiology, and evolution. Mussels cluster using their byssi to form “mussel beds,” thereby increasing their biomass per unit of habitat area, and also creating habitats for other organisms. Clustered mussels actively filter feed to obtain nutrients, but also ingest pollutants and suspended particles; thus, mussels are good subjects for pollution analyses, especially for microplastic pollution. The byssus also facilitates invasiveness, allowing mussels to hitchhike on ships, and to utilize other man-made structures, including quay walls and power plant inlets, which are less attractive to native species. Physiologically, mussels have adapted to environmental stressors associated with a sessile lifestyle. Osmotic adaptation is especially important for life in intertidal zones, and taurine is a major component of that adaptation. Taurine accumulation systems have also been modified to adapt to sulfide-rich environments near deep-sea hydrothermal vents. The byssus may have also enabled access to vent environments, allowing mussels to attach to “evolutionary stepping stones” and also to vent chimneys.","author":[{"dropping-particle":"","family":"Inoue","given":"Koji","non-dropping-particle":"","parse-names":false,"suffix":""},{"dropping-particle":"","family":"Onitsuka","given":"Yuri","non-dropping-particle":"","parse-names":false,"suffix":""},{"dropping-particle":"","family":"Koito","given":"Tomoko","non-dropping-particle":"","parse-names":false,"suffix":""}],"container-title":"Fisheries Science","id":"ITEM-1","issue":"6","issued":{"date-parts":[["2021"]]},"page":"761-771","publisher":"Springer Japan","title":"Mussel biology: from the byssus to ecology and physiology, including microplastic ingestion and deep-sea adaptations","type":"article-journal","volume":"87"},"uris":["http://www.mendeley.com/documents/?uuid=76c64ca2-8f6a-442f-a32d-cf1aaca0cf87"]}],"mendeley":{"formattedCitation":"(Inoue et al., 2021)","plainTextFormattedCitation":"(Inoue et al., 2021)","previouslyFormattedCitation":"(Inoue et al., 2021)"},"properties":{"noteIndex":0},"schema":"https://github.com/citation-style-language/schema/raw/master/csl-citation.json"}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(Inoue et al., 2021)</w:t>
      </w:r>
      <w:r w:rsidR="0041155F">
        <w:rPr>
          <w:rFonts w:ascii="Arial" w:hAnsi="Arial" w:cs="Arial"/>
          <w:sz w:val="20"/>
          <w:szCs w:val="20"/>
        </w:rPr>
        <w:fldChar w:fldCharType="end"/>
      </w:r>
      <w:r w:rsidRPr="00616C6F">
        <w:rPr>
          <w:rFonts w:ascii="Arial" w:hAnsi="Arial" w:cs="Arial"/>
          <w:sz w:val="20"/>
          <w:szCs w:val="20"/>
        </w:rPr>
        <w:t xml:space="preserve"> showed that the byssus is very important as a tool for attachment, so that clams can adapt to changes in the aquatic environment, while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{"citationItems":[{"id":"ITEM-1","itemData":{"DOI":"10.30598/pattimurasci.2020.snpk19.249-258","ISBN":"9786025943270","abstract":"Perairan pantai pulau Ay memiliki sumberdaya hayati laut yang sangat beragam sehingga berpotensi untuk meningkatkan kesejahteraan masyarakatnya diantaranya bivalvia. Bivalvia dapat dimanfaatkan sebagai bahan makanan, kerajinan serta mempunyai kandungan gizi yang tinggi. Tujuan penelitian ini adalah untuk mengetahui jenis-jenis bivalvia, keragaman bivalvia dan frekuensi kehadiran bivalvia di perairan pantai Pulau Ay Kecamatan Banda Kabupaten Maluku Tengah. Penelitian ini dilaksanakan pada bulan November sampai Desember 2018 dengan menggunakan metode transek kuadrat untuk pengamatan biota di lokasi penelitian dengan ukuran 1 x 1 m. Analisis data menggunakan Indeks Shannon Wiener. Hasil penelitian menunjukkan bahwa bivalvia yang ditemukan di perairan pantai Pulau Ay Kecamatan Banda Kabupaten Maluku Tengah adalah 8 jenis diantaranya Scapharca pilula, Sunneta truncata, Pinna muricata, Amusium pleuronectes, Tellina remies, Spondylus barbatus, Pinctada maxima, Tridacna gigas dengan total jumlah individu sebesar 46 individu. Indeks keragaman jenis bivalvia sebesar 1,6. Frekuensi kehadiran total bivalvia pada perairan pantai Pulau Ay adalah sebesar 82,81% yang menyatakan kehadiran sering/absolut","author":[{"dropping-particle":"","family":"Natsir","given":"Nur Alim","non-dropping-particle":"","parse-names":false,"suffix":""},{"dropping-particle":"","family":"Allifah AF","given":"Asyik Nur","non-dropping-particle":"","parse-names":false,"suffix":""}],"container-title":"Pattimura Proceeding: Conference of Science and Technology","id":"ITEM-1","issued":{"date-parts":[["2019"]]},"page":"249-258","title":"Analisis Frekuensi Dan Keragaman Bivalvia Di Perairan Pantai Pulau Ay Kecamatan Banda Kabupaten Maluku Tengah","type":"article-journal"},"uris":["http://www.mendeley.com/documents/?uuid=2d0c9933-968b-4dcc-9b8a-0672b07241a6"]}],"mendeley":{"formattedCitation":"(Natsir &amp; Allifah AF, 2019)","plainTextFormattedCitation":"(Natsir &amp; Allifah AF, 2019)","previouslyFormattedCitation":"(Natsir &amp; Allifah AF, 2019)"},"properties":{"noteIndex":0},"schema":"https://github.com/citation-style-language/schema/raw/master/csl-citation.json"}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(Natsir &amp; Allifah AF, 2019)</w:t>
      </w:r>
      <w:r w:rsidR="0041155F">
        <w:rPr>
          <w:rFonts w:ascii="Arial" w:hAnsi="Arial" w:cs="Arial"/>
          <w:sz w:val="20"/>
          <w:szCs w:val="20"/>
        </w:rPr>
        <w:fldChar w:fldCharType="end"/>
      </w:r>
      <w:r w:rsidRPr="00616C6F">
        <w:rPr>
          <w:rFonts w:ascii="Arial" w:hAnsi="Arial" w:cs="Arial"/>
          <w:sz w:val="20"/>
          <w:szCs w:val="20"/>
        </w:rPr>
        <w:t xml:space="preserve"> in the Bivalve group that lives attached, there is a significant anatomical modification they developed a special organ called byssus, a complex protein thread structure allows them to adhere strongly to hard surfaces such as rocks or man-made structures. The high density at the bottom is supported by the abundance of organic material and detritus as a nutrient source, coupled with currents that carry more food particles. </w:t>
      </w:r>
      <w:r w:rsidR="0041155F">
        <w:rPr>
          <w:rFonts w:ascii="Arial" w:hAnsi="Arial" w:cs="Arial"/>
          <w:sz w:val="20"/>
          <w:szCs w:val="20"/>
        </w:rPr>
        <w:fldChar w:fldCharType="begin" w:fldLock="1"/>
      </w:r>
      <w:r w:rsidR="0041155F">
        <w:rPr>
          <w:rFonts w:ascii="Arial" w:hAnsi="Arial" w:cs="Arial"/>
          <w:sz w:val="20"/>
          <w:szCs w:val="20"/>
        </w:rPr>
        <w:instrText>ADDIN CSL_CITATION {"citationItems":[{"id":"ITEM-1","itemData":{"DOI":"10.35800/jplt.10.3.2022.55017","abstract":" \r Research of mussel attachment, Septiver billocularis was carried out on the intertidal zone of coastal Tiwoho, north Sulawesi. The objectives of this study were 1) to identify type of substrates (organic and inorganic) to be attached by box mussel Septifer bilocularis, 2) to identify substrate preferences of Septifer bilocularis settlement. 3) to know the favorite position of settlement in mussel aggregation. The PVC plate has 16 holes, each with diameter of 1.8 cm, which had been filled randomly with organic substrate of coconut fibers and palm fibers, and mussel shell with byssus threads, then inorganic with plastic rope. Each substrate had 4 replicates. The PVC plate, four replications, each was placed at edge and middle of large aggregation, the PVC plate with substrates was also placed in isolated aggregation. All PVC plates were placed in intertidal Tiwoho for 1.5 months. The settlement data were analyzed using a Two-Way ANOVA with substrata and position in patch as the main factor. Before running the test, data were transformed using arcsin. The results showed that the settlement of box mussel (&lt; 1 mm) attached to organic substrata such as coconut and palm fibers, as well as inorganic substrates, plastic rope. Settlement of box mussels on shells with byssus threads had sizes ranging from &gt; 1 mm to - &lt; 3 mm. A Two-way ANOVA test shows that settlement was not affected by substrata (P &gt; 0.05), the settlement of box mussel was affected by position in aggregation (P &lt; 0.05). Factors such as the effect of physical, chemical, and biological on box mussel settlement are discussed.\r Keywords: Aggregation, Attachment, Shellfish, Substrate, Tiwoho Coast\r ABSTRAK\r `           Penelitian penempelan kerang Septiver bilocularis pada substrat telah dilakukan di zona intertidal di pesisir Tiwoho, Sulawesi Utara. Tujuan dari penelitian ini adalah 1) untuk mengidentifikasi jenis-jenis substrat organik dan non organik yang menjadi substrat penempelan kerang Septifer bilocularis, 2) untuk mengidentifikasi substrat preferensi (favorit) pada penempelan kerang Septifer bilocularis. 3) untuk mengetahui posisi favorit penempelan dalam agregasi kerang. Plat PVC memiliki 16 lubang dengan diameter masing-masing 1,8 cm yang telah diisi secara acak dengan substrat organik serabut kelapa, serabut pohon seho, dan cangkan dengan byssus, serta substrat inorganik tali plastic. Setiap substrat memiliki 4 ulangan. Plat PVC dengan substrat ditempatkan di posisi pinggir dan tengah a…","author":[{"dropping-particle":"","family":"Wagiu","given":"Farrel J. G.","non-dropping-particle":"","parse-names":false,"suffix":""},{"dropping-particle":"","family":"Ompi","given":"Medy","non-dropping-particle":"","parse-names":false,"suffix":""},{"dropping-particle":"","family":"Kaligis","given":"Erly Y.","non-dropping-particle":"","parse-names":false,"suffix":""},{"dropping-particle":"","family":"Rimper","given":"Joice R. T. S. L.","non-dropping-particle":"","parse-names":false,"suffix":""},{"dropping-particle":"","family":"Roeroe","given":"Kakaskasen A.","non-dropping-particle":"","parse-names":false,"suffix":""},{"dropping-particle":"","family":"Manginsela","given":"Fransine B.","non-dropping-particle":"","parse-names":false,"suffix":""}],"container-title":"Jurnal Pesisir Dan Laut Tropis","id":"ITEM-1","issue":"3","issued":{"date-parts":[["2022"]]},"page":"325-331","title":"PENEMPELAN KERANG Septifer bilocularis PADA SUBSTRAT DALAM AGREGASI KERANG DI DAERAH PASANG SURUT PESISIR TIWOHO","type":"article-journal","volume":"10"},"uris":["http://www.mendeley.com/documents/?uuid=1ab9fa54-9c5c-4333-9c16-00be826b401b"]}],"mendeley":{"formattedCitation":"(Wagiu et al., 2022)","plainTextFormattedCitation":"(Wagiu et al., 2022)","previouslyFormattedCitation":"(Wagiu et al., 2022)"},"properties":{"noteIndex":0},"schema":"https://github.com/citation-style-language/schema/raw/master/csl-citation.json"}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(Wagiu et al., 2022)</w:t>
      </w:r>
      <w:r w:rsidR="0041155F">
        <w:rPr>
          <w:rFonts w:ascii="Arial" w:hAnsi="Arial" w:cs="Arial"/>
          <w:sz w:val="20"/>
          <w:szCs w:val="20"/>
        </w:rPr>
        <w:fldChar w:fldCharType="end"/>
      </w:r>
      <w:r w:rsidRPr="00616C6F">
        <w:rPr>
          <w:rFonts w:ascii="Arial" w:hAnsi="Arial" w:cs="Arial"/>
          <w:sz w:val="20"/>
          <w:szCs w:val="20"/>
        </w:rPr>
        <w:t xml:space="preserve"> revealed that the substrate plays an important role in encouraging larvae to go down to the bottom of the water and attach to preferred substrates. </w:t>
      </w:r>
      <w:r w:rsidR="0041155F">
        <w:rPr>
          <w:rFonts w:ascii="Arial" w:hAnsi="Arial" w:cs="Arial"/>
          <w:sz w:val="20"/>
          <w:szCs w:val="20"/>
        </w:rPr>
        <w:fldChar w:fldCharType="begin" w:fldLock="1"/>
      </w:r>
      <w:r w:rsidR="00810B0A">
        <w:rPr>
          <w:rFonts w:ascii="Arial" w:hAnsi="Arial" w:cs="Arial"/>
          <w:sz w:val="20"/>
          <w:szCs w:val="20"/>
        </w:rPr>
        <w:instrText>ADDIN CSL_CITATION {"citationItems":[{"id":"ITEM-1","itemData":{"DOI":"10.24002/biota.v2i1.1689","ISSN":"2527-3221","abstract":"Bivalvia merupakan kelompok biota laut sebagai komponen yang penting penyusun ekosistem perairan. Bivalvia merupakan salah satu kelompok organisme invertebrata yang banyak ditemukan dan hidup di daerah pesisir pantai. Pantai Juata Laut Tarakan merupakan salah satu penyebaran Bivalvia yang sangat baik. Meningkatnya eksploitasi Bivalvia menjadi bahan makanan di Kota Tarakan merupakan salah satu faktor yang mengakibatkan penurunan populasi Bivalvia. Tujuan penelitian ini untuk mempelajari struktur komunitas dan pola sebaran Bivalvia di Pantai Juata Laut Tarakan. Metode yang digunakan adalah Belt Transects dengan membuat plot ukuran 1x1 meter. Komunitas Bivalvia di Pantai Juata Laut terdiri dari Anadara granosa dan Polymesoda erosa. Pola sebaran Bivalvia di lokasi tersebut seragam. Pengukuran parameter lingkungan menunjukan komposisi substrat di Pantai Juata laut berupa lumpur berpasir yang memiliki banyak kandungan organik. Kualitas perairan di lokasi ini masih tergolong baik untuk kehidupan Bivalvia.","author":[{"dropping-particle":"","family":"Toding bua","given":"Agustinus","non-dropping-particle":"","parse-names":false,"suffix":""}],"container-title":"Biota : Jurnal Ilmiah Ilmu-Ilmu Hayati","id":"ITEM-1","issue":"1","issued":{"date-parts":[["2017"]]},"page":"29-36","title":"Struktur Komunitas Bivalvia di Pantai Juata Laut, Tarakan, Kalimantan Utara","type":"article-journal","volume":"2"},"uris":["http://www.mendeley.com/documents/?uuid=cf5940e1-0bb4-4001-9c15-a012b2eb2c5f"]}],"mendeley":{"formattedCitation":"(Toding bua, 2017)","plainTextFormattedCitation":"(Toding bua, 2017)","previouslyFormattedCitation":"(Toding bua, 2017)"},"properties":{"noteIndex":0},"schema":"https://github.com/citation-style-language/schema/raw/master/csl-citation.json"}</w:instrText>
      </w:r>
      <w:r w:rsidR="0041155F">
        <w:rPr>
          <w:rFonts w:ascii="Arial" w:hAnsi="Arial" w:cs="Arial"/>
          <w:sz w:val="20"/>
          <w:szCs w:val="20"/>
        </w:rPr>
        <w:fldChar w:fldCharType="separate"/>
      </w:r>
      <w:r w:rsidR="0041155F" w:rsidRPr="0041155F">
        <w:rPr>
          <w:rFonts w:ascii="Arial" w:hAnsi="Arial" w:cs="Arial"/>
          <w:noProof/>
          <w:sz w:val="20"/>
          <w:szCs w:val="20"/>
        </w:rPr>
        <w:t>(Toding bua, 2017)</w:t>
      </w:r>
      <w:r w:rsidR="0041155F">
        <w:rPr>
          <w:rFonts w:ascii="Arial" w:hAnsi="Arial" w:cs="Arial"/>
          <w:sz w:val="20"/>
          <w:szCs w:val="20"/>
        </w:rPr>
        <w:fldChar w:fldCharType="end"/>
      </w:r>
      <w:r w:rsidRPr="00616C6F">
        <w:rPr>
          <w:rFonts w:ascii="Arial" w:hAnsi="Arial" w:cs="Arial"/>
          <w:sz w:val="20"/>
          <w:szCs w:val="20"/>
        </w:rPr>
        <w:t xml:space="preserve"> added that Bivalves are generally distributed in coastal waters with muddy bottoms mixed with sand, although some species can live on shell substrates such as clay and wood. </w:t>
      </w:r>
      <w:r w:rsidR="00810B0A">
        <w:rPr>
          <w:rFonts w:ascii="Arial" w:hAnsi="Arial" w:cs="Arial"/>
          <w:sz w:val="20"/>
          <w:szCs w:val="20"/>
        </w:rPr>
        <w:fldChar w:fldCharType="begin" w:fldLock="1"/>
      </w:r>
      <w:r w:rsidR="00810B0A">
        <w:rPr>
          <w:rFonts w:ascii="Arial" w:hAnsi="Arial" w:cs="Arial"/>
          <w:sz w:val="20"/>
          <w:szCs w:val="20"/>
        </w:rPr>
        <w:instrText>ADDIN CSL_CITATION {"citationItems":[{"id":"ITEM-1","itemData":{"DOI":"10.14710/jmr.v12i4.34119","abstract":"Kerang darah (Anadara granosa) merupakan biota laut dalam kelas bivalvia yang kebanyakan hidup di dasar perairan laut yang berlumpur atau berpasir. Pertumbuhan kerang darah dapat diamati dengan melihat pertambahan ukuran cangkang kerang. Penelitian ini bertujuan untuk mengetahui hubungan antara panjang cangkang dengan berat total dan faktor kondisi kerang darah. Pengambilan sampel dilakukan pada bulan Agustus hingga September 2021 dengan metode purposive sampling pada tiga stasiun berbeda. Parameter morfometri yang diamati meliputi panjang cangkang dan berat total sampel kerang darah. Pengukuran panjang cangkang kerang dilakukan menggunakan jangka sorong. Panjang cangkang kerang diukur dari ujung anterior sampai ujung posterior. Berat total kerang darah diukur menggunakan neraca digital. Pengukuran berat total kerang dilakukan dengan menimbang keseluruhan cangkang dan dagingnya yang masih menyatu. Parameter morfometri kerang darah pada penelitian kali ini memiliki pola hubungan alometrik negatif dimana nilai b &lt; 3 yang berarti pertambahan panjang lebih cepat daripada pertambahan berat. Faktor kondisi menghasilkan nilai yang relatif sama pada setiap stasiun penelitian. Faktor yang mempengaruhi pertumbuhan kerang darah antara lain, adanya perubahan ketersediaan makanan, kondisi perairan yang berubah-ubah pada tiap waktu dan lokasi pengambilan sampel, perbedaan lokasi pengambilan sampel serta adanya proses pemijahan. Blood cockles (Anadara granosa) are marine biota in the bivalves class that mostly live on the bottom of muddy or sandy sea waters. The growth of blood cockles can be observed by looking at the increase in the size of the cockle shells. The purpose of this research is to determine the relationship between shell length and total weight and condition factor of blood cockles. Sampling has been done from August to September 2021 using the purposive sampling method at three different stations. The morphometric parameters observed included shell length and total weight of the blood cockles’ sample. The length of the shells was measured using a caliper. The length of the cockle shell was measured from the anterior end to the posterior end. The total weight of blood cockles was measured using a digital balance. The measurement of the total weight of the cockles was done by weighing the whole shell and the meat that was still fused together. The morphometric parameters of blood cockles in this research have a negative allometric relationship pattern wh…","author":[{"dropping-particle":"","family":"Alburhana","given":"Lathifatusy Syifa","non-dropping-particle":"","parse-names":false,"suffix":""},{"dropping-particle":"","family":"Setyati","given":"Wilis Ari","non-dropping-particle":"","parse-names":false,"suffix":""},{"dropping-particle":"","family":"Redjeki","given":"Sri","non-dropping-particle":"","parse-names":false,"suffix":""}],"container-title":"Journal of Marine Research","id":"ITEM-1","issue":"4","issued":{"date-parts":[["2023"]]},"page":"746-753","title":"Hubungan Panjang Berat Kerang Darah (Anadara granosa) di Perairan Berahan Kulon, Demak","type":"article-journal","volume":"12"},"uris":["http://www.mendeley.com/documents/?uuid=74eb48ff-8a3d-4d0a-82ed-3817ffc23141"]}],"mendeley":{"formattedCitation":"(Alburhana et al., 2023)","plainTextFormattedCitation":"(Alburhana et al., 2023)","previouslyFormattedCitation":"(Alburhana et al., 2023)"},"properties":{"noteIndex":0},"schema":"https://github.com/citation-style-language/schema/raw/master/csl-citation.json"}</w:instrText>
      </w:r>
      <w:r w:rsidR="00810B0A">
        <w:rPr>
          <w:rFonts w:ascii="Arial" w:hAnsi="Arial" w:cs="Arial"/>
          <w:sz w:val="20"/>
          <w:szCs w:val="20"/>
        </w:rPr>
        <w:fldChar w:fldCharType="separate"/>
      </w:r>
      <w:r w:rsidR="00810B0A" w:rsidRPr="00810B0A">
        <w:rPr>
          <w:rFonts w:ascii="Arial" w:hAnsi="Arial" w:cs="Arial"/>
          <w:noProof/>
          <w:sz w:val="20"/>
          <w:szCs w:val="20"/>
        </w:rPr>
        <w:t>(Alburhana et al., 2023)</w:t>
      </w:r>
      <w:r w:rsidR="00810B0A">
        <w:rPr>
          <w:rFonts w:ascii="Arial" w:hAnsi="Arial" w:cs="Arial"/>
          <w:sz w:val="20"/>
          <w:szCs w:val="20"/>
        </w:rPr>
        <w:fldChar w:fldCharType="end"/>
      </w:r>
      <w:r w:rsidRPr="00616C6F">
        <w:rPr>
          <w:rFonts w:ascii="Arial" w:hAnsi="Arial" w:cs="Arial"/>
          <w:sz w:val="20"/>
          <w:szCs w:val="20"/>
        </w:rPr>
        <w:t xml:space="preserve"> highlighted the ability of Bivalves to live for long periods in bottom substrates, making them good</w:t>
      </w:r>
      <w:r>
        <w:rPr>
          <w:rFonts w:ascii="Arial" w:hAnsi="Arial" w:cs="Arial"/>
          <w:sz w:val="20"/>
          <w:szCs w:val="20"/>
        </w:rPr>
        <w:t xml:space="preserve"> bioindicators of water quality</w:t>
      </w:r>
      <w:r w:rsidR="00E777D2" w:rsidRPr="00D37A5A">
        <w:rPr>
          <w:rFonts w:ascii="Arial" w:hAnsi="Arial" w:cs="Arial"/>
          <w:sz w:val="20"/>
          <w:szCs w:val="20"/>
        </w:rPr>
        <w:t xml:space="preserve">. </w:t>
      </w:r>
      <w:r w:rsidRPr="00616C6F">
        <w:rPr>
          <w:rFonts w:ascii="Arial" w:hAnsi="Arial" w:cs="Arial"/>
          <w:sz w:val="20"/>
          <w:szCs w:val="20"/>
        </w:rPr>
        <w:t xml:space="preserve">Despite high densities, </w:t>
      </w:r>
      <w:r w:rsidR="00810B0A">
        <w:rPr>
          <w:rFonts w:ascii="Arial" w:hAnsi="Arial" w:cs="Arial"/>
          <w:sz w:val="20"/>
          <w:szCs w:val="20"/>
        </w:rPr>
        <w:fldChar w:fldCharType="begin" w:fldLock="1"/>
      </w:r>
      <w:r w:rsidR="00810B0A">
        <w:rPr>
          <w:rFonts w:ascii="Arial" w:hAnsi="Arial" w:cs="Arial"/>
          <w:sz w:val="20"/>
          <w:szCs w:val="20"/>
        </w:rPr>
        <w:instrText>ADDIN CSL_CITATION {"citationItems":[{"id":"ITEM-1","itemData":{"author":[{"dropping-particle":"","family":"Hakim","given":"Ghani","non-dropping-particle":"","parse-names":false,"suffix":""},{"dropping-particle":"","family":"Taufiq-spj","given":"Nur","non-dropping-particle":"","parse-names":false,"suffix":""},{"dropping-particle":"","family":"Redjeki","given":"Sri","non-dropping-particle":"","parse-names":false,"suffix":""}],"container-title":"Journal of Marine Research","id":"ITEM-1","issue":"4","issued":{"date-parts":[["2024"]]},"page":"617-624","title":"Variasi Ukuran Kerang Hijau ( Perna viridis ) Di Pesisir Tambak Lorok , Semarang","type":"article-journal","volume":"13"},"uris":["http://www.mendeley.com/documents/?uuid=85f2763e-75a6-40c5-b2f3-e824e53ec226"]}],"mendeley":{"formattedCitation":"(Hakim et al., 2024)","plainTextFormattedCitation":"(Hakim et al., 2024)","previouslyFormattedCitation":"(Hakim et al., 2024)"},"properties":{"noteIndex":0},"schema":"https://github.com/citation-style-language/schema/raw/master/csl-citation.json"}</w:instrText>
      </w:r>
      <w:r w:rsidR="00810B0A">
        <w:rPr>
          <w:rFonts w:ascii="Arial" w:hAnsi="Arial" w:cs="Arial"/>
          <w:sz w:val="20"/>
          <w:szCs w:val="20"/>
        </w:rPr>
        <w:fldChar w:fldCharType="separate"/>
      </w:r>
      <w:r w:rsidR="00810B0A" w:rsidRPr="00810B0A">
        <w:rPr>
          <w:rFonts w:ascii="Arial" w:hAnsi="Arial" w:cs="Arial"/>
          <w:noProof/>
          <w:sz w:val="20"/>
          <w:szCs w:val="20"/>
        </w:rPr>
        <w:t>(Hakim et al., 2024)</w:t>
      </w:r>
      <w:r w:rsidR="00810B0A">
        <w:rPr>
          <w:rFonts w:ascii="Arial" w:hAnsi="Arial" w:cs="Arial"/>
          <w:sz w:val="20"/>
          <w:szCs w:val="20"/>
        </w:rPr>
        <w:fldChar w:fldCharType="end"/>
      </w:r>
      <w:r w:rsidRPr="00616C6F">
        <w:rPr>
          <w:rFonts w:ascii="Arial" w:hAnsi="Arial" w:cs="Arial"/>
          <w:sz w:val="20"/>
          <w:szCs w:val="20"/>
        </w:rPr>
        <w:t xml:space="preserve"> asserted that as long as nutrient availability is full, this does not inhibit mussel growth. The significant density difference between the water column and bottom reflects the natural preference of mussels for more stable and nutrient-rich conditions at the bottom, where they can grow optimally and form sustainable populations.</w:t>
      </w:r>
      <w:r w:rsidR="00E777D2" w:rsidRPr="00D37A5A">
        <w:rPr>
          <w:rFonts w:ascii="Arial" w:hAnsi="Arial" w:cs="Arial"/>
          <w:sz w:val="20"/>
          <w:szCs w:val="20"/>
        </w:rPr>
        <w:t xml:space="preserve"> </w:t>
      </w:r>
    </w:p>
    <w:p w14:paraId="1A2567FE" w14:textId="77777777" w:rsidR="00616C6F" w:rsidRPr="00616C6F" w:rsidRDefault="00616C6F" w:rsidP="006A3FE6">
      <w:pPr>
        <w:ind w:left="360"/>
        <w:jc w:val="both"/>
        <w:rPr>
          <w:rFonts w:ascii="Arial" w:hAnsi="Arial" w:cs="Arial"/>
          <w:sz w:val="20"/>
          <w:szCs w:val="20"/>
          <w:lang w:val="id-ID"/>
        </w:rPr>
      </w:pPr>
    </w:p>
    <w:p w14:paraId="28132E87" w14:textId="77777777" w:rsidR="00765CB0" w:rsidRPr="00765CB0" w:rsidRDefault="0086256E" w:rsidP="00B73BA6">
      <w:pPr>
        <w:pStyle w:val="ListParagraph"/>
        <w:widowControl/>
        <w:numPr>
          <w:ilvl w:val="1"/>
          <w:numId w:val="18"/>
        </w:numPr>
        <w:autoSpaceDE/>
        <w:ind w:left="360"/>
        <w:jc w:val="both"/>
        <w:rPr>
          <w:rFonts w:eastAsia="Times New Roman"/>
          <w:b/>
          <w:sz w:val="20"/>
          <w:szCs w:val="20"/>
          <w:lang w:val="id-ID"/>
        </w:rPr>
      </w:pPr>
      <w:r w:rsidRPr="0086256E">
        <w:rPr>
          <w:b/>
          <w:sz w:val="20"/>
          <w:szCs w:val="20"/>
          <w:lang w:val="id-ID"/>
        </w:rPr>
        <w:t>Water Quality</w:t>
      </w:r>
    </w:p>
    <w:p w14:paraId="02ECADD0" w14:textId="77777777" w:rsidR="00765CB0" w:rsidRPr="00765CB0" w:rsidRDefault="00616C6F" w:rsidP="00E54E15">
      <w:pPr>
        <w:widowControl/>
        <w:autoSpaceDE/>
        <w:ind w:left="360" w:firstLine="720"/>
        <w:jc w:val="both"/>
        <w:rPr>
          <w:rFonts w:eastAsia="Times New Roman"/>
          <w:b/>
          <w:sz w:val="16"/>
          <w:szCs w:val="20"/>
          <w:lang w:val="id-ID"/>
        </w:rPr>
      </w:pPr>
      <w:r w:rsidRPr="00616C6F">
        <w:rPr>
          <w:sz w:val="20"/>
        </w:rPr>
        <w:t xml:space="preserve">Research conducted by BPBL </w:t>
      </w:r>
      <w:proofErr w:type="spellStart"/>
      <w:r w:rsidRPr="00616C6F">
        <w:rPr>
          <w:sz w:val="20"/>
        </w:rPr>
        <w:t>Sekotong</w:t>
      </w:r>
      <w:proofErr w:type="spellEnd"/>
      <w:r w:rsidRPr="00616C6F">
        <w:rPr>
          <w:sz w:val="20"/>
        </w:rPr>
        <w:t xml:space="preserve"> revealed that water quality parameters greatly influence the environmental conditions in which brown mussels develop.</w:t>
      </w:r>
    </w:p>
    <w:p w14:paraId="4CD4C3F4" w14:textId="77777777" w:rsidR="00765CB0" w:rsidRPr="0052724F" w:rsidRDefault="00765CB0" w:rsidP="00765CB0">
      <w:pPr>
        <w:pStyle w:val="ListParagraph"/>
        <w:widowControl/>
        <w:autoSpaceDE/>
        <w:ind w:left="1287" w:firstLine="0"/>
        <w:jc w:val="both"/>
        <w:rPr>
          <w:rFonts w:eastAsia="Times New Roman"/>
          <w:b/>
          <w:sz w:val="20"/>
          <w:szCs w:val="20"/>
          <w:lang w:val="id-ID"/>
        </w:rPr>
      </w:pPr>
    </w:p>
    <w:p w14:paraId="196E34BF" w14:textId="77777777" w:rsidR="0052724F" w:rsidRPr="00C906B9" w:rsidRDefault="0086256E" w:rsidP="006A3FE6">
      <w:pPr>
        <w:pStyle w:val="Caption"/>
        <w:spacing w:after="0" w:line="240" w:lineRule="auto"/>
        <w:ind w:left="357"/>
        <w:rPr>
          <w:rFonts w:ascii="Arial" w:eastAsia="Times New Roman" w:hAnsi="Arial" w:cs="Arial"/>
          <w:lang w:val="id-ID"/>
        </w:rPr>
      </w:pPr>
      <w:r w:rsidRPr="0086256E">
        <w:rPr>
          <w:rFonts w:ascii="Arial" w:hAnsi="Arial" w:cs="Arial"/>
        </w:rPr>
        <w:t>Table 1. Water quality in rearing containers</w:t>
      </w:r>
    </w:p>
    <w:tbl>
      <w:tblPr>
        <w:tblStyle w:val="TableGrid"/>
        <w:tblW w:w="4110" w:type="dxa"/>
        <w:tblInd w:w="534" w:type="dxa"/>
        <w:tblLook w:val="04A0" w:firstRow="1" w:lastRow="0" w:firstColumn="1" w:lastColumn="0" w:noHBand="0" w:noVBand="1"/>
      </w:tblPr>
      <w:tblGrid>
        <w:gridCol w:w="1328"/>
        <w:gridCol w:w="676"/>
        <w:gridCol w:w="889"/>
        <w:gridCol w:w="1217"/>
      </w:tblGrid>
      <w:tr w:rsidR="00B73BA6" w:rsidRPr="00367E16" w14:paraId="7C18C00F" w14:textId="77777777" w:rsidTr="00B73BA6">
        <w:trPr>
          <w:trHeight w:val="368"/>
        </w:trPr>
        <w:tc>
          <w:tcPr>
            <w:tcW w:w="1328" w:type="dxa"/>
          </w:tcPr>
          <w:p w14:paraId="33EA4A58"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rPr>
            </w:pPr>
            <w:r w:rsidRPr="00367E16">
              <w:rPr>
                <w:rFonts w:ascii="Times New Roman" w:eastAsia="Times New Roman" w:hAnsi="Times New Roman" w:cs="Times New Roman"/>
                <w:sz w:val="24"/>
                <w:szCs w:val="24"/>
                <w:lang w:val="id-ID"/>
              </w:rPr>
              <w:t>Parameters</w:t>
            </w:r>
            <w:r w:rsidRPr="00367E16">
              <w:rPr>
                <w:rFonts w:ascii="Times New Roman" w:eastAsia="Times New Roman" w:hAnsi="Times New Roman" w:cs="Times New Roman"/>
                <w:sz w:val="24"/>
                <w:szCs w:val="24"/>
              </w:rPr>
              <w:t xml:space="preserve"> </w:t>
            </w:r>
          </w:p>
        </w:tc>
        <w:tc>
          <w:tcPr>
            <w:tcW w:w="676" w:type="dxa"/>
          </w:tcPr>
          <w:p w14:paraId="3E32EC55" w14:textId="77777777" w:rsidR="00367E16" w:rsidRPr="00367E16" w:rsidRDefault="00367E16" w:rsidP="00B73BA6">
            <w:pPr>
              <w:widowControl/>
              <w:autoSpaceDE/>
              <w:autoSpaceDN/>
              <w:spacing w:line="360" w:lineRule="auto"/>
              <w:ind w:left="-57" w:right="-57"/>
              <w:jc w:val="center"/>
              <w:rPr>
                <w:rFonts w:ascii="Times New Roman" w:eastAsia="Times New Roman" w:hAnsi="Times New Roman" w:cs="Times New Roman"/>
                <w:sz w:val="24"/>
                <w:szCs w:val="24"/>
              </w:rPr>
            </w:pPr>
            <w:r w:rsidRPr="00367E16">
              <w:rPr>
                <w:rFonts w:ascii="Times New Roman" w:eastAsia="Times New Roman" w:hAnsi="Times New Roman" w:cs="Times New Roman"/>
                <w:sz w:val="24"/>
                <w:szCs w:val="24"/>
                <w:lang w:val="id-ID"/>
              </w:rPr>
              <w:t>Value</w:t>
            </w:r>
            <w:r w:rsidRPr="00367E16">
              <w:rPr>
                <w:rFonts w:ascii="Times New Roman" w:eastAsia="Times New Roman" w:hAnsi="Times New Roman" w:cs="Times New Roman"/>
                <w:sz w:val="24"/>
                <w:szCs w:val="24"/>
              </w:rPr>
              <w:t xml:space="preserve"> </w:t>
            </w:r>
          </w:p>
        </w:tc>
        <w:tc>
          <w:tcPr>
            <w:tcW w:w="889" w:type="dxa"/>
          </w:tcPr>
          <w:p w14:paraId="42A154F7"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lang w:val="id-ID"/>
              </w:rPr>
              <w:t>Optimal range</w:t>
            </w:r>
          </w:p>
        </w:tc>
        <w:tc>
          <w:tcPr>
            <w:tcW w:w="1217" w:type="dxa"/>
          </w:tcPr>
          <w:p w14:paraId="42456AA3" w14:textId="77777777" w:rsidR="00367E16" w:rsidRPr="00367E16" w:rsidRDefault="00367E16" w:rsidP="00B73BA6">
            <w:pPr>
              <w:widowControl/>
              <w:autoSpaceDE/>
              <w:autoSpaceDN/>
              <w:spacing w:line="360" w:lineRule="auto"/>
              <w:ind w:left="-57" w:right="-57"/>
              <w:jc w:val="center"/>
              <w:rPr>
                <w:rFonts w:ascii="Times New Roman" w:eastAsia="Times New Roman" w:hAnsi="Times New Roman" w:cs="Times New Roman"/>
                <w:sz w:val="24"/>
                <w:szCs w:val="24"/>
              </w:rPr>
            </w:pPr>
            <w:r w:rsidRPr="00367E16">
              <w:rPr>
                <w:rFonts w:ascii="Times New Roman" w:eastAsia="Times New Roman" w:hAnsi="Times New Roman" w:cs="Times New Roman"/>
                <w:sz w:val="24"/>
                <w:szCs w:val="24"/>
                <w:lang w:val="id-ID"/>
              </w:rPr>
              <w:t>Source</w:t>
            </w:r>
          </w:p>
        </w:tc>
      </w:tr>
      <w:tr w:rsidR="00B73BA6" w:rsidRPr="00367E16" w14:paraId="4021A2AC" w14:textId="77777777" w:rsidTr="00B73BA6">
        <w:trPr>
          <w:trHeight w:val="368"/>
        </w:trPr>
        <w:tc>
          <w:tcPr>
            <w:tcW w:w="1328" w:type="dxa"/>
          </w:tcPr>
          <w:p w14:paraId="5C8CFF47"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lang w:val="id-ID"/>
              </w:rPr>
              <w:t>Temperature</w:t>
            </w:r>
            <w:r w:rsidR="00F55F97">
              <w:rPr>
                <w:rFonts w:ascii="Times New Roman" w:eastAsia="Times New Roman" w:hAnsi="Times New Roman" w:cs="Times New Roman"/>
                <w:sz w:val="24"/>
                <w:szCs w:val="24"/>
                <w:lang w:val="id-ID"/>
              </w:rPr>
              <w:t xml:space="preserve"> (</w:t>
            </w:r>
            <w:r w:rsidR="00F55F97" w:rsidRPr="00367E16">
              <w:rPr>
                <w:rFonts w:ascii="Times New Roman" w:eastAsia="Times New Roman" w:hAnsi="Times New Roman" w:cs="Times New Roman"/>
                <w:sz w:val="24"/>
                <w:szCs w:val="24"/>
                <w:vertAlign w:val="superscript"/>
                <w:lang w:val="id-ID"/>
              </w:rPr>
              <w:t>0</w:t>
            </w:r>
            <w:r w:rsidR="00F55F97" w:rsidRPr="00367E16">
              <w:rPr>
                <w:rFonts w:ascii="Times New Roman" w:eastAsia="Times New Roman" w:hAnsi="Times New Roman" w:cs="Times New Roman"/>
                <w:sz w:val="24"/>
                <w:szCs w:val="24"/>
                <w:lang w:val="id-ID"/>
              </w:rPr>
              <w:t>C</w:t>
            </w:r>
            <w:r w:rsidR="00F55F97">
              <w:rPr>
                <w:rFonts w:ascii="Times New Roman" w:eastAsia="Times New Roman" w:hAnsi="Times New Roman" w:cs="Times New Roman"/>
                <w:sz w:val="24"/>
                <w:szCs w:val="24"/>
                <w:lang w:val="id-ID"/>
              </w:rPr>
              <w:t>)</w:t>
            </w:r>
          </w:p>
        </w:tc>
        <w:tc>
          <w:tcPr>
            <w:tcW w:w="676" w:type="dxa"/>
          </w:tcPr>
          <w:p w14:paraId="282A1C23"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lang w:val="id-ID"/>
              </w:rPr>
              <w:t xml:space="preserve">29.5 </w:t>
            </w:r>
          </w:p>
        </w:tc>
        <w:tc>
          <w:tcPr>
            <w:tcW w:w="889" w:type="dxa"/>
          </w:tcPr>
          <w:p w14:paraId="72864048"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rPr>
              <w:t>25-30</w:t>
            </w:r>
          </w:p>
        </w:tc>
        <w:tc>
          <w:tcPr>
            <w:tcW w:w="1217" w:type="dxa"/>
          </w:tcPr>
          <w:p w14:paraId="235CF4A2"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{"citationItems":[{"id":"ITEM-1","itemData":{"DOI":"10.33096/joint-fish.v4i2.108","ISSN":"2655-4461","abstract":"Southeast Sulawesi region, especially the Palabusa waters area of Buton Regency, has become a center for cultivation of several economical species, one of which is the mabè pearl (Pteria penguin). This research was conducted with the aim of identifying the suitable area for the development of mabè pearl cultivation and determining the carrying capacity of the area in Palabusa waters in developing mabè pearl cultivation. This research was conducted in September to November 2020. The data collection was carried out in two parts, namely field and laboratory activities. The data obtained then were analyzed descriptively. The results of this study indicate that: (1) Physical, chemical and biological parameters in Palabusa waters indicate the potential site suitability for the development of mabè pearl cultivation  are in the very suitable category (SS) is 128, 3 Ha, quite suitable (S) is 64,5 Ha and not suitable (N) is 47,7 Ha for mabè pearl cultivation; (2) The carrying capacity of Palabusa waters for the development of pearl mabè pearl culture is 847 units. Further research needs to be carried out, especially regarding social and economic aspects as well as other water quality parameters that affect the determination of the suitability of mabè pearl cultivation areas such as environmental pollution, waves and tides.","author":[{"dropping-particle":"","family":"Iyen","given":"Hartina","non-dropping-particle":"","parse-names":false,"suffix":""},{"dropping-particle":"","family":"Kasnir","given":"Muhammad","non-dropping-particle":"","parse-names":false,"suffix":""},{"dropping-particle":"","family":"Hamsiah","given":"Hamsiah","non-dropping-particle":"","parse-names":false,"suffix":""}],"container-title":"JOURNAL OF INDONESIAN TROPICAL FISHERIES (JOINT-FISH) : Jurnal Akuakultur, Teknologi Dan Manajemen Perikanan Tangkap, Ilmu Kelautan","id":"ITEM-1","issue":"2","issued":{"date-parts":[["2021"]]},"page":"180-197","title":"ANALISIS KESESUAIAN DAN DAYA DUKUNG LOKASI BUDIDAYA KERANG MUTIARA MABÈ (Pteria penguin) DI PERAIRAN PALABUSA KOTA BAU-BAU","type":"article-journal","volume":"4"},"uris":["http://www.mendeley.com/documents/?uuid=5913d5f9-ebd0-4378-84b7-e8dc23ad6ebf"]}],"mendeley":{"formattedCitation":"(Iyen et al., 2021)","manualFormatting":"Iyen et al., (2021)","plainTextFormattedCitation":"(Iyen et al., 2021)","previouslyFormattedCitation":"(Iyen et al., 2021)"},"properties":{"noteIndex":0},"schema":"https://github.com/citation-style-language/schema/raw/master/csl-citation.json"}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367E16">
              <w:rPr>
                <w:rFonts w:ascii="Times New Roman" w:eastAsia="Times New Roman" w:hAnsi="Times New Roman" w:cs="Times New Roman"/>
                <w:noProof/>
                <w:sz w:val="24"/>
                <w:szCs w:val="24"/>
              </w:rPr>
              <w:t xml:space="preserve">Iyen et al., </w:t>
            </w:r>
            <w:r>
              <w:rPr>
                <w:rFonts w:ascii="Times New Roman" w:eastAsia="Times New Roman" w:hAnsi="Times New Roman" w:cs="Times New Roman"/>
                <w:noProof/>
                <w:sz w:val="24"/>
                <w:szCs w:val="24"/>
                <w:lang w:val="id-ID"/>
              </w:rPr>
              <w:t>(</w:t>
            </w:r>
            <w:r w:rsidRPr="00367E16">
              <w:rPr>
                <w:rFonts w:ascii="Times New Roman" w:eastAsia="Times New Roman" w:hAnsi="Times New Roman" w:cs="Times New Roman"/>
                <w:noProof/>
                <w:sz w:val="24"/>
                <w:szCs w:val="24"/>
              </w:rPr>
              <w:t>2021)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id-ID"/>
              </w:rPr>
              <w:t>.</w:t>
            </w:r>
          </w:p>
        </w:tc>
      </w:tr>
      <w:tr w:rsidR="00B73BA6" w:rsidRPr="00367E16" w14:paraId="45046158" w14:textId="77777777" w:rsidTr="00B73BA6">
        <w:trPr>
          <w:trHeight w:val="368"/>
        </w:trPr>
        <w:tc>
          <w:tcPr>
            <w:tcW w:w="1328" w:type="dxa"/>
          </w:tcPr>
          <w:p w14:paraId="656A86AF"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lang w:val="id-ID"/>
              </w:rPr>
              <w:t>pH</w:t>
            </w:r>
          </w:p>
        </w:tc>
        <w:tc>
          <w:tcPr>
            <w:tcW w:w="676" w:type="dxa"/>
          </w:tcPr>
          <w:p w14:paraId="42BDDE7C"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lang w:val="id-ID"/>
              </w:rPr>
              <w:t xml:space="preserve">8.1 </w:t>
            </w:r>
          </w:p>
        </w:tc>
        <w:tc>
          <w:tcPr>
            <w:tcW w:w="889" w:type="dxa"/>
          </w:tcPr>
          <w:p w14:paraId="090D1F01"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rPr>
              <w:t>7.8-8.6</w:t>
            </w:r>
          </w:p>
        </w:tc>
        <w:tc>
          <w:tcPr>
            <w:tcW w:w="1217" w:type="dxa"/>
          </w:tcPr>
          <w:p w14:paraId="576B28AD"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fldChar w:fldCharType="begin" w:fldLock="1"/>
            </w:r>
            <w:r w:rsidR="005F4423">
              <w:rPr>
                <w:rFonts w:ascii="Times New Roman" w:eastAsia="Times New Roman" w:hAnsi="Times New Roman" w:cs="Times New Roman"/>
                <w:sz w:val="24"/>
                <w:szCs w:val="24"/>
              </w:rPr>
              <w:instrText>ADDIN CSL_CITATION {"citationItems":[{"id":"ITEM-1","itemData":{"DOI":"10.29303/jbt.v19i2.1273","ISSN":"1411-9587","abstract":"Abstrak : Penelitian kepadatan spat kerang mutiara yang dipelihara di alam perlu terus dilakukan karena belum ada patokan tingkat kepadatan yang sesuai untuk usaha komersial. Oleh karena itu dilakukan penelitian dengan tujuan mengetahui pengaruh kepadatan terhadap pertumbuhan dan tingkat kelangsungan hidup spat kerang mutiara (Pinctada maxima). ÃÂ Metode yang digunakan adalah Rancangan Acak Kelompok (RAK) terdiri dari 5 perlakuan dan 3 ulangan, yakni perlakuan A (60 ind/poket), B (75 ind/poket), C (90 ind/poket), D (105 ind/poket), dan perlakuan E (120 ind/poket). Ukuran spat yang digunakan rata-rata 1 cm pada poket (keranjang pemeliharaan) 45x60 cm2. Hasil penelitian selama 45 hari menunjukan bahwa pertumbuhan pada semua perlakuan tidak berbeda nyata, namun pertumbuhan terbaik dengan nilai 0,70 cm untuk pertumbuhan mutlak dan 0,69% untuk laju pertumbuhan harian dimiliki oleh kepadatan yang rendah yakni 60 ind/poket, disusul oleh perlakuan lainnya seperti perlakuan B,C,D, dan E. Hasil uji ANOVA, SR didapatkan hasil persentase yang berbeda nyata, yakni terdapat pada perlakuan A (60 ind/poket) dengan nilai SR 90,44% dan pada perlakuan E (120 ind/poket) dengan nilai SR 74,44%. Berdasarkan hasil penelitian, disimpulkan bahwa padat penebaran yang berbeda tidak berpengaruh nyata terhadap pertumbuhan spat kerang mutiara, namun berpengaruh nyata terhadap tingkat kelangsungan hidup (SR) spat kerang mutiara (Pinctada maxima) yang dipelihara selama 45 hari.Kata kunci : Pertumbuhan, kelangsungan hidup, spat, Pinctada maximaAbstract : The study of pearl shell spat density maintained in nature needs to be continued because there is no standard level of density suitable for commercial businesses. Therefore a study was conducted with the aim of knowing the effect of density on growth and survival rate of pearl oyster spat (Pinctada maxima). The method used is Randomized Block Design (RBD) consisting of 5 treatments and 3 replications, namely treatment A (60 ind / pocket), B (75 ind / pocket), C (90 ind / pocket), D (105 ind / pocket) ), and treatment E (120 ind / pocket). The size of the spat used was 1 cm on the pocket (maintenance basket) 45x60 cm2. The results of the 45-day study showed that growth in all treatments was not significantly different, but the best growth was 0.70 cm for absolute growth and 0.69% for the daily growth rate owned by a low density of 60 ind / pocket, followed by treatment others such as treatment B, C, D, and E. The results of the SR ANOV…","author":[{"dropping-particle":"","family":"Junaidi","given":"Muhammad","non-dropping-particle":"","parse-names":false,"suffix":""},{"dropping-particle":"","family":"Ahmad","given":"Zaenal","non-dropping-particle":"","parse-names":false,"suffix":""},{"dropping-particle":"","family":"Astriana","given":"Baiq Hilda","non-dropping-particle":"","parse-names":false,"suffix":""}],"container-title":"Jurnal Biologi Tropis","id":"ITEM-1","issue":"2","issued":{"date-parts":[["2019"]]},"page":"221-228","title":"Pengaruh Kepadatan Spat Kerang Mutiara (Pinctada Maxima) Dengan Metode Longline Terhadap Pertumbuhan Dan Kelangsungan Hidup","type":"article-journal","volume":"19"},"uris":["http://www.mendeley.com/documents/?uuid=eb3497ef-4897-4264-bc98-f8a4054643a6"]}],"mendeley":{"formattedCitation":"(Junaidi et al., 2019)","manualFormatting":"Junaidi et al., (2019)","plainTextFormattedCitation":"(Junaidi et al., 2019)","previouslyFormattedCitation":"(Junaidi et al.,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367E16">
              <w:rPr>
                <w:rFonts w:ascii="Times New Roman" w:eastAsia="Times New Roman" w:hAnsi="Times New Roman" w:cs="Times New Roman"/>
                <w:noProof/>
                <w:sz w:val="24"/>
                <w:szCs w:val="24"/>
              </w:rPr>
              <w:t xml:space="preserve">Junaidi et al., </w:t>
            </w:r>
            <w:r>
              <w:rPr>
                <w:rFonts w:ascii="Times New Roman" w:eastAsia="Times New Roman" w:hAnsi="Times New Roman" w:cs="Times New Roman"/>
                <w:noProof/>
                <w:sz w:val="24"/>
                <w:szCs w:val="24"/>
                <w:lang w:val="id-ID"/>
              </w:rPr>
              <w:t>(</w:t>
            </w:r>
            <w:r w:rsidRPr="00367E16">
              <w:rPr>
                <w:rFonts w:ascii="Times New Roman" w:eastAsia="Times New Roman" w:hAnsi="Times New Roman" w:cs="Times New Roman"/>
                <w:noProof/>
                <w:sz w:val="24"/>
                <w:szCs w:val="24"/>
              </w:rPr>
              <w:t>2019)</w:t>
            </w:r>
            <w:r>
              <w:rPr>
                <w:rFonts w:ascii="Times New Roman" w:eastAsia="Times New Roman" w:hAnsi="Times New Roman" w:cs="Times New Roman"/>
                <w:sz w:val="24"/>
                <w:szCs w:val="24"/>
              </w:rPr>
              <w:fldChar w:fldCharType="end"/>
            </w:r>
          </w:p>
        </w:tc>
      </w:tr>
      <w:tr w:rsidR="00B73BA6" w:rsidRPr="00367E16" w14:paraId="033921A6" w14:textId="77777777" w:rsidTr="00B73BA6">
        <w:trPr>
          <w:trHeight w:val="350"/>
        </w:trPr>
        <w:tc>
          <w:tcPr>
            <w:tcW w:w="1328" w:type="dxa"/>
          </w:tcPr>
          <w:p w14:paraId="54174768"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lang w:val="id-ID"/>
              </w:rPr>
              <w:t>DO</w:t>
            </w:r>
            <w:r w:rsidR="00F55F97">
              <w:rPr>
                <w:rFonts w:ascii="Times New Roman" w:eastAsia="Times New Roman" w:hAnsi="Times New Roman" w:cs="Times New Roman"/>
                <w:sz w:val="24"/>
                <w:szCs w:val="24"/>
                <w:lang w:val="id-ID"/>
              </w:rPr>
              <w:t xml:space="preserve"> (ppm)</w:t>
            </w:r>
          </w:p>
        </w:tc>
        <w:tc>
          <w:tcPr>
            <w:tcW w:w="676" w:type="dxa"/>
          </w:tcPr>
          <w:p w14:paraId="1C1B43D7"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lang w:val="id-ID"/>
              </w:rPr>
              <w:t xml:space="preserve">6.3 </w:t>
            </w:r>
          </w:p>
        </w:tc>
        <w:tc>
          <w:tcPr>
            <w:tcW w:w="889" w:type="dxa"/>
          </w:tcPr>
          <w:p w14:paraId="5D064786"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rPr>
              <w:t xml:space="preserve">4.19-6.24 </w:t>
            </w:r>
          </w:p>
        </w:tc>
        <w:tc>
          <w:tcPr>
            <w:tcW w:w="1217" w:type="dxa"/>
          </w:tcPr>
          <w:p w14:paraId="54F2D744"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approach.","author":[{"dropping-particle":"","family":"Hidayat","given":"Kurnopriawan","non-dropping-particle":"","parse-names":false,"suffix":""}],"container-title":"skripsi","id":"ITEM-1","issued":{"date-parts":[["2017"]]},"title":"PERFORMA PERTUMBUHAN KERANG HIJAU (Perna viridis Linn, 1758) DAN IKAN BAWAL BINTANG (Trachinotus blochii Lacepede, 1801) YANG DIBUDIDAYA SECARA POLIKULTUR DAN MONOKULTUR DI PULAU PASARAN","type":"article-journal","volume":"PROGRAM ST"},"uris":["http://www.mendeley.com/documents/?uuid=c5673ef1-3818-4778-915f-374b35fb0221"]}],"mendeley":{"formattedCitation":"(Hidayat, 2017)","plainTextFormattedCitation":"(Hidayat, 2017)","previouslyFormattedCitation":"(Hidayat, 2017)"},"properties":{"noteIndex":0},"schema":"https://github.com/citation-style-language/schema/raw/master/csl-citation.json"}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367E16">
              <w:rPr>
                <w:rFonts w:ascii="Times New Roman" w:eastAsia="Times New Roman" w:hAnsi="Times New Roman" w:cs="Times New Roman"/>
                <w:noProof/>
                <w:sz w:val="24"/>
                <w:szCs w:val="24"/>
              </w:rPr>
              <w:t>(Hidayat, 2017)</w:t>
            </w:r>
            <w:r>
              <w:rPr>
                <w:rFonts w:ascii="Times New Roman" w:eastAsia="Times New Roman" w:hAnsi="Times New Roman" w:cs="Times New Roman"/>
                <w:sz w:val="24"/>
                <w:szCs w:val="24"/>
              </w:rPr>
              <w:fldChar w:fldCharType="end"/>
            </w:r>
          </w:p>
        </w:tc>
      </w:tr>
      <w:tr w:rsidR="00B73BA6" w:rsidRPr="00367E16" w14:paraId="29FB2FFD" w14:textId="77777777" w:rsidTr="00B73BA6">
        <w:trPr>
          <w:trHeight w:val="388"/>
        </w:trPr>
        <w:tc>
          <w:tcPr>
            <w:tcW w:w="1328" w:type="dxa"/>
          </w:tcPr>
          <w:p w14:paraId="41CC9DE5"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lang w:val="id-ID"/>
              </w:rPr>
              <w:t>Salinity</w:t>
            </w:r>
            <w:r w:rsidR="00F55F97">
              <w:rPr>
                <w:rFonts w:ascii="Times New Roman" w:eastAsia="Times New Roman" w:hAnsi="Times New Roman" w:cs="Times New Roman"/>
                <w:sz w:val="24"/>
                <w:szCs w:val="24"/>
                <w:lang w:val="id-ID"/>
              </w:rPr>
              <w:t xml:space="preserve"> (ppt)</w:t>
            </w:r>
          </w:p>
        </w:tc>
        <w:tc>
          <w:tcPr>
            <w:tcW w:w="676" w:type="dxa"/>
          </w:tcPr>
          <w:p w14:paraId="61D223B2"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lang w:val="id-ID"/>
              </w:rPr>
              <w:t xml:space="preserve">34 </w:t>
            </w:r>
          </w:p>
        </w:tc>
        <w:tc>
          <w:tcPr>
            <w:tcW w:w="889" w:type="dxa"/>
          </w:tcPr>
          <w:p w14:paraId="55B05BC6"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sidRPr="00367E16">
              <w:rPr>
                <w:rFonts w:ascii="Times New Roman" w:eastAsia="Times New Roman" w:hAnsi="Times New Roman" w:cs="Times New Roman"/>
                <w:sz w:val="24"/>
                <w:szCs w:val="24"/>
              </w:rPr>
              <w:t>0,1 to</w:t>
            </w:r>
            <w:r w:rsidR="00F55F97">
              <w:rPr>
                <w:rFonts w:ascii="Times New Roman" w:eastAsia="Times New Roman" w:hAnsi="Times New Roman" w:cs="Times New Roman"/>
                <w:sz w:val="24"/>
                <w:szCs w:val="24"/>
              </w:rPr>
              <w:t xml:space="preserve"> 34</w:t>
            </w:r>
            <w:r w:rsidRPr="00367E16">
              <w:rPr>
                <w:rFonts w:ascii="Times New Roman" w:eastAsia="Times New Roman" w:hAnsi="Times New Roman" w:cs="Times New Roman"/>
                <w:sz w:val="24"/>
                <w:szCs w:val="24"/>
              </w:rPr>
              <w:t>,</w:t>
            </w:r>
          </w:p>
        </w:tc>
        <w:tc>
          <w:tcPr>
            <w:tcW w:w="1217" w:type="dxa"/>
          </w:tcPr>
          <w:p w14:paraId="69BD9B49" w14:textId="77777777" w:rsidR="00367E16" w:rsidRPr="00367E16" w:rsidRDefault="00367E16" w:rsidP="00B73BA6">
            <w:pPr>
              <w:widowControl/>
              <w:autoSpaceDE/>
              <w:autoSpaceDN/>
              <w:spacing w:line="360" w:lineRule="auto"/>
              <w:ind w:left="-57" w:right="-5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fldChar w:fldCharType="begin" w:fldLock="1"/>
            </w:r>
            <w:r w:rsidR="005F4423">
              <w:rPr>
                <w:rFonts w:ascii="Times New Roman" w:eastAsia="Times New Roman" w:hAnsi="Times New Roman" w:cs="Times New Roman"/>
                <w:sz w:val="24"/>
                <w:szCs w:val="24"/>
              </w:rPr>
              <w:instrText>ADDIN CSL_CITATION {"citationItems":[{"id":"ITEM-1","itemData":{"DOI":"10.2478/vzoo-2019-0019","ISSN":"20732333","abstract":"First records of invasive bivalve freshwater mollusc species Mytilopsis leucophaeata (Conrad, 1831) and Corbicula fluminalis (O. F. Müller, 1774) in Georgia are reported. No native or alien extant dreissenid species have ever been recorded form this region so far. A finding of C. fluminalis in Georgia is also a new record for the country though this species inhabits the rivers of adjacent Azerbaijan. Apart from two mentioned bivalve molluscs three non-indigenous gastropod species are registered from Georgia: freshwater Ferrisia californica (Rowell, 1863) and Physella acuta (Draparnaud, 1805) and land snail Eobania vermiculata (O. F. Müller, 1774).","author":[{"dropping-particle":"","family":"Mumladze","given":"L.","non-dropping-particle":"","parse-names":false,"suffix":""},{"dropping-particle":"","family":"Bikashvili","given":"A.","non-dropping-particle":"","parse-names":false,"suffix":""},{"dropping-particle":"","family":"Japoshvili","given":"B.","non-dropping-particle":"","parse-names":false,"suffix":""},{"dropping-particle":"V.","family":"Anistratenko","given":"V.","non-dropping-particle":"","parse-names":false,"suffix":""}],"container-title":"Vestnik Zoologii","id":"ITEM-1","issue":"3","issued":{"date-parts":[["2019"]]},"page":"187-194","title":"New Alien Species Mytilopsis Leucophaeata and Corbicula Fluminalis (Mollusca, Bivalvia) Recorded in Georgia and Notes on Other Non-Indigenous Molluscs Invaded the South Caucasus","type":"article-journal","volume":"53"},"uris":["http://www.mendeley.com/documents/?uuid=f8d6ba07-031c-4350-87bc-58830e58fca5"]}],"mendeley":{"formattedCitation":"(Mumladze et al., 2019)","manualFormatting":"Mumladze et al., (2019)","plainTextFormattedCitation":"(Mumladze et al., 2019)","previouslyFormattedCitation":"(Mumladze et al.,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367E16">
              <w:rPr>
                <w:rFonts w:ascii="Times New Roman" w:eastAsia="Times New Roman" w:hAnsi="Times New Roman" w:cs="Times New Roman"/>
                <w:noProof/>
                <w:sz w:val="24"/>
                <w:szCs w:val="24"/>
              </w:rPr>
              <w:t xml:space="preserve">Mumladze et al., </w:t>
            </w:r>
            <w:r>
              <w:rPr>
                <w:rFonts w:ascii="Times New Roman" w:eastAsia="Times New Roman" w:hAnsi="Times New Roman" w:cs="Times New Roman"/>
                <w:noProof/>
                <w:sz w:val="24"/>
                <w:szCs w:val="24"/>
                <w:lang w:val="id-ID"/>
              </w:rPr>
              <w:t>(</w:t>
            </w:r>
            <w:r w:rsidRPr="00367E16">
              <w:rPr>
                <w:rFonts w:ascii="Times New Roman" w:eastAsia="Times New Roman" w:hAnsi="Times New Roman" w:cs="Times New Roman"/>
                <w:noProof/>
                <w:sz w:val="24"/>
                <w:szCs w:val="24"/>
              </w:rPr>
              <w:t>2019)</w:t>
            </w:r>
            <w:r>
              <w:rPr>
                <w:rFonts w:ascii="Times New Roman" w:eastAsia="Times New Roman" w:hAnsi="Times New Roman" w:cs="Times New Roman"/>
                <w:sz w:val="24"/>
                <w:szCs w:val="24"/>
              </w:rPr>
              <w:fldChar w:fldCharType="end"/>
            </w:r>
          </w:p>
        </w:tc>
      </w:tr>
    </w:tbl>
    <w:p w14:paraId="246CC90A" w14:textId="77777777" w:rsidR="00B73BA6" w:rsidRDefault="00B73BA6" w:rsidP="00B73BA6">
      <w:pPr>
        <w:ind w:left="360" w:firstLine="720"/>
        <w:jc w:val="both"/>
        <w:rPr>
          <w:rFonts w:ascii="Arial" w:hAnsi="Arial" w:cs="Arial"/>
          <w:sz w:val="20"/>
          <w:szCs w:val="20"/>
        </w:rPr>
      </w:pPr>
    </w:p>
    <w:p w14:paraId="7C694D16" w14:textId="77777777" w:rsidR="005850D7" w:rsidRPr="00D37A5A" w:rsidRDefault="00616C6F" w:rsidP="006A3FE6">
      <w:pPr>
        <w:ind w:left="360" w:firstLine="720"/>
        <w:jc w:val="both"/>
        <w:rPr>
          <w:rFonts w:ascii="Arial" w:eastAsia="Times New Roman" w:hAnsi="Arial" w:cs="Arial"/>
          <w:sz w:val="20"/>
          <w:szCs w:val="20"/>
        </w:rPr>
      </w:pPr>
      <w:r w:rsidRPr="00616C6F">
        <w:rPr>
          <w:rFonts w:ascii="Arial" w:hAnsi="Arial" w:cs="Arial"/>
          <w:sz w:val="20"/>
          <w:szCs w:val="20"/>
        </w:rPr>
        <w:t xml:space="preserve">Water quality has a significant impact on brown mussel growth and survival. brown mussels. A temperature of 28.5°C reflects optimal tropical water conditions. At this temperature, enzyme activity in the mussel body functions optimally, supporting efficient digestion and metabolic processes. For brown mussels, the ideal temperature range is between 26-30°C. The optimal temperature range for pearl mussel growth is 25-30°C, provided that temperature changes in the water do not occur rapidly </w:t>
      </w:r>
      <w:r w:rsidR="00810B0A">
        <w:rPr>
          <w:rFonts w:ascii="Arial" w:hAnsi="Arial" w:cs="Arial"/>
          <w:sz w:val="20"/>
          <w:szCs w:val="20"/>
        </w:rPr>
        <w:fldChar w:fldCharType="begin" w:fldLock="1"/>
      </w:r>
      <w:r w:rsidR="00810B0A">
        <w:rPr>
          <w:rFonts w:ascii="Arial" w:hAnsi="Arial" w:cs="Arial"/>
          <w:sz w:val="20"/>
          <w:szCs w:val="20"/>
        </w:rPr>
        <w:instrText>ADDIN CSL_CITATION {"citationItems":[{"id":"ITEM-1","itemData":{"DOI":"10.33096/joint-fish.v4i2.108","ISSN":"2655-4461","abstract":"Southeast Sulawesi region, especially the Palabusa waters area of Buton Regency, has become a center for cultivation of several economical species, one of which is the mabè pearl (Pteria penguin). This research was conducted with the aim of identifying the suitable area for the development of mabè pearl cultivation and determining the carrying capacity of the area in Palabusa waters in developing mabè pearl cultivation. This research was conducted in September to November 2020. The data collection was carried out in two parts, namely field and laboratory activities. The data obtained then were analyzed descriptively. The results of this study indicate that: (1) Physical, chemical and biological parameters in Palabusa waters indicate the potential site suitability for the development of mabè pearl cultivation  are in the very suitable category (SS) is 128, 3 Ha, quite suitable (S) is 64,5 Ha and not suitable (N) is 47,7 Ha for mabè pearl cultivation; (2) The carrying capacity of Palabusa waters for the development of pearl mabè pearl culture is 847 units. Further research needs to be carried out, especially regarding social and economic aspects as well as other water quality parameters that affect the determination of the suitability of mabè pearl cultivation areas such as environmental pollution, waves and tides.","author":[{"dropping-particle":"","family":"Iyen","given":"Hartina","non-dropping-particle":"","parse-names":false,"suffix":""},{"dropping-particle":"","family":"Kasnir","given":"Muhammad","non-dropping-particle":"","parse-names":false,"suffix":""},{"dropping-particle":"","family":"Hamsiah","given":"Hamsiah","non-dropping-particle":"","parse-names":false,"suffix":""}],"container-title":"JOURNAL OF INDONESIAN TROPICAL FISHERIES (JOINT-FISH) : Jurnal Akuakultur, Teknologi Dan Manajemen Perikanan Tangkap, Ilmu Kelautan","id":"ITEM-1","issue":"2","issued":{"date-parts":[["2021"]]},"page":"180-197","title":"ANALISIS KESESUAIAN DAN DAYA DUKUNG LOKASI BUDIDAYA KERANG MUTIARA MABÈ (Pteria penguin) DI PERAIRAN PALABUSA KOTA BAU-BAU","type":"article-journal","volume":"4"},"uris":["http://www.mendeley.com/documents/?uuid=5913d5f9-ebd0-4378-84b7-e8dc23ad6ebf"]}],"mendeley":{"formattedCitation":"(Iyen et al., 2021)","plainTextFormattedCitation":"(Iyen et al., 2021)","previouslyFormattedCitation":"(Iyen et al., 2021)"},"properties":{"noteIndex":0},"schema":"https://github.com/citation-style-language/schema/raw/master/csl-citation.json"}</w:instrText>
      </w:r>
      <w:r w:rsidR="00810B0A">
        <w:rPr>
          <w:rFonts w:ascii="Arial" w:hAnsi="Arial" w:cs="Arial"/>
          <w:sz w:val="20"/>
          <w:szCs w:val="20"/>
        </w:rPr>
        <w:fldChar w:fldCharType="separate"/>
      </w:r>
      <w:r w:rsidR="00810B0A" w:rsidRPr="00810B0A">
        <w:rPr>
          <w:rFonts w:ascii="Arial" w:hAnsi="Arial" w:cs="Arial"/>
          <w:noProof/>
          <w:sz w:val="20"/>
          <w:szCs w:val="20"/>
        </w:rPr>
        <w:t>(Iyen et al., 2021)</w:t>
      </w:r>
      <w:r w:rsidR="00810B0A">
        <w:rPr>
          <w:rFonts w:ascii="Arial" w:hAnsi="Arial" w:cs="Arial"/>
          <w:sz w:val="20"/>
          <w:szCs w:val="20"/>
        </w:rPr>
        <w:fldChar w:fldCharType="end"/>
      </w:r>
      <w:r w:rsidRPr="00616C6F">
        <w:rPr>
          <w:rFonts w:ascii="Arial" w:hAnsi="Arial" w:cs="Arial"/>
          <w:sz w:val="20"/>
          <w:szCs w:val="20"/>
        </w:rPr>
        <w:t>.</w:t>
      </w:r>
    </w:p>
    <w:p w14:paraId="6EBF37A1" w14:textId="77777777" w:rsidR="004C05C6" w:rsidRDefault="00616C6F" w:rsidP="006A3FE6">
      <w:pPr>
        <w:ind w:left="360" w:firstLine="720"/>
        <w:jc w:val="both"/>
        <w:rPr>
          <w:rFonts w:ascii="Arial" w:hAnsi="Arial" w:cs="Arial"/>
          <w:sz w:val="20"/>
          <w:szCs w:val="20"/>
        </w:rPr>
      </w:pPr>
      <w:r w:rsidRPr="00616C6F">
        <w:rPr>
          <w:rFonts w:ascii="Arial" w:hAnsi="Arial" w:cs="Arial"/>
          <w:sz w:val="20"/>
          <w:szCs w:val="20"/>
        </w:rPr>
        <w:t xml:space="preserve">The pH value of 8.1 indicates a slightly alkaline water condition but is still ideal for clam life. which is still within the limits of quality standards according to Bali Governor Regulation No.8 of 2007 and Decree of the Minister of Environment No. 51 of 2004, where the standard quality of seawater for marine biota is 7-8.5. This is in line with the opinion of </w:t>
      </w:r>
      <w:r w:rsidR="00810B0A">
        <w:rPr>
          <w:rFonts w:ascii="Arial" w:hAnsi="Arial" w:cs="Arial"/>
          <w:sz w:val="20"/>
          <w:szCs w:val="20"/>
        </w:rPr>
        <w:fldChar w:fldCharType="begin" w:fldLock="1"/>
      </w:r>
      <w:r w:rsidR="00810B0A">
        <w:rPr>
          <w:rFonts w:ascii="Arial" w:hAnsi="Arial" w:cs="Arial"/>
          <w:sz w:val="20"/>
          <w:szCs w:val="20"/>
        </w:rPr>
        <w:instrText>ADDIN CSL_CITATION {"citationItems":[{"id":"ITEM-1","itemData":{"author":[{"dropping-particle":"","family":"Rosanawita","given":"Resy","non-dropping-particle":"","parse-names":false,"suffix":""},{"dropping-particle":"","family":"Dewiyanti","given":"Irma","non-dropping-particle":"","parse-names":false,"suffix":""},{"dropping-particle":"","family":"Octavina","given":"Chitra","non-dropping-particle":"","parse-names":false,"suffix":""}],"container-title":"Jurnal Ilmiah Mahasiswa Kelautan dan Perikanan Unsyiah","id":"ITEM-1","issue":"1","issued":{"date-parts":[["2017"]]},"page":"213-220","title":"Pengaruh Padat Penebaran Terhadap Pertumbuhan dan Kelangsungan Hidup Tiram (Crassostrea sp.) Effect","type":"article-journal","volume":"2"},"uris":["http://www.mendeley.com/documents/?uuid=d0d508cb-7d7f-4f6b-a8dd-4a9cfd9cadd7"]}],"mendeley":{"formattedCitation":"(Rosanawita et al., 2017)","plainTextFormattedCitation":"(Rosanawita et al., 2017)","previouslyFormattedCitation":"(Rosanawita et al., 2017)"},"properties":{"noteIndex":0},"schema":"https://github.com/citation-style-language/schema/raw/master/csl-citation.json"}</w:instrText>
      </w:r>
      <w:r w:rsidR="00810B0A">
        <w:rPr>
          <w:rFonts w:ascii="Arial" w:hAnsi="Arial" w:cs="Arial"/>
          <w:sz w:val="20"/>
          <w:szCs w:val="20"/>
        </w:rPr>
        <w:fldChar w:fldCharType="separate"/>
      </w:r>
      <w:r w:rsidR="00810B0A" w:rsidRPr="00810B0A">
        <w:rPr>
          <w:rFonts w:ascii="Arial" w:hAnsi="Arial" w:cs="Arial"/>
          <w:noProof/>
          <w:sz w:val="20"/>
          <w:szCs w:val="20"/>
        </w:rPr>
        <w:t>(Rosanawita et al., 2017)</w:t>
      </w:r>
      <w:r w:rsidR="00810B0A">
        <w:rPr>
          <w:rFonts w:ascii="Arial" w:hAnsi="Arial" w:cs="Arial"/>
          <w:sz w:val="20"/>
          <w:szCs w:val="20"/>
        </w:rPr>
        <w:fldChar w:fldCharType="end"/>
      </w:r>
      <w:r w:rsidRPr="00616C6F">
        <w:rPr>
          <w:rFonts w:ascii="Arial" w:hAnsi="Arial" w:cs="Arial"/>
          <w:sz w:val="20"/>
          <w:szCs w:val="20"/>
        </w:rPr>
        <w:t xml:space="preserve"> that the pH of seawater is generally in the range of 6-8. Dissolved oxygen (DO) levels of 6.6 </w:t>
      </w:r>
      <w:r w:rsidR="00F55F97">
        <w:rPr>
          <w:rFonts w:ascii="Arial" w:hAnsi="Arial" w:cs="Arial"/>
          <w:sz w:val="20"/>
          <w:szCs w:val="20"/>
          <w:lang w:val="id-ID"/>
        </w:rPr>
        <w:t>ppm</w:t>
      </w:r>
      <w:r w:rsidRPr="00616C6F">
        <w:rPr>
          <w:rFonts w:ascii="Arial" w:hAnsi="Arial" w:cs="Arial"/>
          <w:sz w:val="20"/>
          <w:szCs w:val="20"/>
        </w:rPr>
        <w:t xml:space="preserve"> indic</w:t>
      </w:r>
      <w:r>
        <w:rPr>
          <w:rFonts w:ascii="Arial" w:hAnsi="Arial" w:cs="Arial"/>
          <w:sz w:val="20"/>
          <w:szCs w:val="20"/>
        </w:rPr>
        <w:t>ate good oxygenation conditions</w:t>
      </w:r>
      <w:r w:rsidR="005850D7" w:rsidRPr="00D37A5A">
        <w:rPr>
          <w:rFonts w:ascii="Arial" w:hAnsi="Arial" w:cs="Arial"/>
          <w:sz w:val="20"/>
          <w:szCs w:val="20"/>
        </w:rPr>
        <w:t xml:space="preserve">. </w:t>
      </w:r>
    </w:p>
    <w:p w14:paraId="38C61865" w14:textId="77777777" w:rsidR="005850D7" w:rsidRPr="009970B1" w:rsidRDefault="00616C6F" w:rsidP="006A3FE6">
      <w:pPr>
        <w:ind w:left="360" w:firstLine="720"/>
        <w:jc w:val="both"/>
        <w:rPr>
          <w:rFonts w:ascii="Arial" w:hAnsi="Arial" w:cs="Arial"/>
          <w:sz w:val="20"/>
          <w:szCs w:val="20"/>
          <w:lang w:val="id-ID"/>
        </w:rPr>
      </w:pPr>
      <w:r w:rsidRPr="00616C6F">
        <w:rPr>
          <w:rFonts w:ascii="Arial" w:hAnsi="Arial" w:cs="Arial"/>
          <w:sz w:val="20"/>
          <w:szCs w:val="20"/>
        </w:rPr>
        <w:t xml:space="preserve">Dissolved oxygen is a critical parameter for the life of aquatic organisms, including brown mussels. Brown mussels require dissolved oxygen levels between 4.19-6.24 </w:t>
      </w:r>
      <w:r w:rsidR="00F55F97">
        <w:rPr>
          <w:rFonts w:ascii="Arial" w:hAnsi="Arial" w:cs="Arial"/>
          <w:sz w:val="20"/>
          <w:szCs w:val="20"/>
          <w:lang w:val="id-ID"/>
        </w:rPr>
        <w:t>ppm</w:t>
      </w:r>
      <w:r w:rsidRPr="00616C6F">
        <w:rPr>
          <w:rFonts w:ascii="Arial" w:hAnsi="Arial" w:cs="Arial"/>
          <w:sz w:val="20"/>
          <w:szCs w:val="20"/>
        </w:rPr>
        <w:t xml:space="preserve"> for optimal conditions. Fluctuations in oxygen levels can affect the growth and reproduction of bivalves, therefore monitoring and managing oxygen levels is an important aspect in mussel aquaculture </w:t>
      </w:r>
      <w:r w:rsidR="00810B0A">
        <w:rPr>
          <w:rFonts w:ascii="Arial" w:hAnsi="Arial" w:cs="Arial"/>
          <w:sz w:val="20"/>
          <w:szCs w:val="20"/>
        </w:rPr>
        <w:fldChar w:fldCharType="begin" w:fldLock="1"/>
      </w:r>
      <w:r w:rsidR="00810B0A">
        <w:rPr>
          <w:rFonts w:ascii="Arial" w:hAnsi="Arial" w:cs="Arial"/>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approach.","author":[{"dropping-particle":"","family":"Hidayat","given":"Kurnopriawan","non-dropping-particle":"","parse-names":false,"suffix":""}],"container-title":"skripsi","id":"ITEM-1","issued":{"date-parts":[["2017"]]},"title":"PERFORMA PERTUMBUHAN KERANG HIJAU (Perna viridis Linn, 1758) DAN IKAN BAWAL BINTANG (Trachinotus blochii Lacepede, 1801) YANG DIBUDIDAYA SECARA POLIKULTUR DAN MONOKULTUR DI PULAU PASARAN","type":"article-journal","volume":"PROGRAM ST"},"uris":["http://www.mendeley.com/documents/?uuid=c5673ef1-3818-4778-915f-374b35fb0221"]}],"mendeley":{"formattedCitation":"(Hidayat, 2017)","plainTextFormattedCitation":"(Hidayat, 2017)","previouslyFormattedCitation":"(Hidayat, 2017)"},"properties":{"noteIndex":0},"schema":"https://github.com/citation-style-language/schema/raw/master/csl-citation.json"}</w:instrText>
      </w:r>
      <w:r w:rsidR="00810B0A">
        <w:rPr>
          <w:rFonts w:ascii="Arial" w:hAnsi="Arial" w:cs="Arial"/>
          <w:sz w:val="20"/>
          <w:szCs w:val="20"/>
        </w:rPr>
        <w:fldChar w:fldCharType="separate"/>
      </w:r>
      <w:r w:rsidR="00810B0A" w:rsidRPr="00810B0A">
        <w:rPr>
          <w:rFonts w:ascii="Arial" w:hAnsi="Arial" w:cs="Arial"/>
          <w:noProof/>
          <w:sz w:val="20"/>
          <w:szCs w:val="20"/>
        </w:rPr>
        <w:t>(Hidayat, 2017)</w:t>
      </w:r>
      <w:r w:rsidR="00810B0A">
        <w:rPr>
          <w:rFonts w:ascii="Arial" w:hAnsi="Arial" w:cs="Arial"/>
          <w:sz w:val="20"/>
          <w:szCs w:val="20"/>
        </w:rPr>
        <w:fldChar w:fldCharType="end"/>
      </w:r>
      <w:r w:rsidR="009970B1">
        <w:rPr>
          <w:rFonts w:ascii="Arial" w:hAnsi="Arial" w:cs="Arial"/>
          <w:sz w:val="20"/>
          <w:szCs w:val="20"/>
          <w:lang w:val="id-ID"/>
        </w:rPr>
        <w:t>.</w:t>
      </w:r>
    </w:p>
    <w:p w14:paraId="22A2ACBD" w14:textId="77777777" w:rsidR="000E4495" w:rsidRPr="009970B1" w:rsidRDefault="00616C6F" w:rsidP="00C906B9">
      <w:pPr>
        <w:ind w:left="360" w:firstLine="720"/>
        <w:jc w:val="both"/>
        <w:rPr>
          <w:rFonts w:ascii="Arial" w:hAnsi="Arial" w:cs="Arial"/>
          <w:sz w:val="20"/>
          <w:szCs w:val="20"/>
          <w:lang w:val="id-ID"/>
        </w:rPr>
      </w:pPr>
      <w:r w:rsidRPr="00616C6F">
        <w:rPr>
          <w:rFonts w:ascii="Arial" w:hAnsi="Arial" w:cs="Arial"/>
          <w:sz w:val="20"/>
          <w:szCs w:val="20"/>
        </w:rPr>
        <w:t xml:space="preserve">Salinity of 34 ppt is a typical seawater characteristic that is important for the osmotic regulation of brown mussels, which are </w:t>
      </w:r>
      <w:proofErr w:type="spellStart"/>
      <w:r w:rsidRPr="00616C6F">
        <w:rPr>
          <w:rFonts w:ascii="Arial" w:hAnsi="Arial" w:cs="Arial"/>
          <w:sz w:val="20"/>
          <w:szCs w:val="20"/>
        </w:rPr>
        <w:t>osmoconformers</w:t>
      </w:r>
      <w:proofErr w:type="spellEnd"/>
      <w:r w:rsidRPr="00616C6F">
        <w:rPr>
          <w:rFonts w:ascii="Arial" w:hAnsi="Arial" w:cs="Arial"/>
          <w:sz w:val="20"/>
          <w:szCs w:val="20"/>
        </w:rPr>
        <w:t xml:space="preserve">. Salinity affects the distribution, growth and reproduction of mussels. Drastic changes can cause stress, such as shell shedding and decreased filtration rates. In addition, increased salinity can decrease oxygen solubility, impacting mussel respiration. Some species, such as </w:t>
      </w:r>
      <w:proofErr w:type="spellStart"/>
      <w:r w:rsidRPr="00616C6F">
        <w:rPr>
          <w:rFonts w:ascii="Arial" w:hAnsi="Arial" w:cs="Arial"/>
          <w:sz w:val="20"/>
          <w:szCs w:val="20"/>
        </w:rPr>
        <w:t>Mytilopsis</w:t>
      </w:r>
      <w:proofErr w:type="spellEnd"/>
      <w:r w:rsidRPr="00616C6F">
        <w:rPr>
          <w:rFonts w:ascii="Arial" w:hAnsi="Arial" w:cs="Arial"/>
          <w:sz w:val="20"/>
          <w:szCs w:val="20"/>
        </w:rPr>
        <w:t xml:space="preserve"> </w:t>
      </w:r>
      <w:proofErr w:type="spellStart"/>
      <w:r w:rsidRPr="00616C6F">
        <w:rPr>
          <w:rFonts w:ascii="Arial" w:hAnsi="Arial" w:cs="Arial"/>
          <w:sz w:val="20"/>
          <w:szCs w:val="20"/>
        </w:rPr>
        <w:t>leucophaeata</w:t>
      </w:r>
      <w:proofErr w:type="spellEnd"/>
      <w:r w:rsidRPr="00616C6F">
        <w:rPr>
          <w:rFonts w:ascii="Arial" w:hAnsi="Arial" w:cs="Arial"/>
          <w:sz w:val="20"/>
          <w:szCs w:val="20"/>
        </w:rPr>
        <w:t xml:space="preserve">, are tolerant of salinity variations and can survive within 0.1 to 34 ppt. Adaptation to salinity fluctuations involves complex osmoregulatory mechanisms </w:t>
      </w:r>
      <w:r w:rsidR="00810B0A">
        <w:rPr>
          <w:rFonts w:ascii="Arial" w:hAnsi="Arial" w:cs="Arial"/>
          <w:sz w:val="20"/>
          <w:szCs w:val="20"/>
        </w:rPr>
        <w:fldChar w:fldCharType="begin" w:fldLock="1"/>
      </w:r>
      <w:r w:rsidR="00810B0A">
        <w:rPr>
          <w:rFonts w:ascii="Arial" w:hAnsi="Arial" w:cs="Arial"/>
          <w:sz w:val="20"/>
          <w:szCs w:val="20"/>
        </w:rPr>
        <w:instrText>ADDIN CSL_CITATION {"citationItems":[{"id":"ITEM-1","itemData":{"DOI":"10.2478/vzoo-2019-0019","ISSN":"20732333","abstract":"First records of invasive bivalve freshwater mollusc species Mytilopsis leucophaeata (Conrad, 1831) and Corbicula fluminalis (O. F. Müller, 1774) in Georgia are reported. No native or alien extant dreissenid species have ever been recorded form this region so far. A finding of C. fluminalis in Georgia is also a new record for the country though this species inhabits the rivers of adjacent Azerbaijan. Apart from two mentioned bivalve molluscs three non-indigenous gastropod species are registered from Georgia: freshwater Ferrisia californica (Rowell, 1863) and Physella acuta (Draparnaud, 1805) and land snail Eobania vermiculata (O. F. Müller, 1774).","author":[{"dropping-particle":"","family":"Mumladze","given":"L.","non-dropping-particle":"","parse-names":false,"suffix":""},{"dropping-particle":"","family":"Bikashvili","given":"A.","non-dropping-particle":"","parse-names":false,"suffix":""},{"dropping-particle":"","family":"Japoshvili","given":"B.","non-dropping-particle":"","parse-names":false,"suffix":""},{"dropping-particle":"V.","family":"Anistratenko","given":"V.","non-dropping-particle":"","parse-names":false,"suffix":""}],"container-title":"Vestnik Zoologii","id":"ITEM-1","issue":"3","issued":{"date-parts":[["2019"]]},"page":"187-194","title":"New Alien Species Mytilopsis Leucophaeata and Corbicula Fluminalis (Mollusca, Bivalvia) Recorded in Georgia and Notes on Other Non-Indigenous Molluscs Invaded the South Caucasus","type":"article-journal","volume":"53"},"uris":["http://www.mendeley.com/documents/?uuid=f8d6ba07-031c-4350-87bc-58830e58fca5"]}],"mendeley":{"formattedCitation":"(Mumladze et al., 2019)","plainTextFormattedCitation":"(Mumladze et al., 2019)","previouslyFormattedCitation":"(Mumladze et al., 2019)"},"properties":{"noteIndex":0},"schema":"https://github.com/citation-style-language/schema/raw/master/csl-citation.json"}</w:instrText>
      </w:r>
      <w:r w:rsidR="00810B0A">
        <w:rPr>
          <w:rFonts w:ascii="Arial" w:hAnsi="Arial" w:cs="Arial"/>
          <w:sz w:val="20"/>
          <w:szCs w:val="20"/>
        </w:rPr>
        <w:fldChar w:fldCharType="separate"/>
      </w:r>
      <w:r w:rsidR="00810B0A" w:rsidRPr="00810B0A">
        <w:rPr>
          <w:rFonts w:ascii="Arial" w:hAnsi="Arial" w:cs="Arial"/>
          <w:noProof/>
          <w:sz w:val="20"/>
          <w:szCs w:val="20"/>
        </w:rPr>
        <w:t>(Mumladze et al., 2019)</w:t>
      </w:r>
      <w:r w:rsidR="00810B0A">
        <w:rPr>
          <w:rFonts w:ascii="Arial" w:hAnsi="Arial" w:cs="Arial"/>
          <w:sz w:val="20"/>
          <w:szCs w:val="20"/>
        </w:rPr>
        <w:fldChar w:fldCharType="end"/>
      </w:r>
      <w:r w:rsidR="009970B1">
        <w:rPr>
          <w:rFonts w:ascii="Arial" w:hAnsi="Arial" w:cs="Arial"/>
          <w:sz w:val="20"/>
          <w:szCs w:val="20"/>
          <w:lang w:val="id-ID"/>
        </w:rPr>
        <w:t>.</w:t>
      </w:r>
    </w:p>
    <w:p w14:paraId="55C9A487" w14:textId="77777777" w:rsidR="00D84C1D" w:rsidRDefault="00D84C1D" w:rsidP="006A3FE6">
      <w:pPr>
        <w:ind w:left="720"/>
        <w:jc w:val="both"/>
        <w:rPr>
          <w:rFonts w:ascii="Times New Roman" w:eastAsia="Times New Roman" w:hAnsi="Times New Roman" w:cs="Times New Roman"/>
          <w:sz w:val="24"/>
        </w:rPr>
      </w:pPr>
    </w:p>
    <w:p w14:paraId="33B9AF07" w14:textId="77777777" w:rsidR="00D84C1D" w:rsidRDefault="00B73BA6" w:rsidP="00B73BA6">
      <w:pPr>
        <w:pStyle w:val="Heading1"/>
        <w:tabs>
          <w:tab w:val="left" w:pos="387"/>
        </w:tabs>
        <w:ind w:left="0"/>
      </w:pPr>
      <w:r>
        <w:rPr>
          <w:spacing w:val="-2"/>
        </w:rPr>
        <w:t xml:space="preserve">4. </w:t>
      </w:r>
      <w:r>
        <w:rPr>
          <w:spacing w:val="-2"/>
        </w:rPr>
        <w:tab/>
      </w:r>
      <w:r w:rsidR="0086256E" w:rsidRPr="0086256E">
        <w:rPr>
          <w:spacing w:val="-2"/>
        </w:rPr>
        <w:t>CONCLUSIONS</w:t>
      </w:r>
    </w:p>
    <w:p w14:paraId="757C6D2A" w14:textId="77777777" w:rsidR="00D84C1D" w:rsidRDefault="00616C6F" w:rsidP="00E54E15">
      <w:pPr>
        <w:widowControl/>
        <w:autoSpaceDE/>
        <w:ind w:left="360" w:firstLine="720"/>
        <w:jc w:val="both"/>
        <w:rPr>
          <w:sz w:val="20"/>
        </w:rPr>
      </w:pPr>
      <w:r w:rsidRPr="00616C6F">
        <w:rPr>
          <w:sz w:val="20"/>
        </w:rPr>
        <w:t xml:space="preserve">In the suspended substrate, the highest density was found in </w:t>
      </w:r>
      <w:proofErr w:type="spellStart"/>
      <w:r w:rsidRPr="00616C6F">
        <w:rPr>
          <w:sz w:val="20"/>
        </w:rPr>
        <w:t>paris</w:t>
      </w:r>
      <w:proofErr w:type="spellEnd"/>
      <w:r w:rsidRPr="00616C6F">
        <w:rPr>
          <w:sz w:val="20"/>
        </w:rPr>
        <w:t xml:space="preserve"> rope (1.62 fish/cm</w:t>
      </w:r>
      <w:r w:rsidRPr="005F4423">
        <w:rPr>
          <w:sz w:val="20"/>
          <w:vertAlign w:val="superscript"/>
        </w:rPr>
        <w:t>2</w:t>
      </w:r>
      <w:r w:rsidRPr="00616C6F">
        <w:rPr>
          <w:sz w:val="20"/>
        </w:rPr>
        <w:t>), followed by cloth (0.33 fish/cm</w:t>
      </w:r>
      <w:r w:rsidRPr="005F4423">
        <w:rPr>
          <w:sz w:val="20"/>
          <w:vertAlign w:val="superscript"/>
        </w:rPr>
        <w:t>2</w:t>
      </w:r>
      <w:r w:rsidRPr="00616C6F">
        <w:rPr>
          <w:sz w:val="20"/>
        </w:rPr>
        <w:t>), net (0.30</w:t>
      </w:r>
      <w:r w:rsidR="005F4423">
        <w:rPr>
          <w:sz w:val="20"/>
          <w:lang w:val="id-ID"/>
        </w:rPr>
        <w:t xml:space="preserve"> </w:t>
      </w:r>
      <w:r w:rsidR="005F4423" w:rsidRPr="00616C6F">
        <w:rPr>
          <w:sz w:val="20"/>
        </w:rPr>
        <w:t>fish/cm</w:t>
      </w:r>
      <w:r w:rsidR="005F4423" w:rsidRPr="005F4423">
        <w:rPr>
          <w:sz w:val="20"/>
          <w:vertAlign w:val="superscript"/>
        </w:rPr>
        <w:t>2</w:t>
      </w:r>
      <w:r w:rsidRPr="00616C6F">
        <w:rPr>
          <w:sz w:val="20"/>
        </w:rPr>
        <w:t>) and netting (0.06</w:t>
      </w:r>
      <w:r w:rsidR="005F4423">
        <w:rPr>
          <w:sz w:val="20"/>
          <w:lang w:val="id-ID"/>
        </w:rPr>
        <w:t xml:space="preserve"> </w:t>
      </w:r>
      <w:r w:rsidR="005F4423" w:rsidRPr="00616C6F">
        <w:rPr>
          <w:sz w:val="20"/>
        </w:rPr>
        <w:t>fish/cm</w:t>
      </w:r>
      <w:r w:rsidR="005F4423" w:rsidRPr="005F4423">
        <w:rPr>
          <w:sz w:val="20"/>
          <w:vertAlign w:val="superscript"/>
        </w:rPr>
        <w:t>2</w:t>
      </w:r>
      <w:r w:rsidRPr="00616C6F">
        <w:rPr>
          <w:sz w:val="20"/>
        </w:rPr>
        <w:t xml:space="preserve">). the highest growth was achieved in the white net substrate with 1630.17 µm and 860 µm. The highest specific growth rate for AP was </w:t>
      </w:r>
      <w:proofErr w:type="spellStart"/>
      <w:r w:rsidRPr="00616C6F">
        <w:rPr>
          <w:sz w:val="20"/>
        </w:rPr>
        <w:t>paris</w:t>
      </w:r>
      <w:proofErr w:type="spellEnd"/>
      <w:r w:rsidRPr="00616C6F">
        <w:rPr>
          <w:sz w:val="20"/>
        </w:rPr>
        <w:t xml:space="preserve"> cloth 0.154 (%/day) and for DV was pe rope 0.186 (%/day). in the substrate at the bottom of the container, the highest density was also in pe rope (6.91 fish/cm</w:t>
      </w:r>
      <w:r w:rsidRPr="005F4423">
        <w:rPr>
          <w:sz w:val="20"/>
          <w:vertAlign w:val="superscript"/>
        </w:rPr>
        <w:t>2</w:t>
      </w:r>
      <w:r w:rsidRPr="00616C6F">
        <w:rPr>
          <w:sz w:val="20"/>
        </w:rPr>
        <w:t>) followed by nets (2.35 fish/cm</w:t>
      </w:r>
      <w:r w:rsidRPr="005F4423">
        <w:rPr>
          <w:sz w:val="20"/>
          <w:vertAlign w:val="superscript"/>
        </w:rPr>
        <w:t>2</w:t>
      </w:r>
      <w:r w:rsidRPr="00616C6F">
        <w:rPr>
          <w:sz w:val="20"/>
        </w:rPr>
        <w:t>) and cloth (2.30 fish/cm</w:t>
      </w:r>
      <w:r w:rsidRPr="005F4423">
        <w:rPr>
          <w:sz w:val="20"/>
          <w:vertAlign w:val="superscript"/>
        </w:rPr>
        <w:t>2</w:t>
      </w:r>
      <w:r w:rsidRPr="00616C6F">
        <w:rPr>
          <w:sz w:val="20"/>
        </w:rPr>
        <w:t xml:space="preserve">). the highest absolute growth for AP and DV was in the white </w:t>
      </w:r>
      <w:proofErr w:type="gramStart"/>
      <w:r w:rsidRPr="00616C6F">
        <w:rPr>
          <w:sz w:val="20"/>
        </w:rPr>
        <w:t>nets</w:t>
      </w:r>
      <w:proofErr w:type="gramEnd"/>
      <w:r w:rsidRPr="00616C6F">
        <w:rPr>
          <w:sz w:val="20"/>
        </w:rPr>
        <w:t xml:space="preserve"> substrate. The highest specific growth rate for ap was </w:t>
      </w:r>
      <w:proofErr w:type="spellStart"/>
      <w:r w:rsidRPr="00616C6F">
        <w:rPr>
          <w:sz w:val="20"/>
        </w:rPr>
        <w:t>paris</w:t>
      </w:r>
      <w:proofErr w:type="spellEnd"/>
      <w:r w:rsidRPr="00616C6F">
        <w:rPr>
          <w:sz w:val="20"/>
        </w:rPr>
        <w:t xml:space="preserve"> cloth 0.155 (%/day) and for dv was pe rope 0.187 (%/day). The best substrate based on density was pe rope, while for absolute growth it </w:t>
      </w:r>
      <w:r w:rsidRPr="00616C6F">
        <w:rPr>
          <w:sz w:val="20"/>
        </w:rPr>
        <w:lastRenderedPageBreak/>
        <w:t>was waring. The substrate at the bottom of the container showed better results than the one hung on the column.</w:t>
      </w:r>
    </w:p>
    <w:p w14:paraId="4174EB5B" w14:textId="77777777" w:rsidR="008A241C" w:rsidRDefault="008A241C" w:rsidP="00D84C1D">
      <w:pPr>
        <w:ind w:left="720"/>
        <w:jc w:val="both"/>
        <w:rPr>
          <w:rFonts w:ascii="Times New Roman" w:eastAsia="Times New Roman" w:hAnsi="Times New Roman" w:cs="Times New Roman"/>
          <w:sz w:val="24"/>
        </w:rPr>
      </w:pPr>
    </w:p>
    <w:p w14:paraId="3D75C8B7" w14:textId="77777777" w:rsidR="008A241C" w:rsidRPr="006A3FE6" w:rsidRDefault="008A241C" w:rsidP="006A3FE6">
      <w:pPr>
        <w:jc w:val="both"/>
        <w:rPr>
          <w:b/>
          <w:spacing w:val="-2"/>
        </w:rPr>
      </w:pPr>
      <w:r w:rsidRPr="006A3FE6">
        <w:rPr>
          <w:b/>
          <w:spacing w:val="-2"/>
        </w:rPr>
        <w:t>REFERENCES</w:t>
      </w:r>
    </w:p>
    <w:p w14:paraId="6AA1F955" w14:textId="77777777" w:rsidR="00E82EB3" w:rsidRDefault="00E82EB3" w:rsidP="00D84C1D">
      <w:pPr>
        <w:ind w:left="720"/>
        <w:jc w:val="both"/>
        <w:rPr>
          <w:rFonts w:ascii="Times New Roman" w:eastAsia="Times New Roman" w:hAnsi="Times New Roman" w:cs="Times New Roman"/>
          <w:sz w:val="24"/>
        </w:rPr>
      </w:pPr>
    </w:p>
    <w:p w14:paraId="62E71E73" w14:textId="77777777" w:rsidR="005F4423" w:rsidRPr="005F4423" w:rsidRDefault="005F4423" w:rsidP="008344E8">
      <w:pPr>
        <w:adjustRightInd w:val="0"/>
        <w:ind w:left="480" w:hanging="480"/>
        <w:jc w:val="both"/>
        <w:rPr>
          <w:rFonts w:cs="Times New Roman"/>
          <w:noProof/>
          <w:sz w:val="20"/>
          <w:szCs w:val="24"/>
        </w:rPr>
      </w:pPr>
      <w:r>
        <w:rPr>
          <w:b/>
          <w:noProof/>
          <w:szCs w:val="24"/>
        </w:rPr>
        <w:fldChar w:fldCharType="begin" w:fldLock="1"/>
      </w:r>
      <w:r>
        <w:rPr>
          <w:b/>
          <w:noProof/>
          <w:szCs w:val="24"/>
        </w:rPr>
        <w:instrText xml:space="preserve">ADDIN Mendeley Bibliography CSL_BIBLIOGRAPHY </w:instrText>
      </w:r>
      <w:r>
        <w:rPr>
          <w:b/>
          <w:noProof/>
          <w:szCs w:val="24"/>
        </w:rPr>
        <w:fldChar w:fldCharType="separate"/>
      </w:r>
      <w:r w:rsidRPr="005F4423">
        <w:rPr>
          <w:rFonts w:cs="Times New Roman"/>
          <w:noProof/>
          <w:sz w:val="20"/>
          <w:szCs w:val="24"/>
        </w:rPr>
        <w:t>Ahmad, Z., Junaidi, M., &amp; Astriana, B. H. (2019). Effect of Pearl Clam (</w:t>
      </w:r>
      <w:r w:rsidRPr="007864B6">
        <w:rPr>
          <w:rFonts w:cs="Times New Roman"/>
          <w:i/>
          <w:noProof/>
          <w:sz w:val="20"/>
          <w:szCs w:val="24"/>
        </w:rPr>
        <w:t>Pinctada maxima</w:t>
      </w:r>
      <w:r w:rsidRPr="005F4423">
        <w:rPr>
          <w:rFonts w:cs="Times New Roman"/>
          <w:noProof/>
          <w:sz w:val="20"/>
          <w:szCs w:val="24"/>
        </w:rPr>
        <w:t xml:space="preserve">) Spat Density with Longline Method on Growth and Survival. Journal of Tropical Biology, </w:t>
      </w:r>
      <w:r w:rsidRPr="005F4423">
        <w:rPr>
          <w:rFonts w:cs="Times New Roman"/>
          <w:i/>
          <w:iCs/>
          <w:noProof/>
          <w:sz w:val="20"/>
          <w:szCs w:val="24"/>
        </w:rPr>
        <w:t>19</w:t>
      </w:r>
      <w:r w:rsidRPr="005F4423">
        <w:rPr>
          <w:rFonts w:cs="Times New Roman"/>
          <w:noProof/>
          <w:sz w:val="20"/>
          <w:szCs w:val="24"/>
        </w:rPr>
        <w:t>(2), 221–228. https://doi.org/10.29303/jbt.v19i2.1273</w:t>
      </w:r>
    </w:p>
    <w:p w14:paraId="5788032F"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Alburhana, L. S., Setyati, W. A., &amp; Redjeki, S. (2023). Length Weight Relationship of Blood Clams (</w:t>
      </w:r>
      <w:r w:rsidRPr="007864B6">
        <w:rPr>
          <w:rFonts w:cs="Times New Roman"/>
          <w:i/>
          <w:noProof/>
          <w:sz w:val="20"/>
          <w:szCs w:val="24"/>
        </w:rPr>
        <w:t>Anadara granosa</w:t>
      </w:r>
      <w:r w:rsidRPr="005F4423">
        <w:rPr>
          <w:rFonts w:cs="Times New Roman"/>
          <w:noProof/>
          <w:sz w:val="20"/>
          <w:szCs w:val="24"/>
        </w:rPr>
        <w:t xml:space="preserve">) in Berahan Kulon Waters, Demak. </w:t>
      </w:r>
      <w:r w:rsidRPr="005F4423">
        <w:rPr>
          <w:rFonts w:cs="Times New Roman"/>
          <w:i/>
          <w:iCs/>
          <w:noProof/>
          <w:sz w:val="20"/>
          <w:szCs w:val="24"/>
        </w:rPr>
        <w:t>Journal of Marine Research</w:t>
      </w:r>
      <w:r w:rsidRPr="005F4423">
        <w:rPr>
          <w:rFonts w:cs="Times New Roman"/>
          <w:noProof/>
          <w:sz w:val="20"/>
          <w:szCs w:val="24"/>
        </w:rPr>
        <w:t xml:space="preserve">, </w:t>
      </w:r>
      <w:r w:rsidRPr="005F4423">
        <w:rPr>
          <w:rFonts w:cs="Times New Roman"/>
          <w:i/>
          <w:iCs/>
          <w:noProof/>
          <w:sz w:val="20"/>
          <w:szCs w:val="24"/>
        </w:rPr>
        <w:t>12</w:t>
      </w:r>
      <w:r w:rsidRPr="005F4423">
        <w:rPr>
          <w:rFonts w:cs="Times New Roman"/>
          <w:noProof/>
          <w:sz w:val="20"/>
          <w:szCs w:val="24"/>
        </w:rPr>
        <w:t>(4), 746–753. https://doi.org/10.14710/jmr.v12i4.34119</w:t>
      </w:r>
    </w:p>
    <w:p w14:paraId="17EF0103"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Ayu, S., Rahman, A., &amp; Abidin, L. O. B. (2024). Use of Collectors from Nets, Wood and Bamboo on the Abundance and Growth of Pearl Clam Spawn </w:t>
      </w:r>
      <w:r w:rsidRPr="007864B6">
        <w:rPr>
          <w:rFonts w:cs="Times New Roman"/>
          <w:i/>
          <w:noProof/>
          <w:sz w:val="20"/>
          <w:szCs w:val="24"/>
        </w:rPr>
        <w:t>Pteria penguin</w:t>
      </w:r>
      <w:r w:rsidRPr="005F4423">
        <w:rPr>
          <w:rFonts w:cs="Times New Roman"/>
          <w:noProof/>
          <w:sz w:val="20"/>
          <w:szCs w:val="24"/>
        </w:rPr>
        <w:t xml:space="preserve"> at Palabusa Village Beach. Scientific Journal of the Department of Aquaculture, </w:t>
      </w:r>
      <w:r w:rsidRPr="005F4423">
        <w:rPr>
          <w:rFonts w:cs="Times New Roman"/>
          <w:i/>
          <w:iCs/>
          <w:noProof/>
          <w:sz w:val="20"/>
          <w:szCs w:val="24"/>
        </w:rPr>
        <w:t>9</w:t>
      </w:r>
      <w:r w:rsidRPr="005F4423">
        <w:rPr>
          <w:rFonts w:cs="Times New Roman"/>
          <w:noProof/>
          <w:sz w:val="20"/>
          <w:szCs w:val="24"/>
        </w:rPr>
        <w:t>(3), 109–115.</w:t>
      </w:r>
    </w:p>
    <w:p w14:paraId="470688E3"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Bhara, A. M., Meye, E. D., &amp; Kamlasi, Y. (2018). Analysis Of Bivalves Content Consumed In The Coastal Coast Of Arubara, Ende. </w:t>
      </w:r>
      <w:r w:rsidRPr="005F4423">
        <w:rPr>
          <w:rFonts w:cs="Times New Roman"/>
          <w:i/>
          <w:iCs/>
          <w:noProof/>
          <w:sz w:val="20"/>
          <w:szCs w:val="24"/>
        </w:rPr>
        <w:t>Jurnal Biotropikal Sains</w:t>
      </w:r>
      <w:r w:rsidRPr="005F4423">
        <w:rPr>
          <w:rFonts w:cs="Times New Roman"/>
          <w:noProof/>
          <w:sz w:val="20"/>
          <w:szCs w:val="24"/>
        </w:rPr>
        <w:t xml:space="preserve">, </w:t>
      </w:r>
      <w:r w:rsidRPr="005F4423">
        <w:rPr>
          <w:rFonts w:cs="Times New Roman"/>
          <w:i/>
          <w:iCs/>
          <w:noProof/>
          <w:sz w:val="20"/>
          <w:szCs w:val="24"/>
        </w:rPr>
        <w:t>15</w:t>
      </w:r>
      <w:r w:rsidRPr="005F4423">
        <w:rPr>
          <w:rFonts w:cs="Times New Roman"/>
          <w:noProof/>
          <w:sz w:val="20"/>
          <w:szCs w:val="24"/>
        </w:rPr>
        <w:t>(3), 38–48. https://ejurnal.undana.ac.id/index.php/biotropikal/issue/view/no3</w:t>
      </w:r>
    </w:p>
    <w:p w14:paraId="60BE3A2A"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Hakim, G., Taufiq-spj, N., &amp; Redjeki, S. (2024). Size Variation of Green Mussels (</w:t>
      </w:r>
      <w:r w:rsidRPr="00602670">
        <w:rPr>
          <w:rFonts w:cs="Times New Roman"/>
          <w:i/>
          <w:noProof/>
          <w:sz w:val="20"/>
          <w:szCs w:val="24"/>
        </w:rPr>
        <w:t>Perna viridis</w:t>
      </w:r>
      <w:r w:rsidRPr="005F4423">
        <w:rPr>
          <w:rFonts w:cs="Times New Roman"/>
          <w:noProof/>
          <w:sz w:val="20"/>
          <w:szCs w:val="24"/>
        </w:rPr>
        <w:t xml:space="preserve">) in the Coastal Pond of Lorok , Semarang. </w:t>
      </w:r>
      <w:r w:rsidRPr="005F4423">
        <w:rPr>
          <w:rFonts w:cs="Times New Roman"/>
          <w:i/>
          <w:iCs/>
          <w:noProof/>
          <w:sz w:val="20"/>
          <w:szCs w:val="24"/>
        </w:rPr>
        <w:t>Journal of Marine Research</w:t>
      </w:r>
      <w:r w:rsidRPr="005F4423">
        <w:rPr>
          <w:rFonts w:cs="Times New Roman"/>
          <w:noProof/>
          <w:sz w:val="20"/>
          <w:szCs w:val="24"/>
        </w:rPr>
        <w:t xml:space="preserve">, </w:t>
      </w:r>
      <w:r w:rsidRPr="005F4423">
        <w:rPr>
          <w:rFonts w:cs="Times New Roman"/>
          <w:i/>
          <w:iCs/>
          <w:noProof/>
          <w:sz w:val="20"/>
          <w:szCs w:val="24"/>
        </w:rPr>
        <w:t>13</w:t>
      </w:r>
      <w:r w:rsidRPr="005F4423">
        <w:rPr>
          <w:rFonts w:cs="Times New Roman"/>
          <w:noProof/>
          <w:sz w:val="20"/>
          <w:szCs w:val="24"/>
        </w:rPr>
        <w:t>(4), 617–624.</w:t>
      </w:r>
    </w:p>
    <w:p w14:paraId="7CCA44F5"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Hidayat, K. (2017). Growth Performance of Green Mussels (</w:t>
      </w:r>
      <w:r w:rsidRPr="007864B6">
        <w:rPr>
          <w:rFonts w:cs="Times New Roman"/>
          <w:i/>
          <w:noProof/>
          <w:sz w:val="20"/>
          <w:szCs w:val="24"/>
        </w:rPr>
        <w:t>Perna viridis</w:t>
      </w:r>
      <w:r w:rsidRPr="005F4423">
        <w:rPr>
          <w:rFonts w:cs="Times New Roman"/>
          <w:noProof/>
          <w:sz w:val="20"/>
          <w:szCs w:val="24"/>
        </w:rPr>
        <w:t xml:space="preserve"> Linn, 1758) and Bawal Bintang Fish (Trachinotus blochii lacepede, 1801) Cultivated in Polyculture and Monoculture on Pasaran Island. Thesis, ST program.</w:t>
      </w:r>
    </w:p>
    <w:p w14:paraId="76C453D3"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Inoue, K., Onitsuka, Y., &amp; Koito, T. (2021). Mussel biology: from the byssus to ecology and physiology, including microplastic ingestion and deep-sea adaptations. </w:t>
      </w:r>
      <w:r w:rsidRPr="005F4423">
        <w:rPr>
          <w:rFonts w:cs="Times New Roman"/>
          <w:i/>
          <w:iCs/>
          <w:noProof/>
          <w:sz w:val="20"/>
          <w:szCs w:val="24"/>
        </w:rPr>
        <w:t>Fisheries Science</w:t>
      </w:r>
      <w:r w:rsidRPr="005F4423">
        <w:rPr>
          <w:rFonts w:cs="Times New Roman"/>
          <w:noProof/>
          <w:sz w:val="20"/>
          <w:szCs w:val="24"/>
        </w:rPr>
        <w:t xml:space="preserve">, </w:t>
      </w:r>
      <w:r w:rsidRPr="005F4423">
        <w:rPr>
          <w:rFonts w:cs="Times New Roman"/>
          <w:i/>
          <w:iCs/>
          <w:noProof/>
          <w:sz w:val="20"/>
          <w:szCs w:val="24"/>
        </w:rPr>
        <w:t>87</w:t>
      </w:r>
      <w:r w:rsidRPr="005F4423">
        <w:rPr>
          <w:rFonts w:cs="Times New Roman"/>
          <w:noProof/>
          <w:sz w:val="20"/>
          <w:szCs w:val="24"/>
        </w:rPr>
        <w:t>(6), 761–771. https://doi.org/10.1007/s12562-021-01550-5</w:t>
      </w:r>
    </w:p>
    <w:p w14:paraId="64D0CA59"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Iyen, H., Kasnir, M., &amp; Hamsiah, H. (2021). Analysis of suitability and supportability of mab</w:t>
      </w:r>
      <w:r w:rsidRPr="005F4423">
        <w:rPr>
          <w:rFonts w:cs="Times New Roman" w:hint="cs"/>
          <w:noProof/>
          <w:sz w:val="20"/>
          <w:szCs w:val="24"/>
        </w:rPr>
        <w:t>è</w:t>
      </w:r>
      <w:r w:rsidRPr="005F4423">
        <w:rPr>
          <w:rFonts w:cs="Times New Roman"/>
          <w:noProof/>
          <w:sz w:val="20"/>
          <w:szCs w:val="24"/>
        </w:rPr>
        <w:t xml:space="preserve"> mutiara mussel (</w:t>
      </w:r>
      <w:r w:rsidR="007864B6" w:rsidRPr="007864B6">
        <w:rPr>
          <w:rFonts w:cs="Times New Roman"/>
          <w:i/>
          <w:noProof/>
          <w:sz w:val="20"/>
          <w:szCs w:val="24"/>
        </w:rPr>
        <w:t>P</w:t>
      </w:r>
      <w:r w:rsidRPr="007864B6">
        <w:rPr>
          <w:rFonts w:cs="Times New Roman"/>
          <w:i/>
          <w:noProof/>
          <w:sz w:val="20"/>
          <w:szCs w:val="24"/>
        </w:rPr>
        <w:t>teria penguin</w:t>
      </w:r>
      <w:r w:rsidRPr="005F4423">
        <w:rPr>
          <w:rFonts w:cs="Times New Roman"/>
          <w:noProof/>
          <w:sz w:val="20"/>
          <w:szCs w:val="24"/>
        </w:rPr>
        <w:t xml:space="preserve">) fishing locations in the palabusa flow of bau-bau city. Journal of indonesian tropical fisheries (joint-fish) : Journal of Aquaculture, Capture Fisheries Technology and Management, Marine Science, </w:t>
      </w:r>
      <w:r w:rsidRPr="005F4423">
        <w:rPr>
          <w:rFonts w:cs="Times New Roman"/>
          <w:i/>
          <w:iCs/>
          <w:noProof/>
          <w:sz w:val="20"/>
          <w:szCs w:val="24"/>
        </w:rPr>
        <w:t>4</w:t>
      </w:r>
      <w:r w:rsidRPr="005F4423">
        <w:rPr>
          <w:rFonts w:cs="Times New Roman"/>
          <w:noProof/>
          <w:sz w:val="20"/>
          <w:szCs w:val="24"/>
        </w:rPr>
        <w:t>(2), 180–197. https://doi.org/10.33096/joint-fish.v4i2.108</w:t>
      </w:r>
    </w:p>
    <w:p w14:paraId="38EFAC8C"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Junaidi, M., Ahmad, Z., &amp; Astriana, B. H. (2019). </w:t>
      </w:r>
      <w:r w:rsidR="00A563B4" w:rsidRPr="00A563B4">
        <w:rPr>
          <w:rFonts w:cs="Times New Roman"/>
          <w:noProof/>
          <w:sz w:val="20"/>
          <w:szCs w:val="24"/>
        </w:rPr>
        <w:t>Effect of Pearl Clam (</w:t>
      </w:r>
      <w:r w:rsidR="007864B6" w:rsidRPr="007864B6">
        <w:rPr>
          <w:rFonts w:cs="Times New Roman"/>
          <w:i/>
          <w:noProof/>
          <w:sz w:val="20"/>
          <w:szCs w:val="24"/>
          <w:lang w:val="id-ID"/>
        </w:rPr>
        <w:t>P</w:t>
      </w:r>
      <w:r w:rsidR="007864B6" w:rsidRPr="007864B6">
        <w:rPr>
          <w:rFonts w:cs="Times New Roman"/>
          <w:i/>
          <w:noProof/>
          <w:sz w:val="20"/>
          <w:szCs w:val="24"/>
        </w:rPr>
        <w:t>inctada maxima</w:t>
      </w:r>
      <w:r w:rsidR="00A563B4" w:rsidRPr="00A563B4">
        <w:rPr>
          <w:rFonts w:cs="Times New Roman"/>
          <w:noProof/>
          <w:sz w:val="20"/>
          <w:szCs w:val="24"/>
        </w:rPr>
        <w:t>) Spat Density with Longline Method on Growth and Survival. Journal of Tropical Biology</w:t>
      </w:r>
      <w:r w:rsidRPr="005F4423">
        <w:rPr>
          <w:rFonts w:cs="Times New Roman"/>
          <w:noProof/>
          <w:sz w:val="20"/>
          <w:szCs w:val="24"/>
        </w:rPr>
        <w:t xml:space="preserve">, </w:t>
      </w:r>
      <w:r w:rsidRPr="005F4423">
        <w:rPr>
          <w:rFonts w:cs="Times New Roman"/>
          <w:i/>
          <w:iCs/>
          <w:noProof/>
          <w:sz w:val="20"/>
          <w:szCs w:val="24"/>
        </w:rPr>
        <w:t>19</w:t>
      </w:r>
      <w:r w:rsidRPr="005F4423">
        <w:rPr>
          <w:rFonts w:cs="Times New Roman"/>
          <w:noProof/>
          <w:sz w:val="20"/>
          <w:szCs w:val="24"/>
        </w:rPr>
        <w:t>(2), 221–228. https://doi.org/10.29303/jbt.v19i2.1273</w:t>
      </w:r>
    </w:p>
    <w:p w14:paraId="5DBB4622"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Kotta, R. (2018). </w:t>
      </w:r>
      <w:r w:rsidR="00A563B4" w:rsidRPr="00A563B4">
        <w:rPr>
          <w:rFonts w:cs="Times New Roman"/>
          <w:noProof/>
          <w:sz w:val="20"/>
          <w:szCs w:val="24"/>
        </w:rPr>
        <w:t>Effects of Different Densities of Substrate Media on the Attachment Process of Pearl Oyster (</w:t>
      </w:r>
      <w:r w:rsidR="00A563B4" w:rsidRPr="007864B6">
        <w:rPr>
          <w:rFonts w:cs="Times New Roman"/>
          <w:i/>
          <w:noProof/>
          <w:sz w:val="20"/>
          <w:szCs w:val="24"/>
        </w:rPr>
        <w:t>Pinctada maxima</w:t>
      </w:r>
      <w:r w:rsidR="00A563B4" w:rsidRPr="00A563B4">
        <w:rPr>
          <w:rFonts w:cs="Times New Roman"/>
          <w:noProof/>
          <w:sz w:val="20"/>
          <w:szCs w:val="24"/>
        </w:rPr>
        <w:t>) Larvae. Agrikan: Journal of Fisheries Agribusiness</w:t>
      </w:r>
      <w:r w:rsidRPr="005F4423">
        <w:rPr>
          <w:rFonts w:cs="Times New Roman"/>
          <w:noProof/>
          <w:sz w:val="20"/>
          <w:szCs w:val="24"/>
        </w:rPr>
        <w:t xml:space="preserve">, </w:t>
      </w:r>
      <w:r w:rsidRPr="005F4423">
        <w:rPr>
          <w:rFonts w:cs="Times New Roman"/>
          <w:i/>
          <w:iCs/>
          <w:noProof/>
          <w:sz w:val="20"/>
          <w:szCs w:val="24"/>
        </w:rPr>
        <w:t>11</w:t>
      </w:r>
      <w:r w:rsidRPr="005F4423">
        <w:rPr>
          <w:rFonts w:cs="Times New Roman"/>
          <w:noProof/>
          <w:sz w:val="20"/>
          <w:szCs w:val="24"/>
        </w:rPr>
        <w:t>(1), 61. https://doi.org/10.29239/j.agrikan.11.1.61-70</w:t>
      </w:r>
    </w:p>
    <w:p w14:paraId="747E66EE" w14:textId="77777777" w:rsidR="005F4423" w:rsidRPr="005F4423" w:rsidRDefault="005F4423" w:rsidP="008344E8">
      <w:pPr>
        <w:adjustRightInd w:val="0"/>
        <w:ind w:left="480" w:hanging="480"/>
        <w:jc w:val="both"/>
        <w:rPr>
          <w:rFonts w:cs="Times New Roman"/>
          <w:noProof/>
          <w:sz w:val="20"/>
          <w:szCs w:val="24"/>
        </w:rPr>
      </w:pPr>
      <w:r w:rsidRPr="00737783">
        <w:rPr>
          <w:rFonts w:cs="Times New Roman"/>
          <w:noProof/>
          <w:sz w:val="20"/>
          <w:szCs w:val="24"/>
          <w:lang w:val="de-DE"/>
        </w:rPr>
        <w:t xml:space="preserve">Langkameng, P. A. T., Sunadji, &amp; Tjendanawangi, A. (2021). </w:t>
      </w:r>
      <w:r w:rsidR="00A563B4" w:rsidRPr="00A563B4">
        <w:rPr>
          <w:rFonts w:cs="Times New Roman"/>
          <w:noProof/>
          <w:sz w:val="20"/>
          <w:szCs w:val="24"/>
        </w:rPr>
        <w:t>Effect of different diameters of nylon rope as a collector material on the number of spat attachment, survival and growth of pearl oysters</w:t>
      </w:r>
      <w:r w:rsidRPr="005F4423">
        <w:rPr>
          <w:rFonts w:cs="Times New Roman"/>
          <w:noProof/>
          <w:sz w:val="20"/>
          <w:szCs w:val="24"/>
        </w:rPr>
        <w:t xml:space="preserve"> (</w:t>
      </w:r>
      <w:r w:rsidRPr="00A563B4">
        <w:rPr>
          <w:rFonts w:cs="Times New Roman"/>
          <w:i/>
          <w:noProof/>
          <w:sz w:val="20"/>
          <w:szCs w:val="24"/>
        </w:rPr>
        <w:t>Pinctada maxima</w:t>
      </w:r>
      <w:r w:rsidRPr="005F4423">
        <w:rPr>
          <w:rFonts w:cs="Times New Roman"/>
          <w:noProof/>
          <w:sz w:val="20"/>
          <w:szCs w:val="24"/>
        </w:rPr>
        <w:t xml:space="preserve">). </w:t>
      </w:r>
      <w:r w:rsidRPr="005F4423">
        <w:rPr>
          <w:rFonts w:cs="Times New Roman"/>
          <w:i/>
          <w:iCs/>
          <w:noProof/>
          <w:sz w:val="20"/>
          <w:szCs w:val="24"/>
        </w:rPr>
        <w:t>Jurnal Akuatik</w:t>
      </w:r>
      <w:r w:rsidRPr="005F4423">
        <w:rPr>
          <w:rFonts w:cs="Times New Roman"/>
          <w:noProof/>
          <w:sz w:val="20"/>
          <w:szCs w:val="24"/>
        </w:rPr>
        <w:t xml:space="preserve">, </w:t>
      </w:r>
      <w:r w:rsidRPr="005F4423">
        <w:rPr>
          <w:rFonts w:cs="Times New Roman"/>
          <w:i/>
          <w:iCs/>
          <w:noProof/>
          <w:sz w:val="20"/>
          <w:szCs w:val="24"/>
        </w:rPr>
        <w:t>4</w:t>
      </w:r>
      <w:r w:rsidRPr="005F4423">
        <w:rPr>
          <w:rFonts w:cs="Times New Roman"/>
          <w:noProof/>
          <w:sz w:val="20"/>
          <w:szCs w:val="24"/>
        </w:rPr>
        <w:t>(2), 31–37.</w:t>
      </w:r>
    </w:p>
    <w:p w14:paraId="303FBDD6"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Luruk, A., Santoso, P., &amp; Tjendanawangi, A. (2023). </w:t>
      </w:r>
      <w:r w:rsidR="00A563B4" w:rsidRPr="00A563B4">
        <w:rPr>
          <w:rFonts w:cs="Times New Roman"/>
          <w:noProof/>
          <w:sz w:val="20"/>
          <w:szCs w:val="24"/>
        </w:rPr>
        <w:t>Effect of Density on the Growth of Pearl Clams (</w:t>
      </w:r>
      <w:r w:rsidR="00A563B4" w:rsidRPr="00A563B4">
        <w:rPr>
          <w:rFonts w:cs="Times New Roman"/>
          <w:i/>
          <w:noProof/>
          <w:sz w:val="20"/>
          <w:szCs w:val="24"/>
        </w:rPr>
        <w:t>Pinctada maxima</w:t>
      </w:r>
      <w:r w:rsidR="00A563B4" w:rsidRPr="00A563B4">
        <w:rPr>
          <w:rFonts w:cs="Times New Roman"/>
          <w:noProof/>
          <w:sz w:val="20"/>
          <w:szCs w:val="24"/>
        </w:rPr>
        <w:t>) in the Longline Method. Journal of Vocational Fisheries Sciences</w:t>
      </w:r>
      <w:r w:rsidRPr="005F4423">
        <w:rPr>
          <w:rFonts w:cs="Times New Roman"/>
          <w:i/>
          <w:iCs/>
          <w:noProof/>
          <w:sz w:val="20"/>
          <w:szCs w:val="24"/>
        </w:rPr>
        <w:t xml:space="preserve"> (Jvip)</w:t>
      </w:r>
      <w:r w:rsidRPr="005F4423">
        <w:rPr>
          <w:rFonts w:cs="Times New Roman"/>
          <w:noProof/>
          <w:sz w:val="20"/>
          <w:szCs w:val="24"/>
        </w:rPr>
        <w:t xml:space="preserve">, </w:t>
      </w:r>
      <w:r w:rsidRPr="005F4423">
        <w:rPr>
          <w:rFonts w:cs="Times New Roman"/>
          <w:i/>
          <w:iCs/>
          <w:noProof/>
          <w:sz w:val="20"/>
          <w:szCs w:val="24"/>
        </w:rPr>
        <w:t>4</w:t>
      </w:r>
      <w:r w:rsidRPr="005F4423">
        <w:rPr>
          <w:rFonts w:cs="Times New Roman"/>
          <w:noProof/>
          <w:sz w:val="20"/>
          <w:szCs w:val="24"/>
        </w:rPr>
        <w:t>(1), 147. https://doi.org/10.35726/jvip.v4i1.7086</w:t>
      </w:r>
    </w:p>
    <w:p w14:paraId="18627A82"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Mazida, A., Aminin, &amp; Farikhah. (2023). </w:t>
      </w:r>
      <w:r w:rsidR="00A563B4" w:rsidRPr="00A563B4">
        <w:rPr>
          <w:rFonts w:cs="Times New Roman"/>
          <w:noProof/>
          <w:sz w:val="20"/>
          <w:szCs w:val="24"/>
        </w:rPr>
        <w:t>Biometric Analysis and Growth Rate of Green Mussels (</w:t>
      </w:r>
      <w:r w:rsidR="00A563B4" w:rsidRPr="007864B6">
        <w:rPr>
          <w:rFonts w:cs="Times New Roman"/>
          <w:i/>
          <w:noProof/>
          <w:sz w:val="20"/>
          <w:szCs w:val="24"/>
        </w:rPr>
        <w:t>Perna viridis</w:t>
      </w:r>
      <w:r w:rsidR="00A563B4" w:rsidRPr="00A563B4">
        <w:rPr>
          <w:rFonts w:cs="Times New Roman"/>
          <w:noProof/>
          <w:sz w:val="20"/>
          <w:szCs w:val="24"/>
        </w:rPr>
        <w:t>) Cultivated in Floating Cages in the Java Sea, Banyuurip Village, Ujungpangkah Subdistrict.</w:t>
      </w:r>
      <w:r w:rsidRPr="005F4423">
        <w:rPr>
          <w:rFonts w:cs="Times New Roman"/>
          <w:noProof/>
          <w:sz w:val="20"/>
          <w:szCs w:val="24"/>
        </w:rPr>
        <w:t xml:space="preserve">. </w:t>
      </w:r>
      <w:r w:rsidRPr="005F4423">
        <w:rPr>
          <w:rFonts w:cs="Times New Roman"/>
          <w:i/>
          <w:iCs/>
          <w:noProof/>
          <w:sz w:val="20"/>
          <w:szCs w:val="24"/>
        </w:rPr>
        <w:t>Journal of Marine Research</w:t>
      </w:r>
      <w:r w:rsidRPr="005F4423">
        <w:rPr>
          <w:rFonts w:cs="Times New Roman"/>
          <w:noProof/>
          <w:sz w:val="20"/>
          <w:szCs w:val="24"/>
        </w:rPr>
        <w:t xml:space="preserve">, </w:t>
      </w:r>
      <w:r w:rsidRPr="005F4423">
        <w:rPr>
          <w:rFonts w:cs="Times New Roman"/>
          <w:i/>
          <w:iCs/>
          <w:noProof/>
          <w:sz w:val="20"/>
          <w:szCs w:val="24"/>
        </w:rPr>
        <w:t>12</w:t>
      </w:r>
      <w:r w:rsidRPr="005F4423">
        <w:rPr>
          <w:rFonts w:cs="Times New Roman"/>
          <w:noProof/>
          <w:sz w:val="20"/>
          <w:szCs w:val="24"/>
        </w:rPr>
        <w:t>(2), 240–249.</w:t>
      </w:r>
    </w:p>
    <w:p w14:paraId="150296CF" w14:textId="77777777" w:rsidR="005F4423" w:rsidRPr="00737783" w:rsidRDefault="005F4423" w:rsidP="008344E8">
      <w:pPr>
        <w:adjustRightInd w:val="0"/>
        <w:ind w:left="480" w:hanging="480"/>
        <w:jc w:val="both"/>
        <w:rPr>
          <w:rFonts w:cs="Times New Roman"/>
          <w:noProof/>
          <w:sz w:val="20"/>
          <w:szCs w:val="24"/>
          <w:lang w:val="de-DE"/>
        </w:rPr>
      </w:pPr>
      <w:r w:rsidRPr="005F4423">
        <w:rPr>
          <w:rFonts w:cs="Times New Roman"/>
          <w:noProof/>
          <w:sz w:val="20"/>
          <w:szCs w:val="24"/>
        </w:rPr>
        <w:t xml:space="preserve">Mukhlis, A., Ilmi, N. K., Rahmatullah, S., Ilyas, A. P., &amp; Dermawan, A. (2021). </w:t>
      </w:r>
      <w:r w:rsidR="00A563B4" w:rsidRPr="00A563B4">
        <w:rPr>
          <w:rFonts w:cs="Times New Roman"/>
          <w:noProof/>
          <w:sz w:val="20"/>
          <w:szCs w:val="24"/>
        </w:rPr>
        <w:t>Acceleration of pearl mussel (</w:t>
      </w:r>
      <w:r w:rsidR="00A563B4" w:rsidRPr="007864B6">
        <w:rPr>
          <w:rFonts w:cs="Times New Roman"/>
          <w:i/>
          <w:noProof/>
          <w:sz w:val="20"/>
          <w:szCs w:val="24"/>
        </w:rPr>
        <w:t>Pinctada maxima</w:t>
      </w:r>
      <w:r w:rsidR="00A563B4" w:rsidRPr="00A563B4">
        <w:rPr>
          <w:rFonts w:cs="Times New Roman"/>
          <w:noProof/>
          <w:sz w:val="20"/>
          <w:szCs w:val="24"/>
        </w:rPr>
        <w:t xml:space="preserve">) seed growth using the immersion method in natural food tanks. </w:t>
      </w:r>
      <w:r w:rsidR="00A563B4" w:rsidRPr="00737783">
        <w:rPr>
          <w:rFonts w:cs="Times New Roman"/>
          <w:noProof/>
          <w:sz w:val="20"/>
          <w:szCs w:val="24"/>
          <w:lang w:val="de-DE"/>
        </w:rPr>
        <w:t>Unram Fisheries Journal</w:t>
      </w:r>
      <w:r w:rsidRPr="00737783">
        <w:rPr>
          <w:rFonts w:cs="Times New Roman"/>
          <w:noProof/>
          <w:sz w:val="20"/>
          <w:szCs w:val="24"/>
          <w:lang w:val="de-DE"/>
        </w:rPr>
        <w:t xml:space="preserve">, </w:t>
      </w:r>
      <w:r w:rsidRPr="00737783">
        <w:rPr>
          <w:rFonts w:cs="Times New Roman"/>
          <w:i/>
          <w:iCs/>
          <w:noProof/>
          <w:sz w:val="20"/>
          <w:szCs w:val="24"/>
          <w:lang w:val="de-DE"/>
        </w:rPr>
        <w:t>11</w:t>
      </w:r>
      <w:r w:rsidRPr="00737783">
        <w:rPr>
          <w:rFonts w:cs="Times New Roman"/>
          <w:noProof/>
          <w:sz w:val="20"/>
          <w:szCs w:val="24"/>
          <w:lang w:val="de-DE"/>
        </w:rPr>
        <w:t>(1), 1–12. https://doi.org/10.29303/jp.v11i1.224</w:t>
      </w:r>
    </w:p>
    <w:p w14:paraId="1F6044EA" w14:textId="77777777" w:rsidR="005F4423" w:rsidRPr="00737783" w:rsidRDefault="005F4423" w:rsidP="008344E8">
      <w:pPr>
        <w:adjustRightInd w:val="0"/>
        <w:ind w:left="480" w:hanging="480"/>
        <w:jc w:val="both"/>
        <w:rPr>
          <w:rFonts w:cs="Times New Roman"/>
          <w:noProof/>
          <w:sz w:val="20"/>
          <w:szCs w:val="24"/>
          <w:lang w:val="de-DE"/>
        </w:rPr>
      </w:pPr>
      <w:r w:rsidRPr="00737783">
        <w:rPr>
          <w:rFonts w:cs="Times New Roman"/>
          <w:noProof/>
          <w:sz w:val="20"/>
          <w:szCs w:val="24"/>
          <w:lang w:val="de-DE"/>
        </w:rPr>
        <w:t xml:space="preserve">Mumladze, L., Bikashvili, A., Japoshvili, B., &amp; Anistratenko, V. V. (2019). </w:t>
      </w:r>
      <w:r w:rsidRPr="005F4423">
        <w:rPr>
          <w:rFonts w:cs="Times New Roman"/>
          <w:noProof/>
          <w:sz w:val="20"/>
          <w:szCs w:val="24"/>
        </w:rPr>
        <w:t xml:space="preserve">New Alien Species </w:t>
      </w:r>
      <w:r w:rsidRPr="007864B6">
        <w:rPr>
          <w:rFonts w:cs="Times New Roman"/>
          <w:i/>
          <w:noProof/>
          <w:sz w:val="20"/>
          <w:szCs w:val="24"/>
        </w:rPr>
        <w:t xml:space="preserve">Mytilopsis </w:t>
      </w:r>
      <w:r w:rsidR="007864B6" w:rsidRPr="007864B6">
        <w:rPr>
          <w:rFonts w:cs="Times New Roman"/>
          <w:i/>
          <w:noProof/>
          <w:sz w:val="20"/>
          <w:szCs w:val="24"/>
          <w:lang w:val="id-ID"/>
        </w:rPr>
        <w:t>l</w:t>
      </w:r>
      <w:r w:rsidRPr="007864B6">
        <w:rPr>
          <w:rFonts w:cs="Times New Roman"/>
          <w:i/>
          <w:noProof/>
          <w:sz w:val="20"/>
          <w:szCs w:val="24"/>
        </w:rPr>
        <w:t>eucophaeata</w:t>
      </w:r>
      <w:r w:rsidRPr="005F4423">
        <w:rPr>
          <w:rFonts w:cs="Times New Roman"/>
          <w:noProof/>
          <w:sz w:val="20"/>
          <w:szCs w:val="24"/>
        </w:rPr>
        <w:t xml:space="preserve"> and Corbicula Fluminalis (Mollusca, Bivalvia) Recorded in Georgia and Notes on Other Non-Indigenous Molluscs Invaded the South Caucasus. </w:t>
      </w:r>
      <w:r w:rsidRPr="00737783">
        <w:rPr>
          <w:rFonts w:cs="Times New Roman"/>
          <w:i/>
          <w:iCs/>
          <w:noProof/>
          <w:sz w:val="20"/>
          <w:szCs w:val="24"/>
          <w:lang w:val="de-DE"/>
        </w:rPr>
        <w:t>Vestnik Zoologii</w:t>
      </w:r>
      <w:r w:rsidRPr="00737783">
        <w:rPr>
          <w:rFonts w:cs="Times New Roman"/>
          <w:noProof/>
          <w:sz w:val="20"/>
          <w:szCs w:val="24"/>
          <w:lang w:val="de-DE"/>
        </w:rPr>
        <w:t xml:space="preserve">, </w:t>
      </w:r>
      <w:r w:rsidRPr="00737783">
        <w:rPr>
          <w:rFonts w:cs="Times New Roman"/>
          <w:i/>
          <w:iCs/>
          <w:noProof/>
          <w:sz w:val="20"/>
          <w:szCs w:val="24"/>
          <w:lang w:val="de-DE"/>
        </w:rPr>
        <w:t>53</w:t>
      </w:r>
      <w:r w:rsidRPr="00737783">
        <w:rPr>
          <w:rFonts w:cs="Times New Roman"/>
          <w:noProof/>
          <w:sz w:val="20"/>
          <w:szCs w:val="24"/>
          <w:lang w:val="de-DE"/>
        </w:rPr>
        <w:t>(3), 187–194. https://doi.org/10.2478/vzoo-2019-0019</w:t>
      </w:r>
    </w:p>
    <w:p w14:paraId="4B4083F2" w14:textId="77777777" w:rsidR="005F4423" w:rsidRPr="005F4423" w:rsidRDefault="005F4423" w:rsidP="008344E8">
      <w:pPr>
        <w:adjustRightInd w:val="0"/>
        <w:ind w:left="480" w:hanging="480"/>
        <w:jc w:val="both"/>
        <w:rPr>
          <w:rFonts w:cs="Times New Roman"/>
          <w:noProof/>
          <w:sz w:val="20"/>
          <w:szCs w:val="24"/>
        </w:rPr>
      </w:pPr>
      <w:r w:rsidRPr="00737783">
        <w:rPr>
          <w:rFonts w:cs="Times New Roman"/>
          <w:noProof/>
          <w:sz w:val="20"/>
          <w:szCs w:val="24"/>
          <w:lang w:val="de-DE"/>
        </w:rPr>
        <w:t xml:space="preserve">Natsir, N. A., &amp; Allifah AF, A. N. (2019). </w:t>
      </w:r>
      <w:r w:rsidR="008344E8" w:rsidRPr="008344E8">
        <w:rPr>
          <w:rFonts w:cs="Times New Roman"/>
          <w:noProof/>
          <w:sz w:val="20"/>
          <w:szCs w:val="24"/>
        </w:rPr>
        <w:t>Frequency and Diversity Analysis of Bivalves in the Coastal Waters of Ay Island, Banda District, Central Maluku Regency</w:t>
      </w:r>
      <w:r w:rsidRPr="005F4423">
        <w:rPr>
          <w:rFonts w:cs="Times New Roman"/>
          <w:noProof/>
          <w:sz w:val="20"/>
          <w:szCs w:val="24"/>
        </w:rPr>
        <w:t xml:space="preserve">. </w:t>
      </w:r>
      <w:r w:rsidRPr="005F4423">
        <w:rPr>
          <w:rFonts w:cs="Times New Roman"/>
          <w:i/>
          <w:iCs/>
          <w:noProof/>
          <w:sz w:val="20"/>
          <w:szCs w:val="24"/>
        </w:rPr>
        <w:t>Pattimura Proceeding: Conference of Science and Technology</w:t>
      </w:r>
      <w:r w:rsidRPr="005F4423">
        <w:rPr>
          <w:rFonts w:cs="Times New Roman"/>
          <w:noProof/>
          <w:sz w:val="20"/>
          <w:szCs w:val="24"/>
        </w:rPr>
        <w:t>, 249–258. https://doi.org/10.30598/pattimurasci.2020.snpk19.249-258</w:t>
      </w:r>
    </w:p>
    <w:p w14:paraId="0512CAF0"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Rahayu, E. P., Hastuti, S., &amp; Widowati, L. L. (2024). </w:t>
      </w:r>
      <w:r w:rsidR="008344E8" w:rsidRPr="008344E8">
        <w:rPr>
          <w:rFonts w:cs="Times New Roman"/>
          <w:noProof/>
          <w:sz w:val="20"/>
          <w:szCs w:val="24"/>
        </w:rPr>
        <w:t>Survival and Growth Profile of Green Mussels (</w:t>
      </w:r>
      <w:r w:rsidR="008344E8" w:rsidRPr="008344E8">
        <w:rPr>
          <w:rFonts w:cs="Times New Roman"/>
          <w:i/>
          <w:noProof/>
          <w:sz w:val="20"/>
          <w:szCs w:val="24"/>
        </w:rPr>
        <w:t>Perna viridis</w:t>
      </w:r>
      <w:r w:rsidR="008344E8" w:rsidRPr="008344E8">
        <w:rPr>
          <w:rFonts w:cs="Times New Roman"/>
          <w:noProof/>
          <w:sz w:val="20"/>
          <w:szCs w:val="24"/>
        </w:rPr>
        <w:t>) at Different Compound Structure Positions in Timbulsloko, Sayung, Demak</w:t>
      </w:r>
      <w:r w:rsidRPr="005F4423">
        <w:rPr>
          <w:rFonts w:cs="Times New Roman"/>
          <w:noProof/>
          <w:sz w:val="20"/>
          <w:szCs w:val="24"/>
        </w:rPr>
        <w:t xml:space="preserve">. </w:t>
      </w:r>
      <w:r w:rsidRPr="005F4423">
        <w:rPr>
          <w:rFonts w:cs="Times New Roman"/>
          <w:i/>
          <w:iCs/>
          <w:noProof/>
          <w:sz w:val="20"/>
          <w:szCs w:val="24"/>
        </w:rPr>
        <w:t>Aquaculture Management and Technology</w:t>
      </w:r>
      <w:r w:rsidRPr="005F4423">
        <w:rPr>
          <w:rFonts w:cs="Times New Roman"/>
          <w:noProof/>
          <w:sz w:val="20"/>
          <w:szCs w:val="24"/>
        </w:rPr>
        <w:t xml:space="preserve">, </w:t>
      </w:r>
      <w:r w:rsidRPr="005F4423">
        <w:rPr>
          <w:rFonts w:cs="Times New Roman"/>
          <w:i/>
          <w:iCs/>
          <w:noProof/>
          <w:sz w:val="20"/>
          <w:szCs w:val="24"/>
        </w:rPr>
        <w:t>13</w:t>
      </w:r>
      <w:r w:rsidRPr="005F4423">
        <w:rPr>
          <w:rFonts w:cs="Times New Roman"/>
          <w:noProof/>
          <w:sz w:val="20"/>
          <w:szCs w:val="24"/>
        </w:rPr>
        <w:t>(1), 1–10.</w:t>
      </w:r>
    </w:p>
    <w:p w14:paraId="3CFFFB81"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Rizal, S., &amp; Jailani. (2022). </w:t>
      </w:r>
      <w:r w:rsidR="008344E8" w:rsidRPr="008344E8">
        <w:rPr>
          <w:rFonts w:cs="Times New Roman"/>
          <w:noProof/>
          <w:sz w:val="20"/>
          <w:szCs w:val="24"/>
        </w:rPr>
        <w:t>Analysis of Plankton Abundance and Growth of Cultured Mud Clam in Mahakam Delta Pond (Solander, 1786). Journal of Tropical Fisheries Science</w:t>
      </w:r>
      <w:r w:rsidRPr="005F4423">
        <w:rPr>
          <w:rFonts w:cs="Times New Roman"/>
          <w:noProof/>
          <w:sz w:val="20"/>
          <w:szCs w:val="24"/>
        </w:rPr>
        <w:t xml:space="preserve">, </w:t>
      </w:r>
      <w:r w:rsidRPr="005F4423">
        <w:rPr>
          <w:rFonts w:cs="Times New Roman"/>
          <w:i/>
          <w:iCs/>
          <w:noProof/>
          <w:sz w:val="20"/>
          <w:szCs w:val="24"/>
        </w:rPr>
        <w:t>1</w:t>
      </w:r>
      <w:r w:rsidRPr="005F4423">
        <w:rPr>
          <w:rFonts w:cs="Times New Roman"/>
          <w:noProof/>
          <w:sz w:val="20"/>
          <w:szCs w:val="24"/>
        </w:rPr>
        <w:t>(2), 160–167.</w:t>
      </w:r>
    </w:p>
    <w:p w14:paraId="4360650C"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Rosanawita, R., Dewiyanti, I., &amp; Octavina, C. (2017). </w:t>
      </w:r>
      <w:r w:rsidR="008344E8" w:rsidRPr="008344E8">
        <w:rPr>
          <w:rFonts w:cs="Times New Roman"/>
          <w:noProof/>
          <w:sz w:val="20"/>
          <w:szCs w:val="24"/>
        </w:rPr>
        <w:t>Effect of Stocking Density on Growth and Survival of Oyster (</w:t>
      </w:r>
      <w:r w:rsidR="008344E8" w:rsidRPr="008344E8">
        <w:rPr>
          <w:rFonts w:cs="Times New Roman"/>
          <w:i/>
          <w:noProof/>
          <w:sz w:val="20"/>
          <w:szCs w:val="24"/>
        </w:rPr>
        <w:t>Crassostrea</w:t>
      </w:r>
      <w:r w:rsidR="008344E8" w:rsidRPr="008344E8">
        <w:rPr>
          <w:rFonts w:cs="Times New Roman"/>
          <w:noProof/>
          <w:sz w:val="20"/>
          <w:szCs w:val="24"/>
        </w:rPr>
        <w:t xml:space="preserve"> sp.) Effect. Scientific Journal of Marine and Fisheries Students Unsyiah</w:t>
      </w:r>
      <w:r w:rsidRPr="005F4423">
        <w:rPr>
          <w:rFonts w:cs="Times New Roman"/>
          <w:noProof/>
          <w:sz w:val="20"/>
          <w:szCs w:val="24"/>
        </w:rPr>
        <w:t xml:space="preserve">, </w:t>
      </w:r>
      <w:r w:rsidRPr="005F4423">
        <w:rPr>
          <w:rFonts w:cs="Times New Roman"/>
          <w:i/>
          <w:iCs/>
          <w:noProof/>
          <w:sz w:val="20"/>
          <w:szCs w:val="24"/>
        </w:rPr>
        <w:t>2</w:t>
      </w:r>
      <w:r w:rsidRPr="005F4423">
        <w:rPr>
          <w:rFonts w:cs="Times New Roman"/>
          <w:noProof/>
          <w:sz w:val="20"/>
          <w:szCs w:val="24"/>
        </w:rPr>
        <w:t>(1), 213–220.</w:t>
      </w:r>
    </w:p>
    <w:p w14:paraId="64114763"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lastRenderedPageBreak/>
        <w:t xml:space="preserve">Sagita, A., Kurnia, R., &amp; Sulistiono, S. (2017). </w:t>
      </w:r>
      <w:r w:rsidR="008344E8" w:rsidRPr="008344E8">
        <w:rPr>
          <w:rFonts w:cs="Times New Roman"/>
          <w:noProof/>
          <w:sz w:val="20"/>
          <w:szCs w:val="24"/>
        </w:rPr>
        <w:t>Cultivation of green mussels (</w:t>
      </w:r>
      <w:r w:rsidR="008344E8" w:rsidRPr="008344E8">
        <w:rPr>
          <w:rFonts w:cs="Times New Roman"/>
          <w:i/>
          <w:noProof/>
          <w:sz w:val="20"/>
          <w:szCs w:val="24"/>
        </w:rPr>
        <w:t>Perna viridis l</w:t>
      </w:r>
      <w:r w:rsidR="008344E8" w:rsidRPr="008344E8">
        <w:rPr>
          <w:rFonts w:cs="Times New Roman"/>
          <w:noProof/>
          <w:sz w:val="20"/>
          <w:szCs w:val="24"/>
        </w:rPr>
        <w:t>.) with different methods and densities in coastal waters of kuala langsa, aceh. Journal of Aquaculture Research</w:t>
      </w:r>
      <w:r w:rsidRPr="005F4423">
        <w:rPr>
          <w:rFonts w:cs="Times New Roman"/>
          <w:noProof/>
          <w:sz w:val="20"/>
          <w:szCs w:val="24"/>
        </w:rPr>
        <w:t xml:space="preserve">, </w:t>
      </w:r>
      <w:r w:rsidRPr="005F4423">
        <w:rPr>
          <w:rFonts w:cs="Times New Roman"/>
          <w:i/>
          <w:iCs/>
          <w:noProof/>
          <w:sz w:val="20"/>
          <w:szCs w:val="24"/>
        </w:rPr>
        <w:t>12</w:t>
      </w:r>
      <w:r w:rsidRPr="005F4423">
        <w:rPr>
          <w:rFonts w:cs="Times New Roman"/>
          <w:noProof/>
          <w:sz w:val="20"/>
          <w:szCs w:val="24"/>
        </w:rPr>
        <w:t>(1), 57. https://doi.org/10.15578/jra.12.1.2017.57-68</w:t>
      </w:r>
    </w:p>
    <w:p w14:paraId="05EC8C7E"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Setybudiandi, I., Yonvitner, W. M., &amp; Arief, S. (2017). </w:t>
      </w:r>
      <w:r w:rsidR="008344E8" w:rsidRPr="008344E8">
        <w:rPr>
          <w:rFonts w:cs="Times New Roman"/>
          <w:noProof/>
          <w:sz w:val="20"/>
          <w:szCs w:val="24"/>
        </w:rPr>
        <w:t>Attachment Strength of Green Mussel Bysus (</w:t>
      </w:r>
      <w:r w:rsidR="008344E8" w:rsidRPr="008344E8">
        <w:rPr>
          <w:rFonts w:cs="Times New Roman"/>
          <w:i/>
          <w:noProof/>
          <w:sz w:val="20"/>
          <w:szCs w:val="24"/>
        </w:rPr>
        <w:t>Perna viridis</w:t>
      </w:r>
      <w:r w:rsidR="008344E8" w:rsidRPr="008344E8">
        <w:rPr>
          <w:rFonts w:cs="Times New Roman"/>
          <w:noProof/>
          <w:sz w:val="20"/>
          <w:szCs w:val="24"/>
        </w:rPr>
        <w:t>) on Attachment Media. Scientific Journal of Biology Education</w:t>
      </w:r>
      <w:r w:rsidRPr="005F4423">
        <w:rPr>
          <w:rFonts w:cs="Times New Roman"/>
          <w:noProof/>
          <w:sz w:val="20"/>
          <w:szCs w:val="24"/>
        </w:rPr>
        <w:t xml:space="preserve">, </w:t>
      </w:r>
      <w:r w:rsidRPr="005F4423">
        <w:rPr>
          <w:rFonts w:cs="Times New Roman"/>
          <w:i/>
          <w:iCs/>
          <w:noProof/>
          <w:sz w:val="20"/>
          <w:szCs w:val="24"/>
        </w:rPr>
        <w:t>2</w:t>
      </w:r>
      <w:r w:rsidRPr="005F4423">
        <w:rPr>
          <w:rFonts w:cs="Times New Roman"/>
          <w:noProof/>
          <w:sz w:val="20"/>
          <w:szCs w:val="24"/>
        </w:rPr>
        <w:t>(2), 12–17.</w:t>
      </w:r>
    </w:p>
    <w:p w14:paraId="5ED663FC"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Sulvina, S., Noor, N., Wijayanti, H., &amp; Hudaidah, S. (2015). </w:t>
      </w:r>
      <w:r w:rsidR="008344E8" w:rsidRPr="008344E8">
        <w:rPr>
          <w:rFonts w:cs="Times New Roman"/>
          <w:noProof/>
          <w:sz w:val="20"/>
          <w:szCs w:val="24"/>
        </w:rPr>
        <w:t>Effect of different types of rope on the attachment rate of green mussel seeds (</w:t>
      </w:r>
      <w:r w:rsidR="008344E8" w:rsidRPr="007864B6">
        <w:rPr>
          <w:rFonts w:cs="Times New Roman"/>
          <w:i/>
          <w:noProof/>
          <w:sz w:val="20"/>
          <w:szCs w:val="24"/>
        </w:rPr>
        <w:t>Perna viridis</w:t>
      </w:r>
      <w:r w:rsidR="008344E8" w:rsidRPr="008344E8">
        <w:rPr>
          <w:rFonts w:cs="Times New Roman"/>
          <w:noProof/>
          <w:sz w:val="20"/>
          <w:szCs w:val="24"/>
        </w:rPr>
        <w:t>). E-Journal of Aquaculture Engineering and Technology</w:t>
      </w:r>
      <w:r w:rsidRPr="005F4423">
        <w:rPr>
          <w:rFonts w:cs="Times New Roman"/>
          <w:noProof/>
          <w:sz w:val="20"/>
          <w:szCs w:val="24"/>
        </w:rPr>
        <w:t xml:space="preserve">, </w:t>
      </w:r>
      <w:r w:rsidRPr="005F4423">
        <w:rPr>
          <w:rFonts w:cs="Times New Roman"/>
          <w:i/>
          <w:iCs/>
          <w:noProof/>
          <w:sz w:val="20"/>
          <w:szCs w:val="24"/>
        </w:rPr>
        <w:t>4</w:t>
      </w:r>
      <w:r w:rsidRPr="005F4423">
        <w:rPr>
          <w:rFonts w:cs="Times New Roman"/>
          <w:noProof/>
          <w:sz w:val="20"/>
          <w:szCs w:val="24"/>
        </w:rPr>
        <w:t>(1), 471–478.</w:t>
      </w:r>
    </w:p>
    <w:p w14:paraId="61C6ACD0"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Toding bua, A. (2017). </w:t>
      </w:r>
      <w:r w:rsidR="008344E8" w:rsidRPr="008344E8">
        <w:rPr>
          <w:rFonts w:cs="Times New Roman"/>
          <w:noProof/>
          <w:sz w:val="20"/>
          <w:szCs w:val="24"/>
        </w:rPr>
        <w:t>Bivalve Community Structure in Juata Laut Beach, Tarakan, North Kalimantan. Biota: Scientific Journal of Life Sciences</w:t>
      </w:r>
      <w:r w:rsidRPr="005F4423">
        <w:rPr>
          <w:rFonts w:cs="Times New Roman"/>
          <w:noProof/>
          <w:sz w:val="20"/>
          <w:szCs w:val="24"/>
        </w:rPr>
        <w:t xml:space="preserve">, </w:t>
      </w:r>
      <w:r w:rsidRPr="005F4423">
        <w:rPr>
          <w:rFonts w:cs="Times New Roman"/>
          <w:i/>
          <w:iCs/>
          <w:noProof/>
          <w:sz w:val="20"/>
          <w:szCs w:val="24"/>
        </w:rPr>
        <w:t>2</w:t>
      </w:r>
      <w:r w:rsidRPr="005F4423">
        <w:rPr>
          <w:rFonts w:cs="Times New Roman"/>
          <w:noProof/>
          <w:sz w:val="20"/>
          <w:szCs w:val="24"/>
        </w:rPr>
        <w:t>(1), 29–36. https://doi.org/10.24002/biota.v2i1.1689</w:t>
      </w:r>
    </w:p>
    <w:p w14:paraId="1DE0817B"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Wagiu, F. J. G., Ompi, M., Kaligis, E. Y., Rimper, J. R. T. S. L., Roeroe, K. A., &amp; Manginsela, F. B. (2022). </w:t>
      </w:r>
      <w:r w:rsidR="008344E8" w:rsidRPr="008344E8">
        <w:rPr>
          <w:rFonts w:cs="Times New Roman"/>
          <w:noProof/>
          <w:sz w:val="20"/>
          <w:szCs w:val="24"/>
        </w:rPr>
        <w:t>Septifer bilocularis clam attachment to substrate in clam aggregations in tiwoho coastal tidal areas. Journal of Tropical Coastal and Marine</w:t>
      </w:r>
      <w:r w:rsidRPr="005F4423">
        <w:rPr>
          <w:rFonts w:cs="Times New Roman"/>
          <w:noProof/>
          <w:sz w:val="20"/>
          <w:szCs w:val="24"/>
        </w:rPr>
        <w:t xml:space="preserve">, </w:t>
      </w:r>
      <w:r w:rsidRPr="005F4423">
        <w:rPr>
          <w:rFonts w:cs="Times New Roman"/>
          <w:i/>
          <w:iCs/>
          <w:noProof/>
          <w:sz w:val="20"/>
          <w:szCs w:val="24"/>
        </w:rPr>
        <w:t>10</w:t>
      </w:r>
      <w:r w:rsidRPr="005F4423">
        <w:rPr>
          <w:rFonts w:cs="Times New Roman"/>
          <w:noProof/>
          <w:sz w:val="20"/>
          <w:szCs w:val="24"/>
        </w:rPr>
        <w:t>(3), 325–331. https://doi.org/10.35800/jplt.10.3.2022.55017</w:t>
      </w:r>
    </w:p>
    <w:p w14:paraId="48D3FDF6" w14:textId="77777777" w:rsidR="005F4423" w:rsidRPr="005F4423" w:rsidRDefault="005F4423" w:rsidP="008344E8">
      <w:pPr>
        <w:adjustRightInd w:val="0"/>
        <w:ind w:left="480" w:hanging="480"/>
        <w:jc w:val="both"/>
        <w:rPr>
          <w:rFonts w:cs="Times New Roman"/>
          <w:noProof/>
          <w:sz w:val="20"/>
          <w:szCs w:val="24"/>
        </w:rPr>
      </w:pPr>
      <w:r w:rsidRPr="005F4423">
        <w:rPr>
          <w:rFonts w:cs="Times New Roman"/>
          <w:noProof/>
          <w:sz w:val="20"/>
          <w:szCs w:val="24"/>
        </w:rPr>
        <w:t xml:space="preserve">Wangkulangkul, K. (2018). Comments on restricted distribution of </w:t>
      </w:r>
      <w:r w:rsidRPr="008344E8">
        <w:rPr>
          <w:rFonts w:cs="Times New Roman"/>
          <w:i/>
          <w:noProof/>
          <w:sz w:val="20"/>
          <w:szCs w:val="24"/>
        </w:rPr>
        <w:t>Mytilopsis adamsi</w:t>
      </w:r>
      <w:r w:rsidRPr="005F4423">
        <w:rPr>
          <w:rFonts w:cs="Times New Roman"/>
          <w:noProof/>
          <w:sz w:val="20"/>
          <w:szCs w:val="24"/>
        </w:rPr>
        <w:t xml:space="preserve"> Morrison, 1946, a non-native false mussel in the Songkhla Lagoon System, southern Thailand. </w:t>
      </w:r>
      <w:r w:rsidRPr="005F4423">
        <w:rPr>
          <w:rFonts w:cs="Times New Roman"/>
          <w:i/>
          <w:iCs/>
          <w:noProof/>
          <w:sz w:val="20"/>
          <w:szCs w:val="24"/>
        </w:rPr>
        <w:t>Limnology</w:t>
      </w:r>
      <w:r w:rsidRPr="005F4423">
        <w:rPr>
          <w:rFonts w:cs="Times New Roman"/>
          <w:noProof/>
          <w:sz w:val="20"/>
          <w:szCs w:val="24"/>
        </w:rPr>
        <w:t xml:space="preserve">, </w:t>
      </w:r>
      <w:r w:rsidRPr="005F4423">
        <w:rPr>
          <w:rFonts w:cs="Times New Roman"/>
          <w:i/>
          <w:iCs/>
          <w:noProof/>
          <w:sz w:val="20"/>
          <w:szCs w:val="24"/>
        </w:rPr>
        <w:t>19</w:t>
      </w:r>
      <w:r w:rsidRPr="005F4423">
        <w:rPr>
          <w:rFonts w:cs="Times New Roman"/>
          <w:noProof/>
          <w:sz w:val="20"/>
          <w:szCs w:val="24"/>
        </w:rPr>
        <w:t>(1), 151–156. https://doi.org/10.1007/s10201-017-0515-1</w:t>
      </w:r>
    </w:p>
    <w:p w14:paraId="07C29BA4" w14:textId="77777777" w:rsidR="005F4423" w:rsidRPr="005F4423" w:rsidRDefault="005F4423" w:rsidP="008344E8">
      <w:pPr>
        <w:adjustRightInd w:val="0"/>
        <w:ind w:left="480" w:hanging="480"/>
        <w:jc w:val="both"/>
        <w:rPr>
          <w:noProof/>
        </w:rPr>
      </w:pPr>
      <w:r w:rsidRPr="005F4423">
        <w:rPr>
          <w:rFonts w:cs="Times New Roman"/>
          <w:noProof/>
          <w:sz w:val="20"/>
          <w:szCs w:val="24"/>
        </w:rPr>
        <w:t xml:space="preserve">Winanto, T., Marasabessy, M. D., &amp; Dody, S. (2016). </w:t>
      </w:r>
      <w:r w:rsidR="008344E8" w:rsidRPr="008344E8">
        <w:rPr>
          <w:rFonts w:cs="Times New Roman"/>
          <w:noProof/>
          <w:sz w:val="20"/>
          <w:szCs w:val="24"/>
        </w:rPr>
        <w:t xml:space="preserve">Optimum Density and Morphology of Pearl Oyster Spawn </w:t>
      </w:r>
      <w:r w:rsidR="008344E8" w:rsidRPr="008344E8">
        <w:rPr>
          <w:rFonts w:cs="Times New Roman"/>
          <w:i/>
          <w:noProof/>
          <w:sz w:val="20"/>
          <w:szCs w:val="24"/>
        </w:rPr>
        <w:t>Pinctada maxima</w:t>
      </w:r>
      <w:r w:rsidR="008344E8" w:rsidRPr="008344E8">
        <w:rPr>
          <w:rFonts w:cs="Times New Roman"/>
          <w:noProof/>
          <w:sz w:val="20"/>
          <w:szCs w:val="24"/>
        </w:rPr>
        <w:t xml:space="preserve"> (Jameson) in Maintenance with Different Density Levels</w:t>
      </w:r>
      <w:r w:rsidRPr="005F4423">
        <w:rPr>
          <w:rFonts w:cs="Times New Roman"/>
          <w:noProof/>
          <w:sz w:val="20"/>
          <w:szCs w:val="24"/>
        </w:rPr>
        <w:t xml:space="preserve">. </w:t>
      </w:r>
      <w:r w:rsidRPr="005F4423">
        <w:rPr>
          <w:rFonts w:cs="Times New Roman"/>
          <w:i/>
          <w:iCs/>
          <w:noProof/>
          <w:sz w:val="20"/>
          <w:szCs w:val="24"/>
        </w:rPr>
        <w:t>Omni Akuatika</w:t>
      </w:r>
      <w:r w:rsidRPr="005F4423">
        <w:rPr>
          <w:rFonts w:cs="Times New Roman"/>
          <w:noProof/>
          <w:sz w:val="20"/>
          <w:szCs w:val="24"/>
        </w:rPr>
        <w:t xml:space="preserve">, </w:t>
      </w:r>
      <w:r w:rsidRPr="005F4423">
        <w:rPr>
          <w:rFonts w:cs="Times New Roman"/>
          <w:i/>
          <w:iCs/>
          <w:noProof/>
          <w:sz w:val="20"/>
          <w:szCs w:val="24"/>
        </w:rPr>
        <w:t>12</w:t>
      </w:r>
      <w:r w:rsidRPr="005F4423">
        <w:rPr>
          <w:rFonts w:cs="Times New Roman"/>
          <w:noProof/>
          <w:sz w:val="20"/>
          <w:szCs w:val="24"/>
        </w:rPr>
        <w:t>(3), 138–143.</w:t>
      </w:r>
    </w:p>
    <w:p w14:paraId="497B1B75" w14:textId="348804BD" w:rsidR="00EE5677" w:rsidRDefault="005F4423" w:rsidP="00737783">
      <w:pPr>
        <w:adjustRightInd w:val="0"/>
        <w:ind w:left="480"/>
        <w:jc w:val="both"/>
        <w:rPr>
          <w:rFonts w:ascii="Times New Roman" w:eastAsia="Times New Roman" w:hAnsi="Times New Roman" w:cs="Times New Roman"/>
          <w:sz w:val="24"/>
        </w:rPr>
      </w:pPr>
      <w:r>
        <w:rPr>
          <w:b/>
          <w:noProof/>
          <w:szCs w:val="24"/>
        </w:rPr>
        <w:fldChar w:fldCharType="end"/>
      </w:r>
      <w:r w:rsidR="006D4BD4">
        <w:rPr>
          <w:b/>
          <w:noProof/>
          <w:szCs w:val="24"/>
        </w:rPr>
        <w:br w:type="column"/>
      </w:r>
    </w:p>
    <w:sectPr w:rsidR="00EE5677" w:rsidSect="00781962">
      <w:type w:val="continuous"/>
      <w:pgSz w:w="11910" w:h="16840"/>
      <w:pgMar w:top="1040" w:right="1260" w:bottom="280" w:left="1300" w:header="1440"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3A235" w14:textId="77777777" w:rsidR="00E32D7F" w:rsidRDefault="00E32D7F">
      <w:r>
        <w:separator/>
      </w:r>
    </w:p>
  </w:endnote>
  <w:endnote w:type="continuationSeparator" w:id="0">
    <w:p w14:paraId="19F80443" w14:textId="77777777" w:rsidR="00E32D7F" w:rsidRDefault="00E3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E2228" w14:textId="77777777" w:rsidR="00737783" w:rsidRDefault="00737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CA0A0" w14:textId="77777777" w:rsidR="005F5565" w:rsidRDefault="005F5565">
    <w:pPr>
      <w:pStyle w:val="BodyText"/>
      <w:spacing w:line="14" w:lineRule="auto"/>
    </w:pPr>
    <w:r>
      <w:rPr>
        <w:noProof/>
      </w:rPr>
      <mc:AlternateContent>
        <mc:Choice Requires="wps">
          <w:drawing>
            <wp:anchor distT="0" distB="0" distL="0" distR="0" simplePos="0" relativeHeight="487022592" behindDoc="1" locked="0" layoutInCell="1" allowOverlap="1" wp14:anchorId="49E5463F" wp14:editId="7BC4C396">
              <wp:simplePos x="0" y="0"/>
              <wp:positionH relativeFrom="page">
                <wp:posOffset>3636645</wp:posOffset>
              </wp:positionH>
              <wp:positionV relativeFrom="page">
                <wp:posOffset>10246635</wp:posOffset>
              </wp:positionV>
              <wp:extent cx="299720"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7005"/>
                      </a:xfrm>
                      <a:prstGeom prst="rect">
                        <a:avLst/>
                      </a:prstGeom>
                    </wps:spPr>
                    <wps:txbx>
                      <w:txbxContent>
                        <w:p w14:paraId="295BEF6C" w14:textId="77777777" w:rsidR="005F5565" w:rsidRDefault="005F5565">
                          <w:pPr>
                            <w:pStyle w:val="BodyText"/>
                            <w:spacing w:before="12"/>
                            <w:ind w:left="60"/>
                          </w:pPr>
                          <w:r>
                            <w:rPr>
                              <w:spacing w:val="-5"/>
                            </w:rPr>
                            <w:fldChar w:fldCharType="begin"/>
                          </w:r>
                          <w:r>
                            <w:rPr>
                              <w:spacing w:val="-5"/>
                            </w:rPr>
                            <w:instrText xml:space="preserve"> PAGE </w:instrText>
                          </w:r>
                          <w:r>
                            <w:rPr>
                              <w:spacing w:val="-5"/>
                            </w:rPr>
                            <w:fldChar w:fldCharType="separate"/>
                          </w:r>
                          <w:r w:rsidR="00E51F4F">
                            <w:rPr>
                              <w:noProof/>
                              <w:spacing w:val="-5"/>
                            </w:rPr>
                            <w:t>119</w:t>
                          </w:r>
                          <w:r>
                            <w:rPr>
                              <w:spacing w:val="-5"/>
                            </w:rPr>
                            <w:fldChar w:fldCharType="end"/>
                          </w:r>
                        </w:p>
                      </w:txbxContent>
                    </wps:txbx>
                    <wps:bodyPr wrap="square" lIns="0" tIns="0" rIns="0" bIns="0" rtlCol="0">
                      <a:noAutofit/>
                    </wps:bodyPr>
                  </wps:wsp>
                </a:graphicData>
              </a:graphic>
            </wp:anchor>
          </w:drawing>
        </mc:Choice>
        <mc:Fallback>
          <w:pict>
            <v:shapetype w14:anchorId="49E5463F" id="_x0000_t202" coordsize="21600,21600" o:spt="202" path="m,l,21600r21600,l21600,xe">
              <v:stroke joinstyle="miter"/>
              <v:path gradientshapeok="t" o:connecttype="rect"/>
            </v:shapetype>
            <v:shape id="Textbox 8" o:spid="_x0000_s1027" type="#_x0000_t202" style="position:absolute;margin-left:286.35pt;margin-top:806.8pt;width:23.6pt;height:13.15pt;z-index:-1629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" filled="f" stroked="f">
              <v:textbox inset="0,0,0,0">
                <w:txbxContent>
                  <w:p w14:paraId="295BEF6C" w14:textId="77777777" w:rsidR="005F5565" w:rsidRDefault="005F5565">
                    <w:pPr>
                      <w:pStyle w:val="BodyText"/>
                      <w:spacing w:before="12"/>
                      <w:ind w:left="60"/>
                    </w:pPr>
                    <w:r>
                      <w:rPr>
                        <w:spacing w:val="-5"/>
                      </w:rPr>
                      <w:fldChar w:fldCharType="begin"/>
                    </w:r>
                    <w:r>
                      <w:rPr>
                        <w:spacing w:val="-5"/>
                      </w:rPr>
                      <w:instrText xml:space="preserve"> PAGE </w:instrText>
                    </w:r>
                    <w:r>
                      <w:rPr>
                        <w:spacing w:val="-5"/>
                      </w:rPr>
                      <w:fldChar w:fldCharType="separate"/>
                    </w:r>
                    <w:r w:rsidR="00E51F4F">
                      <w:rPr>
                        <w:noProof/>
                        <w:spacing w:val="-5"/>
                      </w:rPr>
                      <w:t>119</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3EAFF" w14:textId="77777777" w:rsidR="00737783" w:rsidRDefault="00737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E42F4" w14:textId="77777777" w:rsidR="00E32D7F" w:rsidRDefault="00E32D7F">
      <w:r>
        <w:separator/>
      </w:r>
    </w:p>
  </w:footnote>
  <w:footnote w:type="continuationSeparator" w:id="0">
    <w:p w14:paraId="2BDDEC5B" w14:textId="77777777" w:rsidR="00E32D7F" w:rsidRDefault="00E32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04C7D" w14:textId="5726F6ED" w:rsidR="00737783" w:rsidRDefault="00737783">
    <w:pPr>
      <w:pStyle w:val="Header"/>
    </w:pPr>
    <w:r>
      <w:rPr>
        <w:noProof/>
      </w:rPr>
      <w:pict w14:anchorId="1993D3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2478391" o:spid="_x0000_s1026" type="#_x0000_t136" style="position:absolute;margin-left:0;margin-top:0;width:593.15pt;height:65.9pt;rotation:315;z-index:-16289792;mso-position-horizontal:center;mso-position-horizontal-relative:margin;mso-position-vertical:center;mso-position-vertical-relative:margin" o:allowincell="f" fillcolor="silver" stroked="f">
          <v:fill opacity=".5"/>
          <v:textpath style="font-family:&quot;Arial MT&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240C" w14:textId="58A4128A" w:rsidR="005F5565" w:rsidRDefault="00737783">
    <w:pPr>
      <w:pStyle w:val="BodyText"/>
      <w:spacing w:line="14" w:lineRule="auto"/>
    </w:pPr>
    <w:r>
      <w:rPr>
        <w:noProof/>
      </w:rPr>
      <w:pict w14:anchorId="1975D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2478392" o:spid="_x0000_s1027" type="#_x0000_t136" style="position:absolute;margin-left:0;margin-top:0;width:593.15pt;height:65.9pt;rotation:315;z-index:-16287744;mso-position-horizontal:center;mso-position-horizontal-relative:margin;mso-position-vertical:center;mso-position-vertical-relative:margin" o:allowincell="f" fillcolor="silver" stroked="f">
          <v:fill opacity=".5"/>
          <v:textpath style="font-family:&quot;Arial MT&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40C81" w14:textId="0FEC4981" w:rsidR="00737783" w:rsidRDefault="00737783">
    <w:pPr>
      <w:pStyle w:val="Header"/>
    </w:pPr>
    <w:r>
      <w:rPr>
        <w:noProof/>
      </w:rPr>
      <w:pict w14:anchorId="7D1E56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2478390" o:spid="_x0000_s1025" type="#_x0000_t136" style="position:absolute;margin-left:0;margin-top:0;width:593.15pt;height:65.9pt;rotation:315;z-index:-16291840;mso-position-horizontal:center;mso-position-horizontal-relative:margin;mso-position-vertical:center;mso-position-vertical-relative:margin" o:allowincell="f" fillcolor="silver" stroked="f">
          <v:fill opacity=".5"/>
          <v:textpath style="font-family:&quot;Arial MT&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92CCA"/>
    <w:multiLevelType w:val="hybridMultilevel"/>
    <w:tmpl w:val="6902F7E0"/>
    <w:lvl w:ilvl="0" w:tplc="DC7C23B4">
      <w:start w:val="1"/>
      <w:numFmt w:val="upperLetter"/>
      <w:lvlText w:val="%1."/>
      <w:lvlJc w:val="left"/>
      <w:pPr>
        <w:ind w:left="1288" w:hanging="360"/>
      </w:pPr>
      <w:rPr>
        <w:rFonts w:ascii="Times New Roman" w:hAnsi="Times New Roman" w:cs="Times New Roman" w:hint="default"/>
        <w:b/>
        <w:sz w:val="20"/>
        <w:szCs w:val="2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 w15:restartNumberingAfterBreak="0">
    <w:nsid w:val="10C51230"/>
    <w:multiLevelType w:val="multilevel"/>
    <w:tmpl w:val="2B2238DE"/>
    <w:lvl w:ilvl="0">
      <w:start w:val="3"/>
      <w:numFmt w:val="decimal"/>
      <w:lvlText w:val="%1"/>
      <w:lvlJc w:val="left"/>
      <w:pPr>
        <w:ind w:left="1008" w:hanging="420"/>
      </w:pPr>
      <w:rPr>
        <w:rFonts w:hint="default"/>
        <w:lang w:eastAsia="en-US" w:bidi="ar-SA"/>
      </w:rPr>
    </w:lvl>
    <w:lvl w:ilvl="1">
      <w:start w:val="5"/>
      <w:numFmt w:val="decimal"/>
      <w:lvlText w:val="%1.%2."/>
      <w:lvlJc w:val="left"/>
      <w:pPr>
        <w:ind w:left="1008" w:hanging="42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128" w:hanging="540"/>
      </w:pPr>
      <w:rPr>
        <w:rFonts w:ascii="Times New Roman" w:eastAsia="Times New Roman" w:hAnsi="Times New Roman" w:cs="Times New Roman" w:hint="default"/>
        <w:b/>
        <w:bCs/>
        <w:i w:val="0"/>
        <w:iCs w:val="0"/>
        <w:spacing w:val="0"/>
        <w:w w:val="100"/>
        <w:sz w:val="24"/>
        <w:szCs w:val="24"/>
        <w:lang w:eastAsia="en-US" w:bidi="ar-SA"/>
      </w:rPr>
    </w:lvl>
    <w:lvl w:ilvl="3">
      <w:start w:val="1"/>
      <w:numFmt w:val="lowerLetter"/>
      <w:lvlText w:val="%4."/>
      <w:lvlJc w:val="left"/>
      <w:pPr>
        <w:ind w:left="1308" w:hanging="360"/>
      </w:pPr>
      <w:rPr>
        <w:rFonts w:ascii="Times New Roman" w:eastAsia="Times New Roman" w:hAnsi="Times New Roman" w:cs="Times New Roman" w:hint="default"/>
        <w:b/>
        <w:bCs w:val="0"/>
        <w:i w:val="0"/>
        <w:iCs w:val="0"/>
        <w:spacing w:val="-1"/>
        <w:w w:val="100"/>
        <w:sz w:val="24"/>
        <w:szCs w:val="24"/>
        <w:lang w:eastAsia="en-US" w:bidi="ar-SA"/>
      </w:rPr>
    </w:lvl>
    <w:lvl w:ilvl="4">
      <w:numFmt w:val="bullet"/>
      <w:lvlText w:val="•"/>
      <w:lvlJc w:val="left"/>
      <w:pPr>
        <w:ind w:left="3162" w:hanging="360"/>
      </w:pPr>
      <w:rPr>
        <w:rFonts w:hint="default"/>
        <w:lang w:eastAsia="en-US" w:bidi="ar-SA"/>
      </w:rPr>
    </w:lvl>
    <w:lvl w:ilvl="5">
      <w:numFmt w:val="bullet"/>
      <w:lvlText w:val="•"/>
      <w:lvlJc w:val="left"/>
      <w:pPr>
        <w:ind w:left="4093" w:hanging="360"/>
      </w:pPr>
      <w:rPr>
        <w:rFonts w:hint="default"/>
        <w:lang w:eastAsia="en-US" w:bidi="ar-SA"/>
      </w:rPr>
    </w:lvl>
    <w:lvl w:ilvl="6">
      <w:numFmt w:val="bullet"/>
      <w:lvlText w:val="•"/>
      <w:lvlJc w:val="left"/>
      <w:pPr>
        <w:ind w:left="5024" w:hanging="360"/>
      </w:pPr>
      <w:rPr>
        <w:rFonts w:hint="default"/>
        <w:lang w:eastAsia="en-US" w:bidi="ar-SA"/>
      </w:rPr>
    </w:lvl>
    <w:lvl w:ilvl="7">
      <w:numFmt w:val="bullet"/>
      <w:lvlText w:val="•"/>
      <w:lvlJc w:val="left"/>
      <w:pPr>
        <w:ind w:left="5955" w:hanging="360"/>
      </w:pPr>
      <w:rPr>
        <w:rFonts w:hint="default"/>
        <w:lang w:eastAsia="en-US" w:bidi="ar-SA"/>
      </w:rPr>
    </w:lvl>
    <w:lvl w:ilvl="8">
      <w:numFmt w:val="bullet"/>
      <w:lvlText w:val="•"/>
      <w:lvlJc w:val="left"/>
      <w:pPr>
        <w:ind w:left="6886" w:hanging="360"/>
      </w:pPr>
      <w:rPr>
        <w:rFonts w:hint="default"/>
        <w:lang w:eastAsia="en-US" w:bidi="ar-SA"/>
      </w:rPr>
    </w:lvl>
  </w:abstractNum>
  <w:abstractNum w:abstractNumId="2" w15:restartNumberingAfterBreak="0">
    <w:nsid w:val="14332D73"/>
    <w:multiLevelType w:val="multilevel"/>
    <w:tmpl w:val="04D82E44"/>
    <w:lvl w:ilvl="0">
      <w:start w:val="3"/>
      <w:numFmt w:val="decimal"/>
      <w:lvlText w:val="%1"/>
      <w:lvlJc w:val="left"/>
      <w:pPr>
        <w:ind w:left="948" w:hanging="360"/>
      </w:pPr>
      <w:rPr>
        <w:rFonts w:hint="default"/>
        <w:lang w:eastAsia="en-US" w:bidi="ar-SA"/>
      </w:rPr>
    </w:lvl>
    <w:lvl w:ilvl="1">
      <w:start w:val="1"/>
      <w:numFmt w:val="decimal"/>
      <w:lvlText w:val="%1.%2"/>
      <w:lvlJc w:val="left"/>
      <w:pPr>
        <w:ind w:left="948"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128" w:hanging="540"/>
      </w:pPr>
      <w:rPr>
        <w:rFonts w:ascii="Times New Roman" w:eastAsia="Times New Roman" w:hAnsi="Times New Roman" w:cs="Times New Roman" w:hint="default"/>
        <w:b/>
        <w:bCs/>
        <w:i w:val="0"/>
        <w:iCs w:val="0"/>
        <w:spacing w:val="0"/>
        <w:w w:val="100"/>
        <w:sz w:val="24"/>
        <w:szCs w:val="24"/>
        <w:lang w:eastAsia="en-US" w:bidi="ar-SA"/>
      </w:rPr>
    </w:lvl>
    <w:lvl w:ilvl="3">
      <w:numFmt w:val="bullet"/>
      <w:lvlText w:val="•"/>
      <w:lvlJc w:val="left"/>
      <w:pPr>
        <w:ind w:left="2815" w:hanging="540"/>
      </w:pPr>
      <w:rPr>
        <w:rFonts w:hint="default"/>
        <w:lang w:eastAsia="en-US" w:bidi="ar-SA"/>
      </w:rPr>
    </w:lvl>
    <w:lvl w:ilvl="4">
      <w:numFmt w:val="bullet"/>
      <w:lvlText w:val="•"/>
      <w:lvlJc w:val="left"/>
      <w:pPr>
        <w:ind w:left="3662" w:hanging="540"/>
      </w:pPr>
      <w:rPr>
        <w:rFonts w:hint="default"/>
        <w:lang w:eastAsia="en-US" w:bidi="ar-SA"/>
      </w:rPr>
    </w:lvl>
    <w:lvl w:ilvl="5">
      <w:numFmt w:val="bullet"/>
      <w:lvlText w:val="•"/>
      <w:lvlJc w:val="left"/>
      <w:pPr>
        <w:ind w:left="4510" w:hanging="540"/>
      </w:pPr>
      <w:rPr>
        <w:rFonts w:hint="default"/>
        <w:lang w:eastAsia="en-US" w:bidi="ar-SA"/>
      </w:rPr>
    </w:lvl>
    <w:lvl w:ilvl="6">
      <w:numFmt w:val="bullet"/>
      <w:lvlText w:val="•"/>
      <w:lvlJc w:val="left"/>
      <w:pPr>
        <w:ind w:left="5358" w:hanging="540"/>
      </w:pPr>
      <w:rPr>
        <w:rFonts w:hint="default"/>
        <w:lang w:eastAsia="en-US" w:bidi="ar-SA"/>
      </w:rPr>
    </w:lvl>
    <w:lvl w:ilvl="7">
      <w:numFmt w:val="bullet"/>
      <w:lvlText w:val="•"/>
      <w:lvlJc w:val="left"/>
      <w:pPr>
        <w:ind w:left="6205" w:hanging="540"/>
      </w:pPr>
      <w:rPr>
        <w:rFonts w:hint="default"/>
        <w:lang w:eastAsia="en-US" w:bidi="ar-SA"/>
      </w:rPr>
    </w:lvl>
    <w:lvl w:ilvl="8">
      <w:numFmt w:val="bullet"/>
      <w:lvlText w:val="•"/>
      <w:lvlJc w:val="left"/>
      <w:pPr>
        <w:ind w:left="7053" w:hanging="540"/>
      </w:pPr>
      <w:rPr>
        <w:rFonts w:hint="default"/>
        <w:lang w:eastAsia="en-US" w:bidi="ar-SA"/>
      </w:rPr>
    </w:lvl>
  </w:abstractNum>
  <w:abstractNum w:abstractNumId="3" w15:restartNumberingAfterBreak="0">
    <w:nsid w:val="1B2C2119"/>
    <w:multiLevelType w:val="hybridMultilevel"/>
    <w:tmpl w:val="21CCE0DE"/>
    <w:lvl w:ilvl="0" w:tplc="DC7C23B4">
      <w:start w:val="1"/>
      <w:numFmt w:val="upperLetter"/>
      <w:lvlText w:val="%1."/>
      <w:lvlJc w:val="left"/>
      <w:pPr>
        <w:ind w:left="720" w:hanging="360"/>
      </w:pPr>
      <w:rPr>
        <w:rFonts w:ascii="Times New Roman" w:hAnsi="Times New Roman" w:cs="Times New Roma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803D0"/>
    <w:multiLevelType w:val="hybridMultilevel"/>
    <w:tmpl w:val="A5928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C7CE7"/>
    <w:multiLevelType w:val="hybridMultilevel"/>
    <w:tmpl w:val="DB54A79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E4DA1"/>
    <w:multiLevelType w:val="hybridMultilevel"/>
    <w:tmpl w:val="C4523A00"/>
    <w:lvl w:ilvl="0" w:tplc="71C657BA">
      <w:start w:val="1"/>
      <w:numFmt w:val="upperLetter"/>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EE4F12"/>
    <w:multiLevelType w:val="multilevel"/>
    <w:tmpl w:val="32AA2258"/>
    <w:lvl w:ilvl="0">
      <w:start w:val="3"/>
      <w:numFmt w:val="decimal"/>
      <w:lvlText w:val="%1"/>
      <w:lvlJc w:val="left"/>
      <w:pPr>
        <w:ind w:left="360" w:hanging="360"/>
      </w:pPr>
      <w:rPr>
        <w:rFonts w:eastAsia="Arial" w:hint="default"/>
      </w:rPr>
    </w:lvl>
    <w:lvl w:ilvl="1">
      <w:start w:val="5"/>
      <w:numFmt w:val="decimal"/>
      <w:lvlText w:val="%1.%2"/>
      <w:lvlJc w:val="left"/>
      <w:pPr>
        <w:ind w:left="1287" w:hanging="360"/>
      </w:pPr>
      <w:rPr>
        <w:rFonts w:eastAsia="Arial" w:hint="default"/>
      </w:rPr>
    </w:lvl>
    <w:lvl w:ilvl="2">
      <w:start w:val="1"/>
      <w:numFmt w:val="decimal"/>
      <w:lvlText w:val="%1.%2.%3"/>
      <w:lvlJc w:val="left"/>
      <w:pPr>
        <w:ind w:left="2574" w:hanging="720"/>
      </w:pPr>
      <w:rPr>
        <w:rFonts w:eastAsia="Arial" w:hint="default"/>
      </w:rPr>
    </w:lvl>
    <w:lvl w:ilvl="3">
      <w:start w:val="1"/>
      <w:numFmt w:val="decimal"/>
      <w:lvlText w:val="%1.%2.%3.%4"/>
      <w:lvlJc w:val="left"/>
      <w:pPr>
        <w:ind w:left="3501" w:hanging="720"/>
      </w:pPr>
      <w:rPr>
        <w:rFonts w:eastAsia="Arial" w:hint="default"/>
      </w:rPr>
    </w:lvl>
    <w:lvl w:ilvl="4">
      <w:start w:val="1"/>
      <w:numFmt w:val="decimal"/>
      <w:lvlText w:val="%1.%2.%3.%4.%5"/>
      <w:lvlJc w:val="left"/>
      <w:pPr>
        <w:ind w:left="4788" w:hanging="1080"/>
      </w:pPr>
      <w:rPr>
        <w:rFonts w:eastAsia="Arial" w:hint="default"/>
      </w:rPr>
    </w:lvl>
    <w:lvl w:ilvl="5">
      <w:start w:val="1"/>
      <w:numFmt w:val="decimal"/>
      <w:lvlText w:val="%1.%2.%3.%4.%5.%6"/>
      <w:lvlJc w:val="left"/>
      <w:pPr>
        <w:ind w:left="5715" w:hanging="1080"/>
      </w:pPr>
      <w:rPr>
        <w:rFonts w:eastAsia="Arial" w:hint="default"/>
      </w:rPr>
    </w:lvl>
    <w:lvl w:ilvl="6">
      <w:start w:val="1"/>
      <w:numFmt w:val="decimal"/>
      <w:lvlText w:val="%1.%2.%3.%4.%5.%6.%7"/>
      <w:lvlJc w:val="left"/>
      <w:pPr>
        <w:ind w:left="7002" w:hanging="1440"/>
      </w:pPr>
      <w:rPr>
        <w:rFonts w:eastAsia="Arial" w:hint="default"/>
      </w:rPr>
    </w:lvl>
    <w:lvl w:ilvl="7">
      <w:start w:val="1"/>
      <w:numFmt w:val="decimal"/>
      <w:lvlText w:val="%1.%2.%3.%4.%5.%6.%7.%8"/>
      <w:lvlJc w:val="left"/>
      <w:pPr>
        <w:ind w:left="7929" w:hanging="1440"/>
      </w:pPr>
      <w:rPr>
        <w:rFonts w:eastAsia="Arial" w:hint="default"/>
      </w:rPr>
    </w:lvl>
    <w:lvl w:ilvl="8">
      <w:start w:val="1"/>
      <w:numFmt w:val="decimal"/>
      <w:lvlText w:val="%1.%2.%3.%4.%5.%6.%7.%8.%9"/>
      <w:lvlJc w:val="left"/>
      <w:pPr>
        <w:ind w:left="9216" w:hanging="1800"/>
      </w:pPr>
      <w:rPr>
        <w:rFonts w:eastAsia="Arial" w:hint="default"/>
      </w:rPr>
    </w:lvl>
  </w:abstractNum>
  <w:abstractNum w:abstractNumId="8" w15:restartNumberingAfterBreak="0">
    <w:nsid w:val="2DA43816"/>
    <w:multiLevelType w:val="multilevel"/>
    <w:tmpl w:val="690C6BBA"/>
    <w:lvl w:ilvl="0">
      <w:start w:val="1"/>
      <w:numFmt w:val="decimal"/>
      <w:lvlText w:val="%1."/>
      <w:lvlJc w:val="left"/>
      <w:pPr>
        <w:ind w:left="671" w:hanging="245"/>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2213" w:hanging="370"/>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450" w:hanging="370"/>
      </w:pPr>
      <w:rPr>
        <w:rFonts w:hint="default"/>
        <w:lang w:val="en-US" w:eastAsia="en-US" w:bidi="ar-SA"/>
      </w:rPr>
    </w:lvl>
    <w:lvl w:ilvl="3">
      <w:numFmt w:val="bullet"/>
      <w:lvlText w:val="•"/>
      <w:lvlJc w:val="left"/>
      <w:pPr>
        <w:ind w:left="380" w:hanging="370"/>
      </w:pPr>
      <w:rPr>
        <w:rFonts w:hint="default"/>
        <w:lang w:val="en-US" w:eastAsia="en-US" w:bidi="ar-SA"/>
      </w:rPr>
    </w:lvl>
    <w:lvl w:ilvl="4">
      <w:numFmt w:val="bullet"/>
      <w:lvlText w:val="•"/>
      <w:lvlJc w:val="left"/>
      <w:pPr>
        <w:ind w:left="310" w:hanging="370"/>
      </w:pPr>
      <w:rPr>
        <w:rFonts w:hint="default"/>
        <w:lang w:val="en-US" w:eastAsia="en-US" w:bidi="ar-SA"/>
      </w:rPr>
    </w:lvl>
    <w:lvl w:ilvl="5">
      <w:numFmt w:val="bullet"/>
      <w:lvlText w:val="•"/>
      <w:lvlJc w:val="left"/>
      <w:pPr>
        <w:ind w:left="240" w:hanging="370"/>
      </w:pPr>
      <w:rPr>
        <w:rFonts w:hint="default"/>
        <w:lang w:val="en-US" w:eastAsia="en-US" w:bidi="ar-SA"/>
      </w:rPr>
    </w:lvl>
    <w:lvl w:ilvl="6">
      <w:numFmt w:val="bullet"/>
      <w:lvlText w:val="•"/>
      <w:lvlJc w:val="left"/>
      <w:pPr>
        <w:ind w:left="171" w:hanging="370"/>
      </w:pPr>
      <w:rPr>
        <w:rFonts w:hint="default"/>
        <w:lang w:val="en-US" w:eastAsia="en-US" w:bidi="ar-SA"/>
      </w:rPr>
    </w:lvl>
    <w:lvl w:ilvl="7">
      <w:numFmt w:val="bullet"/>
      <w:lvlText w:val="•"/>
      <w:lvlJc w:val="left"/>
      <w:pPr>
        <w:ind w:left="101" w:hanging="370"/>
      </w:pPr>
      <w:rPr>
        <w:rFonts w:hint="default"/>
        <w:lang w:val="en-US" w:eastAsia="en-US" w:bidi="ar-SA"/>
      </w:rPr>
    </w:lvl>
    <w:lvl w:ilvl="8">
      <w:numFmt w:val="bullet"/>
      <w:lvlText w:val="•"/>
      <w:lvlJc w:val="left"/>
      <w:pPr>
        <w:ind w:left="31" w:hanging="370"/>
      </w:pPr>
      <w:rPr>
        <w:rFonts w:hint="default"/>
        <w:lang w:val="en-US" w:eastAsia="en-US" w:bidi="ar-SA"/>
      </w:rPr>
    </w:lvl>
  </w:abstractNum>
  <w:abstractNum w:abstractNumId="9" w15:restartNumberingAfterBreak="0">
    <w:nsid w:val="398865D6"/>
    <w:multiLevelType w:val="multilevel"/>
    <w:tmpl w:val="5A54C786"/>
    <w:lvl w:ilvl="0">
      <w:start w:val="1"/>
      <w:numFmt w:val="decimal"/>
      <w:lvlText w:val="%1."/>
      <w:lvlJc w:val="left"/>
      <w:pPr>
        <w:ind w:left="860" w:hanging="360"/>
      </w:pPr>
      <w:rPr>
        <w:b/>
      </w:rPr>
    </w:lvl>
    <w:lvl w:ilvl="1">
      <w:start w:val="2"/>
      <w:numFmt w:val="decimal"/>
      <w:isLgl/>
      <w:lvlText w:val="%1.%2"/>
      <w:lvlJc w:val="left"/>
      <w:pPr>
        <w:ind w:left="927" w:hanging="360"/>
      </w:pPr>
      <w:rPr>
        <w:rFonts w:hint="default"/>
      </w:rPr>
    </w:lvl>
    <w:lvl w:ilvl="2">
      <w:start w:val="1"/>
      <w:numFmt w:val="decimal"/>
      <w:isLgl/>
      <w:lvlText w:val="%1.%2.%3"/>
      <w:lvlJc w:val="left"/>
      <w:pPr>
        <w:ind w:left="1354" w:hanging="720"/>
      </w:pPr>
      <w:rPr>
        <w:rFonts w:hint="default"/>
      </w:rPr>
    </w:lvl>
    <w:lvl w:ilvl="3">
      <w:start w:val="1"/>
      <w:numFmt w:val="decimal"/>
      <w:isLgl/>
      <w:lvlText w:val="%1.%2.%3.%4"/>
      <w:lvlJc w:val="left"/>
      <w:pPr>
        <w:ind w:left="1421" w:hanging="720"/>
      </w:pPr>
      <w:rPr>
        <w:rFonts w:hint="default"/>
      </w:rPr>
    </w:lvl>
    <w:lvl w:ilvl="4">
      <w:start w:val="1"/>
      <w:numFmt w:val="decimal"/>
      <w:isLgl/>
      <w:lvlText w:val="%1.%2.%3.%4.%5"/>
      <w:lvlJc w:val="left"/>
      <w:pPr>
        <w:ind w:left="1848" w:hanging="1080"/>
      </w:pPr>
      <w:rPr>
        <w:rFonts w:hint="default"/>
      </w:rPr>
    </w:lvl>
    <w:lvl w:ilvl="5">
      <w:start w:val="1"/>
      <w:numFmt w:val="decimal"/>
      <w:isLgl/>
      <w:lvlText w:val="%1.%2.%3.%4.%5.%6"/>
      <w:lvlJc w:val="left"/>
      <w:pPr>
        <w:ind w:left="1915" w:hanging="1080"/>
      </w:pPr>
      <w:rPr>
        <w:rFonts w:hint="default"/>
      </w:rPr>
    </w:lvl>
    <w:lvl w:ilvl="6">
      <w:start w:val="1"/>
      <w:numFmt w:val="decimal"/>
      <w:isLgl/>
      <w:lvlText w:val="%1.%2.%3.%4.%5.%6.%7"/>
      <w:lvlJc w:val="left"/>
      <w:pPr>
        <w:ind w:left="2342" w:hanging="1440"/>
      </w:pPr>
      <w:rPr>
        <w:rFonts w:hint="default"/>
      </w:rPr>
    </w:lvl>
    <w:lvl w:ilvl="7">
      <w:start w:val="1"/>
      <w:numFmt w:val="decimal"/>
      <w:isLgl/>
      <w:lvlText w:val="%1.%2.%3.%4.%5.%6.%7.%8"/>
      <w:lvlJc w:val="left"/>
      <w:pPr>
        <w:ind w:left="2409" w:hanging="1440"/>
      </w:pPr>
      <w:rPr>
        <w:rFonts w:hint="default"/>
      </w:rPr>
    </w:lvl>
    <w:lvl w:ilvl="8">
      <w:start w:val="1"/>
      <w:numFmt w:val="decimal"/>
      <w:isLgl/>
      <w:lvlText w:val="%1.%2.%3.%4.%5.%6.%7.%8.%9"/>
      <w:lvlJc w:val="left"/>
      <w:pPr>
        <w:ind w:left="2836" w:hanging="1800"/>
      </w:pPr>
      <w:rPr>
        <w:rFonts w:hint="default"/>
      </w:rPr>
    </w:lvl>
  </w:abstractNum>
  <w:abstractNum w:abstractNumId="10" w15:restartNumberingAfterBreak="0">
    <w:nsid w:val="491C056C"/>
    <w:multiLevelType w:val="multilevel"/>
    <w:tmpl w:val="02A23A4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CD30680"/>
    <w:multiLevelType w:val="hybridMultilevel"/>
    <w:tmpl w:val="79066C6C"/>
    <w:lvl w:ilvl="0" w:tplc="CB9EED00">
      <w:start w:val="1"/>
      <w:numFmt w:val="upperLetter"/>
      <w:lvlText w:val="%1."/>
      <w:lvlJc w:val="left"/>
      <w:pPr>
        <w:ind w:left="1288" w:hanging="360"/>
      </w:pPr>
      <w:rPr>
        <w:rFonts w:ascii="Times New Roman" w:hAnsi="Times New Roman" w:cs="Times New Roman" w:hint="default"/>
        <w:b/>
        <w:sz w:val="24"/>
        <w:szCs w:val="24"/>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2" w15:restartNumberingAfterBreak="0">
    <w:nsid w:val="598D4889"/>
    <w:multiLevelType w:val="hybridMultilevel"/>
    <w:tmpl w:val="FFA0508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B1C7C62"/>
    <w:multiLevelType w:val="multilevel"/>
    <w:tmpl w:val="C1DE1D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ED3194D"/>
    <w:multiLevelType w:val="multilevel"/>
    <w:tmpl w:val="C7188892"/>
    <w:lvl w:ilvl="0">
      <w:start w:val="3"/>
      <w:numFmt w:val="decimal"/>
      <w:lvlText w:val="%1"/>
      <w:lvlJc w:val="left"/>
      <w:pPr>
        <w:ind w:left="360" w:hanging="360"/>
      </w:pPr>
      <w:rPr>
        <w:rFonts w:eastAsia="Arial MT" w:hint="default"/>
      </w:rPr>
    </w:lvl>
    <w:lvl w:ilvl="1">
      <w:start w:val="2"/>
      <w:numFmt w:val="decimal"/>
      <w:lvlText w:val="%1.%2"/>
      <w:lvlJc w:val="left"/>
      <w:pPr>
        <w:ind w:left="360" w:hanging="360"/>
      </w:pPr>
      <w:rPr>
        <w:rFonts w:eastAsia="Arial MT" w:hint="default"/>
      </w:rPr>
    </w:lvl>
    <w:lvl w:ilvl="2">
      <w:start w:val="1"/>
      <w:numFmt w:val="decimal"/>
      <w:lvlText w:val="%1.%2.%3"/>
      <w:lvlJc w:val="left"/>
      <w:pPr>
        <w:ind w:left="720" w:hanging="720"/>
      </w:pPr>
      <w:rPr>
        <w:rFonts w:eastAsia="Arial MT" w:hint="default"/>
      </w:rPr>
    </w:lvl>
    <w:lvl w:ilvl="3">
      <w:start w:val="1"/>
      <w:numFmt w:val="decimal"/>
      <w:lvlText w:val="%1.%2.%3.%4"/>
      <w:lvlJc w:val="left"/>
      <w:pPr>
        <w:ind w:left="720" w:hanging="720"/>
      </w:pPr>
      <w:rPr>
        <w:rFonts w:eastAsia="Arial MT" w:hint="default"/>
      </w:rPr>
    </w:lvl>
    <w:lvl w:ilvl="4">
      <w:start w:val="1"/>
      <w:numFmt w:val="decimal"/>
      <w:lvlText w:val="%1.%2.%3.%4.%5"/>
      <w:lvlJc w:val="left"/>
      <w:pPr>
        <w:ind w:left="1080" w:hanging="1080"/>
      </w:pPr>
      <w:rPr>
        <w:rFonts w:eastAsia="Arial MT" w:hint="default"/>
      </w:rPr>
    </w:lvl>
    <w:lvl w:ilvl="5">
      <w:start w:val="1"/>
      <w:numFmt w:val="decimal"/>
      <w:lvlText w:val="%1.%2.%3.%4.%5.%6"/>
      <w:lvlJc w:val="left"/>
      <w:pPr>
        <w:ind w:left="1080" w:hanging="1080"/>
      </w:pPr>
      <w:rPr>
        <w:rFonts w:eastAsia="Arial MT" w:hint="default"/>
      </w:rPr>
    </w:lvl>
    <w:lvl w:ilvl="6">
      <w:start w:val="1"/>
      <w:numFmt w:val="decimal"/>
      <w:lvlText w:val="%1.%2.%3.%4.%5.%6.%7"/>
      <w:lvlJc w:val="left"/>
      <w:pPr>
        <w:ind w:left="1440" w:hanging="1440"/>
      </w:pPr>
      <w:rPr>
        <w:rFonts w:eastAsia="Arial MT" w:hint="default"/>
      </w:rPr>
    </w:lvl>
    <w:lvl w:ilvl="7">
      <w:start w:val="1"/>
      <w:numFmt w:val="decimal"/>
      <w:lvlText w:val="%1.%2.%3.%4.%5.%6.%7.%8"/>
      <w:lvlJc w:val="left"/>
      <w:pPr>
        <w:ind w:left="1440" w:hanging="1440"/>
      </w:pPr>
      <w:rPr>
        <w:rFonts w:eastAsia="Arial MT" w:hint="default"/>
      </w:rPr>
    </w:lvl>
    <w:lvl w:ilvl="8">
      <w:start w:val="1"/>
      <w:numFmt w:val="decimal"/>
      <w:lvlText w:val="%1.%2.%3.%4.%5.%6.%7.%8.%9"/>
      <w:lvlJc w:val="left"/>
      <w:pPr>
        <w:ind w:left="1800" w:hanging="1800"/>
      </w:pPr>
      <w:rPr>
        <w:rFonts w:eastAsia="Arial MT" w:hint="default"/>
      </w:rPr>
    </w:lvl>
  </w:abstractNum>
  <w:abstractNum w:abstractNumId="15" w15:restartNumberingAfterBreak="0">
    <w:nsid w:val="75533697"/>
    <w:multiLevelType w:val="hybridMultilevel"/>
    <w:tmpl w:val="F61AE0DA"/>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6" w15:restartNumberingAfterBreak="0">
    <w:nsid w:val="7E2C326F"/>
    <w:multiLevelType w:val="hybridMultilevel"/>
    <w:tmpl w:val="D5E67D5C"/>
    <w:lvl w:ilvl="0" w:tplc="A00C6A8C">
      <w:start w:val="1"/>
      <w:numFmt w:val="decimal"/>
      <w:lvlText w:val="%1."/>
      <w:lvlJc w:val="left"/>
      <w:pPr>
        <w:ind w:left="1668" w:hanging="360"/>
      </w:pPr>
      <w:rPr>
        <w:rFonts w:hint="default"/>
      </w:rPr>
    </w:lvl>
    <w:lvl w:ilvl="1" w:tplc="04090019" w:tentative="1">
      <w:start w:val="1"/>
      <w:numFmt w:val="lowerLetter"/>
      <w:lvlText w:val="%2."/>
      <w:lvlJc w:val="left"/>
      <w:pPr>
        <w:ind w:left="2388" w:hanging="360"/>
      </w:pPr>
    </w:lvl>
    <w:lvl w:ilvl="2" w:tplc="0409001B" w:tentative="1">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num w:numId="1" w16cid:durableId="1148012412">
    <w:abstractNumId w:val="8"/>
  </w:num>
  <w:num w:numId="2" w16cid:durableId="1772357528">
    <w:abstractNumId w:val="1"/>
  </w:num>
  <w:num w:numId="3" w16cid:durableId="1764260187">
    <w:abstractNumId w:val="2"/>
  </w:num>
  <w:num w:numId="4" w16cid:durableId="831946494">
    <w:abstractNumId w:val="4"/>
  </w:num>
  <w:num w:numId="5" w16cid:durableId="272249414">
    <w:abstractNumId w:val="13"/>
  </w:num>
  <w:num w:numId="6" w16cid:durableId="818771523">
    <w:abstractNumId w:val="5"/>
  </w:num>
  <w:num w:numId="7" w16cid:durableId="1808548870">
    <w:abstractNumId w:val="16"/>
  </w:num>
  <w:num w:numId="8" w16cid:durableId="1877160791">
    <w:abstractNumId w:val="10"/>
  </w:num>
  <w:num w:numId="9" w16cid:durableId="1599365513">
    <w:abstractNumId w:val="12"/>
  </w:num>
  <w:num w:numId="10" w16cid:durableId="1829318684">
    <w:abstractNumId w:val="6"/>
  </w:num>
  <w:num w:numId="11" w16cid:durableId="983510323">
    <w:abstractNumId w:val="0"/>
  </w:num>
  <w:num w:numId="12" w16cid:durableId="17168550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39988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3640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3514626">
    <w:abstractNumId w:val="11"/>
  </w:num>
  <w:num w:numId="16" w16cid:durableId="300187420">
    <w:abstractNumId w:val="9"/>
  </w:num>
  <w:num w:numId="17" w16cid:durableId="883718867">
    <w:abstractNumId w:val="14"/>
  </w:num>
  <w:num w:numId="18" w16cid:durableId="1458260614">
    <w:abstractNumId w:val="7"/>
  </w:num>
  <w:num w:numId="19" w16cid:durableId="1365792008">
    <w:abstractNumId w:val="15"/>
  </w:num>
  <w:num w:numId="20" w16cid:durableId="1524517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hideSpelling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66F"/>
    <w:rsid w:val="000377E6"/>
    <w:rsid w:val="00064A57"/>
    <w:rsid w:val="000B3197"/>
    <w:rsid w:val="000C102D"/>
    <w:rsid w:val="000E4495"/>
    <w:rsid w:val="000E79C8"/>
    <w:rsid w:val="001166AC"/>
    <w:rsid w:val="00116CE9"/>
    <w:rsid w:val="00136FDB"/>
    <w:rsid w:val="001422F4"/>
    <w:rsid w:val="00165AB6"/>
    <w:rsid w:val="001C28FD"/>
    <w:rsid w:val="001D6CEF"/>
    <w:rsid w:val="001E7528"/>
    <w:rsid w:val="001F01F5"/>
    <w:rsid w:val="001F6245"/>
    <w:rsid w:val="00215482"/>
    <w:rsid w:val="00216386"/>
    <w:rsid w:val="00227A8D"/>
    <w:rsid w:val="002746D9"/>
    <w:rsid w:val="00282F8C"/>
    <w:rsid w:val="002B587F"/>
    <w:rsid w:val="00305CB5"/>
    <w:rsid w:val="00314956"/>
    <w:rsid w:val="00320A40"/>
    <w:rsid w:val="00336C78"/>
    <w:rsid w:val="00352C46"/>
    <w:rsid w:val="00367E16"/>
    <w:rsid w:val="00397180"/>
    <w:rsid w:val="003A403A"/>
    <w:rsid w:val="003E7A03"/>
    <w:rsid w:val="0041155F"/>
    <w:rsid w:val="004115B6"/>
    <w:rsid w:val="00416692"/>
    <w:rsid w:val="00437CD4"/>
    <w:rsid w:val="0045488A"/>
    <w:rsid w:val="004644B9"/>
    <w:rsid w:val="0048266F"/>
    <w:rsid w:val="004919AB"/>
    <w:rsid w:val="004C05C6"/>
    <w:rsid w:val="004C733E"/>
    <w:rsid w:val="004E34E0"/>
    <w:rsid w:val="004E684A"/>
    <w:rsid w:val="00512C1D"/>
    <w:rsid w:val="0052724F"/>
    <w:rsid w:val="005454C4"/>
    <w:rsid w:val="005626D1"/>
    <w:rsid w:val="005850D7"/>
    <w:rsid w:val="0059007A"/>
    <w:rsid w:val="005B780E"/>
    <w:rsid w:val="005C20C8"/>
    <w:rsid w:val="005C6FAD"/>
    <w:rsid w:val="005D2BBA"/>
    <w:rsid w:val="005D655D"/>
    <w:rsid w:val="005F1903"/>
    <w:rsid w:val="005F3109"/>
    <w:rsid w:val="005F4423"/>
    <w:rsid w:val="005F5565"/>
    <w:rsid w:val="00602670"/>
    <w:rsid w:val="00616C6F"/>
    <w:rsid w:val="006223AD"/>
    <w:rsid w:val="00675B94"/>
    <w:rsid w:val="00681D15"/>
    <w:rsid w:val="006878B2"/>
    <w:rsid w:val="006A3E0C"/>
    <w:rsid w:val="006A3FE6"/>
    <w:rsid w:val="006B2247"/>
    <w:rsid w:val="006B3DA9"/>
    <w:rsid w:val="006C45C6"/>
    <w:rsid w:val="006D4BD4"/>
    <w:rsid w:val="006E68DF"/>
    <w:rsid w:val="006F7CC0"/>
    <w:rsid w:val="00705C77"/>
    <w:rsid w:val="00723DDA"/>
    <w:rsid w:val="007350C1"/>
    <w:rsid w:val="00737783"/>
    <w:rsid w:val="00765CB0"/>
    <w:rsid w:val="00781962"/>
    <w:rsid w:val="00783096"/>
    <w:rsid w:val="007864B6"/>
    <w:rsid w:val="00795C17"/>
    <w:rsid w:val="007B1FBC"/>
    <w:rsid w:val="007B5635"/>
    <w:rsid w:val="007D7B65"/>
    <w:rsid w:val="007F11C1"/>
    <w:rsid w:val="00810B0A"/>
    <w:rsid w:val="00827240"/>
    <w:rsid w:val="008344E8"/>
    <w:rsid w:val="008442D9"/>
    <w:rsid w:val="00845415"/>
    <w:rsid w:val="0084762B"/>
    <w:rsid w:val="00851C2A"/>
    <w:rsid w:val="0086256E"/>
    <w:rsid w:val="00864721"/>
    <w:rsid w:val="00887468"/>
    <w:rsid w:val="008A241C"/>
    <w:rsid w:val="008A2EC8"/>
    <w:rsid w:val="008B0506"/>
    <w:rsid w:val="008F5F9A"/>
    <w:rsid w:val="009001AD"/>
    <w:rsid w:val="00900ECA"/>
    <w:rsid w:val="009324C2"/>
    <w:rsid w:val="009461A1"/>
    <w:rsid w:val="00976E28"/>
    <w:rsid w:val="00993286"/>
    <w:rsid w:val="009970B1"/>
    <w:rsid w:val="009A3519"/>
    <w:rsid w:val="009A418B"/>
    <w:rsid w:val="009B3286"/>
    <w:rsid w:val="009D7379"/>
    <w:rsid w:val="009E078E"/>
    <w:rsid w:val="009E6B92"/>
    <w:rsid w:val="00A02F50"/>
    <w:rsid w:val="00A06D9A"/>
    <w:rsid w:val="00A563B4"/>
    <w:rsid w:val="00A65347"/>
    <w:rsid w:val="00A82995"/>
    <w:rsid w:val="00A931BE"/>
    <w:rsid w:val="00AC67A2"/>
    <w:rsid w:val="00AD44E0"/>
    <w:rsid w:val="00B13F5A"/>
    <w:rsid w:val="00B243DA"/>
    <w:rsid w:val="00B40D15"/>
    <w:rsid w:val="00B472F6"/>
    <w:rsid w:val="00B50574"/>
    <w:rsid w:val="00B64019"/>
    <w:rsid w:val="00B7111C"/>
    <w:rsid w:val="00B73BA6"/>
    <w:rsid w:val="00BA55A7"/>
    <w:rsid w:val="00C4318C"/>
    <w:rsid w:val="00C438C4"/>
    <w:rsid w:val="00C906B9"/>
    <w:rsid w:val="00CC6877"/>
    <w:rsid w:val="00CE0143"/>
    <w:rsid w:val="00CE5435"/>
    <w:rsid w:val="00D0106F"/>
    <w:rsid w:val="00D31924"/>
    <w:rsid w:val="00D37A5A"/>
    <w:rsid w:val="00D46BC4"/>
    <w:rsid w:val="00D56DE6"/>
    <w:rsid w:val="00D65E18"/>
    <w:rsid w:val="00D84C1D"/>
    <w:rsid w:val="00DB45A7"/>
    <w:rsid w:val="00DF7219"/>
    <w:rsid w:val="00E253C0"/>
    <w:rsid w:val="00E25F1B"/>
    <w:rsid w:val="00E32D7F"/>
    <w:rsid w:val="00E33F6D"/>
    <w:rsid w:val="00E51F4F"/>
    <w:rsid w:val="00E54E15"/>
    <w:rsid w:val="00E75A55"/>
    <w:rsid w:val="00E777D2"/>
    <w:rsid w:val="00E82EB3"/>
    <w:rsid w:val="00E84EB2"/>
    <w:rsid w:val="00EA724B"/>
    <w:rsid w:val="00EC0E96"/>
    <w:rsid w:val="00EE5677"/>
    <w:rsid w:val="00F0181D"/>
    <w:rsid w:val="00F34676"/>
    <w:rsid w:val="00F55F97"/>
    <w:rsid w:val="00F56C57"/>
    <w:rsid w:val="00F66B2E"/>
    <w:rsid w:val="00F8249A"/>
    <w:rsid w:val="00F92DD1"/>
    <w:rsid w:val="00FA5527"/>
    <w:rsid w:val="00FD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2CFC9"/>
  <w15:docId w15:val="{8E040C4B-B2A7-4D90-9AF2-81DF055A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40"/>
      <w:outlineLvl w:val="0"/>
    </w:pPr>
    <w:rPr>
      <w:rFonts w:ascii="Arial" w:eastAsia="Arial" w:hAnsi="Arial" w:cs="Arial"/>
      <w:b/>
      <w:bCs/>
    </w:rPr>
  </w:style>
  <w:style w:type="paragraph" w:styleId="Heading2">
    <w:name w:val="heading 2"/>
    <w:basedOn w:val="Normal"/>
    <w:uiPriority w:val="1"/>
    <w:qFormat/>
    <w:pPr>
      <w:ind w:left="509" w:hanging="369"/>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413"/>
      <w:ind w:left="286"/>
    </w:pPr>
    <w:rPr>
      <w:rFonts w:ascii="Arial" w:eastAsia="Arial" w:hAnsi="Arial" w:cs="Arial"/>
      <w:b/>
      <w:bCs/>
      <w:sz w:val="32"/>
      <w:szCs w:val="32"/>
    </w:rPr>
  </w:style>
  <w:style w:type="paragraph" w:styleId="ListParagraph">
    <w:name w:val="List Paragraph"/>
    <w:aliases w:val="Body of text"/>
    <w:basedOn w:val="Normal"/>
    <w:link w:val="ListParagraphChar"/>
    <w:uiPriority w:val="34"/>
    <w:qFormat/>
    <w:pPr>
      <w:ind w:left="509" w:hanging="369"/>
    </w:pPr>
    <w:rPr>
      <w:rFonts w:ascii="Arial" w:eastAsia="Arial" w:hAnsi="Arial" w:cs="Arial"/>
    </w:rPr>
  </w:style>
  <w:style w:type="paragraph" w:customStyle="1" w:styleId="TableParagraph">
    <w:name w:val="Table Paragraph"/>
    <w:basedOn w:val="Normal"/>
    <w:uiPriority w:val="1"/>
    <w:qFormat/>
    <w:pPr>
      <w:spacing w:line="210" w:lineRule="exact"/>
      <w:ind w:left="108"/>
    </w:pPr>
  </w:style>
  <w:style w:type="paragraph" w:styleId="BalloonText">
    <w:name w:val="Balloon Text"/>
    <w:basedOn w:val="Normal"/>
    <w:link w:val="BalloonTextChar"/>
    <w:uiPriority w:val="99"/>
    <w:semiHidden/>
    <w:unhideWhenUsed/>
    <w:rsid w:val="000C102D"/>
    <w:rPr>
      <w:rFonts w:ascii="Tahoma" w:hAnsi="Tahoma" w:cs="Tahoma"/>
      <w:sz w:val="16"/>
      <w:szCs w:val="16"/>
    </w:rPr>
  </w:style>
  <w:style w:type="character" w:customStyle="1" w:styleId="BalloonTextChar">
    <w:name w:val="Balloon Text Char"/>
    <w:basedOn w:val="DefaultParagraphFont"/>
    <w:link w:val="BalloonText"/>
    <w:uiPriority w:val="99"/>
    <w:semiHidden/>
    <w:rsid w:val="000C102D"/>
    <w:rPr>
      <w:rFonts w:ascii="Tahoma" w:eastAsia="Arial MT" w:hAnsi="Tahoma" w:cs="Tahoma"/>
      <w:sz w:val="16"/>
      <w:szCs w:val="16"/>
    </w:rPr>
  </w:style>
  <w:style w:type="character" w:styleId="Strong">
    <w:name w:val="Strong"/>
    <w:basedOn w:val="DefaultParagraphFont"/>
    <w:uiPriority w:val="22"/>
    <w:qFormat/>
    <w:rsid w:val="00EA724B"/>
    <w:rPr>
      <w:b/>
      <w:bCs/>
    </w:rPr>
  </w:style>
  <w:style w:type="character" w:styleId="Emphasis">
    <w:name w:val="Emphasis"/>
    <w:basedOn w:val="DefaultParagraphFont"/>
    <w:uiPriority w:val="20"/>
    <w:qFormat/>
    <w:rsid w:val="000B3197"/>
    <w:rPr>
      <w:i/>
      <w:iCs/>
    </w:rPr>
  </w:style>
  <w:style w:type="character" w:customStyle="1" w:styleId="ListParagraphChar">
    <w:name w:val="List Paragraph Char"/>
    <w:aliases w:val="Body of text Char"/>
    <w:link w:val="ListParagraph"/>
    <w:uiPriority w:val="34"/>
    <w:qFormat/>
    <w:rsid w:val="000B3197"/>
    <w:rPr>
      <w:rFonts w:ascii="Arial" w:eastAsia="Arial" w:hAnsi="Arial" w:cs="Arial"/>
    </w:rPr>
  </w:style>
  <w:style w:type="paragraph" w:styleId="Caption">
    <w:name w:val="caption"/>
    <w:basedOn w:val="Normal"/>
    <w:next w:val="Normal"/>
    <w:uiPriority w:val="99"/>
    <w:unhideWhenUsed/>
    <w:qFormat/>
    <w:rsid w:val="000B3197"/>
    <w:pPr>
      <w:widowControl/>
      <w:autoSpaceDE/>
      <w:autoSpaceDN/>
      <w:spacing w:after="200" w:line="276" w:lineRule="auto"/>
    </w:pPr>
    <w:rPr>
      <w:rFonts w:ascii="Calibri" w:eastAsia="Calibri" w:hAnsi="Calibri" w:cs="Times New Roman"/>
      <w:b/>
      <w:bCs/>
      <w:sz w:val="20"/>
      <w:szCs w:val="20"/>
    </w:rPr>
  </w:style>
  <w:style w:type="paragraph" w:styleId="NoSpacing">
    <w:name w:val="No Spacing"/>
    <w:uiPriority w:val="1"/>
    <w:qFormat/>
    <w:rsid w:val="009001AD"/>
    <w:rPr>
      <w:rFonts w:ascii="Times New Roman" w:eastAsia="Times New Roman" w:hAnsi="Times New Roman" w:cs="Times New Roman"/>
    </w:rPr>
  </w:style>
  <w:style w:type="character" w:styleId="Hyperlink">
    <w:name w:val="Hyperlink"/>
    <w:basedOn w:val="DefaultParagraphFont"/>
    <w:uiPriority w:val="99"/>
    <w:unhideWhenUsed/>
    <w:rsid w:val="00E82EB3"/>
    <w:rPr>
      <w:color w:val="0000FF" w:themeColor="hyperlink"/>
      <w:u w:val="single"/>
    </w:rPr>
  </w:style>
  <w:style w:type="character" w:customStyle="1" w:styleId="UnresolvedMention1">
    <w:name w:val="Unresolved Mention1"/>
    <w:basedOn w:val="DefaultParagraphFont"/>
    <w:uiPriority w:val="99"/>
    <w:semiHidden/>
    <w:unhideWhenUsed/>
    <w:rsid w:val="00E82EB3"/>
    <w:rPr>
      <w:color w:val="605E5C"/>
      <w:shd w:val="clear" w:color="auto" w:fill="E1DFDD"/>
    </w:rPr>
  </w:style>
  <w:style w:type="paragraph" w:styleId="Header">
    <w:name w:val="header"/>
    <w:basedOn w:val="Normal"/>
    <w:link w:val="HeaderChar"/>
    <w:uiPriority w:val="99"/>
    <w:unhideWhenUsed/>
    <w:rsid w:val="00215482"/>
    <w:pPr>
      <w:tabs>
        <w:tab w:val="center" w:pos="4680"/>
        <w:tab w:val="right" w:pos="9360"/>
      </w:tabs>
    </w:pPr>
  </w:style>
  <w:style w:type="character" w:customStyle="1" w:styleId="HeaderChar">
    <w:name w:val="Header Char"/>
    <w:basedOn w:val="DefaultParagraphFont"/>
    <w:link w:val="Header"/>
    <w:uiPriority w:val="99"/>
    <w:rsid w:val="00215482"/>
    <w:rPr>
      <w:rFonts w:ascii="Arial MT" w:eastAsia="Arial MT" w:hAnsi="Arial MT" w:cs="Arial MT"/>
    </w:rPr>
  </w:style>
  <w:style w:type="paragraph" w:styleId="Footer">
    <w:name w:val="footer"/>
    <w:basedOn w:val="Normal"/>
    <w:link w:val="FooterChar"/>
    <w:uiPriority w:val="99"/>
    <w:unhideWhenUsed/>
    <w:rsid w:val="00215482"/>
    <w:pPr>
      <w:tabs>
        <w:tab w:val="center" w:pos="4680"/>
        <w:tab w:val="right" w:pos="9360"/>
      </w:tabs>
    </w:pPr>
  </w:style>
  <w:style w:type="character" w:customStyle="1" w:styleId="FooterChar">
    <w:name w:val="Footer Char"/>
    <w:basedOn w:val="DefaultParagraphFont"/>
    <w:link w:val="Footer"/>
    <w:uiPriority w:val="99"/>
    <w:rsid w:val="00215482"/>
    <w:rPr>
      <w:rFonts w:ascii="Arial MT" w:eastAsia="Arial MT" w:hAnsi="Arial MT" w:cs="Arial MT"/>
    </w:rPr>
  </w:style>
  <w:style w:type="table" w:styleId="TableGrid">
    <w:name w:val="Table Grid"/>
    <w:basedOn w:val="TableNormal"/>
    <w:uiPriority w:val="59"/>
    <w:rsid w:val="00367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7111C"/>
    <w:rPr>
      <w:color w:val="605E5C"/>
      <w:shd w:val="clear" w:color="auto" w:fill="E1DFDD"/>
    </w:rPr>
  </w:style>
  <w:style w:type="character" w:customStyle="1" w:styleId="BodyTextChar">
    <w:name w:val="Body Text Char"/>
    <w:basedOn w:val="DefaultParagraphFont"/>
    <w:link w:val="BodyText"/>
    <w:uiPriority w:val="1"/>
    <w:rsid w:val="00B7111C"/>
    <w:rPr>
      <w:rFonts w:ascii="Arial MT" w:eastAsia="Arial MT" w:hAnsi="Arial MT" w:cs="Arial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306753">
      <w:bodyDiv w:val="1"/>
      <w:marLeft w:val="0"/>
      <w:marRight w:val="0"/>
      <w:marTop w:val="0"/>
      <w:marBottom w:val="0"/>
      <w:divBdr>
        <w:top w:val="none" w:sz="0" w:space="0" w:color="auto"/>
        <w:left w:val="none" w:sz="0" w:space="0" w:color="auto"/>
        <w:bottom w:val="none" w:sz="0" w:space="0" w:color="auto"/>
        <w:right w:val="none" w:sz="0" w:space="0" w:color="auto"/>
      </w:divBdr>
    </w:div>
    <w:div w:id="339892395">
      <w:bodyDiv w:val="1"/>
      <w:marLeft w:val="0"/>
      <w:marRight w:val="0"/>
      <w:marTop w:val="0"/>
      <w:marBottom w:val="0"/>
      <w:divBdr>
        <w:top w:val="none" w:sz="0" w:space="0" w:color="auto"/>
        <w:left w:val="none" w:sz="0" w:space="0" w:color="auto"/>
        <w:bottom w:val="none" w:sz="0" w:space="0" w:color="auto"/>
        <w:right w:val="none" w:sz="0" w:space="0" w:color="auto"/>
      </w:divBdr>
    </w:div>
    <w:div w:id="435829225">
      <w:bodyDiv w:val="1"/>
      <w:marLeft w:val="0"/>
      <w:marRight w:val="0"/>
      <w:marTop w:val="0"/>
      <w:marBottom w:val="0"/>
      <w:divBdr>
        <w:top w:val="none" w:sz="0" w:space="0" w:color="auto"/>
        <w:left w:val="none" w:sz="0" w:space="0" w:color="auto"/>
        <w:bottom w:val="none" w:sz="0" w:space="0" w:color="auto"/>
        <w:right w:val="none" w:sz="0" w:space="0" w:color="auto"/>
      </w:divBdr>
    </w:div>
    <w:div w:id="812410077">
      <w:bodyDiv w:val="1"/>
      <w:marLeft w:val="0"/>
      <w:marRight w:val="0"/>
      <w:marTop w:val="0"/>
      <w:marBottom w:val="0"/>
      <w:divBdr>
        <w:top w:val="none" w:sz="0" w:space="0" w:color="auto"/>
        <w:left w:val="none" w:sz="0" w:space="0" w:color="auto"/>
        <w:bottom w:val="none" w:sz="0" w:space="0" w:color="auto"/>
        <w:right w:val="none" w:sz="0" w:space="0" w:color="auto"/>
      </w:divBdr>
    </w:div>
    <w:div w:id="835222255">
      <w:bodyDiv w:val="1"/>
      <w:marLeft w:val="0"/>
      <w:marRight w:val="0"/>
      <w:marTop w:val="0"/>
      <w:marBottom w:val="0"/>
      <w:divBdr>
        <w:top w:val="none" w:sz="0" w:space="0" w:color="auto"/>
        <w:left w:val="none" w:sz="0" w:space="0" w:color="auto"/>
        <w:bottom w:val="none" w:sz="0" w:space="0" w:color="auto"/>
        <w:right w:val="none" w:sz="0" w:space="0" w:color="auto"/>
      </w:divBdr>
    </w:div>
    <w:div w:id="909658994">
      <w:bodyDiv w:val="1"/>
      <w:marLeft w:val="0"/>
      <w:marRight w:val="0"/>
      <w:marTop w:val="0"/>
      <w:marBottom w:val="0"/>
      <w:divBdr>
        <w:top w:val="none" w:sz="0" w:space="0" w:color="auto"/>
        <w:left w:val="none" w:sz="0" w:space="0" w:color="auto"/>
        <w:bottom w:val="none" w:sz="0" w:space="0" w:color="auto"/>
        <w:right w:val="none" w:sz="0" w:space="0" w:color="auto"/>
      </w:divBdr>
    </w:div>
    <w:div w:id="966591240">
      <w:bodyDiv w:val="1"/>
      <w:marLeft w:val="0"/>
      <w:marRight w:val="0"/>
      <w:marTop w:val="0"/>
      <w:marBottom w:val="0"/>
      <w:divBdr>
        <w:top w:val="none" w:sz="0" w:space="0" w:color="auto"/>
        <w:left w:val="none" w:sz="0" w:space="0" w:color="auto"/>
        <w:bottom w:val="none" w:sz="0" w:space="0" w:color="auto"/>
        <w:right w:val="none" w:sz="0" w:space="0" w:color="auto"/>
      </w:divBdr>
    </w:div>
    <w:div w:id="1032651455">
      <w:bodyDiv w:val="1"/>
      <w:marLeft w:val="0"/>
      <w:marRight w:val="0"/>
      <w:marTop w:val="0"/>
      <w:marBottom w:val="0"/>
      <w:divBdr>
        <w:top w:val="none" w:sz="0" w:space="0" w:color="auto"/>
        <w:left w:val="none" w:sz="0" w:space="0" w:color="auto"/>
        <w:bottom w:val="none" w:sz="0" w:space="0" w:color="auto"/>
        <w:right w:val="none" w:sz="0" w:space="0" w:color="auto"/>
      </w:divBdr>
    </w:div>
    <w:div w:id="1105346480">
      <w:bodyDiv w:val="1"/>
      <w:marLeft w:val="0"/>
      <w:marRight w:val="0"/>
      <w:marTop w:val="0"/>
      <w:marBottom w:val="0"/>
      <w:divBdr>
        <w:top w:val="none" w:sz="0" w:space="0" w:color="auto"/>
        <w:left w:val="none" w:sz="0" w:space="0" w:color="auto"/>
        <w:bottom w:val="none" w:sz="0" w:space="0" w:color="auto"/>
        <w:right w:val="none" w:sz="0" w:space="0" w:color="auto"/>
      </w:divBdr>
    </w:div>
    <w:div w:id="1238905116">
      <w:bodyDiv w:val="1"/>
      <w:marLeft w:val="0"/>
      <w:marRight w:val="0"/>
      <w:marTop w:val="0"/>
      <w:marBottom w:val="0"/>
      <w:divBdr>
        <w:top w:val="none" w:sz="0" w:space="0" w:color="auto"/>
        <w:left w:val="none" w:sz="0" w:space="0" w:color="auto"/>
        <w:bottom w:val="none" w:sz="0" w:space="0" w:color="auto"/>
        <w:right w:val="none" w:sz="0" w:space="0" w:color="auto"/>
      </w:divBdr>
    </w:div>
    <w:div w:id="1300651175">
      <w:bodyDiv w:val="1"/>
      <w:marLeft w:val="0"/>
      <w:marRight w:val="0"/>
      <w:marTop w:val="0"/>
      <w:marBottom w:val="0"/>
      <w:divBdr>
        <w:top w:val="none" w:sz="0" w:space="0" w:color="auto"/>
        <w:left w:val="none" w:sz="0" w:space="0" w:color="auto"/>
        <w:bottom w:val="none" w:sz="0" w:space="0" w:color="auto"/>
        <w:right w:val="none" w:sz="0" w:space="0" w:color="auto"/>
      </w:divBdr>
    </w:div>
    <w:div w:id="1565794745">
      <w:bodyDiv w:val="1"/>
      <w:marLeft w:val="0"/>
      <w:marRight w:val="0"/>
      <w:marTop w:val="0"/>
      <w:marBottom w:val="0"/>
      <w:divBdr>
        <w:top w:val="none" w:sz="0" w:space="0" w:color="auto"/>
        <w:left w:val="none" w:sz="0" w:space="0" w:color="auto"/>
        <w:bottom w:val="none" w:sz="0" w:space="0" w:color="auto"/>
        <w:right w:val="none" w:sz="0" w:space="0" w:color="auto"/>
      </w:divBdr>
    </w:div>
    <w:div w:id="1613391161">
      <w:bodyDiv w:val="1"/>
      <w:marLeft w:val="0"/>
      <w:marRight w:val="0"/>
      <w:marTop w:val="0"/>
      <w:marBottom w:val="0"/>
      <w:divBdr>
        <w:top w:val="none" w:sz="0" w:space="0" w:color="auto"/>
        <w:left w:val="none" w:sz="0" w:space="0" w:color="auto"/>
        <w:bottom w:val="none" w:sz="0" w:space="0" w:color="auto"/>
        <w:right w:val="none" w:sz="0" w:space="0" w:color="auto"/>
      </w:divBdr>
    </w:div>
    <w:div w:id="1652059642">
      <w:bodyDiv w:val="1"/>
      <w:marLeft w:val="0"/>
      <w:marRight w:val="0"/>
      <w:marTop w:val="0"/>
      <w:marBottom w:val="0"/>
      <w:divBdr>
        <w:top w:val="none" w:sz="0" w:space="0" w:color="auto"/>
        <w:left w:val="none" w:sz="0" w:space="0" w:color="auto"/>
        <w:bottom w:val="none" w:sz="0" w:space="0" w:color="auto"/>
        <w:right w:val="none" w:sz="0" w:space="0" w:color="auto"/>
      </w:divBdr>
    </w:div>
    <w:div w:id="1667510393">
      <w:bodyDiv w:val="1"/>
      <w:marLeft w:val="0"/>
      <w:marRight w:val="0"/>
      <w:marTop w:val="0"/>
      <w:marBottom w:val="0"/>
      <w:divBdr>
        <w:top w:val="none" w:sz="0" w:space="0" w:color="auto"/>
        <w:left w:val="none" w:sz="0" w:space="0" w:color="auto"/>
        <w:bottom w:val="none" w:sz="0" w:space="0" w:color="auto"/>
        <w:right w:val="none" w:sz="0" w:space="0" w:color="auto"/>
      </w:divBdr>
    </w:div>
    <w:div w:id="1763404671">
      <w:bodyDiv w:val="1"/>
      <w:marLeft w:val="0"/>
      <w:marRight w:val="0"/>
      <w:marTop w:val="0"/>
      <w:marBottom w:val="0"/>
      <w:divBdr>
        <w:top w:val="none" w:sz="0" w:space="0" w:color="auto"/>
        <w:left w:val="none" w:sz="0" w:space="0" w:color="auto"/>
        <w:bottom w:val="none" w:sz="0" w:space="0" w:color="auto"/>
        <w:right w:val="none" w:sz="0" w:space="0" w:color="auto"/>
      </w:divBdr>
    </w:div>
    <w:div w:id="1793747575">
      <w:bodyDiv w:val="1"/>
      <w:marLeft w:val="0"/>
      <w:marRight w:val="0"/>
      <w:marTop w:val="0"/>
      <w:marBottom w:val="0"/>
      <w:divBdr>
        <w:top w:val="none" w:sz="0" w:space="0" w:color="auto"/>
        <w:left w:val="none" w:sz="0" w:space="0" w:color="auto"/>
        <w:bottom w:val="none" w:sz="0" w:space="0" w:color="auto"/>
        <w:right w:val="none" w:sz="0" w:space="0" w:color="auto"/>
      </w:divBdr>
    </w:div>
    <w:div w:id="1910848206">
      <w:bodyDiv w:val="1"/>
      <w:marLeft w:val="0"/>
      <w:marRight w:val="0"/>
      <w:marTop w:val="0"/>
      <w:marBottom w:val="0"/>
      <w:divBdr>
        <w:top w:val="none" w:sz="0" w:space="0" w:color="auto"/>
        <w:left w:val="none" w:sz="0" w:space="0" w:color="auto"/>
        <w:bottom w:val="none" w:sz="0" w:space="0" w:color="auto"/>
        <w:right w:val="none" w:sz="0" w:space="0" w:color="auto"/>
      </w:divBdr>
    </w:div>
    <w:div w:id="1914699947">
      <w:bodyDiv w:val="1"/>
      <w:marLeft w:val="0"/>
      <w:marRight w:val="0"/>
      <w:marTop w:val="0"/>
      <w:marBottom w:val="0"/>
      <w:divBdr>
        <w:top w:val="none" w:sz="0" w:space="0" w:color="auto"/>
        <w:left w:val="none" w:sz="0" w:space="0" w:color="auto"/>
        <w:bottom w:val="none" w:sz="0" w:space="0" w:color="auto"/>
        <w:right w:val="none" w:sz="0" w:space="0" w:color="auto"/>
      </w:divBdr>
    </w:div>
    <w:div w:id="1979605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6DA55-919B-4F61-97AD-D27204DE4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17969</Words>
  <Characters>102427</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Editor-23</cp:lastModifiedBy>
  <cp:revision>8</cp:revision>
  <dcterms:created xsi:type="dcterms:W3CDTF">2024-12-26T01:58:00Z</dcterms:created>
  <dcterms:modified xsi:type="dcterms:W3CDTF">2024-12-26T12:54:00Z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Microsoft® Word 2019</vt:lpwstr>
  </property>
  <property fmtid="{D5CDD505-2E9C-101B-9397-08002B2CF9AE}" pid="4" name="LastSaved">
    <vt:filetime>2024-12-12T00:00:00Z</vt:filetime>
  </property>
  <property fmtid="{D5CDD505-2E9C-101B-9397-08002B2CF9AE}" pid="5" name="Producer">
    <vt:lpwstr>Microsoft® Word 2019</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y fmtid="{D5CDD505-2E9C-101B-9397-08002B2CF9AE}" pid="26" name="Mendeley Document_1">
    <vt:lpwstr>True</vt:lpwstr>
  </property>
  <property fmtid="{D5CDD505-2E9C-101B-9397-08002B2CF9AE}" pid="27" name="Mendeley Unique User Id_1">
    <vt:lpwstr>14629ddb-f63f-3283-b27f-ab9f8fd0363f</vt:lpwstr>
  </property>
  <property fmtid="{D5CDD505-2E9C-101B-9397-08002B2CF9AE}" pid="28" name="Mendeley Citation Style_1">
    <vt:lpwstr>http://www.zotero.org/styles/apa</vt:lpwstr>
  </property>
</Properties>
</file>