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70594" w14:textId="4CC14428" w:rsidR="001E3D1B" w:rsidRDefault="001E3D1B" w:rsidP="00EF0394">
      <w:pPr>
        <w:spacing w:after="0" w:line="360" w:lineRule="auto"/>
        <w:jc w:val="both"/>
        <w:rPr>
          <w:rFonts w:ascii="Arial" w:hAnsi="Arial" w:cs="Arial"/>
          <w:b/>
          <w:bCs/>
          <w:color w:val="000000" w:themeColor="text1"/>
          <w:sz w:val="24"/>
          <w:szCs w:val="24"/>
        </w:rPr>
      </w:pPr>
      <w:bookmarkStart w:id="0" w:name="_Hlk186101607"/>
      <w:r w:rsidRPr="001E3D1B">
        <w:rPr>
          <w:rFonts w:ascii="Arial" w:hAnsi="Arial" w:cs="Arial"/>
          <w:b/>
          <w:bCs/>
          <w:color w:val="000000" w:themeColor="text1"/>
          <w:sz w:val="24"/>
          <w:szCs w:val="24"/>
        </w:rPr>
        <w:t>Original Research Article</w:t>
      </w:r>
    </w:p>
    <w:p w14:paraId="0A287BE2" w14:textId="77777777" w:rsidR="001E3D1B" w:rsidRDefault="001E3D1B" w:rsidP="00EF0394">
      <w:pPr>
        <w:spacing w:after="0" w:line="360" w:lineRule="auto"/>
        <w:jc w:val="both"/>
        <w:rPr>
          <w:rFonts w:ascii="Arial" w:hAnsi="Arial" w:cs="Arial"/>
          <w:b/>
          <w:bCs/>
          <w:color w:val="000000" w:themeColor="text1"/>
          <w:sz w:val="24"/>
          <w:szCs w:val="24"/>
        </w:rPr>
      </w:pPr>
    </w:p>
    <w:p w14:paraId="2D0BF8E4" w14:textId="3C01BC06" w:rsidR="00EF0394" w:rsidRDefault="00EF0394" w:rsidP="00EF0394">
      <w:pPr>
        <w:spacing w:after="0" w:line="360" w:lineRule="auto"/>
        <w:jc w:val="both"/>
        <w:rPr>
          <w:rFonts w:ascii="Arial" w:hAnsi="Arial" w:cs="Arial"/>
          <w:b/>
          <w:bCs/>
          <w:color w:val="000000" w:themeColor="text1"/>
          <w:sz w:val="24"/>
          <w:szCs w:val="24"/>
        </w:rPr>
      </w:pPr>
      <w:r w:rsidRPr="00EF0394">
        <w:rPr>
          <w:rFonts w:ascii="Arial" w:hAnsi="Arial" w:cs="Arial"/>
          <w:b/>
          <w:bCs/>
          <w:color w:val="000000" w:themeColor="text1"/>
          <w:sz w:val="24"/>
          <w:szCs w:val="24"/>
        </w:rPr>
        <w:t>TP53 Mutations Vulnerability and Its Impact on Metabolic Alterations in Prostate Cancer Progression</w:t>
      </w:r>
    </w:p>
    <w:bookmarkEnd w:id="0"/>
    <w:p w14:paraId="62596D6B" w14:textId="77777777" w:rsidR="001E3D1B" w:rsidRPr="00EF0394" w:rsidRDefault="001E3D1B" w:rsidP="00EF0394">
      <w:pPr>
        <w:spacing w:after="0" w:line="360" w:lineRule="auto"/>
        <w:jc w:val="both"/>
        <w:rPr>
          <w:rFonts w:ascii="Arial" w:hAnsi="Arial" w:cs="Arial"/>
          <w:b/>
          <w:bCs/>
          <w:color w:val="000000" w:themeColor="text1"/>
          <w:sz w:val="24"/>
          <w:szCs w:val="24"/>
        </w:rPr>
      </w:pPr>
    </w:p>
    <w:p w14:paraId="410E2053" w14:textId="77777777" w:rsidR="00182FFE" w:rsidRDefault="00182FFE" w:rsidP="0042146C">
      <w:pPr>
        <w:spacing w:after="0" w:line="360" w:lineRule="auto"/>
        <w:contextualSpacing/>
        <w:jc w:val="both"/>
        <w:rPr>
          <w:rFonts w:ascii="Arial" w:hAnsi="Arial" w:cs="Arial"/>
          <w:b/>
          <w:bCs/>
          <w:color w:val="000000" w:themeColor="text1"/>
          <w:sz w:val="24"/>
          <w:szCs w:val="24"/>
        </w:rPr>
      </w:pPr>
    </w:p>
    <w:p w14:paraId="666DCC4A" w14:textId="18BA6053" w:rsidR="005C0C90" w:rsidRPr="00EF0394" w:rsidRDefault="005C0C90" w:rsidP="0042146C">
      <w:pPr>
        <w:spacing w:after="0" w:line="360" w:lineRule="auto"/>
        <w:contextualSpacing/>
        <w:jc w:val="both"/>
        <w:rPr>
          <w:rFonts w:ascii="Arial" w:hAnsi="Arial" w:cs="Arial"/>
          <w:b/>
          <w:bCs/>
          <w:color w:val="000000" w:themeColor="text1"/>
          <w:sz w:val="24"/>
          <w:szCs w:val="24"/>
        </w:rPr>
      </w:pPr>
      <w:r w:rsidRPr="00EF0394">
        <w:rPr>
          <w:rFonts w:ascii="Arial" w:hAnsi="Arial" w:cs="Arial"/>
          <w:b/>
          <w:bCs/>
          <w:color w:val="000000" w:themeColor="text1"/>
          <w:sz w:val="24"/>
          <w:szCs w:val="24"/>
        </w:rPr>
        <w:t>Abstract</w:t>
      </w:r>
      <w:r w:rsidR="0029109D" w:rsidRPr="00EF0394">
        <w:rPr>
          <w:rFonts w:ascii="Arial" w:hAnsi="Arial" w:cs="Arial"/>
          <w:b/>
          <w:bCs/>
          <w:color w:val="000000" w:themeColor="text1"/>
          <w:sz w:val="24"/>
          <w:szCs w:val="24"/>
        </w:rPr>
        <w:t xml:space="preserve"> </w:t>
      </w:r>
    </w:p>
    <w:p w14:paraId="7A612D98" w14:textId="767A05C9" w:rsidR="00FA1208" w:rsidRPr="00EF0394" w:rsidRDefault="00FA1208" w:rsidP="00C3267E">
      <w:pPr>
        <w:spacing w:line="360" w:lineRule="auto"/>
        <w:jc w:val="both"/>
        <w:rPr>
          <w:rFonts w:ascii="Arial" w:eastAsia="Times New Roman" w:hAnsi="Arial" w:cs="Arial"/>
          <w:shd w:val="clear" w:color="auto" w:fill="FFFFFF"/>
        </w:rPr>
      </w:pPr>
      <w:r w:rsidRPr="00EF0394">
        <w:rPr>
          <w:rFonts w:ascii="Arial" w:hAnsi="Arial" w:cs="Arial"/>
        </w:rPr>
        <w:t>Despite advancement</w:t>
      </w:r>
      <w:r w:rsidR="00A06CDD" w:rsidRPr="00EF0394">
        <w:rPr>
          <w:rFonts w:ascii="Arial" w:hAnsi="Arial" w:cs="Arial"/>
        </w:rPr>
        <w:t>s</w:t>
      </w:r>
      <w:r w:rsidRPr="00EF0394">
        <w:rPr>
          <w:rFonts w:ascii="Arial" w:hAnsi="Arial" w:cs="Arial"/>
        </w:rPr>
        <w:t xml:space="preserve"> in the treatment of advanced prostate cancer, including metastatic castration-resistant prostate cancer (mCRPC), the disease remains lethal, often developing resistance to conventional therapies like androgen deprivation therapy (ADT) and chemotherapy. Data on TP53 mutations and their specific impact, particularly GOF mutations, on prostate cancer metabolism are limited, highlighting the need for deeper understanding to unlock new therapeutic avenues.</w:t>
      </w:r>
      <w:r w:rsidR="007D3BDB" w:rsidRPr="00EF0394">
        <w:rPr>
          <w:rFonts w:ascii="Arial" w:hAnsi="Arial" w:cs="Arial"/>
        </w:rPr>
        <w:t xml:space="preserve"> The present study aimed to </w:t>
      </w:r>
      <w:r w:rsidR="00432DDA" w:rsidRPr="00EF0394">
        <w:rPr>
          <w:rFonts w:ascii="Arial" w:hAnsi="Arial" w:cs="Arial"/>
        </w:rPr>
        <w:t xml:space="preserve">determine the </w:t>
      </w:r>
      <w:r w:rsidR="00F67B0A" w:rsidRPr="00EF0394">
        <w:rPr>
          <w:rFonts w:ascii="Arial" w:hAnsi="Arial" w:cs="Arial"/>
        </w:rPr>
        <w:t xml:space="preserve">impact of </w:t>
      </w:r>
      <w:r w:rsidR="007D3BDB" w:rsidRPr="00EF0394">
        <w:rPr>
          <w:rFonts w:ascii="Arial" w:hAnsi="Arial" w:cs="Arial"/>
        </w:rPr>
        <w:t>TP53 mutations on metabolic alterations in prostate cancer progression.</w:t>
      </w:r>
      <w:r w:rsidRPr="00EF0394">
        <w:rPr>
          <w:rFonts w:ascii="Arial" w:hAnsi="Arial" w:cs="Arial"/>
        </w:rPr>
        <w:t xml:space="preserve"> By understanding the interplay between TP53 mutations and metabolic alterations, the potential therapeutic targets for aggressive, therapy-resistant prostate cancer could be identified. Using </w:t>
      </w:r>
      <w:r w:rsidRPr="00EF0394">
        <w:rPr>
          <w:rFonts w:ascii="Arial" w:eastAsia="Times New Roman" w:hAnsi="Arial" w:cs="Arial"/>
          <w:sz w:val="24"/>
          <w:szCs w:val="24"/>
          <w:shd w:val="clear" w:color="auto" w:fill="FFFFFF"/>
        </w:rPr>
        <w:t>metabolomics analysis, approximately 300 metabolites were significantly altered</w:t>
      </w:r>
      <w:r w:rsidRPr="00EF0394">
        <w:rPr>
          <w:rFonts w:ascii="Arial" w:eastAsia="Times New Roman" w:hAnsi="Arial" w:cs="Arial"/>
          <w:shd w:val="clear" w:color="auto" w:fill="FFFFFF"/>
        </w:rPr>
        <w:t xml:space="preserve"> in PC3-GFP (KO), PC3-TP53WT (WT), and PC3-TP53 mutants (R175H &amp; R273H). </w:t>
      </w:r>
      <w:r w:rsidR="004E7A2D" w:rsidRPr="00EF0394">
        <w:rPr>
          <w:rFonts w:ascii="Arial" w:eastAsia="Times New Roman" w:hAnsi="Arial" w:cs="Arial"/>
          <w:shd w:val="clear" w:color="auto" w:fill="FFFFFF"/>
        </w:rPr>
        <w:t>In the TP53-R175H mutant, numerous essential metabolites were dysregulated (downregulated: glutamine, GAP/DHAP, and α-ketoglutarate; Upregulated: deoxyuridine, spermidine, and pseudouridine) when compared with the control (KO) thereby causing metabolic shifts that favor cancer cell survival. Conversely, metabolites such as GlaNAC/GlcNAC, adenosine, acetoacetic acid, acetylcholine, octopamine, itaconic acid, lactic acid, and NADP+ are all downregulated in the R273H mutant. While spermine, spermidine, N-acetyl-DL-serine, pseudouridine, deoxyguanosine, sucrose</w:t>
      </w:r>
      <w:r w:rsidR="00A06CDD" w:rsidRPr="00EF0394">
        <w:rPr>
          <w:rFonts w:ascii="Arial" w:eastAsia="Times New Roman" w:hAnsi="Arial" w:cs="Arial"/>
          <w:shd w:val="clear" w:color="auto" w:fill="FFFFFF"/>
        </w:rPr>
        <w:t>,</w:t>
      </w:r>
      <w:r w:rsidR="004E7A2D" w:rsidRPr="00EF0394">
        <w:rPr>
          <w:rFonts w:ascii="Arial" w:eastAsia="Times New Roman" w:hAnsi="Arial" w:cs="Arial"/>
          <w:shd w:val="clear" w:color="auto" w:fill="FFFFFF"/>
        </w:rPr>
        <w:t xml:space="preserve"> and AMP/dGMP are upregulated by the R273H mutant but downregulated in GFP (KO)</w:t>
      </w:r>
      <w:r w:rsidRPr="00EF0394">
        <w:rPr>
          <w:rFonts w:ascii="Arial" w:eastAsia="Times New Roman" w:hAnsi="Arial" w:cs="Arial"/>
          <w:sz w:val="24"/>
          <w:szCs w:val="24"/>
          <w:shd w:val="clear" w:color="auto" w:fill="FFFFFF"/>
        </w:rPr>
        <w:t>.</w:t>
      </w:r>
      <w:r w:rsidRPr="00EF0394">
        <w:rPr>
          <w:rFonts w:ascii="Arial" w:eastAsia="Times New Roman" w:hAnsi="Arial" w:cs="Arial"/>
          <w:shd w:val="clear" w:color="auto" w:fill="FFFFFF"/>
        </w:rPr>
        <w:t xml:space="preserve"> </w:t>
      </w:r>
      <w:r w:rsidR="00C3267E" w:rsidRPr="00EF0394">
        <w:rPr>
          <w:rFonts w:ascii="Arial" w:eastAsia="Times New Roman" w:hAnsi="Arial" w:cs="Arial"/>
          <w:shd w:val="clear" w:color="auto" w:fill="FFFFFF"/>
        </w:rPr>
        <w:t xml:space="preserve">These findings showed that TP53 GOF mutations (R175H &amp; R273H) cause metabolic alterations in numerous metabolites essential for tumor survival and progression. Furthermore, it may provide therapeutic benefits </w:t>
      </w:r>
      <w:r w:rsidR="008329BE" w:rsidRPr="00EF0394">
        <w:rPr>
          <w:rFonts w:ascii="Arial" w:eastAsia="Times New Roman" w:hAnsi="Arial" w:cs="Arial"/>
          <w:shd w:val="clear" w:color="auto" w:fill="FFFFFF"/>
        </w:rPr>
        <w:t>by</w:t>
      </w:r>
      <w:r w:rsidR="00C3267E" w:rsidRPr="00EF0394">
        <w:rPr>
          <w:rFonts w:ascii="Arial" w:eastAsia="Times New Roman" w:hAnsi="Arial" w:cs="Arial"/>
          <w:shd w:val="clear" w:color="auto" w:fill="FFFFFF"/>
        </w:rPr>
        <w:t xml:space="preserve"> identify</w:t>
      </w:r>
      <w:r w:rsidR="008329BE" w:rsidRPr="00EF0394">
        <w:rPr>
          <w:rFonts w:ascii="Arial" w:eastAsia="Times New Roman" w:hAnsi="Arial" w:cs="Arial"/>
          <w:shd w:val="clear" w:color="auto" w:fill="FFFFFF"/>
        </w:rPr>
        <w:t>ing</w:t>
      </w:r>
      <w:r w:rsidR="00C3267E" w:rsidRPr="00EF0394">
        <w:rPr>
          <w:rFonts w:ascii="Arial" w:eastAsia="Times New Roman" w:hAnsi="Arial" w:cs="Arial"/>
          <w:shd w:val="clear" w:color="auto" w:fill="FFFFFF"/>
        </w:rPr>
        <w:t xml:space="preserve"> appropriate biomarkers that could be used as diagnostic and</w:t>
      </w:r>
      <w:r w:rsidR="008329BE" w:rsidRPr="00EF0394">
        <w:rPr>
          <w:rFonts w:ascii="Arial" w:eastAsia="Times New Roman" w:hAnsi="Arial" w:cs="Arial"/>
          <w:shd w:val="clear" w:color="auto" w:fill="FFFFFF"/>
        </w:rPr>
        <w:t>/</w:t>
      </w:r>
      <w:r w:rsidR="00C3267E" w:rsidRPr="00EF0394">
        <w:rPr>
          <w:rFonts w:ascii="Arial" w:eastAsia="Times New Roman" w:hAnsi="Arial" w:cs="Arial"/>
          <w:shd w:val="clear" w:color="auto" w:fill="FFFFFF"/>
        </w:rPr>
        <w:t xml:space="preserve">or prognostic tools for prostate cancer. </w:t>
      </w:r>
    </w:p>
    <w:p w14:paraId="24AFD8EE" w14:textId="7571A1E3" w:rsidR="005C0C90" w:rsidRPr="00EF0394" w:rsidRDefault="005C0C90" w:rsidP="0042146C">
      <w:pPr>
        <w:spacing w:after="0" w:line="360" w:lineRule="auto"/>
        <w:contextualSpacing/>
        <w:jc w:val="both"/>
        <w:rPr>
          <w:rFonts w:ascii="Arial" w:hAnsi="Arial" w:cs="Arial"/>
          <w:b/>
          <w:bCs/>
          <w:color w:val="000000" w:themeColor="text1"/>
          <w:sz w:val="24"/>
          <w:szCs w:val="24"/>
        </w:rPr>
      </w:pPr>
      <w:r w:rsidRPr="00EF0394">
        <w:rPr>
          <w:rFonts w:ascii="Arial" w:hAnsi="Arial" w:cs="Arial"/>
          <w:b/>
          <w:bCs/>
          <w:color w:val="000000" w:themeColor="text1"/>
          <w:sz w:val="24"/>
          <w:szCs w:val="24"/>
        </w:rPr>
        <w:t>Keywords</w:t>
      </w:r>
      <w:r w:rsidR="0029109D" w:rsidRPr="00EF0394">
        <w:rPr>
          <w:rFonts w:ascii="Arial" w:hAnsi="Arial" w:cs="Arial"/>
          <w:b/>
          <w:bCs/>
          <w:color w:val="000000" w:themeColor="text1"/>
          <w:sz w:val="24"/>
          <w:szCs w:val="24"/>
        </w:rPr>
        <w:t xml:space="preserve"> </w:t>
      </w:r>
      <w:r w:rsidR="00FA1208" w:rsidRPr="00EF0394">
        <w:rPr>
          <w:rFonts w:ascii="Arial" w:hAnsi="Arial" w:cs="Arial"/>
          <w:b/>
          <w:bCs/>
          <w:color w:val="000000" w:themeColor="text1"/>
          <w:sz w:val="24"/>
          <w:szCs w:val="24"/>
        </w:rPr>
        <w:t xml:space="preserve"> </w:t>
      </w:r>
    </w:p>
    <w:p w14:paraId="5F7D7548" w14:textId="52ABFBD4" w:rsidR="00FA1208" w:rsidRPr="00182FFE" w:rsidRDefault="007D3BDB" w:rsidP="0042146C">
      <w:pPr>
        <w:spacing w:after="0" w:line="360" w:lineRule="auto"/>
        <w:contextualSpacing/>
        <w:jc w:val="both"/>
        <w:rPr>
          <w:rFonts w:ascii="Arial" w:hAnsi="Arial" w:cs="Arial"/>
          <w:color w:val="000000" w:themeColor="text1"/>
          <w:sz w:val="20"/>
          <w:szCs w:val="20"/>
        </w:rPr>
      </w:pPr>
      <w:r w:rsidRPr="00182FFE">
        <w:rPr>
          <w:rFonts w:ascii="Arial" w:hAnsi="Arial" w:cs="Arial"/>
          <w:color w:val="000000" w:themeColor="text1"/>
          <w:sz w:val="20"/>
          <w:szCs w:val="20"/>
        </w:rPr>
        <w:t xml:space="preserve">Prostate cancer, </w:t>
      </w:r>
      <w:r w:rsidR="00FA1208" w:rsidRPr="00182FFE">
        <w:rPr>
          <w:rFonts w:ascii="Arial" w:hAnsi="Arial" w:cs="Arial"/>
          <w:color w:val="000000" w:themeColor="text1"/>
          <w:sz w:val="20"/>
          <w:szCs w:val="20"/>
        </w:rPr>
        <w:t>PC-3, TP53W</w:t>
      </w:r>
      <w:r w:rsidR="00385E15" w:rsidRPr="00182FFE">
        <w:rPr>
          <w:rFonts w:ascii="Arial" w:hAnsi="Arial" w:cs="Arial"/>
          <w:color w:val="000000" w:themeColor="text1"/>
          <w:sz w:val="20"/>
          <w:szCs w:val="20"/>
        </w:rPr>
        <w:t>ild-</w:t>
      </w:r>
      <w:r w:rsidR="00FA1208" w:rsidRPr="00182FFE">
        <w:rPr>
          <w:rFonts w:ascii="Arial" w:hAnsi="Arial" w:cs="Arial"/>
          <w:color w:val="000000" w:themeColor="text1"/>
          <w:sz w:val="20"/>
          <w:szCs w:val="20"/>
        </w:rPr>
        <w:t>T</w:t>
      </w:r>
      <w:r w:rsidR="00385E15" w:rsidRPr="00182FFE">
        <w:rPr>
          <w:rFonts w:ascii="Arial" w:hAnsi="Arial" w:cs="Arial"/>
          <w:color w:val="000000" w:themeColor="text1"/>
          <w:sz w:val="20"/>
          <w:szCs w:val="20"/>
        </w:rPr>
        <w:t>ype</w:t>
      </w:r>
      <w:r w:rsidR="00FA1208" w:rsidRPr="00182FFE">
        <w:rPr>
          <w:rFonts w:ascii="Arial" w:hAnsi="Arial" w:cs="Arial"/>
          <w:color w:val="000000" w:themeColor="text1"/>
          <w:sz w:val="20"/>
          <w:szCs w:val="20"/>
        </w:rPr>
        <w:t>, TP53</w:t>
      </w:r>
      <w:r w:rsidR="00385E15" w:rsidRPr="00182FFE">
        <w:rPr>
          <w:rFonts w:ascii="Arial" w:hAnsi="Arial" w:cs="Arial"/>
          <w:color w:val="000000" w:themeColor="text1"/>
          <w:sz w:val="20"/>
          <w:szCs w:val="20"/>
        </w:rPr>
        <w:t>-</w:t>
      </w:r>
      <w:r w:rsidR="00FA1208" w:rsidRPr="00182FFE">
        <w:rPr>
          <w:rFonts w:ascii="Arial" w:hAnsi="Arial" w:cs="Arial"/>
          <w:color w:val="000000" w:themeColor="text1"/>
          <w:sz w:val="20"/>
          <w:szCs w:val="20"/>
        </w:rPr>
        <w:t>R175H, TP53</w:t>
      </w:r>
      <w:r w:rsidR="00385E15" w:rsidRPr="00182FFE">
        <w:rPr>
          <w:rFonts w:ascii="Arial" w:hAnsi="Arial" w:cs="Arial"/>
          <w:color w:val="000000" w:themeColor="text1"/>
          <w:sz w:val="20"/>
          <w:szCs w:val="20"/>
        </w:rPr>
        <w:t>-</w:t>
      </w:r>
      <w:r w:rsidR="00FA1208" w:rsidRPr="00182FFE">
        <w:rPr>
          <w:rFonts w:ascii="Arial" w:hAnsi="Arial" w:cs="Arial"/>
          <w:color w:val="000000" w:themeColor="text1"/>
          <w:sz w:val="20"/>
          <w:szCs w:val="20"/>
        </w:rPr>
        <w:t>R273H, Metabolomics, Metabolic alteration</w:t>
      </w:r>
      <w:r w:rsidR="00736707" w:rsidRPr="00182FFE">
        <w:rPr>
          <w:rFonts w:ascii="Arial" w:hAnsi="Arial" w:cs="Arial"/>
          <w:color w:val="000000" w:themeColor="text1"/>
          <w:sz w:val="20"/>
          <w:szCs w:val="20"/>
        </w:rPr>
        <w:t>s</w:t>
      </w:r>
      <w:r w:rsidR="00FA1208" w:rsidRPr="00182FFE">
        <w:rPr>
          <w:rFonts w:ascii="Arial" w:hAnsi="Arial" w:cs="Arial"/>
          <w:color w:val="000000" w:themeColor="text1"/>
          <w:sz w:val="20"/>
          <w:szCs w:val="20"/>
        </w:rPr>
        <w:t>.</w:t>
      </w:r>
    </w:p>
    <w:p w14:paraId="0921FA48" w14:textId="235C7455" w:rsidR="005C0C90" w:rsidRDefault="005C0C90" w:rsidP="0042146C">
      <w:pPr>
        <w:spacing w:after="0" w:line="360" w:lineRule="auto"/>
        <w:rPr>
          <w:rFonts w:ascii="Arial" w:eastAsia="Times New Roman" w:hAnsi="Arial" w:cs="Arial"/>
          <w:color w:val="212121"/>
          <w:kern w:val="0"/>
          <w:sz w:val="24"/>
          <w:szCs w:val="24"/>
          <w:lang w:eastAsia="en-GB"/>
          <w14:ligatures w14:val="none"/>
        </w:rPr>
      </w:pPr>
    </w:p>
    <w:p w14:paraId="03E6FF4D" w14:textId="77777777" w:rsidR="00127F1F" w:rsidRDefault="00127F1F" w:rsidP="0042146C">
      <w:pPr>
        <w:spacing w:after="0" w:line="360" w:lineRule="auto"/>
        <w:rPr>
          <w:rFonts w:ascii="Arial" w:eastAsia="Times New Roman" w:hAnsi="Arial" w:cs="Arial"/>
          <w:color w:val="212121"/>
          <w:kern w:val="0"/>
          <w:sz w:val="24"/>
          <w:szCs w:val="24"/>
          <w:lang w:eastAsia="en-GB"/>
          <w14:ligatures w14:val="none"/>
        </w:rPr>
      </w:pPr>
    </w:p>
    <w:p w14:paraId="66C6B704" w14:textId="77777777" w:rsidR="00127F1F" w:rsidRPr="00EF0394" w:rsidRDefault="00127F1F" w:rsidP="0042146C">
      <w:pPr>
        <w:spacing w:after="0" w:line="360" w:lineRule="auto"/>
        <w:rPr>
          <w:rFonts w:ascii="Arial" w:eastAsia="Times New Roman" w:hAnsi="Arial" w:cs="Arial"/>
          <w:color w:val="212121"/>
          <w:kern w:val="0"/>
          <w:sz w:val="24"/>
          <w:szCs w:val="24"/>
          <w:lang w:eastAsia="en-GB"/>
          <w14:ligatures w14:val="none"/>
        </w:rPr>
      </w:pPr>
    </w:p>
    <w:p w14:paraId="778B4B22" w14:textId="6F281763" w:rsidR="005C0C90" w:rsidRPr="00EF0394" w:rsidRDefault="005B5DE3" w:rsidP="0042146C">
      <w:pPr>
        <w:spacing w:after="0" w:line="360" w:lineRule="auto"/>
        <w:rPr>
          <w:rFonts w:ascii="Arial" w:eastAsia="Times New Roman" w:hAnsi="Arial" w:cs="Arial"/>
          <w:b/>
          <w:bCs/>
          <w:color w:val="212121"/>
          <w:kern w:val="0"/>
          <w:sz w:val="24"/>
          <w:szCs w:val="24"/>
          <w:lang w:eastAsia="en-GB"/>
          <w14:ligatures w14:val="none"/>
        </w:rPr>
      </w:pPr>
      <w:r w:rsidRPr="00EF0394">
        <w:rPr>
          <w:rFonts w:ascii="Arial" w:eastAsia="Times New Roman" w:hAnsi="Arial" w:cs="Arial"/>
          <w:b/>
          <w:bCs/>
          <w:color w:val="212121"/>
          <w:kern w:val="0"/>
          <w:sz w:val="24"/>
          <w:szCs w:val="24"/>
          <w:lang w:eastAsia="en-GB"/>
          <w14:ligatures w14:val="none"/>
        </w:rPr>
        <w:lastRenderedPageBreak/>
        <w:t xml:space="preserve">1.0 </w:t>
      </w:r>
      <w:r w:rsidR="005C0C90" w:rsidRPr="00EF0394">
        <w:rPr>
          <w:rFonts w:ascii="Arial" w:eastAsia="Times New Roman" w:hAnsi="Arial" w:cs="Arial"/>
          <w:b/>
          <w:bCs/>
          <w:color w:val="212121"/>
          <w:kern w:val="0"/>
          <w:sz w:val="24"/>
          <w:szCs w:val="24"/>
          <w:lang w:eastAsia="en-GB"/>
          <w14:ligatures w14:val="none"/>
        </w:rPr>
        <w:t>Introduction</w:t>
      </w:r>
      <w:r w:rsidR="0029109D" w:rsidRPr="00EF0394">
        <w:rPr>
          <w:rFonts w:ascii="Arial" w:eastAsia="Times New Roman" w:hAnsi="Arial" w:cs="Arial"/>
          <w:b/>
          <w:bCs/>
          <w:color w:val="212121"/>
          <w:kern w:val="0"/>
          <w:sz w:val="24"/>
          <w:szCs w:val="24"/>
          <w:lang w:eastAsia="en-GB"/>
          <w14:ligatures w14:val="none"/>
        </w:rPr>
        <w:t xml:space="preserve"> </w:t>
      </w:r>
    </w:p>
    <w:p w14:paraId="34221945" w14:textId="18FB6DB2" w:rsidR="0042146C" w:rsidRPr="00EF0394" w:rsidRDefault="0042146C" w:rsidP="00182FFE">
      <w:pPr>
        <w:spacing w:after="0" w:line="360" w:lineRule="auto"/>
        <w:jc w:val="both"/>
        <w:rPr>
          <w:rFonts w:ascii="Arial" w:hAnsi="Arial" w:cs="Arial"/>
          <w:sz w:val="24"/>
          <w:szCs w:val="24"/>
        </w:rPr>
      </w:pPr>
      <w:r w:rsidRPr="00EF0394">
        <w:rPr>
          <w:rFonts w:ascii="Arial" w:hAnsi="Arial" w:cs="Arial"/>
          <w:sz w:val="24"/>
          <w:szCs w:val="24"/>
        </w:rPr>
        <w:t>Prostate cancer (PC) is one of the most common malignancies affecting men worldwide, and androgen hormone deprivation therapy (ADT) serves as an effective first-line treatment, inducing favorable responses in advanced PC patients</w:t>
      </w:r>
      <w:r w:rsidR="00993F3F" w:rsidRPr="00EF0394">
        <w:rPr>
          <w:rFonts w:ascii="Arial" w:hAnsi="Arial" w:cs="Arial"/>
          <w:sz w:val="24"/>
          <w:szCs w:val="24"/>
        </w:rPr>
        <w:t xml:space="preserve">  </w:t>
      </w:r>
      <w:r w:rsidRPr="00EF0394">
        <w:rPr>
          <w:rFonts w:ascii="Arial" w:hAnsi="Arial" w:cs="Arial"/>
          <w:sz w:val="24"/>
          <w:szCs w:val="24"/>
        </w:rPr>
        <w:fldChar w:fldCharType="begin">
          <w:fldData xml:space="preserve">PEVuZE5vdGU+PENpdGU+PEF1dGhvcj5BaG1hZGk8L0F1dGhvcj48WWVhcj4yMDE0PC9ZZWFyPjxS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</w:fldData>
        </w:fldChar>
      </w:r>
      <w:r w:rsidRPr="00EF0394">
        <w:rPr>
          <w:rFonts w:ascii="Arial" w:hAnsi="Arial" w:cs="Arial"/>
          <w:sz w:val="24"/>
          <w:szCs w:val="24"/>
        </w:rPr>
        <w:instrText xml:space="preserve"> ADDIN EN.CITE </w:instrText>
      </w:r>
      <w:r w:rsidRPr="00EF0394">
        <w:rPr>
          <w:rFonts w:ascii="Arial" w:hAnsi="Arial" w:cs="Arial"/>
          <w:sz w:val="24"/>
          <w:szCs w:val="24"/>
        </w:rPr>
        <w:fldChar w:fldCharType="begin">
          <w:fldData xml:space="preserve">PEVuZE5vdGU+PENpdGU+PEF1dGhvcj5BaG1hZGk8L0F1dGhvcj48WWVhcj4yMDE0PC9ZZWFyPjxS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</w:fldData>
        </w:fldChar>
      </w:r>
      <w:r w:rsidRPr="00EF0394">
        <w:rPr>
          <w:rFonts w:ascii="Arial" w:hAnsi="Arial" w:cs="Arial"/>
          <w:sz w:val="24"/>
          <w:szCs w:val="24"/>
        </w:rPr>
        <w:instrText xml:space="preserve"> ADDIN EN.CITE.DATA </w:instrText>
      </w:r>
      <w:r w:rsidRPr="00EF0394">
        <w:rPr>
          <w:rFonts w:ascii="Arial" w:hAnsi="Arial" w:cs="Arial"/>
          <w:sz w:val="24"/>
          <w:szCs w:val="24"/>
        </w:rPr>
      </w:r>
      <w:r w:rsidRPr="00EF0394">
        <w:rPr>
          <w:rFonts w:ascii="Arial" w:hAnsi="Arial" w:cs="Arial"/>
          <w:sz w:val="24"/>
          <w:szCs w:val="24"/>
        </w:rPr>
        <w:fldChar w:fldCharType="end"/>
      </w:r>
      <w:r w:rsidRPr="00EF0394">
        <w:rPr>
          <w:rFonts w:ascii="Arial" w:hAnsi="Arial" w:cs="Arial"/>
          <w:sz w:val="24"/>
          <w:szCs w:val="24"/>
        </w:rPr>
      </w:r>
      <w:r w:rsidRPr="00EF0394">
        <w:rPr>
          <w:rFonts w:ascii="Arial" w:hAnsi="Arial" w:cs="Arial"/>
          <w:sz w:val="24"/>
          <w:szCs w:val="24"/>
        </w:rPr>
        <w:fldChar w:fldCharType="separate"/>
      </w:r>
      <w:r w:rsidR="00993F3F" w:rsidRPr="00EF0394">
        <w:rPr>
          <w:rFonts w:ascii="Arial" w:hAnsi="Arial" w:cs="Arial"/>
          <w:noProof/>
          <w:sz w:val="24"/>
          <w:szCs w:val="24"/>
        </w:rPr>
        <w:t>(Ahmadi, 2014; Siegel, 2020)</w:t>
      </w:r>
      <w:r w:rsidRPr="00EF0394">
        <w:rPr>
          <w:rFonts w:ascii="Arial" w:hAnsi="Arial" w:cs="Arial"/>
          <w:sz w:val="24"/>
          <w:szCs w:val="24"/>
        </w:rPr>
        <w:fldChar w:fldCharType="end"/>
      </w:r>
      <w:r w:rsidRPr="00EF0394">
        <w:rPr>
          <w:rFonts w:ascii="Arial" w:hAnsi="Arial" w:cs="Arial"/>
          <w:sz w:val="24"/>
          <w:szCs w:val="24"/>
        </w:rPr>
        <w:t xml:space="preserve">. However, a substantial proportion of these individuals eventually progress to a more aggressive stage known as Castration-Resistant Prostate Cancer (CRPC). CRPC, characterized by a loss of responsiveness to ADT, poses significant clinical challenges and compromises patient clinical/survival outcomes </w:t>
      </w:r>
      <w:r w:rsidR="00993F3F" w:rsidRPr="00EF0394">
        <w:rPr>
          <w:rFonts w:ascii="Arial" w:hAnsi="Arial" w:cs="Arial"/>
          <w:sz w:val="24"/>
          <w:szCs w:val="24"/>
        </w:rPr>
        <w:fldChar w:fldCharType="begin"/>
      </w:r>
      <w:r w:rsidR="00993F3F" w:rsidRPr="00EF0394">
        <w:rPr>
          <w:rFonts w:ascii="Arial" w:hAnsi="Arial" w:cs="Arial"/>
          <w:sz w:val="24"/>
          <w:szCs w:val="24"/>
        </w:rPr>
        <w:instrText xml:space="preserve"> ADDIN ZOTERO_ITEM CSL_CITATION {"citationID":"WnOjqXKW","properties":{"formattedCitation":"(Dong L, 2019; Teo MY, 2019)","plainCitation":"(Dong L, 2019; Teo MY, 2019)","noteIndex":0},"citationItems":[{"id":29,"uris":["http://zotero.org/users/local/5QJK0Flt/items/C67URJX4"],"itemData":{"id":29,"type":"article-journal","container-title":"Asian J Urol.","issue":"1","page":"26-41","title":"Metastatic prostate cancer remains incurable, why?","volume":"6","author":[{"family":"Dong L","given":"Zieren RC","suffix":"Xue W, de Reijke TM, Pienta KJ"}],"issued":{"date-parts":[["2019"]]}}},{"id":30,"uris":["http://zotero.org/users/local/5QJK0Flt/items/LGR8VPDZ"],"itemData":{"id":30,"type":"article-journal","container-title":"Annu Rev Med.","page":"479-99","title":"Treatment of Advanced Prostate Cancer","volume":"70","author":[{"family":"Teo MY","given":"Rathkopf DE","suffix":"Kantoff P."}],"issued":{"date-parts":[["2019"]]}}}],"schema":"https://github.com/citation-style-language/schema/raw/master/csl-citation.json"} </w:instrText>
      </w:r>
      <w:r w:rsidR="00993F3F" w:rsidRPr="00EF0394">
        <w:rPr>
          <w:rFonts w:ascii="Arial" w:hAnsi="Arial" w:cs="Arial"/>
          <w:sz w:val="24"/>
          <w:szCs w:val="24"/>
        </w:rPr>
        <w:fldChar w:fldCharType="separate"/>
      </w:r>
      <w:r w:rsidR="00993F3F" w:rsidRPr="00EF0394">
        <w:rPr>
          <w:rFonts w:ascii="Arial" w:hAnsi="Arial" w:cs="Arial"/>
          <w:noProof/>
          <w:sz w:val="24"/>
          <w:szCs w:val="24"/>
        </w:rPr>
        <w:t>(Dong, 2019; Teo, 2019)</w:t>
      </w:r>
      <w:r w:rsidR="00993F3F" w:rsidRPr="00EF0394">
        <w:rPr>
          <w:rFonts w:ascii="Arial" w:hAnsi="Arial" w:cs="Arial"/>
          <w:sz w:val="24"/>
          <w:szCs w:val="24"/>
        </w:rPr>
        <w:fldChar w:fldCharType="end"/>
      </w:r>
      <w:r w:rsidR="00993F3F" w:rsidRPr="00EF0394">
        <w:rPr>
          <w:rFonts w:ascii="Arial" w:hAnsi="Arial" w:cs="Arial"/>
          <w:sz w:val="24"/>
          <w:szCs w:val="24"/>
        </w:rPr>
        <w:t>.</w:t>
      </w:r>
      <w:r w:rsidR="0094218D" w:rsidRPr="00EF0394">
        <w:rPr>
          <w:rFonts w:ascii="Arial" w:hAnsi="Arial" w:cs="Arial"/>
          <w:sz w:val="24"/>
          <w:szCs w:val="24"/>
        </w:rPr>
        <w:t xml:space="preserve"> </w:t>
      </w:r>
      <w:r w:rsidRPr="00EF0394">
        <w:rPr>
          <w:rFonts w:ascii="Arial" w:hAnsi="Arial" w:cs="Arial"/>
          <w:sz w:val="24"/>
          <w:szCs w:val="24"/>
        </w:rPr>
        <w:t>Advance</w:t>
      </w:r>
      <w:r w:rsidR="00212E2B" w:rsidRPr="00EF0394">
        <w:rPr>
          <w:rFonts w:ascii="Arial" w:hAnsi="Arial" w:cs="Arial"/>
          <w:sz w:val="24"/>
          <w:szCs w:val="24"/>
        </w:rPr>
        <w:t>d l</w:t>
      </w:r>
      <w:r w:rsidRPr="00EF0394">
        <w:rPr>
          <w:rFonts w:ascii="Arial" w:hAnsi="Arial" w:cs="Arial"/>
          <w:sz w:val="24"/>
          <w:szCs w:val="24"/>
        </w:rPr>
        <w:t>ethal PCs often manifest loss or mutation in the tumor suppressor protein 53 (TP53)</w:t>
      </w:r>
      <w:r w:rsidR="00E43876" w:rsidRPr="00EF0394">
        <w:rPr>
          <w:rFonts w:ascii="Arial" w:hAnsi="Arial" w:cs="Arial"/>
          <w:sz w:val="24"/>
          <w:szCs w:val="24"/>
        </w:rPr>
        <w:t xml:space="preserve">. </w:t>
      </w:r>
      <w:r w:rsidRPr="00EF0394">
        <w:rPr>
          <w:rFonts w:ascii="Arial" w:hAnsi="Arial" w:cs="Arial"/>
          <w:sz w:val="24"/>
          <w:szCs w:val="24"/>
        </w:rPr>
        <w:t xml:space="preserve">This aberration plays a pivotal role in the progression of prostate cancer, contributing to heightened resistance to therapeutic modalities and adaptive metabolic alterations </w:t>
      </w:r>
      <w:r w:rsidR="00993F3F" w:rsidRPr="00EF0394">
        <w:rPr>
          <w:rFonts w:ascii="Arial" w:hAnsi="Arial" w:cs="Arial"/>
          <w:sz w:val="24"/>
          <w:szCs w:val="24"/>
        </w:rPr>
        <w:fldChar w:fldCharType="begin"/>
      </w:r>
      <w:r w:rsidR="00993F3F" w:rsidRPr="00EF0394">
        <w:rPr>
          <w:rFonts w:ascii="Arial" w:hAnsi="Arial" w:cs="Arial"/>
          <w:sz w:val="24"/>
          <w:szCs w:val="24"/>
        </w:rPr>
        <w:instrText xml:space="preserve"> ADDIN ZOTERO_ITEM CSL_CITATION {"citationID":"7GQ0LWQC","properties":{"formattedCitation":"(De Laere et al., 2019; Teroerde et al., 2021)","plainCitation":"(De Laere et al., 2019; Teroerde et al., 2021)","noteIndex":0},"citationItems":[{"id":16,"uris":["http://zotero.org/users/local/5QJK0Flt/items/3375GY7N"],"itemData":{"id":16,"type":"article-journal","container-title":"Clinical Cancer Research","DOI":"10.1158/1078-0432.CCR-18-1943","ISSN":"1078-0432","issue":"6","page":"1766-1773","title":"&lt;i&gt;TP53&lt;/i&gt; Outperforms Other Androgen Receptor Biomarkers to Predict Abiraterone or Enzalutamide Outcome in Metastatic Castration-Resistant Prostate Cancer","volume":"25","author":[{"family":"De Laere","given":"Bram"},{"family":"Oeyen","given":"Steffi"},{"family":"Mayrhofer","given":"Markus"},{"family":"Whitington","given":"Tom"},{"family":"Dam","given":"Pieter-Jan","non-dropping-particle":"van"},{"family":"Van Oyen","given":"Peter"},{"family":"Ghysel","given":"Christophe"},{"family":"Ampe","given":"Jozef"},{"family":"Ost","given":"Piet"},{"family":"Demey","given":"Wim"},{"family":"Hoekx","given":"Lucien"},{"family":"Schrijvers","given":"Dirk"},{"family":"Brouwers","given":"Barbara"},{"family":"Lybaert","given":"Willem"},{"family":"Everaert","given":"Els G."},{"family":"De Maeseneer","given":"Daan"},{"family":"Strijbos","given":"Michiel"},{"family":"Bols","given":"Alain"},{"family":"Fransis","given":"Karen"},{"family":"Beije","given":"Nick"},{"family":"Kruijff","given":"Inge E.","non-dropping-particle":"de"},{"family":"Dam","given":"Valerie","non-dropping-particle":"van"},{"family":"Brouwer","given":"Anja"},{"family":"Goossens","given":"Dirk"},{"family":"Heyrman","given":"Lien"},{"family":"Van den Eynden","given":"Gert G."},{"family":"Rutten","given":"Annemie"},{"family":"Del Favero","given":"Jurgen"},{"family":"Rantalainen","given":"Mattias"},{"family":"Rajan","given":"Prabhakar"},{"family":"Sleijfer","given":"Stefan"},{"family":"Ullén","given":"Anders"},{"family":"Yachnin","given":"Jeffrey"},{"family":"Grönberg","given":"Henrik"},{"family":"Van Laere","given":"Steven J."},{"family":"Lindberg","given":"Johan"},{"family":"Dirix","given":"Luc Y."}],"issued":{"date-parts":[["2019",3,15]]}}},{"id":18,"uris":["http://zotero.org/users/local/5QJK0Flt/items/RTFNQT2K"],"itemData":{"id":18,"type":"chapter","container-title":"Prostate Cancer","note":"DOI: 10.36255/exonpublications.prostatecancer.p53.2021","page":"113-124","publisher":"Exon Publications","title":"Revisiting the Role of p53 in Prostate Cancer","author":[{"family":"Teroerde","given":"Miriam"},{"family":"Nientiedt","given":"Cathleen"},{"family":"Duensing","given":"Anette"},{"family":"Hohenfellner","given":"Markus"},{"family":"Stenzinger","given":"Albrecht"},{"family":"Duensing","given":"Stefan"}],"issued":{"date-parts":[["2021",5,28]]}}}],"schema":"https://github.com/citation-style-language/schema/raw/master/csl-citation.json"} </w:instrText>
      </w:r>
      <w:r w:rsidR="00993F3F" w:rsidRPr="00EF0394">
        <w:rPr>
          <w:rFonts w:ascii="Arial" w:hAnsi="Arial" w:cs="Arial"/>
          <w:sz w:val="24"/>
          <w:szCs w:val="24"/>
        </w:rPr>
        <w:fldChar w:fldCharType="separate"/>
      </w:r>
      <w:r w:rsidR="00993F3F" w:rsidRPr="00EF0394">
        <w:rPr>
          <w:rFonts w:ascii="Arial" w:hAnsi="Arial" w:cs="Arial"/>
          <w:noProof/>
          <w:sz w:val="24"/>
          <w:szCs w:val="24"/>
        </w:rPr>
        <w:t>(De Laere et al., 2019; Teroerde et al., 2021)</w:t>
      </w:r>
      <w:r w:rsidR="00993F3F" w:rsidRPr="00EF0394">
        <w:rPr>
          <w:rFonts w:ascii="Arial" w:hAnsi="Arial" w:cs="Arial"/>
          <w:sz w:val="24"/>
          <w:szCs w:val="24"/>
        </w:rPr>
        <w:fldChar w:fldCharType="end"/>
      </w:r>
      <w:r w:rsidR="0045288B" w:rsidRPr="00EF0394">
        <w:rPr>
          <w:rFonts w:ascii="Arial" w:hAnsi="Arial" w:cs="Arial"/>
          <w:sz w:val="24"/>
          <w:szCs w:val="24"/>
        </w:rPr>
        <w:t>.</w:t>
      </w:r>
      <w:r w:rsidRPr="00EF0394">
        <w:rPr>
          <w:rFonts w:ascii="Arial" w:hAnsi="Arial" w:cs="Arial"/>
          <w:sz w:val="24"/>
          <w:szCs w:val="24"/>
        </w:rPr>
        <w:t xml:space="preserve"> </w:t>
      </w:r>
      <w:r w:rsidRPr="00EF0394">
        <w:rPr>
          <w:rFonts w:ascii="Arial" w:eastAsia="Arial" w:hAnsi="Arial" w:cs="Arial"/>
          <w:sz w:val="24"/>
          <w:szCs w:val="24"/>
        </w:rPr>
        <w:t>The emerging data indicates that directing cancer therapy toward TP53 is an appealing</w:t>
      </w:r>
      <w:r w:rsidR="007D3BDB" w:rsidRPr="00EF0394">
        <w:rPr>
          <w:rFonts w:ascii="Arial" w:eastAsia="Arial" w:hAnsi="Arial" w:cs="Arial"/>
          <w:sz w:val="24"/>
          <w:szCs w:val="24"/>
        </w:rPr>
        <w:t xml:space="preserve"> and promising</w:t>
      </w:r>
      <w:r w:rsidRPr="00EF0394">
        <w:rPr>
          <w:rFonts w:ascii="Arial" w:eastAsia="Arial" w:hAnsi="Arial" w:cs="Arial"/>
          <w:sz w:val="24"/>
          <w:szCs w:val="24"/>
        </w:rPr>
        <w:t xml:space="preserve"> strategy. Tumors harboring TP53 mutations often display accelerated progression, unfavorable pr</w:t>
      </w:r>
      <w:r w:rsidR="00A84B05" w:rsidRPr="00EF0394">
        <w:rPr>
          <w:rFonts w:ascii="Arial" w:eastAsia="Arial" w:hAnsi="Arial" w:cs="Arial"/>
          <w:sz w:val="24"/>
          <w:szCs w:val="24"/>
        </w:rPr>
        <w:t>edictive</w:t>
      </w:r>
      <w:r w:rsidRPr="00EF0394">
        <w:rPr>
          <w:rFonts w:ascii="Arial" w:eastAsia="Arial" w:hAnsi="Arial" w:cs="Arial"/>
          <w:sz w:val="24"/>
          <w:szCs w:val="24"/>
        </w:rPr>
        <w:t xml:space="preserve"> outcomes, and resistance to therapeutic interventions </w:t>
      </w:r>
      <w:r w:rsidR="0045288B" w:rsidRPr="00EF0394">
        <w:rPr>
          <w:rFonts w:ascii="Arial" w:eastAsia="Arial" w:hAnsi="Arial" w:cs="Arial"/>
          <w:sz w:val="24"/>
          <w:szCs w:val="24"/>
        </w:rPr>
        <w:fldChar w:fldCharType="begin"/>
      </w:r>
      <w:r w:rsidR="007F0DC5" w:rsidRPr="00EF0394">
        <w:rPr>
          <w:rFonts w:ascii="Arial" w:eastAsia="Arial" w:hAnsi="Arial" w:cs="Arial"/>
          <w:sz w:val="24"/>
          <w:szCs w:val="24"/>
        </w:rPr>
        <w:instrText xml:space="preserve"> ADDIN ZOTERO_ITEM CSL_CITATION {"citationID":"urK5r0QJ","properties":{"formattedCitation":"(Olivier, 2010; Stiewe, 2018; X. Zhou et al., 2019)","plainCitation":"(Olivier, 2010; Stiewe, 2018; X. Zhou et al., 2019)","noteIndex":0},"citationItems":[{"id":33,"uris":["http://zotero.org/users/local/5QJK0Flt/items/LDAKME2X"],"itemData":{"id":33,"type":"article-journal","container-title":"Cold Spring Harb Perspect Biol.","page":"a001008.","title":"TP53 mutations in human cancers: origins, consequences, and clinical use.","volume":"2","author":[{"family":"Olivier","given":"M.","suffix":"Hollstein, M., &amp; Hainaut, P."}],"issued":{"date-parts":[["2010"]]}}},{"id":34,"uris":["http://zotero.org/users/local/5QJK0Flt/items/MSQMBZ9Q"],"itemData":{"id":34,"type":"article-journal","container-title":"Drug Resist Updates Rev Comment Antimicrob Anticancer Chemother.","page":"27-43","title":"How mutations shape p53 interactions with the genome to promote tumorigenesis and drug resistance.","volume":"38","author":[{"family":"Stiewe","given":"T.","suffix":"&amp; Haran, T. E."}],"issued":{"date-parts":[["2018"]]}}},{"id":35,"uris":["http://zotero.org/users/local/5QJK0Flt/items/PKKG6IFD"],"itemData":{"id":35,"type":"article-journal","container-title":"Journal of Molecular Cell Biology","DOI":"10.1093/jmcb/mjy072","ISSN":"1759-4685","issue":"4","page":"293-305","title":"Mutant p53 in cancer therapy—the barrier or the path","volume":"11","author":[{"family":"Zhou","given":"Xiang"},{"family":"Hao","given":"Qian"},{"family":"Lu","given":"Hua"}],"issued":{"date-parts":[["2019",4,1]]}}}],"schema":"https://github.com/citation-style-language/schema/raw/master/csl-citation.json"} </w:instrText>
      </w:r>
      <w:r w:rsidR="0045288B" w:rsidRPr="00EF0394">
        <w:rPr>
          <w:rFonts w:ascii="Arial" w:eastAsia="Arial" w:hAnsi="Arial" w:cs="Arial"/>
          <w:sz w:val="24"/>
          <w:szCs w:val="24"/>
        </w:rPr>
        <w:fldChar w:fldCharType="separate"/>
      </w:r>
      <w:r w:rsidR="007F0DC5" w:rsidRPr="00EF0394">
        <w:rPr>
          <w:rFonts w:ascii="Arial" w:eastAsia="Arial" w:hAnsi="Arial" w:cs="Arial"/>
          <w:noProof/>
          <w:sz w:val="24"/>
          <w:szCs w:val="24"/>
        </w:rPr>
        <w:t>(Olivier, 2010; Stiewe, 2018; Zhou et al., 2019)</w:t>
      </w:r>
      <w:r w:rsidR="0045288B" w:rsidRPr="00EF0394">
        <w:rPr>
          <w:rFonts w:ascii="Arial" w:eastAsia="Arial" w:hAnsi="Arial" w:cs="Arial"/>
          <w:sz w:val="24"/>
          <w:szCs w:val="24"/>
        </w:rPr>
        <w:fldChar w:fldCharType="end"/>
      </w:r>
      <w:r w:rsidRPr="00EF0394">
        <w:rPr>
          <w:rFonts w:ascii="Arial" w:eastAsia="Arial" w:hAnsi="Arial" w:cs="Arial"/>
          <w:sz w:val="24"/>
          <w:szCs w:val="24"/>
        </w:rPr>
        <w:t xml:space="preserve">. </w:t>
      </w:r>
      <w:r w:rsidRPr="00EF0394">
        <w:rPr>
          <w:rFonts w:ascii="Arial" w:eastAsia="Arial" w:hAnsi="Arial" w:cs="Arial"/>
          <w:color w:val="202122"/>
          <w:sz w:val="24"/>
          <w:szCs w:val="24"/>
        </w:rPr>
        <w:t>TP53 mutation has been identified as having pro-metastatic potential in addition to its role in tumorigenesis. However, the precise mechanisms underlying tumorigenesis and disease progression in prostate cancer induced by mutant TP53 remain elusive</w:t>
      </w:r>
      <w:r w:rsidR="0045288B" w:rsidRPr="00EF0394">
        <w:rPr>
          <w:rFonts w:ascii="Arial" w:eastAsia="Arial" w:hAnsi="Arial" w:cs="Arial"/>
          <w:color w:val="202122"/>
          <w:sz w:val="24"/>
          <w:szCs w:val="24"/>
        </w:rPr>
        <w:t xml:space="preserve"> </w:t>
      </w:r>
      <w:r w:rsidR="0045288B" w:rsidRPr="00EF0394">
        <w:rPr>
          <w:rFonts w:ascii="Arial" w:eastAsia="Arial" w:hAnsi="Arial" w:cs="Arial"/>
          <w:color w:val="202122"/>
          <w:sz w:val="24"/>
          <w:szCs w:val="24"/>
        </w:rPr>
        <w:fldChar w:fldCharType="begin"/>
      </w:r>
      <w:r w:rsidR="0045288B" w:rsidRPr="00EF0394">
        <w:rPr>
          <w:rFonts w:ascii="Arial" w:eastAsia="Arial" w:hAnsi="Arial" w:cs="Arial"/>
          <w:color w:val="202122"/>
          <w:sz w:val="24"/>
          <w:szCs w:val="24"/>
        </w:rPr>
        <w:instrText xml:space="preserve"> ADDIN ZOTERO_ITEM CSL_CITATION {"citationID":"hEOSD8HH","properties":{"formattedCitation":"(Mantovani et al., 2019)","plainCitation":"(Mantovani et al., 2019)","noteIndex":0},"citationItems":[{"id":19,"uris":["http://zotero.org/users/local/5QJK0Flt/items/AUQEMBKF"],"itemData":{"id":19,"type":"article-journal","abstract":"&lt;p&gt; Forty years of research have established that the p53 tumor suppressor provides a major barrier to neoplastic transformation and tumor progression by its unique ability to act as an extremely sensitive collector of stress inputs, and to coordinate a complex framework of diverse effector pathways and processes that protect cellular homeostasis and genome stability. Missense mutations in the &lt;italic&gt;TP53&lt;/italic&gt; gene are extremely widespread in human cancers and give rise to mutant p53 proteins that lose tumor suppressive activities, and some of which exert trans-dominant repression over the wild-type counterpart. Cancer cells acquire selective advantages by retaining mutant forms of the protein, which radically subvert the nature of the p53 pathway by promoting invasion, metastasis and chemoresistance. In this review, we consider available evidence suggesting that mutant p53 proteins can favor cancer cell survival and tumor progression by acting as homeostatic factors that sense and protect cancer cells from transformation-related stress stimuli, including DNA lesions, oxidative and proteotoxic stress, metabolic inbalance, interaction with the tumor microenvironment, and the immune system. These activities of mutant p53 may explain cancer cell addiction to this particular oncogene, and their study may disclose tumor vulnerabilities and synthetic lethalities that could be exploited for hitting tumors bearing missense &lt;italic&gt;TP53&lt;/italic&gt; mutations. &lt;/p&gt;","container-title":"Cell Death &amp; Differentiation","DOI":"10.1038/s41418-018-0246-9","ISSN":"1350-9047","issue":"2","page":"199-212","title":"Mutant p53 as a guardian of the cancer cell","volume":"26","author":[{"family":"Mantovani","given":"Fiamma"},{"family":"Collavin","given":"Licio"},{"family":"Del Sal","given":"Giannino"}],"issued":{"date-parts":[["2019",2,11]]}}}],"schema":"https://github.com/citation-style-language/schema/raw/master/csl-citation.json"} </w:instrText>
      </w:r>
      <w:r w:rsidR="0045288B" w:rsidRPr="00EF0394">
        <w:rPr>
          <w:rFonts w:ascii="Arial" w:eastAsia="Arial" w:hAnsi="Arial" w:cs="Arial"/>
          <w:color w:val="202122"/>
          <w:sz w:val="24"/>
          <w:szCs w:val="24"/>
        </w:rPr>
        <w:fldChar w:fldCharType="separate"/>
      </w:r>
      <w:r w:rsidR="0045288B" w:rsidRPr="00EF0394">
        <w:rPr>
          <w:rFonts w:ascii="Arial" w:eastAsia="Arial" w:hAnsi="Arial" w:cs="Arial"/>
          <w:noProof/>
          <w:color w:val="202122"/>
          <w:sz w:val="24"/>
          <w:szCs w:val="24"/>
        </w:rPr>
        <w:t>(Mantovani et al., 2019)</w:t>
      </w:r>
      <w:r w:rsidR="0045288B" w:rsidRPr="00EF0394">
        <w:rPr>
          <w:rFonts w:ascii="Arial" w:eastAsia="Arial" w:hAnsi="Arial" w:cs="Arial"/>
          <w:color w:val="202122"/>
          <w:sz w:val="24"/>
          <w:szCs w:val="24"/>
        </w:rPr>
        <w:fldChar w:fldCharType="end"/>
      </w:r>
      <w:r w:rsidRPr="00EF0394">
        <w:rPr>
          <w:rFonts w:ascii="Arial" w:eastAsia="Arial" w:hAnsi="Arial" w:cs="Arial"/>
          <w:color w:val="202122"/>
          <w:sz w:val="24"/>
          <w:szCs w:val="24"/>
          <w:highlight w:val="white"/>
        </w:rPr>
        <w:t>.</w:t>
      </w:r>
      <w:r w:rsidRPr="00EF0394">
        <w:rPr>
          <w:rFonts w:ascii="Arial" w:eastAsia="Arial" w:hAnsi="Arial" w:cs="Arial"/>
          <w:color w:val="202122"/>
          <w:sz w:val="24"/>
          <w:szCs w:val="24"/>
        </w:rPr>
        <w:t xml:space="preserve"> </w:t>
      </w:r>
    </w:p>
    <w:p w14:paraId="69034403" w14:textId="37A7AC70" w:rsidR="0029109D" w:rsidRPr="00EF0394" w:rsidRDefault="00A84B05" w:rsidP="00182FFE">
      <w:pPr>
        <w:spacing w:after="0" w:line="360" w:lineRule="auto"/>
        <w:jc w:val="both"/>
        <w:rPr>
          <w:rFonts w:ascii="Arial" w:eastAsia="Arial" w:hAnsi="Arial" w:cs="Arial"/>
          <w:color w:val="202122"/>
          <w:sz w:val="24"/>
          <w:szCs w:val="24"/>
        </w:rPr>
      </w:pPr>
      <w:r w:rsidRPr="00EF0394">
        <w:rPr>
          <w:rFonts w:ascii="Arial" w:eastAsia="Arial" w:hAnsi="Arial" w:cs="Arial"/>
          <w:color w:val="202122"/>
          <w:sz w:val="24"/>
          <w:szCs w:val="24"/>
        </w:rPr>
        <w:t>The upregulation of amino acid synthesis and metabolism heightens PC progression</w:t>
      </w:r>
      <w:r w:rsidR="0042146C" w:rsidRPr="00EF0394">
        <w:rPr>
          <w:rFonts w:ascii="Arial" w:eastAsia="Arial" w:hAnsi="Arial" w:cs="Arial"/>
          <w:color w:val="202122"/>
          <w:sz w:val="24"/>
          <w:szCs w:val="24"/>
        </w:rPr>
        <w:t>. Notably, emphasis is placed on anaplerosis, rather than energy production, as a key aspect influencing the disease</w:t>
      </w:r>
      <w:r w:rsidR="00E43876" w:rsidRPr="00EF0394">
        <w:rPr>
          <w:rFonts w:ascii="Arial" w:eastAsia="Arial" w:hAnsi="Arial" w:cs="Arial"/>
          <w:color w:val="202122"/>
          <w:sz w:val="24"/>
          <w:szCs w:val="24"/>
        </w:rPr>
        <w:t xml:space="preserve"> </w:t>
      </w:r>
      <w:r w:rsidR="00054053" w:rsidRPr="00EF0394">
        <w:rPr>
          <w:rFonts w:ascii="Arial" w:eastAsia="Arial" w:hAnsi="Arial" w:cs="Arial"/>
          <w:color w:val="202122"/>
          <w:sz w:val="24"/>
          <w:szCs w:val="24"/>
        </w:rPr>
        <w:t>progression</w:t>
      </w:r>
      <w:r w:rsidR="0042146C" w:rsidRPr="00EF0394">
        <w:rPr>
          <w:rFonts w:ascii="Arial" w:eastAsia="Arial" w:hAnsi="Arial" w:cs="Arial"/>
          <w:color w:val="202122"/>
          <w:sz w:val="24"/>
          <w:szCs w:val="24"/>
        </w:rPr>
        <w:t xml:space="preserve"> </w:t>
      </w:r>
      <w:r w:rsidR="007F0DC5" w:rsidRPr="00EF0394">
        <w:rPr>
          <w:rFonts w:ascii="Arial" w:eastAsia="Arial" w:hAnsi="Arial" w:cs="Arial"/>
          <w:color w:val="202122"/>
          <w:sz w:val="24"/>
          <w:szCs w:val="24"/>
        </w:rPr>
        <w:fldChar w:fldCharType="begin"/>
      </w:r>
      <w:r w:rsidR="007F0DC5" w:rsidRPr="00EF0394">
        <w:rPr>
          <w:rFonts w:ascii="Arial" w:eastAsia="Arial" w:hAnsi="Arial" w:cs="Arial"/>
          <w:color w:val="202122"/>
          <w:sz w:val="24"/>
          <w:szCs w:val="24"/>
        </w:rPr>
        <w:instrText xml:space="preserve"> ADDIN ZOTERO_ITEM CSL_CITATION {"citationID":"oB8kXML0","properties":{"formattedCitation":"(Ahmad, 2021; Strmiska, 2019)","plainCitation":"(Ahmad, 2021; Strmiska, 2019)","noteIndex":0},"citationItems":[{"id":40,"uris":["http://zotero.org/users/local/5QJK0Flt/items/C4FXUY3E"],"itemData":{"id":40,"type":"article-journal","journalAbbreviation":"Br. J. Cancer.","page":"1185–1196.","title":"Metabolic reprogramming in prostate cancer.","volume":"125","author":[{"family":"Ahmad","given":"F"}],"issued":{"date-parts":[["2021"]]}}},{"id":37,"uris":["http://zotero.org/users/local/5QJK0Flt/items/SJPLV4D8"],"itemData":{"id":37,"type":"article-journal","container-title":"2019","page":"248-258","title":"Prostate cancer-specific hallmarks of amino acids metabolism: Towards a paradigm of precision medicine","volume":"1871","author":[{"family":"Strmiska","given":"V.","suffix":"Michalek, P., Eckschlager, T., Stiborova, M., Adam, V., Krizkova, S., and Heger, Z."}],"issued":{"date-parts":[["2019"]]}}}],"schema":"https://github.com/citation-style-language/schema/raw/master/csl-citation.json"} </w:instrText>
      </w:r>
      <w:r w:rsidR="007F0DC5" w:rsidRPr="00EF0394">
        <w:rPr>
          <w:rFonts w:ascii="Arial" w:eastAsia="Arial" w:hAnsi="Arial" w:cs="Arial"/>
          <w:color w:val="202122"/>
          <w:sz w:val="24"/>
          <w:szCs w:val="24"/>
        </w:rPr>
        <w:fldChar w:fldCharType="separate"/>
      </w:r>
      <w:r w:rsidR="007F0DC5" w:rsidRPr="00EF0394">
        <w:rPr>
          <w:rFonts w:ascii="Arial" w:eastAsia="Arial" w:hAnsi="Arial" w:cs="Arial"/>
          <w:noProof/>
          <w:color w:val="202122"/>
          <w:sz w:val="24"/>
          <w:szCs w:val="24"/>
        </w:rPr>
        <w:t>(Ahmad, 2021; Strmiska, 2019)</w:t>
      </w:r>
      <w:r w:rsidR="007F0DC5" w:rsidRPr="00EF0394">
        <w:rPr>
          <w:rFonts w:ascii="Arial" w:eastAsia="Arial" w:hAnsi="Arial" w:cs="Arial"/>
          <w:color w:val="202122"/>
          <w:sz w:val="24"/>
          <w:szCs w:val="24"/>
        </w:rPr>
        <w:fldChar w:fldCharType="end"/>
      </w:r>
      <w:r w:rsidR="0042146C" w:rsidRPr="00EF0394">
        <w:rPr>
          <w:rFonts w:ascii="Arial" w:eastAsia="Arial" w:hAnsi="Arial" w:cs="Arial"/>
          <w:color w:val="202122"/>
          <w:sz w:val="24"/>
          <w:szCs w:val="24"/>
        </w:rPr>
        <w:t>.</w:t>
      </w:r>
      <w:r w:rsidR="005B5DE3" w:rsidRPr="00EF0394">
        <w:rPr>
          <w:rFonts w:ascii="Arial" w:eastAsia="Arial" w:hAnsi="Arial" w:cs="Arial"/>
          <w:color w:val="202122"/>
          <w:sz w:val="24"/>
          <w:szCs w:val="24"/>
        </w:rPr>
        <w:t xml:space="preserve"> </w:t>
      </w:r>
      <w:r w:rsidR="0042146C" w:rsidRPr="00EF0394">
        <w:rPr>
          <w:rFonts w:ascii="Arial" w:eastAsia="Arial" w:hAnsi="Arial" w:cs="Arial"/>
          <w:color w:val="202122"/>
          <w:sz w:val="24"/>
          <w:szCs w:val="24"/>
        </w:rPr>
        <w:t xml:space="preserve">Several studies have demonstrated that TP53 mutants modify metabolic pathways regulated by wild-type TP53 to support the provision of metabolites essential for proliferation </w:t>
      </w:r>
      <w:r w:rsidR="007F0DC5" w:rsidRPr="00EF0394">
        <w:rPr>
          <w:rFonts w:ascii="Arial" w:eastAsia="Arial" w:hAnsi="Arial" w:cs="Arial"/>
          <w:color w:val="202122"/>
          <w:sz w:val="24"/>
          <w:szCs w:val="24"/>
        </w:rPr>
        <w:fldChar w:fldCharType="begin"/>
      </w:r>
      <w:r w:rsidR="007F0DC5" w:rsidRPr="00EF0394">
        <w:rPr>
          <w:rFonts w:ascii="Arial" w:eastAsia="Arial" w:hAnsi="Arial" w:cs="Arial"/>
          <w:color w:val="202122"/>
          <w:sz w:val="24"/>
          <w:szCs w:val="24"/>
        </w:rPr>
        <w:instrText xml:space="preserve"> ADDIN ZOTERO_ITEM CSL_CITATION {"citationID":"oS0O55Rs","properties":{"formattedCitation":"(Kollareddy, 2015; Zhang et al., 2013; G. Zhou et al., 2014)","plainCitation":"(Kollareddy, 2015; Zhang et al., 2013; G. Zhou et al., 2014)","noteIndex":0},"citationItems":[{"id":32,"uris":["http://zotero.org/users/local/5QJK0Flt/items/MV6AUMI6"],"itemData":{"id":32,"type":"article-journal","container-title":"Nat Commun.","page":"7389.","title":"Regulation of nucleotide metabolism by mutant p53 contributes to its gain-of-function activities.","volume":"6","author":[{"family":"Kollareddy","given":"M. D. E.","suffix":"Vallabhaneni, K. C., Chan, A., Le T, &amp; Chauhan, K. M."}],"issued":{"date-parts":[["2015"]]}}},{"id":20,"uris":["http://zotero.org/users/local/5QJK0Flt/items/LQGI4NH9"],"itemData":{"id":20,"type":"article-journal","container-title":"Nature Communications","DOI":"10.1038/ncomms3935","ISSN":"2041-1723","issue":"1","page":"2935","title":"Tumour-associated mutant p53 drives the Warburg effect","volume":"4","author":[{"family":"Zhang","given":"Cen"},{"family":"Liu","given":"Juan"},{"family":"Liang","given":"Yingjian"},{"family":"Wu","given":"Rui"},{"family":"Zhao","given":"Yuhan"},{"family":"Hong","given":"Xuehui"},{"family":"Lin","given":"Meihua"},{"family":"Yu","given":"Haiyang"},{"family":"Liu","given":"Lianxin"},{"family":"Levine","given":"Arnold J."},{"family":"Hu","given":"Wenwei"},{"family":"Feng","given":"Zhaohui"}],"issued":{"date-parts":[["2013",12,17]]}}},{"id":42,"uris":["http://zotero.org/users/local/5QJK0Flt/items/GCN4EIGX"],"itemData":{"id":42,"type":"article-journal","container-title":"Molecular Cell","DOI":"10.1016/j.molcel.2014.04.024","ISSN":"10972765","issue":"6","journalAbbreviation":"Molecular Cell","language":"en","page":"960-974","source":"DOI.org (Crossref)","title":"Gain-of-Function Mutant p53 Promotes Cell Growth and Cancer Cell Metabolism via Inhibition of AMPK Activation","volume":"54","author":[{"family":"Zhou","given":"Ge"},{"family":"Wang","given":"Jiping"},{"family":"Zhao","given":"Mei"},{"family":"Xie","given":"Tong-Xin"},{"family":"Tanaka","given":"Noriaki"},{"family":"Sano","given":"Daisuke"},{"family":"Patel","given":"Ameeta A."},{"family":"Ward","given":"Alexandra M."},{"family":"Sandulache","given":"Vlad C."},{"family":"Jasser","given":"Samar A."},{"family":"Skinner","given":"Heath D."},{"family":"Fitzgerald","given":"Alison Lea"},{"family":"Osman","given":"Abdullah A."},{"family":"Wei","given":"Yongkun"},{"family":"Xia","given":"Xuefeng"},{"family":"Songyang","given":"Zhou"},{"family":"Mills","given":"Gordon B."},{"family":"Hung","given":"Mien-Chie"},{"family":"Caulin","given":"Carlos"},{"family":"Liang","given":"Jiyong"},{"family":"Myers","given":"Jeffrey N."}],"issued":{"date-parts":[["2014",6]]}}}],"schema":"https://github.com/citation-style-language/schema/raw/master/csl-citation.json"} </w:instrText>
      </w:r>
      <w:r w:rsidR="007F0DC5" w:rsidRPr="00EF0394">
        <w:rPr>
          <w:rFonts w:ascii="Arial" w:eastAsia="Arial" w:hAnsi="Arial" w:cs="Arial"/>
          <w:color w:val="202122"/>
          <w:sz w:val="24"/>
          <w:szCs w:val="24"/>
        </w:rPr>
        <w:fldChar w:fldCharType="separate"/>
      </w:r>
      <w:r w:rsidR="007F0DC5" w:rsidRPr="00EF0394">
        <w:rPr>
          <w:rFonts w:ascii="Arial" w:eastAsia="Arial" w:hAnsi="Arial" w:cs="Arial"/>
          <w:noProof/>
          <w:color w:val="202122"/>
          <w:sz w:val="24"/>
          <w:szCs w:val="24"/>
        </w:rPr>
        <w:t>(Kollareddy, 2015; Zhang et al., 2013; Zhou et al., 2014)</w:t>
      </w:r>
      <w:r w:rsidR="007F0DC5" w:rsidRPr="00EF0394">
        <w:rPr>
          <w:rFonts w:ascii="Arial" w:eastAsia="Arial" w:hAnsi="Arial" w:cs="Arial"/>
          <w:color w:val="202122"/>
          <w:sz w:val="24"/>
          <w:szCs w:val="24"/>
        </w:rPr>
        <w:fldChar w:fldCharType="end"/>
      </w:r>
      <w:r w:rsidR="0042146C" w:rsidRPr="00EF0394">
        <w:rPr>
          <w:rFonts w:ascii="Arial" w:eastAsia="Arial" w:hAnsi="Arial" w:cs="Arial"/>
          <w:color w:val="202122"/>
          <w:sz w:val="24"/>
          <w:szCs w:val="24"/>
        </w:rPr>
        <w:t xml:space="preserve">. For instance, the TP53R175H mutant utilizes exogenous pyruvate in cancer cells, enhancing survival during glucose deprivation. Conversely, the R273H mutant has been observed to suppress the expression of phase 2 detoxifying enzymes, thereby promoting cell survival under </w:t>
      </w:r>
      <w:r w:rsidR="008329BE" w:rsidRPr="00EF0394">
        <w:rPr>
          <w:rFonts w:ascii="Arial" w:eastAsia="Arial" w:hAnsi="Arial" w:cs="Arial"/>
          <w:color w:val="202122"/>
          <w:sz w:val="24"/>
          <w:szCs w:val="24"/>
        </w:rPr>
        <w:t>oxidative stress condition</w:t>
      </w:r>
      <w:r w:rsidR="0042146C" w:rsidRPr="00EF0394">
        <w:rPr>
          <w:rFonts w:ascii="Arial" w:eastAsia="Arial" w:hAnsi="Arial" w:cs="Arial"/>
          <w:color w:val="202122"/>
          <w:sz w:val="24"/>
          <w:szCs w:val="24"/>
        </w:rPr>
        <w:t xml:space="preserve">s </w:t>
      </w:r>
      <w:r w:rsidR="0045288B" w:rsidRPr="00EF0394">
        <w:rPr>
          <w:rFonts w:ascii="Arial" w:eastAsia="Arial" w:hAnsi="Arial" w:cs="Arial"/>
          <w:color w:val="202122"/>
          <w:sz w:val="24"/>
          <w:szCs w:val="24"/>
        </w:rPr>
        <w:fldChar w:fldCharType="begin"/>
      </w:r>
      <w:r w:rsidR="00331529" w:rsidRPr="00EF0394">
        <w:rPr>
          <w:rFonts w:ascii="Arial" w:eastAsia="Arial" w:hAnsi="Arial" w:cs="Arial"/>
          <w:color w:val="202122"/>
          <w:sz w:val="24"/>
          <w:szCs w:val="24"/>
        </w:rPr>
        <w:instrText xml:space="preserve"> ADDIN ZOTERO_ITEM CSL_CITATION {"citationID":"GmMUfo43","properties":{"formattedCitation":"(Chavez-Perez et al., 2011; Kalo et al., 2012)","plainCitation":"(Chavez-Perez et al., 2011; Kalo et al., 2012)","noteIndex":0},"citationItems":[{"id":21,"uris":["http://zotero.org/users/local/5QJK0Flt/items/LE8PAKSA"],"itemData":{"id":21,"type":"article-journal","container-title":"Cancer Biology &amp; Therapy","DOI":"10.4161/cbt.12.7.16566","ISSN":"1538-4047","issue":"7","page":"647-656","title":"Metabolic utilization of exogenous pyruvate by mutant p53 (R175H) human melanoma cells promotes survival under glucose depletion","volume":"12","author":[{"family":"Chavez-Perez","given":"Valery A."},{"family":"Strasberg–Rieber","given":"Mary"},{"family":"Rieber","given":"Manuel"}],"issued":{"date-parts":[["2011",10,27]]}}},{"id":17,"uris":["http://zotero.org/users/local/5QJK0Flt/items/AZILVCSW"],"itemData":{"id":17,"type":"article-journal","abstract":"&lt;p&gt;Uncontrolled accumulation of reactive oxygen species (ROS) causes oxidative stress and induces harmful effects. Both high ROS levels and p53 mutations are frequent in human cancer. Mutant p53 forms are known to actively promote malignant growth. However, no mechanistic details are known about the contribution of mutant p53 to excessive ROS in cancer cells. Herein we examined the effect of p53R273H, a commonly occurring mutated p53 form, on the expression of phase 2 ROS detoxifying enzymes, and on the ability of cells to readopt a reducing environment after exposure to oxidative stress. Our data suggest that p53R273H mutant interferes with the normal response of human cells to oxidative stress. We show here that upon oxidative stress mutant p53R273H attenuates the activation and function of NF-E2-related factor 2 (NRF2), a transcription factor that induces antioxidant response. This effect of mutant p53 is manifested by decreased expression of phase 2 detoxifying enzymes NQO1 and HO-1 and high ROS levels. These findings were observed in several human cancer cell lines highlighting the general nature of this phenomenon. The failure of p53R273H mutant-expressing cells to restore a reducing oxidative environment was accompanied by increased survival, a known consequence of mutant p53 expression. These activities are attributable to mutant p53R273H gain of function and may underlie its well-documented oncogenic nature in human cancer.&lt;/p&gt;","container-title":"Journal of Cell Science","DOI":"10.1242/jcs.106815","ISSN":"1477-9137","title":"Mutant p53R273H attenuates the expression of phase 2 detoxifying enzymes and promotes the survival of cells with high ROS levels","author":[{"family":"Kalo","given":"Eyal"},{"family":"Kogan-Sakin","given":"Ira"},{"family":"Solomon","given":"Hilla"},{"family":"Bar-Nathan","given":"Elad"},{"family":"Shay","given":"Moshe"},{"family":"Shetzer","given":"Yoav"},{"family":"Dekel","given":"Elya"},{"family":"Goldfinger","given":"Naomi"},{"family":"Buganim","given":"Yossi"},{"family":"Stambolsky","given":"Perry"},{"family":"Goldstein","given":"Ido"},{"family":"Madar","given":"Shalom"},{"family":"Rotter","given":"Varda"}],"issued":{"date-parts":[["2012",1,1]]}}}],"schema":"https://github.com/citation-style-language/schema/raw/master/csl-citation.json"} </w:instrText>
      </w:r>
      <w:r w:rsidR="0045288B" w:rsidRPr="00EF0394">
        <w:rPr>
          <w:rFonts w:ascii="Arial" w:eastAsia="Arial" w:hAnsi="Arial" w:cs="Arial"/>
          <w:color w:val="202122"/>
          <w:sz w:val="24"/>
          <w:szCs w:val="24"/>
        </w:rPr>
        <w:fldChar w:fldCharType="separate"/>
      </w:r>
      <w:r w:rsidR="00331529" w:rsidRPr="00EF0394">
        <w:rPr>
          <w:rFonts w:ascii="Arial" w:eastAsia="Arial" w:hAnsi="Arial" w:cs="Arial"/>
          <w:noProof/>
          <w:color w:val="202122"/>
          <w:sz w:val="24"/>
          <w:szCs w:val="24"/>
        </w:rPr>
        <w:t>(Chavez-Perez et al., 2011; Kalo et al., 2012)</w:t>
      </w:r>
      <w:r w:rsidR="0045288B" w:rsidRPr="00EF0394">
        <w:rPr>
          <w:rFonts w:ascii="Arial" w:eastAsia="Arial" w:hAnsi="Arial" w:cs="Arial"/>
          <w:color w:val="202122"/>
          <w:sz w:val="24"/>
          <w:szCs w:val="24"/>
        </w:rPr>
        <w:fldChar w:fldCharType="end"/>
      </w:r>
      <w:r w:rsidR="0042146C" w:rsidRPr="00EF0394">
        <w:rPr>
          <w:rFonts w:ascii="Arial" w:eastAsia="Arial" w:hAnsi="Arial" w:cs="Arial"/>
          <w:color w:val="202122"/>
          <w:sz w:val="24"/>
          <w:szCs w:val="24"/>
        </w:rPr>
        <w:t>. The involvement of TP53 mutation</w:t>
      </w:r>
      <w:r w:rsidR="00E43876" w:rsidRPr="00EF0394">
        <w:rPr>
          <w:rFonts w:ascii="Arial" w:eastAsia="Arial" w:hAnsi="Arial" w:cs="Arial"/>
          <w:color w:val="202122"/>
          <w:sz w:val="24"/>
          <w:szCs w:val="24"/>
        </w:rPr>
        <w:t>s</w:t>
      </w:r>
      <w:r w:rsidR="0042146C" w:rsidRPr="00EF0394">
        <w:rPr>
          <w:rFonts w:ascii="Arial" w:eastAsia="Arial" w:hAnsi="Arial" w:cs="Arial"/>
          <w:color w:val="202122"/>
          <w:sz w:val="24"/>
          <w:szCs w:val="24"/>
        </w:rPr>
        <w:t xml:space="preserve"> is noteworthy in contributing to enzalutamide resistance in LNCaP cells, wh</w:t>
      </w:r>
      <w:r w:rsidR="008329BE" w:rsidRPr="00EF0394">
        <w:rPr>
          <w:rFonts w:ascii="Arial" w:eastAsia="Arial" w:hAnsi="Arial" w:cs="Arial"/>
          <w:color w:val="202122"/>
          <w:sz w:val="24"/>
          <w:szCs w:val="24"/>
        </w:rPr>
        <w:t>ich</w:t>
      </w:r>
      <w:r w:rsidR="0042146C" w:rsidRPr="00EF0394">
        <w:rPr>
          <w:rFonts w:ascii="Arial" w:eastAsia="Arial" w:hAnsi="Arial" w:cs="Arial"/>
          <w:color w:val="202122"/>
          <w:sz w:val="24"/>
          <w:szCs w:val="24"/>
        </w:rPr>
        <w:t xml:space="preserve"> hinders the androgen receptor (AR) signaling pathways </w:t>
      </w:r>
      <w:r w:rsidR="007F0DC5" w:rsidRPr="00EF0394">
        <w:rPr>
          <w:rFonts w:ascii="Arial" w:eastAsia="Arial" w:hAnsi="Arial" w:cs="Arial"/>
          <w:color w:val="202122"/>
          <w:sz w:val="24"/>
          <w:szCs w:val="24"/>
        </w:rPr>
        <w:fldChar w:fldCharType="begin"/>
      </w:r>
      <w:r w:rsidR="007F0DC5" w:rsidRPr="00EF0394">
        <w:rPr>
          <w:rFonts w:ascii="Arial" w:eastAsia="Arial" w:hAnsi="Arial" w:cs="Arial"/>
          <w:color w:val="202122"/>
          <w:sz w:val="24"/>
          <w:szCs w:val="24"/>
        </w:rPr>
        <w:instrText xml:space="preserve"> ADDIN ZOTERO_ITEM CSL_CITATION {"citationID":"CfCROhpv","properties":{"formattedCitation":"(Long, 2021)","plainCitation":"(Long, 2021)","noteIndex":0},"citationItems":[{"id":1,"uris":["http://zotero.org/users/local/5QJK0Flt/items/4IZPKTSE"],"itemData":{"id":1,"type":"article-journal","title":"TP53 Inhibited AR Signaling Promote Enzalutamide Resistance in LNCaP cell.","author":[{"family":"Long","given":"X"}],"issued":{"date-parts":[["2021"]]}}}],"schema":"https://github.com/citation-style-language/schema/raw/master/csl-citation.json"} </w:instrText>
      </w:r>
      <w:r w:rsidR="007F0DC5" w:rsidRPr="00EF0394">
        <w:rPr>
          <w:rFonts w:ascii="Arial" w:eastAsia="Arial" w:hAnsi="Arial" w:cs="Arial"/>
          <w:color w:val="202122"/>
          <w:sz w:val="24"/>
          <w:szCs w:val="24"/>
        </w:rPr>
        <w:fldChar w:fldCharType="separate"/>
      </w:r>
      <w:r w:rsidR="007F0DC5" w:rsidRPr="00EF0394">
        <w:rPr>
          <w:rFonts w:ascii="Arial" w:eastAsia="Arial" w:hAnsi="Arial" w:cs="Arial"/>
          <w:noProof/>
          <w:color w:val="202122"/>
          <w:sz w:val="24"/>
          <w:szCs w:val="24"/>
        </w:rPr>
        <w:t>(Long, 2021)</w:t>
      </w:r>
      <w:r w:rsidR="007F0DC5" w:rsidRPr="00EF0394">
        <w:rPr>
          <w:rFonts w:ascii="Arial" w:eastAsia="Arial" w:hAnsi="Arial" w:cs="Arial"/>
          <w:color w:val="202122"/>
          <w:sz w:val="24"/>
          <w:szCs w:val="24"/>
        </w:rPr>
        <w:fldChar w:fldCharType="end"/>
      </w:r>
      <w:r w:rsidR="007F0DC5" w:rsidRPr="00EF0394">
        <w:rPr>
          <w:rFonts w:ascii="Arial" w:eastAsia="Arial" w:hAnsi="Arial" w:cs="Arial"/>
          <w:color w:val="202122"/>
          <w:sz w:val="24"/>
          <w:szCs w:val="24"/>
        </w:rPr>
        <w:t>.</w:t>
      </w:r>
      <w:r w:rsidR="0042146C" w:rsidRPr="00EF0394">
        <w:rPr>
          <w:rFonts w:ascii="Arial" w:eastAsia="Arial" w:hAnsi="Arial" w:cs="Arial"/>
          <w:color w:val="202122"/>
          <w:sz w:val="24"/>
          <w:szCs w:val="24"/>
        </w:rPr>
        <w:t xml:space="preserve"> Furthermore, in the context of prostate cancer patients, the presence of mutant TP53 has been linked to the emergence of resistance to docetaxel </w:t>
      </w:r>
      <w:r w:rsidR="00331529" w:rsidRPr="00EF0394">
        <w:rPr>
          <w:rFonts w:ascii="Arial" w:eastAsia="Arial" w:hAnsi="Arial" w:cs="Arial"/>
          <w:color w:val="202122"/>
          <w:sz w:val="24"/>
          <w:szCs w:val="24"/>
        </w:rPr>
        <w:fldChar w:fldCharType="begin"/>
      </w:r>
      <w:r w:rsidR="00331529" w:rsidRPr="00EF0394">
        <w:rPr>
          <w:rFonts w:ascii="Arial" w:eastAsia="Arial" w:hAnsi="Arial" w:cs="Arial"/>
          <w:color w:val="202122"/>
          <w:sz w:val="24"/>
          <w:szCs w:val="24"/>
        </w:rPr>
        <w:instrText xml:space="preserve"> ADDIN ZOTERO_ITEM CSL_CITATION {"citationID":"pw3HnR5v","properties":{"formattedCitation":"(Liu, 2013)","plainCitation":"(Liu, 2013)","noteIndex":0},"citationItems":[{"id":36,"uris":["http://zotero.org/users/local/5QJK0Flt/items/MHZI3ZQN"],"itemData":{"id":36,"type":"article-journal","container-title":"Prostate.","issue":"4","page":"418-27","title":"Functional p53 determines docetaxel sensitivity in prostate cancer cells.","volume":"73","author":[{"family":"Liu","given":"C.","suffix":"Zhu, Y., Lou, W., Nadiminty, N., Chen, X., Zhou, Q, et al."}],"issued":{"date-parts":[["2013"]]}}}],"schema":"https://github.com/citation-style-language/schema/raw/master/csl-citation.json"} </w:instrText>
      </w:r>
      <w:r w:rsidR="00331529" w:rsidRPr="00EF0394">
        <w:rPr>
          <w:rFonts w:ascii="Arial" w:eastAsia="Arial" w:hAnsi="Arial" w:cs="Arial"/>
          <w:color w:val="202122"/>
          <w:sz w:val="24"/>
          <w:szCs w:val="24"/>
        </w:rPr>
        <w:fldChar w:fldCharType="separate"/>
      </w:r>
      <w:r w:rsidR="00331529" w:rsidRPr="00EF0394">
        <w:rPr>
          <w:rFonts w:ascii="Arial" w:eastAsia="Arial" w:hAnsi="Arial" w:cs="Arial"/>
          <w:noProof/>
          <w:color w:val="202122"/>
          <w:sz w:val="24"/>
          <w:szCs w:val="24"/>
        </w:rPr>
        <w:t>(Liu, 2013)</w:t>
      </w:r>
      <w:r w:rsidR="00331529" w:rsidRPr="00EF0394">
        <w:rPr>
          <w:rFonts w:ascii="Arial" w:eastAsia="Arial" w:hAnsi="Arial" w:cs="Arial"/>
          <w:color w:val="202122"/>
          <w:sz w:val="24"/>
          <w:szCs w:val="24"/>
        </w:rPr>
        <w:fldChar w:fldCharType="end"/>
      </w:r>
      <w:r w:rsidR="0042146C" w:rsidRPr="00EF0394">
        <w:rPr>
          <w:rFonts w:ascii="Arial" w:eastAsia="Arial" w:hAnsi="Arial" w:cs="Arial"/>
          <w:color w:val="202122"/>
          <w:sz w:val="24"/>
          <w:szCs w:val="24"/>
        </w:rPr>
        <w:t xml:space="preserve">. </w:t>
      </w:r>
      <w:r w:rsidR="0042146C" w:rsidRPr="00EF0394">
        <w:rPr>
          <w:rFonts w:ascii="Arial" w:eastAsia="Arial" w:hAnsi="Arial" w:cs="Arial"/>
          <w:sz w:val="24"/>
          <w:szCs w:val="24"/>
        </w:rPr>
        <w:t>Therefore, the presence of TP53 mutation</w:t>
      </w:r>
      <w:r w:rsidR="00E43876" w:rsidRPr="00EF0394">
        <w:rPr>
          <w:rFonts w:ascii="Arial" w:eastAsia="Arial" w:hAnsi="Arial" w:cs="Arial"/>
          <w:sz w:val="24"/>
          <w:szCs w:val="24"/>
        </w:rPr>
        <w:t>s</w:t>
      </w:r>
      <w:r w:rsidR="0042146C" w:rsidRPr="00EF0394">
        <w:rPr>
          <w:rFonts w:ascii="Arial" w:eastAsia="Arial" w:hAnsi="Arial" w:cs="Arial"/>
          <w:sz w:val="24"/>
          <w:szCs w:val="24"/>
        </w:rPr>
        <w:t xml:space="preserve"> ha</w:t>
      </w:r>
      <w:r w:rsidR="00A06CDD" w:rsidRPr="00EF0394">
        <w:rPr>
          <w:rFonts w:ascii="Arial" w:eastAsia="Arial" w:hAnsi="Arial" w:cs="Arial"/>
          <w:sz w:val="24"/>
          <w:szCs w:val="24"/>
        </w:rPr>
        <w:t>s</w:t>
      </w:r>
      <w:r w:rsidR="0042146C" w:rsidRPr="00EF0394">
        <w:rPr>
          <w:rFonts w:ascii="Arial" w:eastAsia="Arial" w:hAnsi="Arial" w:cs="Arial"/>
          <w:sz w:val="24"/>
          <w:szCs w:val="24"/>
        </w:rPr>
        <w:t xml:space="preserve"> been </w:t>
      </w:r>
      <w:r w:rsidR="0042146C" w:rsidRPr="00EF0394">
        <w:rPr>
          <w:rFonts w:ascii="Arial" w:eastAsia="Arial" w:hAnsi="Arial" w:cs="Arial"/>
          <w:sz w:val="24"/>
          <w:szCs w:val="24"/>
        </w:rPr>
        <w:lastRenderedPageBreak/>
        <w:t xml:space="preserve">proposed as a potential predictive marker for anticipating the efficacy of docetaxel treatment </w:t>
      </w:r>
      <w:r w:rsidR="00331529" w:rsidRPr="00EF0394">
        <w:rPr>
          <w:rFonts w:ascii="Arial" w:eastAsia="Arial" w:hAnsi="Arial" w:cs="Arial"/>
          <w:sz w:val="24"/>
          <w:szCs w:val="24"/>
        </w:rPr>
        <w:fldChar w:fldCharType="begin"/>
      </w:r>
      <w:r w:rsidR="00331529" w:rsidRPr="00EF0394">
        <w:rPr>
          <w:rFonts w:ascii="Arial" w:eastAsia="Arial" w:hAnsi="Arial" w:cs="Arial"/>
          <w:sz w:val="24"/>
          <w:szCs w:val="24"/>
        </w:rPr>
        <w:instrText xml:space="preserve"> ADDIN ZOTERO_ITEM CSL_CITATION {"citationID":"gPvk9Id9","properties":{"formattedCitation":"(Teroerde et al., 2021)","plainCitation":"(Teroerde et al., 2021)","noteIndex":0},"citationItems":[{"id":18,"uris":["http://zotero.org/users/local/5QJK0Flt/items/RTFNQT2K"],"itemData":{"id":18,"type":"chapter","container-title":"Prostate Cancer","note":"DOI: 10.36255/exonpublications.prostatecancer.p53.2021","page":"113-124","publisher":"Exon Publications","title":"Revisiting the Role of p53 in Prostate Cancer","author":[{"family":"Teroerde","given":"Miriam"},{"family":"Nientiedt","given":"Cathleen"},{"family":"Duensing","given":"Anette"},{"family":"Hohenfellner","given":"Markus"},{"family":"Stenzinger","given":"Albrecht"},{"family":"Duensing","given":"Stefan"}],"issued":{"date-parts":[["2021",5,28]]}}}],"schema":"https://github.com/citation-style-language/schema/raw/master/csl-citation.json"} </w:instrText>
      </w:r>
      <w:r w:rsidR="00331529" w:rsidRPr="00EF0394">
        <w:rPr>
          <w:rFonts w:ascii="Arial" w:eastAsia="Arial" w:hAnsi="Arial" w:cs="Arial"/>
          <w:sz w:val="24"/>
          <w:szCs w:val="24"/>
        </w:rPr>
        <w:fldChar w:fldCharType="separate"/>
      </w:r>
      <w:r w:rsidR="00331529" w:rsidRPr="00EF0394">
        <w:rPr>
          <w:rFonts w:ascii="Arial" w:eastAsia="Arial" w:hAnsi="Arial" w:cs="Arial"/>
          <w:noProof/>
          <w:sz w:val="24"/>
          <w:szCs w:val="24"/>
        </w:rPr>
        <w:t>(Teroerde et al., 2021)</w:t>
      </w:r>
      <w:r w:rsidR="00331529" w:rsidRPr="00EF0394">
        <w:rPr>
          <w:rFonts w:ascii="Arial" w:eastAsia="Arial" w:hAnsi="Arial" w:cs="Arial"/>
          <w:sz w:val="24"/>
          <w:szCs w:val="24"/>
        </w:rPr>
        <w:fldChar w:fldCharType="end"/>
      </w:r>
      <w:r w:rsidR="0042146C" w:rsidRPr="00EF0394">
        <w:rPr>
          <w:rFonts w:ascii="Arial" w:eastAsia="Arial" w:hAnsi="Arial" w:cs="Arial"/>
          <w:sz w:val="24"/>
          <w:szCs w:val="24"/>
        </w:rPr>
        <w:t>.</w:t>
      </w:r>
    </w:p>
    <w:p w14:paraId="25DFA7FD" w14:textId="5E511E46" w:rsidR="0042146C" w:rsidRPr="00EF0394" w:rsidRDefault="0042146C" w:rsidP="00182FFE">
      <w:pPr>
        <w:spacing w:after="0" w:line="360" w:lineRule="auto"/>
        <w:jc w:val="both"/>
        <w:rPr>
          <w:rFonts w:ascii="Arial" w:hAnsi="Arial" w:cs="Arial"/>
          <w:sz w:val="24"/>
          <w:szCs w:val="24"/>
        </w:rPr>
      </w:pPr>
      <w:r w:rsidRPr="00EF0394">
        <w:rPr>
          <w:rFonts w:ascii="Arial" w:hAnsi="Arial" w:cs="Arial"/>
          <w:sz w:val="24"/>
          <w:szCs w:val="24"/>
        </w:rPr>
        <w:t xml:space="preserve">Despite the </w:t>
      </w:r>
      <w:r w:rsidRPr="00EF0394">
        <w:rPr>
          <w:rFonts w:ascii="Arial" w:eastAsia="Arial" w:hAnsi="Arial" w:cs="Arial"/>
          <w:sz w:val="24"/>
          <w:szCs w:val="24"/>
        </w:rPr>
        <w:t>advancements in the treatment of advanced prostate cancer</w:t>
      </w:r>
      <w:r w:rsidRPr="00EF0394">
        <w:rPr>
          <w:rFonts w:ascii="Arial" w:hAnsi="Arial" w:cs="Arial"/>
          <w:sz w:val="24"/>
          <w:szCs w:val="24"/>
        </w:rPr>
        <w:t xml:space="preserve">, </w:t>
      </w:r>
      <w:r w:rsidRPr="00EF0394">
        <w:rPr>
          <w:rFonts w:ascii="Arial" w:eastAsia="Arial" w:hAnsi="Arial" w:cs="Arial"/>
          <w:sz w:val="24"/>
          <w:szCs w:val="24"/>
        </w:rPr>
        <w:t>it persists as a lethal disease resistant to existing therapies</w:t>
      </w:r>
      <w:r w:rsidRPr="00EF0394">
        <w:rPr>
          <w:rFonts w:ascii="Arial" w:hAnsi="Arial" w:cs="Arial"/>
          <w:sz w:val="24"/>
          <w:szCs w:val="24"/>
        </w:rPr>
        <w:t xml:space="preserve"> &amp; the rapid emergence of resistance presents a formidable obstacle, </w:t>
      </w:r>
      <w:r w:rsidRPr="00EF0394">
        <w:rPr>
          <w:rFonts w:ascii="Arial" w:eastAsia="Arial" w:hAnsi="Arial" w:cs="Arial"/>
          <w:sz w:val="24"/>
          <w:szCs w:val="24"/>
        </w:rPr>
        <w:t>there is a pressing need for novel therapeutic approaches to enhance patient responsiveness and mitigate drug resistance</w:t>
      </w:r>
      <w:r w:rsidRPr="00EF0394">
        <w:rPr>
          <w:rFonts w:ascii="Arial" w:hAnsi="Arial" w:cs="Arial"/>
          <w:sz w:val="24"/>
          <w:szCs w:val="24"/>
        </w:rPr>
        <w:t>. To gain insight into the impact of TP53 mutations, particularly gain-of-function mutations, on the metabolic adaptation of prostate cancer cells, this study is meticulously crafted to systematically examine how TP53 mutations influence the metabolic dynamics within prostate cancer cells.</w:t>
      </w:r>
    </w:p>
    <w:p w14:paraId="277D4277" w14:textId="77777777" w:rsidR="00182FFE" w:rsidRDefault="00182FFE" w:rsidP="00182FFE">
      <w:pPr>
        <w:spacing w:after="0" w:line="360" w:lineRule="auto"/>
        <w:jc w:val="both"/>
        <w:rPr>
          <w:rFonts w:ascii="Arial" w:eastAsia="Times New Roman" w:hAnsi="Arial" w:cs="Arial"/>
          <w:color w:val="212121"/>
          <w:kern w:val="0"/>
          <w:sz w:val="24"/>
          <w:szCs w:val="24"/>
          <w:lang w:eastAsia="en-GB"/>
          <w14:ligatures w14:val="none"/>
        </w:rPr>
      </w:pPr>
    </w:p>
    <w:p w14:paraId="475DDBC7" w14:textId="07281368" w:rsidR="005C0C90" w:rsidRPr="00182FFE" w:rsidRDefault="005B5DE3" w:rsidP="00182FFE">
      <w:pPr>
        <w:spacing w:after="0" w:line="360" w:lineRule="auto"/>
        <w:jc w:val="both"/>
        <w:rPr>
          <w:rFonts w:ascii="Arial" w:eastAsia="Times New Roman" w:hAnsi="Arial" w:cs="Arial"/>
          <w:color w:val="212121"/>
          <w:kern w:val="0"/>
          <w:sz w:val="24"/>
          <w:szCs w:val="24"/>
          <w:lang w:eastAsia="en-GB"/>
          <w14:ligatures w14:val="none"/>
        </w:rPr>
      </w:pPr>
      <w:r w:rsidRPr="00EF0394">
        <w:rPr>
          <w:rFonts w:ascii="Arial" w:hAnsi="Arial" w:cs="Arial"/>
          <w:b/>
          <w:bCs/>
          <w:sz w:val="24"/>
          <w:szCs w:val="24"/>
        </w:rPr>
        <w:t xml:space="preserve">2.0 </w:t>
      </w:r>
      <w:r w:rsidR="005C0C90" w:rsidRPr="00EF0394">
        <w:rPr>
          <w:rFonts w:ascii="Arial" w:hAnsi="Arial" w:cs="Arial"/>
          <w:b/>
          <w:bCs/>
          <w:sz w:val="24"/>
          <w:szCs w:val="24"/>
        </w:rPr>
        <w:t xml:space="preserve">Materials &amp; Methods </w:t>
      </w:r>
    </w:p>
    <w:p w14:paraId="76C54D56" w14:textId="4C8E792F" w:rsidR="005C0C90" w:rsidRPr="00EF0394" w:rsidRDefault="005B5DE3" w:rsidP="00C578FA">
      <w:pPr>
        <w:spacing w:after="0" w:line="336" w:lineRule="auto"/>
        <w:jc w:val="both"/>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2.1 </w:t>
      </w:r>
      <w:r w:rsidR="005C0C90" w:rsidRPr="00EF0394">
        <w:rPr>
          <w:rFonts w:ascii="Arial" w:eastAsia="Times New Roman" w:hAnsi="Arial" w:cs="Arial"/>
          <w:b/>
          <w:bCs/>
          <w:kern w:val="0"/>
          <w:sz w:val="24"/>
          <w:szCs w:val="24"/>
          <w:shd w:val="clear" w:color="auto" w:fill="FFFFFF"/>
          <w14:ligatures w14:val="none"/>
        </w:rPr>
        <w:t>Cell Culture</w:t>
      </w:r>
    </w:p>
    <w:p w14:paraId="34B2F468" w14:textId="3C4AD9CC" w:rsidR="00912C56" w:rsidRPr="00EF0394" w:rsidRDefault="005C0C90" w:rsidP="00C578FA">
      <w:pPr>
        <w:spacing w:after="0" w:line="336" w:lineRule="auto"/>
        <w:jc w:val="both"/>
        <w:rPr>
          <w:rFonts w:ascii="Arial" w:eastAsia="Times New Roman" w:hAnsi="Arial" w:cs="Arial"/>
          <w:kern w:val="0"/>
          <w:sz w:val="24"/>
          <w:szCs w:val="24"/>
          <w:shd w:val="clear" w:color="auto" w:fill="FFFFFF"/>
          <w14:ligatures w14:val="none"/>
        </w:rPr>
      </w:pPr>
      <w:r w:rsidRPr="00EF0394">
        <w:rPr>
          <w:rFonts w:ascii="Arial" w:eastAsia="Times New Roman" w:hAnsi="Arial" w:cs="Arial"/>
          <w:kern w:val="0"/>
          <w:sz w:val="24"/>
          <w:szCs w:val="24"/>
          <w:shd w:val="clear" w:color="auto" w:fill="FFFFFF"/>
          <w14:ligatures w14:val="none"/>
        </w:rPr>
        <w:t>HEK293T and PC-3 cell lines were obtained from ATCC (American Type Culture Collection, Chicago, IL)</w:t>
      </w:r>
      <w:r w:rsidR="000121D4" w:rsidRPr="00EF0394">
        <w:rPr>
          <w:rFonts w:ascii="Arial" w:eastAsia="Times New Roman" w:hAnsi="Arial" w:cs="Arial"/>
          <w:kern w:val="0"/>
          <w:sz w:val="24"/>
          <w:szCs w:val="24"/>
          <w:shd w:val="clear" w:color="auto" w:fill="FFFFFF"/>
          <w14:ligatures w14:val="none"/>
        </w:rPr>
        <w:t>,</w:t>
      </w:r>
      <w:r w:rsidRPr="00EF0394">
        <w:rPr>
          <w:rFonts w:ascii="Arial" w:eastAsia="Times New Roman" w:hAnsi="Arial" w:cs="Arial"/>
          <w:kern w:val="0"/>
          <w:sz w:val="24"/>
          <w:szCs w:val="24"/>
          <w:shd w:val="clear" w:color="auto" w:fill="FFFFFF"/>
          <w14:ligatures w14:val="none"/>
        </w:rPr>
        <w:t xml:space="preserve"> cultured &amp; maintained in Dulbecco's modified Eagle's medium (DMEM) and </w:t>
      </w:r>
      <w:bookmarkStart w:id="1" w:name="_Hlk143268019"/>
      <w:r w:rsidRPr="00EF0394">
        <w:rPr>
          <w:rFonts w:ascii="Arial" w:eastAsia="Times New Roman" w:hAnsi="Arial" w:cs="Arial"/>
          <w:kern w:val="0"/>
          <w:sz w:val="24"/>
          <w:szCs w:val="24"/>
          <w:shd w:val="clear" w:color="auto" w:fill="FFFFFF"/>
          <w14:ligatures w14:val="none"/>
        </w:rPr>
        <w:t>RPMI-1640 medium</w:t>
      </w:r>
      <w:r w:rsidR="00A06CDD" w:rsidRPr="00EF0394">
        <w:rPr>
          <w:rFonts w:ascii="Arial" w:eastAsia="Times New Roman" w:hAnsi="Arial" w:cs="Arial"/>
          <w:kern w:val="0"/>
          <w:sz w:val="24"/>
          <w:szCs w:val="24"/>
          <w:shd w:val="clear" w:color="auto" w:fill="FFFFFF"/>
          <w14:ligatures w14:val="none"/>
        </w:rPr>
        <w:t>,</w:t>
      </w:r>
      <w:r w:rsidRPr="00EF0394">
        <w:rPr>
          <w:rFonts w:ascii="Arial" w:eastAsia="Times New Roman" w:hAnsi="Arial" w:cs="Arial"/>
          <w:kern w:val="0"/>
          <w:sz w:val="24"/>
          <w:szCs w:val="24"/>
          <w:shd w:val="clear" w:color="auto" w:fill="FFFFFF"/>
          <w14:ligatures w14:val="none"/>
        </w:rPr>
        <w:t xml:space="preserve"> </w:t>
      </w:r>
      <w:bookmarkEnd w:id="1"/>
      <w:r w:rsidRPr="00EF0394">
        <w:rPr>
          <w:rFonts w:ascii="Arial" w:eastAsia="Times New Roman" w:hAnsi="Arial" w:cs="Arial"/>
          <w:kern w:val="0"/>
          <w:sz w:val="24"/>
          <w:szCs w:val="24"/>
          <w:shd w:val="clear" w:color="auto" w:fill="FFFFFF"/>
          <w14:ligatures w14:val="none"/>
        </w:rPr>
        <w:t xml:space="preserve">respectively. Both </w:t>
      </w:r>
      <w:r w:rsidR="000121D4" w:rsidRPr="00EF0394">
        <w:rPr>
          <w:rFonts w:ascii="Arial" w:eastAsia="Times New Roman" w:hAnsi="Arial" w:cs="Arial"/>
          <w:kern w:val="0"/>
          <w:sz w:val="24"/>
          <w:szCs w:val="24"/>
          <w:shd w:val="clear" w:color="auto" w:fill="FFFFFF"/>
          <w14:ligatures w14:val="none"/>
        </w:rPr>
        <w:t xml:space="preserve">media were </w:t>
      </w:r>
      <w:r w:rsidRPr="00EF0394">
        <w:rPr>
          <w:rFonts w:ascii="Arial" w:eastAsia="Times New Roman" w:hAnsi="Arial" w:cs="Arial"/>
          <w:kern w:val="0"/>
          <w:sz w:val="24"/>
          <w:szCs w:val="24"/>
          <w:shd w:val="clear" w:color="auto" w:fill="FFFFFF"/>
          <w14:ligatures w14:val="none"/>
        </w:rPr>
        <w:t>supplemented with 10% fetal bovine serum (FBS) (Bovogen Biologicals, Australia) and 1% penicillin/streptomycin (100 U/ml) stabilized solution (Sigma-Aldrich, USA). Both cell lines were</w:t>
      </w:r>
      <w:r w:rsidR="009D658C" w:rsidRPr="00EF0394">
        <w:rPr>
          <w:rFonts w:ascii="Arial" w:eastAsia="Times New Roman" w:hAnsi="Arial" w:cs="Arial"/>
          <w:kern w:val="0"/>
          <w:sz w:val="24"/>
          <w:szCs w:val="24"/>
          <w:shd w:val="clear" w:color="auto" w:fill="FFFFFF"/>
          <w14:ligatures w14:val="none"/>
        </w:rPr>
        <w:t xml:space="preserve"> maintained &amp;</w:t>
      </w:r>
      <w:r w:rsidRPr="00EF0394">
        <w:rPr>
          <w:rFonts w:ascii="Arial" w:eastAsia="Times New Roman" w:hAnsi="Arial" w:cs="Arial"/>
          <w:kern w:val="0"/>
          <w:sz w:val="24"/>
          <w:szCs w:val="24"/>
          <w:shd w:val="clear" w:color="auto" w:fill="FFFFFF"/>
          <w14:ligatures w14:val="none"/>
        </w:rPr>
        <w:t xml:space="preserve"> incubated at 37°C, 10 % CO</w:t>
      </w:r>
      <w:r w:rsidRPr="00EF0394">
        <w:rPr>
          <w:rFonts w:ascii="Arial" w:eastAsia="Times New Roman" w:hAnsi="Arial" w:cs="Arial"/>
          <w:kern w:val="0"/>
          <w:sz w:val="24"/>
          <w:szCs w:val="24"/>
          <w:shd w:val="clear" w:color="auto" w:fill="FFFFFF"/>
          <w:vertAlign w:val="subscript"/>
          <w14:ligatures w14:val="none"/>
        </w:rPr>
        <w:t>2</w:t>
      </w:r>
      <w:r w:rsidRPr="00EF0394">
        <w:rPr>
          <w:rFonts w:ascii="Arial" w:eastAsia="Times New Roman" w:hAnsi="Arial" w:cs="Arial"/>
          <w:kern w:val="0"/>
          <w:sz w:val="24"/>
          <w:szCs w:val="24"/>
          <w:shd w:val="clear" w:color="auto" w:fill="FFFFFF"/>
          <w14:ligatures w14:val="none"/>
        </w:rPr>
        <w:t xml:space="preserve"> incubator. </w:t>
      </w:r>
      <w:r w:rsidR="00912C56" w:rsidRPr="00EF0394">
        <w:rPr>
          <w:rFonts w:ascii="Arial" w:eastAsia="Times New Roman" w:hAnsi="Arial" w:cs="Arial"/>
          <w:kern w:val="0"/>
          <w:sz w:val="24"/>
          <w:szCs w:val="24"/>
          <w:shd w:val="clear" w:color="auto" w:fill="FFFFFF"/>
          <w14:ligatures w14:val="none"/>
        </w:rPr>
        <w:t>All cells were verified to be mycoplasma-free (Lonza) and genetically</w:t>
      </w:r>
      <w:r w:rsidR="009D658C" w:rsidRPr="00EF0394">
        <w:rPr>
          <w:rFonts w:ascii="Arial" w:eastAsia="Times New Roman" w:hAnsi="Arial" w:cs="Arial"/>
          <w:kern w:val="0"/>
          <w:sz w:val="24"/>
          <w:szCs w:val="24"/>
          <w:shd w:val="clear" w:color="auto" w:fill="FFFFFF"/>
          <w14:ligatures w14:val="none"/>
        </w:rPr>
        <w:t xml:space="preserve"> </w:t>
      </w:r>
      <w:r w:rsidR="00912C56" w:rsidRPr="00EF0394">
        <w:rPr>
          <w:rFonts w:ascii="Arial" w:eastAsia="Times New Roman" w:hAnsi="Arial" w:cs="Arial"/>
          <w:kern w:val="0"/>
          <w:sz w:val="24"/>
          <w:szCs w:val="24"/>
          <w:shd w:val="clear" w:color="auto" w:fill="FFFFFF"/>
          <w14:ligatures w14:val="none"/>
        </w:rPr>
        <w:t>authenticated by ATCC.</w:t>
      </w:r>
    </w:p>
    <w:p w14:paraId="67DFFAF8" w14:textId="77777777" w:rsidR="009D2A9E" w:rsidRPr="00EF0394" w:rsidRDefault="009D2A9E" w:rsidP="00C578FA">
      <w:pPr>
        <w:spacing w:after="0" w:line="336" w:lineRule="auto"/>
        <w:jc w:val="both"/>
        <w:rPr>
          <w:rFonts w:ascii="Arial" w:eastAsia="Times New Roman" w:hAnsi="Arial" w:cs="Arial"/>
          <w:b/>
          <w:bCs/>
          <w:kern w:val="0"/>
          <w:sz w:val="24"/>
          <w:szCs w:val="24"/>
          <w:shd w:val="clear" w:color="auto" w:fill="FFFFFF"/>
          <w14:ligatures w14:val="none"/>
        </w:rPr>
      </w:pPr>
    </w:p>
    <w:p w14:paraId="50571C03" w14:textId="48BE1929" w:rsidR="00C430B2" w:rsidRPr="00EF0394" w:rsidRDefault="00082AD1" w:rsidP="00C578FA">
      <w:pPr>
        <w:spacing w:after="0" w:line="336" w:lineRule="auto"/>
        <w:jc w:val="both"/>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2.2 </w:t>
      </w:r>
      <w:r w:rsidR="00A6016E" w:rsidRPr="00EF0394">
        <w:rPr>
          <w:rFonts w:ascii="Arial" w:eastAsia="Times New Roman" w:hAnsi="Arial" w:cs="Arial"/>
          <w:b/>
          <w:bCs/>
          <w:kern w:val="0"/>
          <w:sz w:val="24"/>
          <w:szCs w:val="24"/>
          <w:shd w:val="clear" w:color="auto" w:fill="FFFFFF"/>
          <w14:ligatures w14:val="none"/>
        </w:rPr>
        <w:t xml:space="preserve">DNA </w:t>
      </w:r>
      <w:r w:rsidR="00912C56" w:rsidRPr="00EF0394">
        <w:rPr>
          <w:rFonts w:ascii="Arial" w:eastAsia="Times New Roman" w:hAnsi="Arial" w:cs="Arial"/>
          <w:b/>
          <w:bCs/>
          <w:kern w:val="0"/>
          <w:sz w:val="24"/>
          <w:szCs w:val="24"/>
          <w:shd w:val="clear" w:color="auto" w:fill="FFFFFF"/>
          <w14:ligatures w14:val="none"/>
        </w:rPr>
        <w:t>Plasmids</w:t>
      </w:r>
      <w:r w:rsidR="00E878AC" w:rsidRPr="00EF0394">
        <w:rPr>
          <w:rFonts w:ascii="Arial" w:eastAsia="Times New Roman" w:hAnsi="Arial" w:cs="Arial"/>
          <w:b/>
          <w:bCs/>
          <w:kern w:val="0"/>
          <w:sz w:val="24"/>
          <w:szCs w:val="24"/>
          <w:shd w:val="clear" w:color="auto" w:fill="FFFFFF"/>
          <w14:ligatures w14:val="none"/>
        </w:rPr>
        <w:t xml:space="preserve"> &amp; G</w:t>
      </w:r>
      <w:r w:rsidR="00912C56" w:rsidRPr="00EF0394">
        <w:rPr>
          <w:rFonts w:ascii="Arial" w:eastAsia="Times New Roman" w:hAnsi="Arial" w:cs="Arial"/>
          <w:b/>
          <w:bCs/>
          <w:kern w:val="0"/>
          <w:sz w:val="24"/>
          <w:szCs w:val="24"/>
          <w:shd w:val="clear" w:color="auto" w:fill="FFFFFF"/>
          <w14:ligatures w14:val="none"/>
        </w:rPr>
        <w:t>ene knock</w:t>
      </w:r>
      <w:r w:rsidR="00E878AC" w:rsidRPr="00EF0394">
        <w:rPr>
          <w:rFonts w:ascii="Arial" w:eastAsia="Times New Roman" w:hAnsi="Arial" w:cs="Arial"/>
          <w:b/>
          <w:bCs/>
          <w:kern w:val="0"/>
          <w:sz w:val="24"/>
          <w:szCs w:val="24"/>
          <w:shd w:val="clear" w:color="auto" w:fill="FFFFFF"/>
          <w14:ligatures w14:val="none"/>
        </w:rPr>
        <w:t xml:space="preserve">out </w:t>
      </w:r>
      <w:r w:rsidR="00912C56" w:rsidRPr="00EF0394">
        <w:rPr>
          <w:rFonts w:ascii="Arial" w:eastAsia="Times New Roman" w:hAnsi="Arial" w:cs="Arial"/>
          <w:b/>
          <w:bCs/>
          <w:kern w:val="0"/>
          <w:sz w:val="24"/>
          <w:szCs w:val="24"/>
          <w:shd w:val="clear" w:color="auto" w:fill="FFFFFF"/>
          <w14:ligatures w14:val="none"/>
        </w:rPr>
        <w:t>experiment</w:t>
      </w:r>
      <w:r w:rsidR="00E878AC" w:rsidRPr="00EF0394">
        <w:rPr>
          <w:rFonts w:ascii="Arial" w:eastAsia="Times New Roman" w:hAnsi="Arial" w:cs="Arial"/>
          <w:b/>
          <w:bCs/>
          <w:kern w:val="0"/>
          <w:sz w:val="24"/>
          <w:szCs w:val="24"/>
          <w:shd w:val="clear" w:color="auto" w:fill="FFFFFF"/>
          <w14:ligatures w14:val="none"/>
        </w:rPr>
        <w:t xml:space="preserve"> </w:t>
      </w:r>
    </w:p>
    <w:p w14:paraId="311EAB78" w14:textId="19988D07" w:rsidR="00C430B2" w:rsidRPr="00EF0394" w:rsidRDefault="00C430B2" w:rsidP="00C578FA">
      <w:pPr>
        <w:spacing w:after="0" w:line="336" w:lineRule="auto"/>
        <w:jc w:val="both"/>
        <w:rPr>
          <w:rFonts w:ascii="Arial" w:eastAsia="Times New Roman" w:hAnsi="Arial" w:cs="Arial"/>
          <w:kern w:val="0"/>
          <w:sz w:val="24"/>
          <w:szCs w:val="24"/>
          <w:shd w:val="clear" w:color="auto" w:fill="FFFFFF"/>
          <w14:ligatures w14:val="none"/>
        </w:rPr>
      </w:pPr>
      <w:r w:rsidRPr="00EF0394">
        <w:rPr>
          <w:rFonts w:ascii="Arial" w:eastAsia="Times New Roman" w:hAnsi="Arial" w:cs="Arial"/>
          <w:kern w:val="0"/>
          <w:sz w:val="24"/>
          <w:szCs w:val="24"/>
          <w:shd w:val="clear" w:color="auto" w:fill="FFFFFF"/>
          <w14:ligatures w14:val="none"/>
        </w:rPr>
        <w:t xml:space="preserve">Lentiviral constructs targeting TP53 knockdown (KD) were created by incorporating the cDNA into the pFUGW-H1 vector. The pLenti6.3/V5-DEST-GFP plasmid (Addgene_40125) was generously provided by Lynda Chin 91, while the pLenti6/V5-p53_R273H (Addgene_22934) and pLenti6/V5-p53_R175H (Addgene_22936) plasmids were gifts from Bernard Futscher. Lentiviruses were generated through the transfection of </w:t>
      </w:r>
      <w:r w:rsidR="009D658C" w:rsidRPr="00EF0394">
        <w:rPr>
          <w:rFonts w:ascii="Arial" w:eastAsia="Times New Roman" w:hAnsi="Arial" w:cs="Arial"/>
          <w:kern w:val="0"/>
          <w:sz w:val="24"/>
          <w:szCs w:val="24"/>
          <w:shd w:val="clear" w:color="auto" w:fill="FFFFFF"/>
          <w14:ligatures w14:val="none"/>
        </w:rPr>
        <w:t>HEK</w:t>
      </w:r>
      <w:r w:rsidRPr="00EF0394">
        <w:rPr>
          <w:rFonts w:ascii="Arial" w:eastAsia="Times New Roman" w:hAnsi="Arial" w:cs="Arial"/>
          <w:kern w:val="0"/>
          <w:sz w:val="24"/>
          <w:szCs w:val="24"/>
          <w:shd w:val="clear" w:color="auto" w:fill="FFFFFF"/>
          <w14:ligatures w14:val="none"/>
        </w:rPr>
        <w:t>293T cells with a Δ8.9 packaging vector and VSVG envelope vector (2:1:1 ratio) in Opti-MEM media (Gibco</w:t>
      </w:r>
      <w:r w:rsidR="009D658C" w:rsidRPr="00EF0394">
        <w:rPr>
          <w:rFonts w:ascii="Arial" w:eastAsia="Times New Roman" w:hAnsi="Arial" w:cs="Arial"/>
          <w:kern w:val="0"/>
          <w:sz w:val="24"/>
          <w:szCs w:val="24"/>
          <w:shd w:val="clear" w:color="auto" w:fill="FFFFFF"/>
          <w14:ligatures w14:val="none"/>
        </w:rPr>
        <w:t>, Thermo Fisher Scientific, Waltham, MA, USA</w:t>
      </w:r>
      <w:r w:rsidRPr="00EF0394">
        <w:rPr>
          <w:rFonts w:ascii="Arial" w:eastAsia="Times New Roman" w:hAnsi="Arial" w:cs="Arial"/>
          <w:kern w:val="0"/>
          <w:sz w:val="24"/>
          <w:szCs w:val="24"/>
          <w:shd w:val="clear" w:color="auto" w:fill="FFFFFF"/>
          <w14:ligatures w14:val="none"/>
        </w:rPr>
        <w:t>). PC3 cells were transduced with the virus in the presence of 8 μg/ml polybrene (Invitrogen</w:t>
      </w:r>
      <w:r w:rsidR="009D658C" w:rsidRPr="00EF0394">
        <w:rPr>
          <w:rFonts w:ascii="Arial" w:eastAsia="Times New Roman" w:hAnsi="Arial" w:cs="Arial"/>
          <w:kern w:val="0"/>
          <w:sz w:val="24"/>
          <w:szCs w:val="24"/>
          <w:shd w:val="clear" w:color="auto" w:fill="FFFFFF"/>
          <w14:ligatures w14:val="none"/>
        </w:rPr>
        <w:t>, Thermo Fisher Scientific, Waltham, MA, USA</w:t>
      </w:r>
      <w:r w:rsidRPr="00EF0394">
        <w:rPr>
          <w:rFonts w:ascii="Arial" w:eastAsia="Times New Roman" w:hAnsi="Arial" w:cs="Arial"/>
          <w:kern w:val="0"/>
          <w:sz w:val="24"/>
          <w:szCs w:val="24"/>
          <w:shd w:val="clear" w:color="auto" w:fill="FFFFFF"/>
          <w14:ligatures w14:val="none"/>
        </w:rPr>
        <w:t xml:space="preserve">). Subsequently, </w:t>
      </w:r>
      <w:r w:rsidR="006648CA" w:rsidRPr="00EF0394">
        <w:rPr>
          <w:rFonts w:ascii="Arial" w:eastAsia="Times New Roman" w:hAnsi="Arial" w:cs="Arial"/>
          <w:kern w:val="0"/>
          <w:sz w:val="24"/>
          <w:szCs w:val="24"/>
          <w:shd w:val="clear" w:color="auto" w:fill="FFFFFF"/>
          <w14:ligatures w14:val="none"/>
        </w:rPr>
        <w:t xml:space="preserve">the </w:t>
      </w:r>
      <w:r w:rsidRPr="00EF0394">
        <w:rPr>
          <w:rFonts w:ascii="Arial" w:eastAsia="Times New Roman" w:hAnsi="Arial" w:cs="Arial"/>
          <w:kern w:val="0"/>
          <w:sz w:val="24"/>
          <w:szCs w:val="24"/>
          <w:shd w:val="clear" w:color="auto" w:fill="FFFFFF"/>
          <w14:ligatures w14:val="none"/>
        </w:rPr>
        <w:t>selection of stably expressing cells was achieved by adding puromycin (1 μg/ml, Invitrogen</w:t>
      </w:r>
      <w:r w:rsidR="009D658C" w:rsidRPr="00EF0394">
        <w:rPr>
          <w:rFonts w:ascii="Arial" w:eastAsia="Times New Roman" w:hAnsi="Arial" w:cs="Arial"/>
          <w:kern w:val="0"/>
          <w:sz w:val="24"/>
          <w:szCs w:val="24"/>
          <w:shd w:val="clear" w:color="auto" w:fill="FFFFFF"/>
          <w14:ligatures w14:val="none"/>
        </w:rPr>
        <w:t>, Thermo Fisher Scientific, Waltham, MA, USA</w:t>
      </w:r>
      <w:r w:rsidRPr="00EF0394">
        <w:rPr>
          <w:rFonts w:ascii="Arial" w:eastAsia="Times New Roman" w:hAnsi="Arial" w:cs="Arial"/>
          <w:kern w:val="0"/>
          <w:sz w:val="24"/>
          <w:szCs w:val="24"/>
          <w:shd w:val="clear" w:color="auto" w:fill="FFFFFF"/>
          <w14:ligatures w14:val="none"/>
        </w:rPr>
        <w:t xml:space="preserve">), blasticidin (5 μg/ml Thermo </w:t>
      </w:r>
      <w:r w:rsidR="009D658C" w:rsidRPr="00EF0394">
        <w:rPr>
          <w:rFonts w:ascii="Arial" w:eastAsia="Times New Roman" w:hAnsi="Arial" w:cs="Arial"/>
          <w:kern w:val="0"/>
          <w:sz w:val="24"/>
          <w:szCs w:val="24"/>
          <w:shd w:val="clear" w:color="auto" w:fill="FFFFFF"/>
          <w14:ligatures w14:val="none"/>
        </w:rPr>
        <w:t xml:space="preserve">Fisher </w:t>
      </w:r>
      <w:r w:rsidRPr="00EF0394">
        <w:rPr>
          <w:rFonts w:ascii="Arial" w:eastAsia="Times New Roman" w:hAnsi="Arial" w:cs="Arial"/>
          <w:kern w:val="0"/>
          <w:sz w:val="24"/>
          <w:szCs w:val="24"/>
          <w:shd w:val="clear" w:color="auto" w:fill="FFFFFF"/>
          <w14:ligatures w14:val="none"/>
        </w:rPr>
        <w:t>Scientific</w:t>
      </w:r>
      <w:r w:rsidR="009D658C" w:rsidRPr="00EF0394">
        <w:rPr>
          <w:rFonts w:ascii="Arial" w:eastAsia="Times New Roman" w:hAnsi="Arial" w:cs="Arial"/>
          <w:kern w:val="0"/>
          <w:sz w:val="24"/>
          <w:szCs w:val="24"/>
          <w:shd w:val="clear" w:color="auto" w:fill="FFFFFF"/>
          <w14:ligatures w14:val="none"/>
        </w:rPr>
        <w:t>, Waltham, MA, USA</w:t>
      </w:r>
      <w:r w:rsidRPr="00EF0394">
        <w:rPr>
          <w:rFonts w:ascii="Arial" w:eastAsia="Times New Roman" w:hAnsi="Arial" w:cs="Arial"/>
          <w:kern w:val="0"/>
          <w:sz w:val="24"/>
          <w:szCs w:val="24"/>
          <w:shd w:val="clear" w:color="auto" w:fill="FFFFFF"/>
          <w14:ligatures w14:val="none"/>
        </w:rPr>
        <w:t>), or zeocin (100 μg/ml, Thermo</w:t>
      </w:r>
      <w:r w:rsidR="009D658C" w:rsidRPr="00EF0394">
        <w:rPr>
          <w:rFonts w:ascii="Arial" w:eastAsia="Times New Roman" w:hAnsi="Arial" w:cs="Arial"/>
          <w:kern w:val="0"/>
          <w:sz w:val="24"/>
          <w:szCs w:val="24"/>
          <w:shd w:val="clear" w:color="auto" w:fill="FFFFFF"/>
          <w14:ligatures w14:val="none"/>
        </w:rPr>
        <w:t xml:space="preserve"> Fisher</w:t>
      </w:r>
      <w:r w:rsidRPr="00EF0394">
        <w:rPr>
          <w:rFonts w:ascii="Arial" w:eastAsia="Times New Roman" w:hAnsi="Arial" w:cs="Arial"/>
          <w:kern w:val="0"/>
          <w:sz w:val="24"/>
          <w:szCs w:val="24"/>
          <w:shd w:val="clear" w:color="auto" w:fill="FFFFFF"/>
          <w14:ligatures w14:val="none"/>
        </w:rPr>
        <w:t xml:space="preserve"> Scientific</w:t>
      </w:r>
      <w:r w:rsidR="009D658C" w:rsidRPr="00EF0394">
        <w:rPr>
          <w:rFonts w:ascii="Arial" w:eastAsia="Times New Roman" w:hAnsi="Arial" w:cs="Arial"/>
          <w:kern w:val="0"/>
          <w:sz w:val="24"/>
          <w:szCs w:val="24"/>
          <w:shd w:val="clear" w:color="auto" w:fill="FFFFFF"/>
          <w14:ligatures w14:val="none"/>
        </w:rPr>
        <w:t>, Waltham, MA, USA</w:t>
      </w:r>
      <w:r w:rsidRPr="00EF0394">
        <w:rPr>
          <w:rFonts w:ascii="Arial" w:eastAsia="Times New Roman" w:hAnsi="Arial" w:cs="Arial"/>
          <w:kern w:val="0"/>
          <w:sz w:val="24"/>
          <w:szCs w:val="24"/>
          <w:shd w:val="clear" w:color="auto" w:fill="FFFFFF"/>
          <w14:ligatures w14:val="none"/>
        </w:rPr>
        <w:t>).</w:t>
      </w:r>
    </w:p>
    <w:p w14:paraId="5CDE5998" w14:textId="77777777" w:rsidR="009D2A9E" w:rsidRPr="00EF0394" w:rsidRDefault="009D2A9E" w:rsidP="00C578FA">
      <w:pPr>
        <w:spacing w:after="0" w:line="336" w:lineRule="auto"/>
        <w:rPr>
          <w:rFonts w:ascii="Arial" w:eastAsia="Times New Roman" w:hAnsi="Arial" w:cs="Arial"/>
          <w:b/>
          <w:bCs/>
          <w:kern w:val="0"/>
          <w:sz w:val="24"/>
          <w:szCs w:val="24"/>
          <w:shd w:val="clear" w:color="auto" w:fill="FFFFFF"/>
          <w14:ligatures w14:val="none"/>
        </w:rPr>
      </w:pPr>
    </w:p>
    <w:p w14:paraId="00A4EC6B" w14:textId="69B295BC" w:rsidR="005C0C90" w:rsidRPr="00EF0394" w:rsidRDefault="00082AD1" w:rsidP="00C578FA">
      <w:pPr>
        <w:spacing w:after="0" w:line="336" w:lineRule="auto"/>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2.3 </w:t>
      </w:r>
      <w:r w:rsidR="005C0C90" w:rsidRPr="00EF0394">
        <w:rPr>
          <w:rFonts w:ascii="Arial" w:eastAsia="Times New Roman" w:hAnsi="Arial" w:cs="Arial"/>
          <w:b/>
          <w:bCs/>
          <w:kern w:val="0"/>
          <w:sz w:val="24"/>
          <w:szCs w:val="24"/>
          <w:shd w:val="clear" w:color="auto" w:fill="FFFFFF"/>
          <w14:ligatures w14:val="none"/>
        </w:rPr>
        <w:t xml:space="preserve">Western Blot  </w:t>
      </w:r>
    </w:p>
    <w:p w14:paraId="123128BB" w14:textId="4EBEA450" w:rsidR="00E878AC" w:rsidRPr="00EF0394" w:rsidRDefault="00C430B2" w:rsidP="00C578FA">
      <w:pPr>
        <w:spacing w:after="0" w:line="336" w:lineRule="auto"/>
        <w:jc w:val="both"/>
        <w:rPr>
          <w:rFonts w:ascii="Arial" w:eastAsia="Times New Roman" w:hAnsi="Arial" w:cs="Arial"/>
          <w:kern w:val="0"/>
          <w:sz w:val="24"/>
          <w:szCs w:val="24"/>
          <w:shd w:val="clear" w:color="auto" w:fill="FFFFFF"/>
          <w14:ligatures w14:val="none"/>
        </w:rPr>
      </w:pPr>
      <w:r w:rsidRPr="00EF0394">
        <w:rPr>
          <w:rFonts w:ascii="Arial" w:eastAsia="Times New Roman" w:hAnsi="Arial" w:cs="Arial"/>
          <w:kern w:val="0"/>
          <w:sz w:val="24"/>
          <w:szCs w:val="24"/>
          <w:shd w:val="clear" w:color="auto" w:fill="FFFFFF"/>
          <w14:ligatures w14:val="none"/>
        </w:rPr>
        <w:t>Western blot analysis was conducted according to Anker et al., 2018. Whole-cell extraction was performed using RIPA buffer</w:t>
      </w:r>
      <w:r w:rsidR="009D658C" w:rsidRPr="00EF0394">
        <w:rPr>
          <w:rFonts w:ascii="Arial" w:eastAsia="Times New Roman" w:hAnsi="Arial" w:cs="Arial"/>
          <w:kern w:val="0"/>
          <w:sz w:val="24"/>
          <w:szCs w:val="24"/>
          <w:shd w:val="clear" w:color="auto" w:fill="FFFFFF"/>
          <w14:ligatures w14:val="none"/>
        </w:rPr>
        <w:t xml:space="preserve"> (Thermo Fisher Scientific, Waltham, MA, USA)</w:t>
      </w:r>
      <w:r w:rsidRPr="00EF0394">
        <w:rPr>
          <w:rFonts w:ascii="Arial" w:eastAsia="Times New Roman" w:hAnsi="Arial" w:cs="Arial"/>
          <w:kern w:val="0"/>
          <w:sz w:val="24"/>
          <w:szCs w:val="24"/>
          <w:shd w:val="clear" w:color="auto" w:fill="FFFFFF"/>
          <w14:ligatures w14:val="none"/>
        </w:rPr>
        <w:t xml:space="preserve"> (50 mM Tris, 150 mM NaCl, 1% Triton X-100, 0.1% SDS, and 1% NaDeoxycholate [pH 7.4]), supplemented with protease inhibitors (1 mM phenylmethylsulfonyl fluoride, 10 μg/ml peptasin A, 10 μg/ml aprotinin, and 5 μg/ml leupeptin). Protein concentrations were quantified using Bio-rad protein assay kits (BioRad, Hercules, CA). Subsequently, protein lysates were separated by SDS-PAGE, transferred onto nitrocellulose membranes, blocked with PBS containing 0.2% Tween 20 and 5% BSA, and probed with primary antibodies. The primary antibodies employed were p53 (FL-393, sc-6243, Santa Cruz; 1:1000) and anti-β-actin (Sigma, 1:5000). The developed blot was visualized using the ECL Prime Western Blot Detection Kit </w:t>
      </w:r>
      <w:r w:rsidR="00A06CDD" w:rsidRPr="00EF0394">
        <w:rPr>
          <w:rFonts w:ascii="Arial" w:eastAsia="Times New Roman" w:hAnsi="Arial" w:cs="Arial"/>
          <w:kern w:val="0"/>
          <w:sz w:val="24"/>
          <w:szCs w:val="24"/>
          <w:shd w:val="clear" w:color="auto" w:fill="FFFFFF"/>
          <w14:ligatures w14:val="none"/>
        </w:rPr>
        <w:t>by</w:t>
      </w:r>
      <w:r w:rsidRPr="00EF0394">
        <w:rPr>
          <w:rFonts w:ascii="Arial" w:eastAsia="Times New Roman" w:hAnsi="Arial" w:cs="Arial"/>
          <w:kern w:val="0"/>
          <w:sz w:val="24"/>
          <w:szCs w:val="24"/>
          <w:shd w:val="clear" w:color="auto" w:fill="FFFFFF"/>
          <w14:ligatures w14:val="none"/>
        </w:rPr>
        <w:t xml:space="preserve"> the manufacturer’s protocol (Amersham</w:t>
      </w:r>
      <w:r w:rsidR="009D658C" w:rsidRPr="00EF0394">
        <w:rPr>
          <w:rFonts w:ascii="Arial" w:eastAsia="Times New Roman" w:hAnsi="Arial" w:cs="Arial"/>
          <w:kern w:val="0"/>
          <w:sz w:val="24"/>
          <w:szCs w:val="24"/>
          <w:shd w:val="clear" w:color="auto" w:fill="FFFFFF"/>
          <w14:ligatures w14:val="none"/>
        </w:rPr>
        <w:t>,</w:t>
      </w:r>
      <w:r w:rsidR="009D658C" w:rsidRPr="00EF0394">
        <w:rPr>
          <w:rFonts w:ascii="Arial" w:hAnsi="Arial" w:cs="Arial"/>
        </w:rPr>
        <w:t xml:space="preserve"> </w:t>
      </w:r>
      <w:r w:rsidR="009D658C" w:rsidRPr="00EF0394">
        <w:rPr>
          <w:rFonts w:ascii="Arial" w:eastAsia="Times New Roman" w:hAnsi="Arial" w:cs="Arial"/>
          <w:kern w:val="0"/>
          <w:sz w:val="24"/>
          <w:szCs w:val="24"/>
          <w:shd w:val="clear" w:color="auto" w:fill="FFFFFF"/>
          <w14:ligatures w14:val="none"/>
        </w:rPr>
        <w:t>United Kingdom</w:t>
      </w:r>
      <w:r w:rsidRPr="00EF0394">
        <w:rPr>
          <w:rFonts w:ascii="Arial" w:eastAsia="Times New Roman" w:hAnsi="Arial" w:cs="Arial"/>
          <w:kern w:val="0"/>
          <w:sz w:val="24"/>
          <w:szCs w:val="24"/>
          <w:shd w:val="clear" w:color="auto" w:fill="FFFFFF"/>
          <w14:ligatures w14:val="none"/>
        </w:rPr>
        <w:t>).</w:t>
      </w:r>
    </w:p>
    <w:p w14:paraId="3B3DA2F7" w14:textId="77777777" w:rsidR="009D2A9E" w:rsidRPr="00EF0394" w:rsidRDefault="009D2A9E" w:rsidP="00C578FA">
      <w:pPr>
        <w:spacing w:after="0" w:line="336" w:lineRule="auto"/>
        <w:jc w:val="both"/>
        <w:rPr>
          <w:rFonts w:ascii="Arial" w:eastAsia="Times New Roman" w:hAnsi="Arial" w:cs="Arial"/>
          <w:b/>
          <w:bCs/>
          <w:kern w:val="0"/>
          <w:sz w:val="24"/>
          <w:szCs w:val="24"/>
          <w:shd w:val="clear" w:color="auto" w:fill="FFFFFF"/>
          <w14:ligatures w14:val="none"/>
        </w:rPr>
      </w:pPr>
    </w:p>
    <w:p w14:paraId="02F43F8A" w14:textId="44582B23" w:rsidR="00C430B2" w:rsidRPr="00EF0394" w:rsidRDefault="00082AD1" w:rsidP="00C578FA">
      <w:pPr>
        <w:spacing w:after="0" w:line="336" w:lineRule="auto"/>
        <w:jc w:val="both"/>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2.4 </w:t>
      </w:r>
      <w:r w:rsidR="005C0C90" w:rsidRPr="00EF0394">
        <w:rPr>
          <w:rFonts w:ascii="Arial" w:eastAsia="Times New Roman" w:hAnsi="Arial" w:cs="Arial"/>
          <w:b/>
          <w:bCs/>
          <w:kern w:val="0"/>
          <w:sz w:val="24"/>
          <w:szCs w:val="24"/>
          <w:shd w:val="clear" w:color="auto" w:fill="FFFFFF"/>
          <w14:ligatures w14:val="none"/>
        </w:rPr>
        <w:t xml:space="preserve">Hydrophilic Metabolome </w:t>
      </w:r>
      <w:r w:rsidR="00C578FA" w:rsidRPr="00EF0394">
        <w:rPr>
          <w:rFonts w:ascii="Arial" w:eastAsia="Times New Roman" w:hAnsi="Arial" w:cs="Arial"/>
          <w:b/>
          <w:bCs/>
          <w:kern w:val="0"/>
          <w:sz w:val="24"/>
          <w:szCs w:val="24"/>
          <w:shd w:val="clear" w:color="auto" w:fill="FFFFFF"/>
          <w14:ligatures w14:val="none"/>
        </w:rPr>
        <w:t>of</w:t>
      </w:r>
      <w:r w:rsidR="005C0C90" w:rsidRPr="00EF0394">
        <w:rPr>
          <w:rFonts w:ascii="Arial" w:eastAsia="Times New Roman" w:hAnsi="Arial" w:cs="Arial"/>
          <w:b/>
          <w:bCs/>
          <w:kern w:val="0"/>
          <w:sz w:val="24"/>
          <w:szCs w:val="24"/>
          <w:shd w:val="clear" w:color="auto" w:fill="FFFFFF"/>
          <w14:ligatures w14:val="none"/>
        </w:rPr>
        <w:t xml:space="preserve"> </w:t>
      </w:r>
      <w:r w:rsidR="00A6016E" w:rsidRPr="00EF0394">
        <w:rPr>
          <w:rFonts w:ascii="Arial" w:eastAsia="Times New Roman" w:hAnsi="Arial" w:cs="Arial"/>
          <w:b/>
          <w:bCs/>
          <w:kern w:val="0"/>
          <w:sz w:val="24"/>
          <w:szCs w:val="24"/>
          <w:shd w:val="clear" w:color="auto" w:fill="FFFFFF"/>
          <w14:ligatures w14:val="none"/>
        </w:rPr>
        <w:t xml:space="preserve">TP53 </w:t>
      </w:r>
      <w:r w:rsidR="00C578FA" w:rsidRPr="00EF0394">
        <w:rPr>
          <w:rFonts w:ascii="Arial" w:eastAsia="Times New Roman" w:hAnsi="Arial" w:cs="Arial"/>
          <w:b/>
          <w:bCs/>
          <w:kern w:val="0"/>
          <w:sz w:val="24"/>
          <w:szCs w:val="24"/>
          <w:shd w:val="clear" w:color="auto" w:fill="FFFFFF"/>
          <w14:ligatures w14:val="none"/>
        </w:rPr>
        <w:t>Mutants</w:t>
      </w:r>
      <w:r w:rsidR="005C0C90" w:rsidRPr="00EF0394">
        <w:rPr>
          <w:rFonts w:ascii="Arial" w:eastAsia="Times New Roman" w:hAnsi="Arial" w:cs="Arial"/>
          <w:b/>
          <w:bCs/>
          <w:kern w:val="0"/>
          <w:sz w:val="24"/>
          <w:szCs w:val="24"/>
          <w:shd w:val="clear" w:color="auto" w:fill="FFFFFF"/>
          <w14:ligatures w14:val="none"/>
        </w:rPr>
        <w:t xml:space="preserve"> </w:t>
      </w:r>
    </w:p>
    <w:p w14:paraId="04BF7C7D" w14:textId="10716077" w:rsidR="009D2A9E" w:rsidRPr="00EF0394" w:rsidRDefault="00A6016E" w:rsidP="00C578FA">
      <w:pPr>
        <w:spacing w:after="0" w:line="336" w:lineRule="auto"/>
        <w:jc w:val="both"/>
        <w:rPr>
          <w:rStyle w:val="s6"/>
          <w:rFonts w:ascii="Arial" w:hAnsi="Arial" w:cs="Arial"/>
          <w:color w:val="000000"/>
          <w:sz w:val="24"/>
          <w:szCs w:val="24"/>
        </w:rPr>
      </w:pPr>
      <w:r w:rsidRPr="00EF0394">
        <w:rPr>
          <w:rFonts w:ascii="Arial" w:hAnsi="Arial" w:cs="Arial"/>
          <w:sz w:val="24"/>
          <w:szCs w:val="24"/>
          <w:shd w:val="clear" w:color="auto" w:fill="FFFFFF"/>
        </w:rPr>
        <w:t>V5-DEST-GFP, V5-p53-wt-p53, V5-p53-R175H, and V5-p53-R273H cell lines were cultured at a density of 2×10</w:t>
      </w:r>
      <w:r w:rsidR="000121D4" w:rsidRPr="00EF0394">
        <w:rPr>
          <w:rFonts w:ascii="Arial" w:hAnsi="Arial" w:cs="Arial"/>
          <w:sz w:val="24"/>
          <w:szCs w:val="24"/>
          <w:shd w:val="clear" w:color="auto" w:fill="FFFFFF"/>
          <w:vertAlign w:val="superscript"/>
        </w:rPr>
        <w:t>6</w:t>
      </w:r>
      <w:r w:rsidRPr="00EF0394">
        <w:rPr>
          <w:rFonts w:ascii="Arial" w:hAnsi="Arial" w:cs="Arial"/>
          <w:sz w:val="24"/>
          <w:szCs w:val="24"/>
          <w:shd w:val="clear" w:color="auto" w:fill="FFFFFF"/>
        </w:rPr>
        <w:t xml:space="preserve"> cells in triplicate and allowed to adhere overnight in a humidified 5% CO</w:t>
      </w:r>
      <w:r w:rsidRPr="00EF0394">
        <w:rPr>
          <w:rFonts w:ascii="Arial" w:hAnsi="Arial" w:cs="Arial"/>
          <w:sz w:val="24"/>
          <w:szCs w:val="24"/>
          <w:shd w:val="clear" w:color="auto" w:fill="FFFFFF"/>
          <w:vertAlign w:val="subscript"/>
        </w:rPr>
        <w:t xml:space="preserve">2 </w:t>
      </w:r>
      <w:r w:rsidRPr="00EF0394">
        <w:rPr>
          <w:rFonts w:ascii="Arial" w:hAnsi="Arial" w:cs="Arial"/>
          <w:sz w:val="24"/>
          <w:szCs w:val="24"/>
          <w:shd w:val="clear" w:color="auto" w:fill="FFFFFF"/>
        </w:rPr>
        <w:t xml:space="preserve">incubator at 37°C for 24 hours. </w:t>
      </w:r>
      <w:r w:rsidR="00C430B2" w:rsidRPr="00EF0394">
        <w:rPr>
          <w:rStyle w:val="s6"/>
          <w:rFonts w:ascii="Arial" w:hAnsi="Arial" w:cs="Arial"/>
          <w:color w:val="000000"/>
          <w:sz w:val="24"/>
          <w:szCs w:val="24"/>
        </w:rPr>
        <w:t xml:space="preserve">Cells were washed twice with cold PBS, and pellets were resuspended in 80% methanol and then lysed by </w:t>
      </w:r>
      <w:r w:rsidR="00A06CDD" w:rsidRPr="00EF0394">
        <w:rPr>
          <w:rStyle w:val="s6"/>
          <w:rFonts w:ascii="Arial" w:hAnsi="Arial" w:cs="Arial"/>
          <w:color w:val="000000"/>
          <w:sz w:val="24"/>
          <w:szCs w:val="24"/>
        </w:rPr>
        <w:t>five</w:t>
      </w:r>
      <w:r w:rsidR="00C430B2" w:rsidRPr="00EF0394">
        <w:rPr>
          <w:rStyle w:val="s6"/>
          <w:rFonts w:ascii="Arial" w:hAnsi="Arial" w:cs="Arial"/>
          <w:color w:val="000000"/>
          <w:sz w:val="24"/>
          <w:szCs w:val="24"/>
        </w:rPr>
        <w:t xml:space="preserve"> freeze</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thaw cycles (LN2 freezing followed by thawing at room temperature). Samples were then collected and centrifuged at 20,000 x g for 30 min at </w:t>
      </w:r>
      <w:r w:rsidR="00A06CDD" w:rsidRPr="00EF0394">
        <w:rPr>
          <w:rStyle w:val="s6"/>
          <w:rFonts w:ascii="Arial" w:hAnsi="Arial" w:cs="Arial"/>
          <w:color w:val="000000"/>
          <w:sz w:val="24"/>
          <w:szCs w:val="24"/>
        </w:rPr>
        <w:t>four</w:t>
      </w:r>
      <w:r w:rsidR="00C430B2" w:rsidRPr="00EF0394">
        <w:rPr>
          <w:rStyle w:val="s6"/>
          <w:rFonts w:ascii="Arial" w:hAnsi="Arial" w:cs="Arial"/>
          <w:color w:val="000000"/>
          <w:sz w:val="24"/>
          <w:szCs w:val="24"/>
        </w:rPr>
        <w:t xml:space="preserve"> °C, and the supernatant was dried using SpeedVac. 50% acetonitrile was added to the tube for reconstitution</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 </w:t>
      </w:r>
      <w:r w:rsidR="006648CA" w:rsidRPr="00EF0394">
        <w:rPr>
          <w:rStyle w:val="s6"/>
          <w:rFonts w:ascii="Arial" w:hAnsi="Arial" w:cs="Arial"/>
          <w:color w:val="000000"/>
          <w:sz w:val="24"/>
          <w:szCs w:val="24"/>
        </w:rPr>
        <w:t xml:space="preserve">followed </w:t>
      </w:r>
      <w:r w:rsidR="00C430B2" w:rsidRPr="00EF0394">
        <w:rPr>
          <w:rStyle w:val="s6"/>
          <w:rFonts w:ascii="Arial" w:hAnsi="Arial" w:cs="Arial"/>
          <w:color w:val="000000"/>
          <w:sz w:val="24"/>
          <w:szCs w:val="24"/>
        </w:rPr>
        <w:t xml:space="preserve">by </w:t>
      </w:r>
      <w:r w:rsidR="006C2CA9" w:rsidRPr="00EF0394">
        <w:rPr>
          <w:rStyle w:val="s6"/>
          <w:rFonts w:ascii="Arial" w:hAnsi="Arial" w:cs="Arial"/>
          <w:color w:val="000000"/>
          <w:sz w:val="24"/>
          <w:szCs w:val="24"/>
        </w:rPr>
        <w:t>vortexing</w:t>
      </w:r>
      <w:r w:rsidR="00C430B2" w:rsidRPr="00EF0394">
        <w:rPr>
          <w:rStyle w:val="s6"/>
          <w:rFonts w:ascii="Arial" w:hAnsi="Arial" w:cs="Arial"/>
          <w:color w:val="000000"/>
          <w:sz w:val="24"/>
          <w:szCs w:val="24"/>
        </w:rPr>
        <w:t xml:space="preserve"> for 30 sec. </w:t>
      </w:r>
      <w:r w:rsidR="006648CA" w:rsidRPr="00EF0394">
        <w:rPr>
          <w:rStyle w:val="s6"/>
          <w:rFonts w:ascii="Arial" w:hAnsi="Arial" w:cs="Arial"/>
          <w:color w:val="000000"/>
          <w:sz w:val="24"/>
          <w:szCs w:val="24"/>
        </w:rPr>
        <w:t xml:space="preserve">The sample </w:t>
      </w:r>
      <w:r w:rsidR="00C430B2" w:rsidRPr="00EF0394">
        <w:rPr>
          <w:rStyle w:val="s6"/>
          <w:rFonts w:ascii="Arial" w:hAnsi="Arial" w:cs="Arial"/>
          <w:color w:val="000000"/>
          <w:sz w:val="24"/>
          <w:szCs w:val="24"/>
        </w:rPr>
        <w:t xml:space="preserve">solution was then centrifuged for 15 min </w:t>
      </w:r>
      <w:r w:rsidR="00A06CDD" w:rsidRPr="00EF0394">
        <w:rPr>
          <w:rStyle w:val="s6"/>
          <w:rFonts w:ascii="Arial" w:hAnsi="Arial" w:cs="Arial"/>
          <w:color w:val="000000"/>
          <w:sz w:val="24"/>
          <w:szCs w:val="24"/>
        </w:rPr>
        <w:t xml:space="preserve">at </w:t>
      </w:r>
      <w:r w:rsidR="00C430B2" w:rsidRPr="00EF0394">
        <w:rPr>
          <w:rStyle w:val="s6"/>
          <w:rFonts w:ascii="Arial" w:hAnsi="Arial" w:cs="Arial"/>
          <w:color w:val="000000"/>
          <w:sz w:val="24"/>
          <w:szCs w:val="24"/>
        </w:rPr>
        <w:t xml:space="preserve">20,000 x g, </w:t>
      </w:r>
      <w:r w:rsidR="00A06CDD" w:rsidRPr="00EF0394">
        <w:rPr>
          <w:rStyle w:val="s6"/>
          <w:rFonts w:ascii="Arial" w:hAnsi="Arial" w:cs="Arial"/>
          <w:color w:val="000000"/>
          <w:sz w:val="24"/>
          <w:szCs w:val="24"/>
        </w:rPr>
        <w:t>four</w:t>
      </w:r>
      <w:r w:rsidR="00C430B2" w:rsidRPr="00EF0394">
        <w:rPr>
          <w:rStyle w:val="s6"/>
          <w:rFonts w:ascii="Arial" w:hAnsi="Arial" w:cs="Arial"/>
          <w:color w:val="000000"/>
          <w:sz w:val="24"/>
          <w:szCs w:val="24"/>
        </w:rPr>
        <w:t xml:space="preserve"> °C. </w:t>
      </w:r>
      <w:r w:rsidR="00A06CDD" w:rsidRPr="00EF0394">
        <w:rPr>
          <w:rStyle w:val="s6"/>
          <w:rFonts w:ascii="Arial" w:hAnsi="Arial" w:cs="Arial"/>
          <w:color w:val="000000"/>
          <w:sz w:val="24"/>
          <w:szCs w:val="24"/>
        </w:rPr>
        <w:t>The s</w:t>
      </w:r>
      <w:r w:rsidR="00C430B2" w:rsidRPr="00EF0394">
        <w:rPr>
          <w:rStyle w:val="s6"/>
          <w:rFonts w:ascii="Arial" w:hAnsi="Arial" w:cs="Arial"/>
          <w:color w:val="000000"/>
          <w:sz w:val="24"/>
          <w:szCs w:val="24"/>
        </w:rPr>
        <w:t>upernatant was collected for liquid</w:t>
      </w:r>
      <w:r w:rsidR="00C430B2" w:rsidRPr="00EF0394">
        <w:rPr>
          <w:rStyle w:val="s6"/>
          <w:rFonts w:ascii="Cambria Math" w:hAnsi="Cambria Math" w:cs="Cambria Math"/>
          <w:color w:val="000000"/>
          <w:sz w:val="24"/>
          <w:szCs w:val="24"/>
        </w:rPr>
        <w:t>‐</w:t>
      </w:r>
      <w:r w:rsidR="00C430B2" w:rsidRPr="00EF0394">
        <w:rPr>
          <w:rStyle w:val="s6"/>
          <w:rFonts w:ascii="Arial" w:hAnsi="Arial" w:cs="Arial"/>
          <w:color w:val="000000"/>
          <w:sz w:val="24"/>
          <w:szCs w:val="24"/>
        </w:rPr>
        <w:t>chromatography mass spectrometry (LC</w:t>
      </w:r>
      <w:r w:rsidR="00C430B2" w:rsidRPr="00EF0394">
        <w:rPr>
          <w:rStyle w:val="s6"/>
          <w:rFonts w:ascii="Cambria Math" w:hAnsi="Cambria Math" w:cs="Cambria Math"/>
          <w:color w:val="000000"/>
          <w:sz w:val="24"/>
          <w:szCs w:val="24"/>
        </w:rPr>
        <w:t>‐</w:t>
      </w:r>
      <w:r w:rsidR="00C430B2" w:rsidRPr="00EF0394">
        <w:rPr>
          <w:rStyle w:val="s6"/>
          <w:rFonts w:ascii="Arial" w:hAnsi="Arial" w:cs="Arial"/>
          <w:color w:val="000000"/>
          <w:sz w:val="24"/>
          <w:szCs w:val="24"/>
        </w:rPr>
        <w:t xml:space="preserve">MS) analysis. </w:t>
      </w:r>
      <w:r w:rsidR="006C2CA9" w:rsidRPr="00EF0394">
        <w:rPr>
          <w:rStyle w:val="s6"/>
          <w:rFonts w:ascii="Arial" w:hAnsi="Arial" w:cs="Arial"/>
          <w:color w:val="000000"/>
          <w:sz w:val="24"/>
          <w:szCs w:val="24"/>
        </w:rPr>
        <w:t>S</w:t>
      </w:r>
      <w:r w:rsidR="00C430B2" w:rsidRPr="00EF0394">
        <w:rPr>
          <w:rStyle w:val="s6"/>
          <w:rFonts w:ascii="Arial" w:hAnsi="Arial" w:cs="Arial"/>
          <w:color w:val="000000"/>
          <w:sz w:val="24"/>
          <w:szCs w:val="24"/>
        </w:rPr>
        <w:t>amples</w:t>
      </w:r>
      <w:r w:rsidR="006C2CA9" w:rsidRPr="00EF0394">
        <w:rPr>
          <w:rStyle w:val="s6"/>
          <w:rFonts w:ascii="Arial" w:hAnsi="Arial" w:cs="Arial"/>
          <w:color w:val="000000"/>
          <w:sz w:val="24"/>
          <w:szCs w:val="24"/>
        </w:rPr>
        <w:t xml:space="preserve"> in triplicates</w:t>
      </w:r>
      <w:r w:rsidR="00C430B2" w:rsidRPr="00EF0394">
        <w:rPr>
          <w:rStyle w:val="s6"/>
          <w:rFonts w:ascii="Arial" w:hAnsi="Arial" w:cs="Arial"/>
          <w:color w:val="000000"/>
          <w:sz w:val="24"/>
          <w:szCs w:val="24"/>
        </w:rPr>
        <w:t xml:space="preserve"> were analyzed by High-Performance Liquid Chromatography</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 High-Resolution Mass Spectrometry</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 and Tandem Mass Spectrometry (HPLC-MS/MS). Specifically, </w:t>
      </w:r>
      <w:r w:rsidR="006648CA" w:rsidRPr="00EF0394">
        <w:rPr>
          <w:rStyle w:val="s6"/>
          <w:rFonts w:ascii="Arial" w:hAnsi="Arial" w:cs="Arial"/>
          <w:color w:val="000000"/>
          <w:sz w:val="24"/>
          <w:szCs w:val="24"/>
        </w:rPr>
        <w:t xml:space="preserve">the </w:t>
      </w:r>
      <w:r w:rsidR="00C430B2" w:rsidRPr="00EF0394">
        <w:rPr>
          <w:rStyle w:val="s6"/>
          <w:rFonts w:ascii="Arial" w:hAnsi="Arial" w:cs="Arial"/>
          <w:color w:val="000000"/>
          <w:sz w:val="24"/>
          <w:szCs w:val="24"/>
        </w:rPr>
        <w:t>system consisted of a Thermo Q-Exactive in line with an electrospray source and an Ultimate3000 (Thermo) series HPLC consisting of a binary pump, degasser, and auto-sampler outfitted with a</w:t>
      </w:r>
      <w:r w:rsidR="00A06CDD" w:rsidRPr="00EF0394">
        <w:rPr>
          <w:rStyle w:val="s6"/>
          <w:rFonts w:ascii="Arial" w:hAnsi="Arial" w:cs="Arial"/>
          <w:color w:val="000000"/>
          <w:sz w:val="24"/>
          <w:szCs w:val="24"/>
        </w:rPr>
        <w:t>n</w:t>
      </w:r>
      <w:r w:rsidR="00C430B2" w:rsidRPr="00EF0394">
        <w:rPr>
          <w:rStyle w:val="s6"/>
          <w:rFonts w:ascii="Arial" w:hAnsi="Arial" w:cs="Arial"/>
          <w:color w:val="000000"/>
          <w:sz w:val="24"/>
          <w:szCs w:val="24"/>
        </w:rPr>
        <w:t xml:space="preserve"> Xbridge Amide column (Waters; dimensions of 4.6 mm × 100 mm and a 3.5 μm particle size). The mobile phase A contained 95% (vol/vol) water, 5% (vol/vol) acetonitrile, 20 mM ammonium hydroxide, 20 mM ammonium acetate, pH = 9.0; B was 100% Acetonitrile. The gradient was as </w:t>
      </w:r>
      <w:r w:rsidR="006648CA" w:rsidRPr="00EF0394">
        <w:rPr>
          <w:rStyle w:val="s6"/>
          <w:rFonts w:ascii="Arial" w:hAnsi="Arial" w:cs="Arial"/>
          <w:color w:val="000000"/>
          <w:sz w:val="24"/>
          <w:szCs w:val="24"/>
        </w:rPr>
        <w:t>follows</w:t>
      </w:r>
      <w:r w:rsidR="00C430B2" w:rsidRPr="00EF0394">
        <w:rPr>
          <w:rStyle w:val="s6"/>
          <w:rFonts w:ascii="Arial" w:hAnsi="Arial" w:cs="Arial"/>
          <w:color w:val="000000"/>
          <w:sz w:val="24"/>
          <w:szCs w:val="24"/>
        </w:rPr>
        <w:t xml:space="preserve">: 0 min, 15% A; 2.5 min, 30% A; 7 min, 43% A; 16 min, 62% A; 16.1-18 min, 75% A; 18-25 min, 15% A with a flow rate of 400 μL/min. The capillary of the ESI source was set to 275 °C, with sheath gas at 45 </w:t>
      </w:r>
      <w:r w:rsidR="00C430B2" w:rsidRPr="00EF0394">
        <w:rPr>
          <w:rStyle w:val="s6"/>
          <w:rFonts w:ascii="Arial" w:hAnsi="Arial" w:cs="Arial"/>
          <w:color w:val="000000"/>
          <w:sz w:val="24"/>
          <w:szCs w:val="24"/>
        </w:rPr>
        <w:lastRenderedPageBreak/>
        <w:t xml:space="preserve">arbitrary units, auxiliary gas at </w:t>
      </w:r>
      <w:r w:rsidR="00A06CDD" w:rsidRPr="00EF0394">
        <w:rPr>
          <w:rStyle w:val="s6"/>
          <w:rFonts w:ascii="Arial" w:hAnsi="Arial" w:cs="Arial"/>
          <w:color w:val="000000"/>
          <w:sz w:val="24"/>
          <w:szCs w:val="24"/>
        </w:rPr>
        <w:t>five</w:t>
      </w:r>
      <w:r w:rsidR="00C430B2" w:rsidRPr="00EF0394">
        <w:rPr>
          <w:rStyle w:val="s6"/>
          <w:rFonts w:ascii="Arial" w:hAnsi="Arial" w:cs="Arial"/>
          <w:color w:val="000000"/>
          <w:sz w:val="24"/>
          <w:szCs w:val="24"/>
        </w:rPr>
        <w:t xml:space="preserve"> arbitrary units</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 and the spray voltage at 4.0 kV. In positive/negative polarity switching mode, an m/z scan range from 70 to 850 was chosen</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 and MS1 data was collected at a resolution of 70,000. The automatic gain control (AGC) target was set at 1 × 106</w:t>
      </w:r>
      <w:r w:rsidR="00A06CDD" w:rsidRPr="00EF0394">
        <w:rPr>
          <w:rStyle w:val="s6"/>
          <w:rFonts w:ascii="Arial" w:hAnsi="Arial" w:cs="Arial"/>
          <w:color w:val="000000"/>
          <w:sz w:val="24"/>
          <w:szCs w:val="24"/>
        </w:rPr>
        <w:t>,</w:t>
      </w:r>
      <w:r w:rsidR="00C430B2" w:rsidRPr="00EF0394">
        <w:rPr>
          <w:rStyle w:val="s6"/>
          <w:rFonts w:ascii="Arial" w:hAnsi="Arial" w:cs="Arial"/>
          <w:color w:val="000000"/>
          <w:sz w:val="24"/>
          <w:szCs w:val="24"/>
        </w:rPr>
        <w:t xml:space="preserve"> and the maximum injection time was 200 ms. The top 5 precursor ions were subsequently fragmented in a data-dependent manner, using the higher energy collisional dissociation (HCD) cell set to 30% normalized collision energy in MS2 at a resolution power of 17,500. Besides matching m/z, metabolites are identified by matching either retention time with analytical standards and/or MS2 fragmentation pattern. Data acquisition and analysis were carried out by Xcalibur 4.1 software and </w:t>
      </w:r>
      <w:r w:rsidR="00F44297" w:rsidRPr="00EF0394">
        <w:rPr>
          <w:rStyle w:val="s6"/>
          <w:rFonts w:ascii="Arial" w:hAnsi="Arial" w:cs="Arial"/>
          <w:color w:val="000000"/>
          <w:sz w:val="24"/>
          <w:szCs w:val="24"/>
        </w:rPr>
        <w:t>Trace finder</w:t>
      </w:r>
      <w:r w:rsidR="00C430B2" w:rsidRPr="00EF0394">
        <w:rPr>
          <w:rStyle w:val="s6"/>
          <w:rFonts w:ascii="Arial" w:hAnsi="Arial" w:cs="Arial"/>
          <w:color w:val="000000"/>
          <w:sz w:val="24"/>
          <w:szCs w:val="24"/>
        </w:rPr>
        <w:t xml:space="preserve"> 4.1 software, respectively (both from Thermo Fisher Scientific).</w:t>
      </w:r>
    </w:p>
    <w:p w14:paraId="3A9263E7" w14:textId="77777777" w:rsidR="006C2CA9" w:rsidRPr="00EF0394" w:rsidRDefault="006C2CA9" w:rsidP="00C578FA">
      <w:pPr>
        <w:spacing w:after="0" w:line="336" w:lineRule="auto"/>
        <w:jc w:val="both"/>
        <w:rPr>
          <w:rStyle w:val="s6"/>
          <w:rFonts w:ascii="Arial" w:eastAsia="Times New Roman" w:hAnsi="Arial" w:cs="Arial"/>
          <w:b/>
          <w:bCs/>
          <w:kern w:val="0"/>
          <w:sz w:val="24"/>
          <w:szCs w:val="24"/>
          <w:shd w:val="clear" w:color="auto" w:fill="FFFFFF"/>
          <w14:ligatures w14:val="none"/>
        </w:rPr>
      </w:pPr>
    </w:p>
    <w:p w14:paraId="3B23CCA9" w14:textId="70D1787D" w:rsidR="005C0C90" w:rsidRPr="00EF0394" w:rsidRDefault="00082AD1" w:rsidP="00C578FA">
      <w:pPr>
        <w:pStyle w:val="s22"/>
        <w:spacing w:before="0" w:beforeAutospacing="0" w:after="0" w:afterAutospacing="0" w:line="336" w:lineRule="auto"/>
        <w:jc w:val="both"/>
        <w:rPr>
          <w:rFonts w:ascii="Arial" w:hAnsi="Arial" w:cs="Arial"/>
          <w:color w:val="000000"/>
        </w:rPr>
      </w:pPr>
      <w:r w:rsidRPr="00EF0394">
        <w:rPr>
          <w:rStyle w:val="s6"/>
          <w:rFonts w:ascii="Arial" w:hAnsi="Arial" w:cs="Arial"/>
          <w:b/>
          <w:bCs/>
          <w:color w:val="000000"/>
        </w:rPr>
        <w:t xml:space="preserve">3.0 </w:t>
      </w:r>
      <w:r w:rsidR="005C0C90" w:rsidRPr="00EF0394">
        <w:rPr>
          <w:rStyle w:val="s6"/>
          <w:rFonts w:ascii="Arial" w:hAnsi="Arial" w:cs="Arial"/>
          <w:b/>
          <w:bCs/>
          <w:color w:val="000000"/>
        </w:rPr>
        <w:t>Statistical Analysis</w:t>
      </w:r>
    </w:p>
    <w:p w14:paraId="05297618" w14:textId="5E1671AD" w:rsidR="00F42B5B" w:rsidRPr="00EF0394" w:rsidRDefault="005C0C90" w:rsidP="00C578FA">
      <w:pPr>
        <w:pStyle w:val="s22"/>
        <w:spacing w:before="0" w:beforeAutospacing="0" w:after="0" w:afterAutospacing="0" w:line="336" w:lineRule="auto"/>
        <w:jc w:val="both"/>
        <w:rPr>
          <w:rStyle w:val="s7"/>
          <w:rFonts w:ascii="Arial" w:hAnsi="Arial" w:cs="Arial"/>
          <w:color w:val="000000"/>
        </w:rPr>
      </w:pPr>
      <w:r w:rsidRPr="00EF0394">
        <w:rPr>
          <w:rStyle w:val="s7"/>
          <w:rFonts w:ascii="Arial" w:hAnsi="Arial" w:cs="Arial"/>
          <w:color w:val="000000"/>
        </w:rPr>
        <w:t xml:space="preserve">Descriptive results were shown as </w:t>
      </w:r>
      <w:r w:rsidR="00B854F3" w:rsidRPr="00EF0394">
        <w:rPr>
          <w:rStyle w:val="s7"/>
          <w:rFonts w:ascii="Arial" w:hAnsi="Arial" w:cs="Arial"/>
          <w:color w:val="000000"/>
        </w:rPr>
        <w:t xml:space="preserve">mean </w:t>
      </w:r>
      <w:r w:rsidR="00B854F3" w:rsidRPr="00EF0394">
        <w:rPr>
          <w:rStyle w:val="s7"/>
          <w:rFonts w:ascii="Arial" w:hAnsi="Arial" w:cs="Arial"/>
          <w:color w:val="000000"/>
          <w:u w:val="single"/>
        </w:rPr>
        <w:t>+</w:t>
      </w:r>
      <w:r w:rsidR="00B854F3" w:rsidRPr="00EF0394">
        <w:rPr>
          <w:rStyle w:val="s7"/>
          <w:rFonts w:ascii="Arial" w:hAnsi="Arial" w:cs="Arial"/>
          <w:color w:val="000000"/>
        </w:rPr>
        <w:t xml:space="preserve"> SD</w:t>
      </w:r>
      <w:r w:rsidRPr="00EF0394">
        <w:rPr>
          <w:rStyle w:val="s7"/>
          <w:rFonts w:ascii="Arial" w:hAnsi="Arial" w:cs="Arial"/>
          <w:color w:val="000000"/>
        </w:rPr>
        <w:t>.</w:t>
      </w:r>
      <w:r w:rsidRPr="00EF0394">
        <w:rPr>
          <w:rStyle w:val="apple-converted-space"/>
          <w:rFonts w:ascii="Arial" w:hAnsi="Arial" w:cs="Arial"/>
          <w:color w:val="000000"/>
        </w:rPr>
        <w:t xml:space="preserve"> </w:t>
      </w:r>
      <w:r w:rsidR="005B50E8" w:rsidRPr="00EF0394">
        <w:rPr>
          <w:rStyle w:val="apple-converted-space"/>
          <w:rFonts w:ascii="Arial" w:hAnsi="Arial" w:cs="Arial"/>
          <w:color w:val="000000"/>
        </w:rPr>
        <w:t xml:space="preserve">Metabolomics </w:t>
      </w:r>
      <w:r w:rsidR="000121D4" w:rsidRPr="00EF0394">
        <w:rPr>
          <w:rStyle w:val="apple-converted-space"/>
          <w:rFonts w:ascii="Arial" w:hAnsi="Arial" w:cs="Arial"/>
          <w:color w:val="000000"/>
        </w:rPr>
        <w:t xml:space="preserve">analyses </w:t>
      </w:r>
      <w:r w:rsidR="005B50E8" w:rsidRPr="00EF0394">
        <w:rPr>
          <w:rStyle w:val="apple-converted-space"/>
          <w:rFonts w:ascii="Arial" w:hAnsi="Arial" w:cs="Arial"/>
          <w:color w:val="000000"/>
        </w:rPr>
        <w:t xml:space="preserve">were carried out using MetaboAnalyst. </w:t>
      </w:r>
      <w:r w:rsidRPr="00EF0394">
        <w:rPr>
          <w:rStyle w:val="s7"/>
          <w:rFonts w:ascii="Arial" w:hAnsi="Arial" w:cs="Arial"/>
          <w:color w:val="000000"/>
        </w:rPr>
        <w:t>Values</w:t>
      </w:r>
      <w:r w:rsidRPr="00EF0394">
        <w:rPr>
          <w:rStyle w:val="apple-converted-space"/>
          <w:rFonts w:ascii="Arial" w:hAnsi="Arial" w:cs="Arial"/>
          <w:color w:val="000000"/>
        </w:rPr>
        <w:t xml:space="preserve"> </w:t>
      </w:r>
      <w:r w:rsidRPr="00EF0394">
        <w:rPr>
          <w:rStyle w:val="s7"/>
          <w:rFonts w:ascii="Arial" w:hAnsi="Arial" w:cs="Arial"/>
          <w:color w:val="000000"/>
        </w:rPr>
        <w:t>of</w:t>
      </w:r>
      <w:r w:rsidRPr="00EF0394">
        <w:rPr>
          <w:rStyle w:val="apple-converted-space"/>
          <w:rFonts w:ascii="Arial" w:hAnsi="Arial" w:cs="Arial"/>
          <w:color w:val="000000"/>
        </w:rPr>
        <w:t xml:space="preserve"> </w:t>
      </w:r>
      <w:r w:rsidRPr="00EF0394">
        <w:rPr>
          <w:rStyle w:val="s7"/>
          <w:rFonts w:ascii="Arial" w:hAnsi="Arial" w:cs="Arial"/>
          <w:color w:val="000000"/>
        </w:rPr>
        <w:t>p&lt;0.05</w:t>
      </w:r>
      <w:r w:rsidRPr="00EF0394">
        <w:rPr>
          <w:rStyle w:val="apple-converted-space"/>
          <w:rFonts w:ascii="Arial" w:hAnsi="Arial" w:cs="Arial"/>
          <w:color w:val="000000"/>
        </w:rPr>
        <w:t xml:space="preserve"> </w:t>
      </w:r>
      <w:r w:rsidRPr="00EF0394">
        <w:rPr>
          <w:rStyle w:val="s7"/>
          <w:rFonts w:ascii="Arial" w:hAnsi="Arial" w:cs="Arial"/>
          <w:color w:val="000000"/>
        </w:rPr>
        <w:t>were</w:t>
      </w:r>
      <w:r w:rsidRPr="00EF0394">
        <w:rPr>
          <w:rStyle w:val="apple-converted-space"/>
          <w:rFonts w:ascii="Arial" w:hAnsi="Arial" w:cs="Arial"/>
          <w:color w:val="000000"/>
        </w:rPr>
        <w:t xml:space="preserve"> </w:t>
      </w:r>
      <w:r w:rsidRPr="00EF0394">
        <w:rPr>
          <w:rStyle w:val="s7"/>
          <w:rFonts w:ascii="Arial" w:hAnsi="Arial" w:cs="Arial"/>
          <w:color w:val="000000"/>
        </w:rPr>
        <w:t>considered statistically significant.</w:t>
      </w:r>
      <w:r w:rsidRPr="00EF0394">
        <w:rPr>
          <w:rStyle w:val="apple-converted-space"/>
          <w:rFonts w:ascii="Arial" w:hAnsi="Arial" w:cs="Arial"/>
          <w:color w:val="000000"/>
        </w:rPr>
        <w:t xml:space="preserve"> </w:t>
      </w:r>
      <w:r w:rsidRPr="00EF0394">
        <w:rPr>
          <w:rStyle w:val="s15"/>
          <w:rFonts w:ascii="Arial" w:hAnsi="Arial" w:cs="Arial"/>
          <w:color w:val="000000"/>
          <w:shd w:val="clear" w:color="auto" w:fill="FFFFFF"/>
        </w:rPr>
        <w:t>All statistical tests were two-tailed, with a significance level of p&lt;0.05.</w:t>
      </w:r>
      <w:r w:rsidRPr="00EF0394">
        <w:rPr>
          <w:rStyle w:val="apple-converted-space"/>
          <w:rFonts w:ascii="Arial" w:hAnsi="Arial" w:cs="Arial"/>
          <w:color w:val="000000"/>
        </w:rPr>
        <w:t> </w:t>
      </w:r>
      <w:r w:rsidRPr="00EF0394">
        <w:rPr>
          <w:rStyle w:val="s7"/>
          <w:rFonts w:ascii="Arial" w:hAnsi="Arial" w:cs="Arial"/>
          <w:color w:val="000000"/>
        </w:rPr>
        <w:t xml:space="preserve">All the statistical </w:t>
      </w:r>
      <w:r w:rsidR="000121D4" w:rsidRPr="00EF0394">
        <w:rPr>
          <w:rStyle w:val="s7"/>
          <w:rFonts w:ascii="Arial" w:hAnsi="Arial" w:cs="Arial"/>
          <w:color w:val="000000"/>
        </w:rPr>
        <w:t xml:space="preserve">analyses </w:t>
      </w:r>
      <w:r w:rsidRPr="00EF0394">
        <w:rPr>
          <w:rStyle w:val="s7"/>
          <w:rFonts w:ascii="Arial" w:hAnsi="Arial" w:cs="Arial"/>
          <w:color w:val="000000"/>
        </w:rPr>
        <w:t>were performed using licensed GraphPad Prism (v9.2)</w:t>
      </w:r>
      <w:r w:rsidR="003D19AC" w:rsidRPr="00EF0394">
        <w:rPr>
          <w:rStyle w:val="s7"/>
          <w:rFonts w:ascii="Arial" w:hAnsi="Arial" w:cs="Arial"/>
          <w:color w:val="000000"/>
        </w:rPr>
        <w:fldChar w:fldCharType="begin"/>
      </w:r>
      <w:r w:rsidR="003D19AC" w:rsidRPr="00EF0394">
        <w:rPr>
          <w:rStyle w:val="s7"/>
          <w:rFonts w:ascii="Arial" w:hAnsi="Arial" w:cs="Arial"/>
          <w:color w:val="000000"/>
        </w:rPr>
        <w:instrText xml:space="preserve"> ADDIN ZOTERO_ITEM CSL_CITATION {"citationID":"ikx0dHF2","properties":{"formattedCitation":"(Gupta, Varma, Kumar, et al., 2023; Gupta, Varma, Sharma, et al., 2023; Gupta, Varma, Sreedharanunni, et al., 2023)","plainCitation":"(Gupta, Varma, Kumar, et al., 2023; Gupta, Varma, Sharma, et al., 2023; Gupta, Varma, Sreedharanunni, et al., 2023)","noteIndex":0},"citationItems":[{"id":23,"uris":["http://zotero.org/users/local/5QJK0Flt/items/62ZIAXFA"],"itemData":{"id":23,"type":"article-journal","abstract":"&lt;p&gt;The identification of Philadelphia chromosome (Ph)–like acute lymphoblastic leukemia (ALL) cases with NanoString nCounter digital</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barcoded gene expression profiling was examined in Indian patients. A higher incidence of Ph</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like ALL cases (32.05%) was identified. Furthermore, genomic and proteomic characterization of Ph</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like ALL cases was performed in Indian patients. This is the first report on the incidence and characterization of Ph</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like ALL cases from developing nations.&lt;/p&gt;","container-title":"Cancer","DOI":"10.1002/cncr.34665","ISSN":"0008-543X","issue":"8","page":"1217-1226","title":"Genomic and proteomic characterization of Philadelphia</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like B</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lineage acute lymphoblastic leukemia: A report of Indian patients","volume":"129","author":[{"family":"Gupta","given":"Dikshat Gopal"},{"family":"Varma","given":"Neelam"},{"family":"Kumar","given":"Ashish"},{"family":"Naseem","given":"Shano"},{"family":"Sachdeva","given":"Man Updesh Singh"},{"family":"Sreedharanunni","given":"Sreejesh"},{"family":"Binota","given":"Jogeshwar"},{"family":"Bose","given":"Parveen"},{"family":"Khadwal","given":"Alka"},{"family":"Malhotra","given":"Pankaj"},{"family":"Varma","given":"Subhash"}],"issued":{"date-parts":[["2023",4,15]]}}},{"id":24,"uris":["http://zotero.org/users/local/5QJK0Flt/items/EEUF7FBN"],"itemData":{"id":24,"type":"article-journal","abstract":"&lt;p&gt;This study characterizes prognostically significant genetic subtypes of B</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acute lymphoblastic leukemia (B</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ALL). Logistic regression modeling of cluster of differentiation markers and clinical symptoms is used to predict various genetic subtypes of B</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ALL.&lt;/p&gt;","container-title":"Cancer","DOI":"10.1002/cncr.34957","ISSN":"0008-543X","issue":"21","page":"3390-3404","title":"Hematological, clinical, immunophenotypic characterization, and treatment outcomes of prognostically significant genetic subtypes of B</w:instrText>
      </w:r>
      <w:r w:rsidR="003D19AC" w:rsidRPr="00EF0394">
        <w:rPr>
          <w:rStyle w:val="s7"/>
          <w:rFonts w:ascii="Cambria Math" w:hAnsi="Cambria Math" w:cs="Cambria Math"/>
          <w:color w:val="000000"/>
        </w:rPr>
        <w:instrText>‐</w:instrText>
      </w:r>
      <w:r w:rsidR="003D19AC" w:rsidRPr="00EF0394">
        <w:rPr>
          <w:rStyle w:val="s7"/>
          <w:rFonts w:ascii="Arial" w:hAnsi="Arial" w:cs="Arial"/>
          <w:color w:val="000000"/>
        </w:rPr>
        <w:instrText xml:space="preserve">lineage acute lymphoblastic leukemia: A report of 1021 patients from India","volume":"129","author":[{"family":"Gupta","given":"Dikshat Gopal"},{"family":"Varma","given":"Neelam"},{"family":"Sharma","given":"Praveen"},{"family":"Truica","given":"Mihai I."},{"family":"Abdulkadir","given":"Sarki A."},{"family":"Singh","given":"Parmod"},{"family":"Singh Sachdeva","given":"Man Updesh"},{"family":"Naseem","given":"Shano"},{"family":"Siddiqui","given":"Mohammad Rizwan"},{"family":"Bose","given":"Parveen"},{"family":"Binota","given":"Jogeshwar"},{"family":"Malhotra","given":"Pankaj"},{"family":"Khadwal","given":"Alka"},{"family":"Trehan","given":"Amita"},{"family":"Varma","given":"Subhash"}],"issued":{"date-parts":[["2023",11,27]]}}},{"id":22,"uris":["http://zotero.org/users/local/5QJK0Flt/items/YZJ9F9MD"],"itemData":{"id":22,"type":"article-journal","container-title":"British Journal of Cancer","DOI":"10.1038/s41416-023-02294-y","ISSN":"0007-0920","issue":"1","page":"143-152","title":"‘Evaluation of adverse prognostic gene alterations &amp;amp; MRD positivity in BCR::ABL1-like B-lineage acute lymphoblastic leukaemia patients, in a resource-constrained setting","volume":"129","author":[{"family":"Gupta","given":"Dikshat Gopal"},{"family":"Varma","given":"Neelam"},{"family":"Sreedharanunni","given":"Sreejesh"},{"family":"Abdulkadir","given":"Sarki Abba"},{"family":"Naseem","given":"Shano"},{"family":"Sachdeva","given":"Man Updesh Singh"},{"family":"Binota","given":"Jogeshwar"},{"family":"Bose","given":"Parveen"},{"family":"Malhotra","given":"Pankaj"},{"family":"Khadwal","given":"Alka"},{"family":"Varma","given":"Subhash"}],"issued":{"date-parts":[["2023",7,27]]}}}],"schema":"https://github.com/citation-style-language/schema/raw/master/csl-citation.json"} </w:instrText>
      </w:r>
      <w:r w:rsidR="003D19AC" w:rsidRPr="00EF0394">
        <w:rPr>
          <w:rStyle w:val="s7"/>
          <w:rFonts w:ascii="Arial" w:hAnsi="Arial" w:cs="Arial"/>
          <w:color w:val="000000"/>
        </w:rPr>
        <w:fldChar w:fldCharType="separate"/>
      </w:r>
      <w:r w:rsidR="003D19AC" w:rsidRPr="00EF0394">
        <w:rPr>
          <w:rStyle w:val="s7"/>
          <w:rFonts w:ascii="Arial" w:hAnsi="Arial" w:cs="Arial"/>
          <w:noProof/>
          <w:color w:val="000000"/>
        </w:rPr>
        <w:t>(Gupta, Varma, Kumar, et al., 2023; Gupta, Varma, Sharma, et al., 2023; Gupta, Varma, Sreedharanunni, et al., 2023)</w:t>
      </w:r>
      <w:r w:rsidR="003D19AC" w:rsidRPr="00EF0394">
        <w:rPr>
          <w:rStyle w:val="s7"/>
          <w:rFonts w:ascii="Arial" w:hAnsi="Arial" w:cs="Arial"/>
          <w:color w:val="000000"/>
        </w:rPr>
        <w:fldChar w:fldCharType="end"/>
      </w:r>
      <w:r w:rsidRPr="00EF0394">
        <w:rPr>
          <w:rStyle w:val="s7"/>
          <w:rFonts w:ascii="Arial" w:hAnsi="Arial" w:cs="Arial"/>
          <w:color w:val="000000"/>
        </w:rPr>
        <w:t>.</w:t>
      </w:r>
    </w:p>
    <w:p w14:paraId="6955B044" w14:textId="17580EDA" w:rsidR="00C578FA" w:rsidRPr="00EF0394" w:rsidRDefault="00C578FA" w:rsidP="00C578FA">
      <w:pPr>
        <w:pStyle w:val="s22"/>
        <w:spacing w:before="0" w:beforeAutospacing="0" w:after="0" w:afterAutospacing="0" w:line="336" w:lineRule="auto"/>
        <w:jc w:val="both"/>
        <w:rPr>
          <w:rStyle w:val="s7"/>
          <w:rFonts w:ascii="Arial" w:hAnsi="Arial" w:cs="Arial"/>
          <w:color w:val="000000"/>
        </w:rPr>
      </w:pPr>
    </w:p>
    <w:p w14:paraId="08FB9F45" w14:textId="288A46BD" w:rsidR="00C578FA" w:rsidRPr="00EF0394" w:rsidRDefault="00082AD1" w:rsidP="00C578FA">
      <w:pPr>
        <w:pStyle w:val="s22"/>
        <w:spacing w:before="0" w:beforeAutospacing="0" w:after="0" w:afterAutospacing="0" w:line="336" w:lineRule="auto"/>
        <w:jc w:val="both"/>
        <w:rPr>
          <w:rStyle w:val="s7"/>
          <w:rFonts w:ascii="Arial" w:hAnsi="Arial" w:cs="Arial"/>
          <w:b/>
          <w:bCs/>
          <w:color w:val="000000"/>
        </w:rPr>
      </w:pPr>
      <w:r w:rsidRPr="00EF0394">
        <w:rPr>
          <w:rStyle w:val="s7"/>
          <w:rFonts w:ascii="Arial" w:hAnsi="Arial" w:cs="Arial"/>
          <w:b/>
          <w:bCs/>
          <w:color w:val="000000"/>
        </w:rPr>
        <w:t xml:space="preserve">4.0 </w:t>
      </w:r>
      <w:r w:rsidR="00C578FA" w:rsidRPr="00EF0394">
        <w:rPr>
          <w:rStyle w:val="s7"/>
          <w:rFonts w:ascii="Arial" w:hAnsi="Arial" w:cs="Arial"/>
          <w:b/>
          <w:bCs/>
          <w:color w:val="000000"/>
        </w:rPr>
        <w:t>RESULTS:</w:t>
      </w:r>
    </w:p>
    <w:p w14:paraId="68E021AD" w14:textId="39F0C0E5" w:rsidR="00C578FA" w:rsidRPr="00EF0394" w:rsidRDefault="00082AD1" w:rsidP="005B50E8">
      <w:pPr>
        <w:spacing w:after="0" w:line="360" w:lineRule="auto"/>
        <w:jc w:val="both"/>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4.1 </w:t>
      </w:r>
      <w:r w:rsidR="00C578FA" w:rsidRPr="00EF0394">
        <w:rPr>
          <w:rFonts w:ascii="Arial" w:eastAsia="Times New Roman" w:hAnsi="Arial" w:cs="Arial"/>
          <w:b/>
          <w:bCs/>
          <w:kern w:val="0"/>
          <w:sz w:val="24"/>
          <w:szCs w:val="24"/>
          <w:shd w:val="clear" w:color="auto" w:fill="FFFFFF"/>
          <w14:ligatures w14:val="none"/>
        </w:rPr>
        <w:t xml:space="preserve">Generation of stable PC-3 mutant cell lines </w:t>
      </w:r>
    </w:p>
    <w:p w14:paraId="0ABDB136" w14:textId="6EA40950" w:rsidR="00C578FA" w:rsidRPr="00EF0394" w:rsidRDefault="000121D4" w:rsidP="005B50E8">
      <w:pPr>
        <w:spacing w:after="0" w:line="360" w:lineRule="auto"/>
        <w:jc w:val="both"/>
        <w:rPr>
          <w:rFonts w:ascii="Arial" w:eastAsia="Times New Roman" w:hAnsi="Arial" w:cs="Arial"/>
          <w:kern w:val="0"/>
          <w:sz w:val="24"/>
          <w:szCs w:val="24"/>
          <w:shd w:val="clear" w:color="auto" w:fill="FFFFFF"/>
          <w14:ligatures w14:val="none"/>
        </w:rPr>
      </w:pPr>
      <w:bookmarkStart w:id="2" w:name="_Hlk148960510"/>
      <w:r w:rsidRPr="00EF0394">
        <w:rPr>
          <w:rFonts w:ascii="Arial" w:eastAsia="Times New Roman" w:hAnsi="Arial" w:cs="Arial"/>
          <w:kern w:val="0"/>
          <w:sz w:val="24"/>
          <w:szCs w:val="24"/>
          <w:shd w:val="clear" w:color="auto" w:fill="FFFFFF"/>
          <w14:ligatures w14:val="none"/>
        </w:rPr>
        <w:t>To explore the TP53 mutations and their consequ</w:t>
      </w:r>
      <w:r w:rsidR="00A06CDD" w:rsidRPr="00EF0394">
        <w:rPr>
          <w:rFonts w:ascii="Arial" w:eastAsia="Times New Roman" w:hAnsi="Arial" w:cs="Arial"/>
          <w:kern w:val="0"/>
          <w:sz w:val="24"/>
          <w:szCs w:val="24"/>
          <w:shd w:val="clear" w:color="auto" w:fill="FFFFFF"/>
          <w14:ligatures w14:val="none"/>
        </w:rPr>
        <w:t>e</w:t>
      </w:r>
      <w:r w:rsidRPr="00EF0394">
        <w:rPr>
          <w:rFonts w:ascii="Arial" w:eastAsia="Times New Roman" w:hAnsi="Arial" w:cs="Arial"/>
          <w:kern w:val="0"/>
          <w:sz w:val="24"/>
          <w:szCs w:val="24"/>
          <w:shd w:val="clear" w:color="auto" w:fill="FFFFFF"/>
          <w14:ligatures w14:val="none"/>
        </w:rPr>
        <w:t xml:space="preserve">nces in the progression of prostate cancer, we </w:t>
      </w:r>
      <w:r w:rsidR="00C578FA" w:rsidRPr="00EF0394">
        <w:rPr>
          <w:rFonts w:ascii="Arial" w:eastAsia="Times New Roman" w:hAnsi="Arial" w:cs="Arial"/>
          <w:kern w:val="0"/>
          <w:sz w:val="24"/>
          <w:szCs w:val="24"/>
          <w:shd w:val="clear" w:color="auto" w:fill="FFFFFF"/>
          <w14:ligatures w14:val="none"/>
        </w:rPr>
        <w:t>transduced &amp; generated PC-3 cells (TP53 null) with</w:t>
      </w:r>
      <w:bookmarkStart w:id="3" w:name="_Hlk149314016"/>
      <w:r w:rsidR="00C578FA" w:rsidRPr="00EF0394">
        <w:rPr>
          <w:rFonts w:ascii="Arial" w:eastAsia="Times New Roman" w:hAnsi="Arial" w:cs="Arial"/>
          <w:kern w:val="0"/>
          <w:sz w:val="24"/>
          <w:szCs w:val="24"/>
          <w:shd w:val="clear" w:color="auto" w:fill="FFFFFF"/>
          <w14:ligatures w14:val="none"/>
        </w:rPr>
        <w:t xml:space="preserve"> V5-DEST-GFP</w:t>
      </w:r>
      <w:r w:rsidR="005B50E8" w:rsidRPr="00EF0394">
        <w:rPr>
          <w:rFonts w:ascii="Arial" w:eastAsia="Times New Roman" w:hAnsi="Arial" w:cs="Arial"/>
          <w:kern w:val="0"/>
          <w:sz w:val="24"/>
          <w:szCs w:val="24"/>
          <w:shd w:val="clear" w:color="auto" w:fill="FFFFFF"/>
          <w14:ligatures w14:val="none"/>
        </w:rPr>
        <w:t xml:space="preserve"> </w:t>
      </w:r>
      <w:r w:rsidR="00C578FA" w:rsidRPr="00EF0394">
        <w:rPr>
          <w:rFonts w:ascii="Arial" w:eastAsia="Times New Roman" w:hAnsi="Arial" w:cs="Arial"/>
          <w:kern w:val="0"/>
          <w:sz w:val="24"/>
          <w:szCs w:val="24"/>
          <w:shd w:val="clear" w:color="auto" w:fill="FFFFFF"/>
          <w14:ligatures w14:val="none"/>
        </w:rPr>
        <w:t>(Control), V5-TP53-WT, V5-TP53-R175H (P53 Mutant) and V5-TP53-R273H</w:t>
      </w:r>
      <w:bookmarkEnd w:id="3"/>
      <w:r w:rsidR="00C578FA" w:rsidRPr="00EF0394">
        <w:rPr>
          <w:rFonts w:ascii="Arial" w:eastAsia="Times New Roman" w:hAnsi="Arial" w:cs="Arial"/>
          <w:kern w:val="0"/>
          <w:sz w:val="24"/>
          <w:szCs w:val="24"/>
          <w:shd w:val="clear" w:color="auto" w:fill="FFFFFF"/>
          <w14:ligatures w14:val="none"/>
        </w:rPr>
        <w:t xml:space="preserve"> (P53 Mutant)</w:t>
      </w:r>
      <w:bookmarkEnd w:id="2"/>
      <w:r w:rsidR="00C578FA" w:rsidRPr="00EF0394">
        <w:rPr>
          <w:rFonts w:ascii="Arial" w:eastAsia="Times New Roman" w:hAnsi="Arial" w:cs="Arial"/>
          <w:kern w:val="0"/>
          <w:sz w:val="24"/>
          <w:szCs w:val="24"/>
          <w:shd w:val="clear" w:color="auto" w:fill="FFFFFF"/>
          <w14:ligatures w14:val="none"/>
        </w:rPr>
        <w:t xml:space="preserve">, as shown in Figure 1. </w:t>
      </w:r>
    </w:p>
    <w:p w14:paraId="0D54499C" w14:textId="77777777" w:rsidR="0095355F" w:rsidRPr="00EF0394" w:rsidRDefault="00C578FA" w:rsidP="0095355F">
      <w:pPr>
        <w:spacing w:line="480" w:lineRule="auto"/>
        <w:jc w:val="center"/>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noProof/>
          <w:kern w:val="0"/>
          <w:sz w:val="24"/>
          <w:szCs w:val="24"/>
          <w:shd w:val="clear" w:color="auto" w:fill="FFFFFF"/>
          <w14:ligatures w14:val="none"/>
        </w:rPr>
        <w:drawing>
          <wp:inline distT="0" distB="0" distL="0" distR="0" wp14:anchorId="5B313F15" wp14:editId="314BB38E">
            <wp:extent cx="3073400" cy="2364796"/>
            <wp:effectExtent l="0" t="0" r="0" b="0"/>
            <wp:docPr id="1693432621" name="Picture 1" descr="A close-up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32621" name="Picture 1" descr="A close-up of a test results&#10;&#10;Description automatically generated"/>
                    <pic:cNvPicPr>
                      <a:picLocks noChangeAspect="1"/>
                    </pic:cNvPicPr>
                  </pic:nvPicPr>
                  <pic:blipFill>
                    <a:blip r:embed="rId8"/>
                    <a:stretch>
                      <a:fillRect/>
                    </a:stretch>
                  </pic:blipFill>
                  <pic:spPr>
                    <a:xfrm>
                      <a:off x="0" y="0"/>
                      <a:ext cx="3376235" cy="2597810"/>
                    </a:xfrm>
                    <a:prstGeom prst="rect">
                      <a:avLst/>
                    </a:prstGeom>
                  </pic:spPr>
                </pic:pic>
              </a:graphicData>
            </a:graphic>
          </wp:inline>
        </w:drawing>
      </w:r>
    </w:p>
    <w:p w14:paraId="2D8A41E9" w14:textId="3A6D4747" w:rsidR="00C578FA" w:rsidRPr="00EF0394" w:rsidRDefault="00C578FA" w:rsidP="00182FFE">
      <w:pPr>
        <w:spacing w:line="240" w:lineRule="auto"/>
        <w:jc w:val="center"/>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hd w:val="clear" w:color="auto" w:fill="FFFFFF"/>
          <w14:ligatures w14:val="none"/>
        </w:rPr>
        <w:lastRenderedPageBreak/>
        <w:t>Figure 1: Western Blot of the transduced PC-3 mutant cell lines</w:t>
      </w:r>
      <w:r w:rsidR="0095355F" w:rsidRPr="00EF0394">
        <w:rPr>
          <w:rFonts w:ascii="Arial" w:eastAsia="Times New Roman" w:hAnsi="Arial" w:cs="Arial"/>
          <w:b/>
          <w:bCs/>
          <w:kern w:val="0"/>
          <w:shd w:val="clear" w:color="auto" w:fill="FFFFFF"/>
          <w14:ligatures w14:val="none"/>
        </w:rPr>
        <w:t xml:space="preserve"> indicating respective proteins of the transducers</w:t>
      </w:r>
      <w:r w:rsidRPr="00EF0394">
        <w:rPr>
          <w:rFonts w:ascii="Arial" w:eastAsia="Times New Roman" w:hAnsi="Arial" w:cs="Arial"/>
          <w:b/>
          <w:bCs/>
          <w:kern w:val="0"/>
          <w:shd w:val="clear" w:color="auto" w:fill="FFFFFF"/>
          <w14:ligatures w14:val="none"/>
        </w:rPr>
        <w:t xml:space="preserve">. </w:t>
      </w:r>
    </w:p>
    <w:p w14:paraId="54594E29" w14:textId="0EC700F4" w:rsidR="005B50E8" w:rsidRPr="00EF0394" w:rsidRDefault="00082AD1" w:rsidP="00C57D96">
      <w:pPr>
        <w:spacing w:after="0" w:line="360" w:lineRule="auto"/>
        <w:jc w:val="both"/>
        <w:rPr>
          <w:rFonts w:ascii="Arial" w:eastAsia="Times New Roman" w:hAnsi="Arial" w:cs="Arial"/>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4.2 </w:t>
      </w:r>
      <w:r w:rsidR="00C578FA" w:rsidRPr="00EF0394">
        <w:rPr>
          <w:rFonts w:ascii="Arial" w:eastAsia="Times New Roman" w:hAnsi="Arial" w:cs="Arial"/>
          <w:b/>
          <w:bCs/>
          <w:kern w:val="0"/>
          <w:sz w:val="24"/>
          <w:szCs w:val="24"/>
          <w:shd w:val="clear" w:color="auto" w:fill="FFFFFF"/>
          <w14:ligatures w14:val="none"/>
        </w:rPr>
        <w:t xml:space="preserve">Metabolomics of </w:t>
      </w:r>
      <w:r w:rsidR="00A27123" w:rsidRPr="00EF0394">
        <w:rPr>
          <w:rFonts w:ascii="Arial" w:eastAsia="Times New Roman" w:hAnsi="Arial" w:cs="Arial"/>
          <w:b/>
          <w:bCs/>
          <w:kern w:val="0"/>
          <w:sz w:val="24"/>
          <w:szCs w:val="24"/>
          <w:shd w:val="clear" w:color="auto" w:fill="FFFFFF"/>
          <w14:ligatures w14:val="none"/>
        </w:rPr>
        <w:t xml:space="preserve">PC3-GFP (KO), </w:t>
      </w:r>
      <w:r w:rsidR="00C578FA" w:rsidRPr="00EF0394">
        <w:rPr>
          <w:rFonts w:ascii="Arial" w:eastAsia="Times New Roman" w:hAnsi="Arial" w:cs="Arial"/>
          <w:b/>
          <w:bCs/>
          <w:kern w:val="0"/>
          <w:sz w:val="24"/>
          <w:szCs w:val="24"/>
          <w:shd w:val="clear" w:color="auto" w:fill="FFFFFF"/>
          <w14:ligatures w14:val="none"/>
        </w:rPr>
        <w:t>PC-3</w:t>
      </w:r>
      <w:r w:rsidR="00684808" w:rsidRPr="00EF0394">
        <w:rPr>
          <w:rFonts w:ascii="Arial" w:eastAsia="Times New Roman" w:hAnsi="Arial" w:cs="Arial"/>
          <w:b/>
          <w:bCs/>
          <w:kern w:val="0"/>
          <w:sz w:val="24"/>
          <w:szCs w:val="24"/>
          <w:shd w:val="clear" w:color="auto" w:fill="FFFFFF"/>
          <w14:ligatures w14:val="none"/>
        </w:rPr>
        <w:t xml:space="preserve"> TP53</w:t>
      </w:r>
      <w:r w:rsidR="005B50E8" w:rsidRPr="00EF0394">
        <w:rPr>
          <w:rFonts w:ascii="Arial" w:eastAsia="Times New Roman" w:hAnsi="Arial" w:cs="Arial"/>
          <w:b/>
          <w:bCs/>
          <w:kern w:val="0"/>
          <w:sz w:val="24"/>
          <w:szCs w:val="24"/>
          <w:shd w:val="clear" w:color="auto" w:fill="FFFFFF"/>
          <w14:ligatures w14:val="none"/>
        </w:rPr>
        <w:t xml:space="preserve"> WT and</w:t>
      </w:r>
      <w:r w:rsidR="00C578FA" w:rsidRPr="00EF0394">
        <w:rPr>
          <w:rFonts w:ascii="Arial" w:eastAsia="Times New Roman" w:hAnsi="Arial" w:cs="Arial"/>
          <w:b/>
          <w:bCs/>
          <w:kern w:val="0"/>
          <w:sz w:val="24"/>
          <w:szCs w:val="24"/>
          <w:shd w:val="clear" w:color="auto" w:fill="FFFFFF"/>
          <w14:ligatures w14:val="none"/>
        </w:rPr>
        <w:t xml:space="preserve"> </w:t>
      </w:r>
      <w:r w:rsidR="00A27123" w:rsidRPr="00EF0394">
        <w:rPr>
          <w:rFonts w:ascii="Arial" w:eastAsia="Times New Roman" w:hAnsi="Arial" w:cs="Arial"/>
          <w:b/>
          <w:bCs/>
          <w:kern w:val="0"/>
          <w:sz w:val="24"/>
          <w:szCs w:val="24"/>
          <w:shd w:val="clear" w:color="auto" w:fill="FFFFFF"/>
          <w14:ligatures w14:val="none"/>
        </w:rPr>
        <w:t>M</w:t>
      </w:r>
      <w:r w:rsidR="00C578FA" w:rsidRPr="00EF0394">
        <w:rPr>
          <w:rFonts w:ascii="Arial" w:eastAsia="Times New Roman" w:hAnsi="Arial" w:cs="Arial"/>
          <w:b/>
          <w:bCs/>
          <w:kern w:val="0"/>
          <w:sz w:val="24"/>
          <w:szCs w:val="24"/>
          <w:shd w:val="clear" w:color="auto" w:fill="FFFFFF"/>
          <w14:ligatures w14:val="none"/>
        </w:rPr>
        <w:t>utant</w:t>
      </w:r>
      <w:r w:rsidR="005B50E8" w:rsidRPr="00EF0394">
        <w:rPr>
          <w:rFonts w:ascii="Arial" w:eastAsia="Times New Roman" w:hAnsi="Arial" w:cs="Arial"/>
          <w:b/>
          <w:bCs/>
          <w:kern w:val="0"/>
          <w:sz w:val="24"/>
          <w:szCs w:val="24"/>
          <w:shd w:val="clear" w:color="auto" w:fill="FFFFFF"/>
          <w14:ligatures w14:val="none"/>
        </w:rPr>
        <w:t>s</w:t>
      </w:r>
      <w:r w:rsidR="00A27123" w:rsidRPr="00EF0394">
        <w:rPr>
          <w:rFonts w:ascii="Arial" w:eastAsia="Times New Roman" w:hAnsi="Arial" w:cs="Arial"/>
          <w:b/>
          <w:bCs/>
          <w:kern w:val="0"/>
          <w:sz w:val="24"/>
          <w:szCs w:val="24"/>
          <w:shd w:val="clear" w:color="auto" w:fill="FFFFFF"/>
          <w14:ligatures w14:val="none"/>
        </w:rPr>
        <w:t xml:space="preserve"> (R175H &amp; R273H)</w:t>
      </w:r>
    </w:p>
    <w:p w14:paraId="650334D1" w14:textId="5A2F9640" w:rsidR="008A4794" w:rsidRPr="00EF0394" w:rsidRDefault="000121D4" w:rsidP="00C57D96">
      <w:pPr>
        <w:spacing w:after="0" w:line="360" w:lineRule="auto"/>
        <w:jc w:val="both"/>
        <w:rPr>
          <w:rFonts w:ascii="Arial" w:eastAsia="Times New Roman" w:hAnsi="Arial" w:cs="Arial"/>
          <w:kern w:val="0"/>
          <w:sz w:val="24"/>
          <w:szCs w:val="24"/>
          <w:shd w:val="clear" w:color="auto" w:fill="FFFFFF"/>
          <w14:ligatures w14:val="none"/>
        </w:rPr>
      </w:pPr>
      <w:r w:rsidRPr="00EF0394">
        <w:rPr>
          <w:rFonts w:ascii="Arial" w:eastAsia="Times New Roman" w:hAnsi="Arial" w:cs="Arial"/>
          <w:kern w:val="0"/>
          <w:sz w:val="24"/>
          <w:szCs w:val="24"/>
          <w:shd w:val="clear" w:color="auto" w:fill="FFFFFF"/>
          <w14:ligatures w14:val="none"/>
        </w:rPr>
        <w:t xml:space="preserve">To study the expression of the metabolites and pattern of their dysregulation in the wildtype and mutant cells, we </w:t>
      </w:r>
      <w:r w:rsidR="005B50E8" w:rsidRPr="00EF0394">
        <w:rPr>
          <w:rFonts w:ascii="Arial" w:eastAsia="Times New Roman" w:hAnsi="Arial" w:cs="Arial"/>
          <w:kern w:val="0"/>
          <w:sz w:val="24"/>
          <w:szCs w:val="24"/>
          <w:shd w:val="clear" w:color="auto" w:fill="FFFFFF"/>
          <w14:ligatures w14:val="none"/>
        </w:rPr>
        <w:t xml:space="preserve">conducted metabolomics analysis on triplicates of PC-3 cells with wild-type (WT), </w:t>
      </w:r>
      <w:r w:rsidR="003A45C1" w:rsidRPr="00EF0394">
        <w:rPr>
          <w:rFonts w:ascii="Arial" w:eastAsia="Times New Roman" w:hAnsi="Arial" w:cs="Arial"/>
          <w:kern w:val="0"/>
          <w:sz w:val="24"/>
          <w:szCs w:val="24"/>
          <w:shd w:val="clear" w:color="auto" w:fill="FFFFFF"/>
          <w14:ligatures w14:val="none"/>
        </w:rPr>
        <w:t>PC3-GFP</w:t>
      </w:r>
      <w:r w:rsidR="005B50E8" w:rsidRPr="00EF0394">
        <w:rPr>
          <w:rFonts w:ascii="Arial" w:eastAsia="Times New Roman" w:hAnsi="Arial" w:cs="Arial"/>
          <w:kern w:val="0"/>
          <w:sz w:val="24"/>
          <w:szCs w:val="24"/>
          <w:shd w:val="clear" w:color="auto" w:fill="FFFFFF"/>
          <w14:ligatures w14:val="none"/>
        </w:rPr>
        <w:t xml:space="preserve"> (</w:t>
      </w:r>
      <w:r w:rsidR="003A45C1" w:rsidRPr="00EF0394">
        <w:rPr>
          <w:rFonts w:ascii="Arial" w:eastAsia="Times New Roman" w:hAnsi="Arial" w:cs="Arial"/>
          <w:kern w:val="0"/>
          <w:sz w:val="24"/>
          <w:szCs w:val="24"/>
          <w:shd w:val="clear" w:color="auto" w:fill="FFFFFF"/>
          <w14:ligatures w14:val="none"/>
        </w:rPr>
        <w:t>KO</w:t>
      </w:r>
      <w:r w:rsidR="005B50E8" w:rsidRPr="00EF0394">
        <w:rPr>
          <w:rFonts w:ascii="Arial" w:eastAsia="Times New Roman" w:hAnsi="Arial" w:cs="Arial"/>
          <w:kern w:val="0"/>
          <w:sz w:val="24"/>
          <w:szCs w:val="24"/>
          <w:shd w:val="clear" w:color="auto" w:fill="FFFFFF"/>
          <w14:ligatures w14:val="none"/>
        </w:rPr>
        <w:t>), TP53-R175H, and TP53-R273H mutations.</w:t>
      </w:r>
      <w:r w:rsidR="0095355F" w:rsidRPr="00EF0394">
        <w:rPr>
          <w:rFonts w:ascii="Arial" w:eastAsia="Times New Roman" w:hAnsi="Arial" w:cs="Arial"/>
          <w:kern w:val="0"/>
          <w:sz w:val="24"/>
          <w:szCs w:val="24"/>
          <w:shd w:val="clear" w:color="auto" w:fill="FFFFFF"/>
          <w14:ligatures w14:val="none"/>
        </w:rPr>
        <w:t xml:space="preserve"> The result of metabolomics identified about 300 significant differentially altered metabolites in </w:t>
      </w:r>
      <w:r w:rsidR="00C57D96" w:rsidRPr="00EF0394">
        <w:rPr>
          <w:rFonts w:ascii="Arial" w:eastAsia="Times New Roman" w:hAnsi="Arial" w:cs="Arial"/>
          <w:kern w:val="0"/>
          <w:sz w:val="24"/>
          <w:szCs w:val="24"/>
          <w:shd w:val="clear" w:color="auto" w:fill="FFFFFF"/>
          <w14:ligatures w14:val="none"/>
        </w:rPr>
        <w:t xml:space="preserve">the </w:t>
      </w:r>
      <w:r w:rsidR="0095355F" w:rsidRPr="00EF0394">
        <w:rPr>
          <w:rFonts w:ascii="Arial" w:eastAsia="Times New Roman" w:hAnsi="Arial" w:cs="Arial"/>
          <w:kern w:val="0"/>
          <w:sz w:val="24"/>
          <w:szCs w:val="24"/>
          <w:shd w:val="clear" w:color="auto" w:fill="FFFFFF"/>
          <w14:ligatures w14:val="none"/>
        </w:rPr>
        <w:t>PC3-</w:t>
      </w:r>
      <w:r w:rsidR="00A27123" w:rsidRPr="00EF0394">
        <w:rPr>
          <w:rFonts w:ascii="Arial" w:eastAsia="Times New Roman" w:hAnsi="Arial" w:cs="Arial"/>
          <w:kern w:val="0"/>
          <w:sz w:val="24"/>
          <w:szCs w:val="24"/>
          <w:shd w:val="clear" w:color="auto" w:fill="FFFFFF"/>
          <w14:ligatures w14:val="none"/>
        </w:rPr>
        <w:t>TP53 proteins</w:t>
      </w:r>
      <w:r w:rsidR="0095355F" w:rsidRPr="00EF0394">
        <w:rPr>
          <w:rFonts w:ascii="Arial" w:eastAsia="Times New Roman" w:hAnsi="Arial" w:cs="Arial"/>
          <w:kern w:val="0"/>
          <w:sz w:val="24"/>
          <w:szCs w:val="24"/>
          <w:shd w:val="clear" w:color="auto" w:fill="FFFFFF"/>
          <w14:ligatures w14:val="none"/>
        </w:rPr>
        <w:t xml:space="preserve"> using liquid chromatography</w:t>
      </w:r>
      <w:r w:rsidR="00A06CDD" w:rsidRPr="00EF0394">
        <w:rPr>
          <w:rFonts w:ascii="Arial" w:eastAsia="Times New Roman" w:hAnsi="Arial" w:cs="Arial"/>
          <w:kern w:val="0"/>
          <w:sz w:val="24"/>
          <w:szCs w:val="24"/>
          <w:shd w:val="clear" w:color="auto" w:fill="FFFFFF"/>
          <w14:ligatures w14:val="none"/>
        </w:rPr>
        <w:t>-</w:t>
      </w:r>
      <w:r w:rsidR="0095355F" w:rsidRPr="00EF0394">
        <w:rPr>
          <w:rFonts w:ascii="Arial" w:eastAsia="Times New Roman" w:hAnsi="Arial" w:cs="Arial"/>
          <w:kern w:val="0"/>
          <w:sz w:val="24"/>
          <w:szCs w:val="24"/>
          <w:shd w:val="clear" w:color="auto" w:fill="FFFFFF"/>
          <w14:ligatures w14:val="none"/>
        </w:rPr>
        <w:t>mass spectrometry (LC/MS) analysis</w:t>
      </w:r>
      <w:r w:rsidR="00A27123" w:rsidRPr="00EF0394">
        <w:rPr>
          <w:rFonts w:ascii="Arial" w:eastAsia="Times New Roman" w:hAnsi="Arial" w:cs="Arial"/>
          <w:kern w:val="0"/>
          <w:sz w:val="24"/>
          <w:szCs w:val="24"/>
          <w:shd w:val="clear" w:color="auto" w:fill="FFFFFF"/>
          <w14:ligatures w14:val="none"/>
        </w:rPr>
        <w:t>.</w:t>
      </w:r>
    </w:p>
    <w:p w14:paraId="1CC4C3BD" w14:textId="2CE81AC9" w:rsidR="002E5AC0" w:rsidRPr="00EF0394" w:rsidRDefault="00082AD1" w:rsidP="00C57D96">
      <w:pPr>
        <w:spacing w:after="0" w:line="360" w:lineRule="auto"/>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4.2.1 </w:t>
      </w:r>
      <w:r w:rsidR="00C57D96" w:rsidRPr="00EF0394">
        <w:rPr>
          <w:rFonts w:ascii="Arial" w:eastAsia="Times New Roman" w:hAnsi="Arial" w:cs="Arial"/>
          <w:b/>
          <w:bCs/>
          <w:kern w:val="0"/>
          <w:sz w:val="24"/>
          <w:szCs w:val="24"/>
          <w:shd w:val="clear" w:color="auto" w:fill="FFFFFF"/>
          <w14:ligatures w14:val="none"/>
        </w:rPr>
        <w:t>COMPARISON BETWEEN PC3-GFP (KO) &amp; PC3-TP53WT (WT)</w:t>
      </w:r>
    </w:p>
    <w:p w14:paraId="0A3E9C9E" w14:textId="245A11A5" w:rsidR="00C57D96" w:rsidRPr="00EF0394" w:rsidRDefault="00C57D96" w:rsidP="00C57D96">
      <w:pPr>
        <w:spacing w:line="360" w:lineRule="auto"/>
        <w:jc w:val="both"/>
        <w:rPr>
          <w:rFonts w:ascii="Arial" w:eastAsia="Times New Roman" w:hAnsi="Arial" w:cs="Arial"/>
          <w:sz w:val="24"/>
          <w:szCs w:val="24"/>
          <w:shd w:val="clear" w:color="auto" w:fill="FFFFFF"/>
        </w:rPr>
      </w:pPr>
      <w:r w:rsidRPr="00EF0394">
        <w:rPr>
          <w:rFonts w:ascii="Arial" w:eastAsia="Times New Roman" w:hAnsi="Arial" w:cs="Arial"/>
          <w:sz w:val="24"/>
          <w:szCs w:val="24"/>
          <w:shd w:val="clear" w:color="auto" w:fill="FFFFFF"/>
        </w:rPr>
        <w:t xml:space="preserve">In </w:t>
      </w:r>
      <w:r w:rsidR="00A06CDD" w:rsidRPr="00EF0394">
        <w:rPr>
          <w:rFonts w:ascii="Arial" w:eastAsia="Times New Roman" w:hAnsi="Arial" w:cs="Arial"/>
          <w:sz w:val="24"/>
          <w:szCs w:val="24"/>
          <w:shd w:val="clear" w:color="auto" w:fill="FFFFFF"/>
        </w:rPr>
        <w:t>comparing</w:t>
      </w:r>
      <w:r w:rsidRPr="00EF0394">
        <w:rPr>
          <w:rFonts w:ascii="Arial" w:eastAsia="Times New Roman" w:hAnsi="Arial" w:cs="Arial"/>
          <w:sz w:val="24"/>
          <w:szCs w:val="24"/>
          <w:shd w:val="clear" w:color="auto" w:fill="FFFFFF"/>
        </w:rPr>
        <w:t xml:space="preserve"> GFP (KO) and WT (Fig</w:t>
      </w:r>
      <w:r w:rsidR="00F60CBB" w:rsidRPr="00EF0394">
        <w:rPr>
          <w:rFonts w:ascii="Arial" w:eastAsia="Times New Roman" w:hAnsi="Arial" w:cs="Arial"/>
          <w:sz w:val="24"/>
          <w:szCs w:val="24"/>
          <w:shd w:val="clear" w:color="auto" w:fill="FFFFFF"/>
        </w:rPr>
        <w:t>ure</w:t>
      </w:r>
      <w:r w:rsidRPr="00EF0394">
        <w:rPr>
          <w:rFonts w:ascii="Arial" w:eastAsia="Times New Roman" w:hAnsi="Arial" w:cs="Arial"/>
          <w:sz w:val="24"/>
          <w:szCs w:val="24"/>
          <w:shd w:val="clear" w:color="auto" w:fill="FFFFFF"/>
        </w:rPr>
        <w:t xml:space="preserve"> 2A), upregulated metabolites are depicted in red, and downregulated ones in blue. Metabolites that are upregulated in GFP (KO) are found to be downregulated in TP53WT, and the reverse is also true. In the GFP (KO) group, where TP53 is absent, there is an increase in metabolites</w:t>
      </w:r>
      <w:r w:rsidR="00A06CDD" w:rsidRPr="00EF0394">
        <w:rPr>
          <w:rFonts w:ascii="Arial" w:eastAsia="Times New Roman" w:hAnsi="Arial" w:cs="Arial"/>
          <w:sz w:val="24"/>
          <w:szCs w:val="24"/>
          <w:shd w:val="clear" w:color="auto" w:fill="FFFFFF"/>
        </w:rPr>
        <w:t>,</w:t>
      </w:r>
      <w:r w:rsidRPr="00EF0394">
        <w:rPr>
          <w:rFonts w:ascii="Arial" w:eastAsia="Times New Roman" w:hAnsi="Arial" w:cs="Arial"/>
          <w:sz w:val="24"/>
          <w:szCs w:val="24"/>
          <w:shd w:val="clear" w:color="auto" w:fill="FFFFFF"/>
        </w:rPr>
        <w:t xml:space="preserve"> including lactic acid, propionic acid, acetoacetic acid, epinephrine, histamine, and stearic acid. Conversely, in the WT group, these metabolites are decreased due to the presence of TP53. Additionally, metabolites like deoxyguanosine, spermidine, and sucrose were found to be decreased in GFP (KO) and increased in WT. In the volcano plot (Fig</w:t>
      </w:r>
      <w:r w:rsidR="00F60CBB" w:rsidRPr="00EF0394">
        <w:rPr>
          <w:rFonts w:ascii="Arial" w:eastAsia="Times New Roman" w:hAnsi="Arial" w:cs="Arial"/>
          <w:sz w:val="24"/>
          <w:szCs w:val="24"/>
          <w:shd w:val="clear" w:color="auto" w:fill="FFFFFF"/>
        </w:rPr>
        <w:t>ure</w:t>
      </w:r>
      <w:r w:rsidRPr="00EF0394">
        <w:rPr>
          <w:rFonts w:ascii="Arial" w:eastAsia="Times New Roman" w:hAnsi="Arial" w:cs="Arial"/>
          <w:sz w:val="24"/>
          <w:szCs w:val="24"/>
          <w:shd w:val="clear" w:color="auto" w:fill="FFFFFF"/>
        </w:rPr>
        <w:t xml:space="preserve"> 2B), guanidine and spermidine are highlighted as the most significantly decreased metabolites, represented by blue dots. Conversely, the most significantly increased metabolites, like epinephrine/normetanephrine, propionic acid, and histamine, are indicated by orange dots (Fig</w:t>
      </w:r>
      <w:r w:rsidR="00F60CBB" w:rsidRPr="00EF0394">
        <w:rPr>
          <w:rFonts w:ascii="Arial" w:eastAsia="Times New Roman" w:hAnsi="Arial" w:cs="Arial"/>
          <w:sz w:val="24"/>
          <w:szCs w:val="24"/>
          <w:shd w:val="clear" w:color="auto" w:fill="FFFFFF"/>
        </w:rPr>
        <w:t>ure</w:t>
      </w:r>
      <w:r w:rsidRPr="00EF0394">
        <w:rPr>
          <w:rFonts w:ascii="Arial" w:eastAsia="Times New Roman" w:hAnsi="Arial" w:cs="Arial"/>
          <w:sz w:val="24"/>
          <w:szCs w:val="24"/>
          <w:shd w:val="clear" w:color="auto" w:fill="FFFFFF"/>
        </w:rPr>
        <w:t xml:space="preserve"> </w:t>
      </w:r>
      <w:r w:rsidR="00F5115A" w:rsidRPr="00EF0394">
        <w:rPr>
          <w:rFonts w:ascii="Arial" w:eastAsia="Times New Roman" w:hAnsi="Arial" w:cs="Arial"/>
          <w:sz w:val="24"/>
          <w:szCs w:val="24"/>
          <w:shd w:val="clear" w:color="auto" w:fill="FFFFFF"/>
        </w:rPr>
        <w:t>2</w:t>
      </w:r>
      <w:r w:rsidRPr="00EF0394">
        <w:rPr>
          <w:rFonts w:ascii="Arial" w:eastAsia="Times New Roman" w:hAnsi="Arial" w:cs="Arial"/>
          <w:sz w:val="24"/>
          <w:szCs w:val="24"/>
          <w:shd w:val="clear" w:color="auto" w:fill="FFFFFF"/>
        </w:rPr>
        <w:t>B).</w:t>
      </w:r>
      <w:r w:rsidR="00F5115A" w:rsidRPr="00EF0394">
        <w:rPr>
          <w:rFonts w:ascii="Arial" w:eastAsia="Times New Roman" w:hAnsi="Arial" w:cs="Arial"/>
          <w:sz w:val="24"/>
          <w:szCs w:val="24"/>
          <w:shd w:val="clear" w:color="auto" w:fill="FFFFFF"/>
        </w:rPr>
        <w:t xml:space="preserve"> </w:t>
      </w:r>
    </w:p>
    <w:p w14:paraId="4E2FF8DF" w14:textId="067A38A2" w:rsidR="00E23C1B" w:rsidRPr="00EF0394" w:rsidRDefault="00E23C1B" w:rsidP="00C57D96">
      <w:pPr>
        <w:spacing w:line="360" w:lineRule="auto"/>
        <w:jc w:val="both"/>
        <w:rPr>
          <w:rFonts w:ascii="Arial" w:eastAsia="Times New Roman" w:hAnsi="Arial" w:cs="Arial"/>
          <w:sz w:val="24"/>
          <w:szCs w:val="24"/>
          <w:shd w:val="clear" w:color="auto" w:fill="FFFFFF"/>
        </w:rPr>
      </w:pPr>
      <w:r w:rsidRPr="00EF0394">
        <w:rPr>
          <w:rFonts w:ascii="Arial" w:eastAsia="Times New Roman" w:hAnsi="Arial" w:cs="Arial"/>
          <w:b/>
          <w:bCs/>
          <w:noProof/>
          <w:sz w:val="24"/>
          <w:szCs w:val="24"/>
          <w:shd w:val="clear" w:color="auto" w:fill="FFFFFF"/>
        </w:rPr>
        <w:lastRenderedPageBreak/>
        <w:drawing>
          <wp:inline distT="0" distB="0" distL="0" distR="0" wp14:anchorId="2DF5B2F5" wp14:editId="5C943C87">
            <wp:extent cx="6097905" cy="3285067"/>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37772" cy="3306544"/>
                    </a:xfrm>
                    <a:prstGeom prst="rect">
                      <a:avLst/>
                    </a:prstGeom>
                  </pic:spPr>
                </pic:pic>
              </a:graphicData>
            </a:graphic>
          </wp:inline>
        </w:drawing>
      </w:r>
    </w:p>
    <w:p w14:paraId="5AD3C5C8" w14:textId="4A7C7494" w:rsidR="008B3D5A" w:rsidRPr="00EF0394" w:rsidRDefault="008B3D5A" w:rsidP="008B3D5A">
      <w:pPr>
        <w:jc w:val="both"/>
        <w:rPr>
          <w:rFonts w:ascii="Arial" w:eastAsia="Times New Roman" w:hAnsi="Arial" w:cs="Arial"/>
          <w:b/>
          <w:bCs/>
          <w:shd w:val="clear" w:color="auto" w:fill="FFFFFF"/>
        </w:rPr>
      </w:pPr>
      <w:r w:rsidRPr="00EF0394">
        <w:rPr>
          <w:rFonts w:ascii="Arial" w:eastAsia="Times New Roman" w:hAnsi="Arial" w:cs="Arial"/>
          <w:b/>
          <w:bCs/>
          <w:shd w:val="clear" w:color="auto" w:fill="FFFFFF"/>
        </w:rPr>
        <w:t xml:space="preserve">Figure 2: Expression of numerous metabolites in the PC3-GFP (KO) &amp; PC3-TP53WT (WT). (A) Heatmap depicting the expression of most dysregulated metabolites. </w:t>
      </w:r>
      <w:r w:rsidRPr="00EF0394">
        <w:rPr>
          <w:rFonts w:ascii="Arial" w:eastAsia="Times New Roman" w:hAnsi="Arial" w:cs="Arial"/>
          <w:shd w:val="clear" w:color="auto" w:fill="FFFFFF"/>
        </w:rPr>
        <w:t xml:space="preserve">Upregulated metabolites are </w:t>
      </w:r>
      <w:r w:rsidR="00A84B05" w:rsidRPr="00EF0394">
        <w:rPr>
          <w:rFonts w:ascii="Arial" w:eastAsia="Times New Roman" w:hAnsi="Arial" w:cs="Arial"/>
          <w:shd w:val="clear" w:color="auto" w:fill="FFFFFF"/>
        </w:rPr>
        <w:t>shown</w:t>
      </w:r>
      <w:r w:rsidRPr="00EF0394">
        <w:rPr>
          <w:rFonts w:ascii="Arial" w:eastAsia="Times New Roman" w:hAnsi="Arial" w:cs="Arial"/>
          <w:shd w:val="clear" w:color="auto" w:fill="FFFFFF"/>
        </w:rPr>
        <w:t xml:space="preserve"> in red, while the downregulated metabolites are in blue</w:t>
      </w:r>
      <w:r w:rsidRPr="00EF0394">
        <w:rPr>
          <w:rFonts w:ascii="Arial" w:eastAsia="Times New Roman" w:hAnsi="Arial" w:cs="Arial"/>
          <w:b/>
          <w:bCs/>
          <w:shd w:val="clear" w:color="auto" w:fill="FFFFFF"/>
        </w:rPr>
        <w:t xml:space="preserve"> (B) Volcano plot comparing the altered metabolites. </w:t>
      </w:r>
    </w:p>
    <w:p w14:paraId="5404827B" w14:textId="77777777" w:rsidR="00EF0394" w:rsidRDefault="00EF0394" w:rsidP="008B3D5A">
      <w:pPr>
        <w:jc w:val="both"/>
        <w:rPr>
          <w:rFonts w:ascii="Arial" w:eastAsia="Times New Roman" w:hAnsi="Arial" w:cs="Arial"/>
          <w:b/>
          <w:bCs/>
          <w:sz w:val="24"/>
          <w:szCs w:val="24"/>
          <w:shd w:val="clear" w:color="auto" w:fill="FFFFFF"/>
        </w:rPr>
      </w:pPr>
    </w:p>
    <w:p w14:paraId="66B19DD2" w14:textId="77777777" w:rsidR="00EF0394" w:rsidRDefault="00EF0394" w:rsidP="008B3D5A">
      <w:pPr>
        <w:jc w:val="both"/>
        <w:rPr>
          <w:rFonts w:ascii="Arial" w:eastAsia="Times New Roman" w:hAnsi="Arial" w:cs="Arial"/>
          <w:b/>
          <w:bCs/>
          <w:sz w:val="24"/>
          <w:szCs w:val="24"/>
          <w:shd w:val="clear" w:color="auto" w:fill="FFFFFF"/>
        </w:rPr>
      </w:pPr>
    </w:p>
    <w:p w14:paraId="29BE0C25" w14:textId="4C0E9687" w:rsidR="008B3D5A" w:rsidRPr="00EF0394" w:rsidRDefault="00082AD1" w:rsidP="008B3D5A">
      <w:pPr>
        <w:jc w:val="both"/>
        <w:rPr>
          <w:rFonts w:ascii="Arial" w:eastAsia="Times New Roman" w:hAnsi="Arial" w:cs="Arial"/>
          <w:b/>
          <w:bCs/>
          <w:sz w:val="24"/>
          <w:szCs w:val="24"/>
          <w:shd w:val="clear" w:color="auto" w:fill="FFFFFF"/>
        </w:rPr>
      </w:pPr>
      <w:r w:rsidRPr="00EF0394">
        <w:rPr>
          <w:rFonts w:ascii="Arial" w:eastAsia="Times New Roman" w:hAnsi="Arial" w:cs="Arial"/>
          <w:b/>
          <w:bCs/>
          <w:sz w:val="24"/>
          <w:szCs w:val="24"/>
          <w:shd w:val="clear" w:color="auto" w:fill="FFFFFF"/>
        </w:rPr>
        <w:t xml:space="preserve">4.2.2 </w:t>
      </w:r>
      <w:r w:rsidR="008B3D5A" w:rsidRPr="00EF0394">
        <w:rPr>
          <w:rFonts w:ascii="Arial" w:eastAsia="Times New Roman" w:hAnsi="Arial" w:cs="Arial"/>
          <w:b/>
          <w:bCs/>
          <w:sz w:val="24"/>
          <w:szCs w:val="24"/>
          <w:shd w:val="clear" w:color="auto" w:fill="FFFFFF"/>
        </w:rPr>
        <w:t xml:space="preserve">COMPARISON BETWEEN PC3-TP53WT &amp; PC3-TP53-R175H </w:t>
      </w:r>
    </w:p>
    <w:p w14:paraId="7AE4A8A0" w14:textId="60C72BAA" w:rsidR="008B3D5A" w:rsidRPr="00EF0394" w:rsidRDefault="008B3D5A" w:rsidP="008B3D5A">
      <w:pPr>
        <w:spacing w:line="480" w:lineRule="auto"/>
        <w:jc w:val="both"/>
        <w:rPr>
          <w:rFonts w:ascii="Arial" w:eastAsia="Times New Roman" w:hAnsi="Arial" w:cs="Arial"/>
          <w:sz w:val="24"/>
          <w:szCs w:val="24"/>
          <w:shd w:val="clear" w:color="auto" w:fill="FFFFFF"/>
        </w:rPr>
      </w:pPr>
      <w:r w:rsidRPr="00EF0394">
        <w:rPr>
          <w:rFonts w:ascii="Arial" w:eastAsia="Times New Roman" w:hAnsi="Arial" w:cs="Arial"/>
          <w:sz w:val="24"/>
          <w:szCs w:val="24"/>
          <w:shd w:val="clear" w:color="auto" w:fill="FFFFFF"/>
        </w:rPr>
        <w:t xml:space="preserve">Comparing WT to the R175H mutant, metabolites such as glutamine, taurine, carnitine, GAP/DHAP, N-acetyl-L-glutamine, adenosine, propionic acid, and 2-HG that are upregulated in WT are found to be downregulated in the R175H mutant (Figure 3A). Conversely, metabolites like alanine, deoxyuridine, aspartic acid, c-di-GMP, and N1/N8-acetylspermidine are downregulated in WT but upregulated in the R175H mutant.  In the volcano plot, GAP/DHAP and 2-HG are identified as the most significantly decreased metabolites. Meanwhile, c-di-GMP, deoxyuridine, and N1/N8-acetylspermidine are the most significantly increased metabolites (Figure 3B). </w:t>
      </w:r>
    </w:p>
    <w:p w14:paraId="50856D47" w14:textId="31125E14" w:rsidR="008B3D5A" w:rsidRPr="00EF0394" w:rsidRDefault="008B3D5A" w:rsidP="00933B5C">
      <w:pPr>
        <w:spacing w:line="480" w:lineRule="auto"/>
        <w:jc w:val="both"/>
        <w:rPr>
          <w:rFonts w:ascii="Arial" w:eastAsia="Times New Roman" w:hAnsi="Arial" w:cs="Arial"/>
          <w:shd w:val="clear" w:color="auto" w:fill="FFFFFF"/>
        </w:rPr>
      </w:pPr>
      <w:r w:rsidRPr="00EF0394">
        <w:rPr>
          <w:rFonts w:ascii="Arial" w:eastAsia="Times New Roman" w:hAnsi="Arial" w:cs="Arial"/>
          <w:b/>
          <w:bCs/>
          <w:noProof/>
          <w:shd w:val="clear" w:color="auto" w:fill="FFFFFF"/>
        </w:rPr>
        <w:lastRenderedPageBreak/>
        <w:drawing>
          <wp:inline distT="0" distB="0" distL="0" distR="0" wp14:anchorId="7C5389F8" wp14:editId="664326C8">
            <wp:extent cx="5731510" cy="286121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861213"/>
                    </a:xfrm>
                    <a:prstGeom prst="rect">
                      <a:avLst/>
                    </a:prstGeom>
                  </pic:spPr>
                </pic:pic>
              </a:graphicData>
            </a:graphic>
          </wp:inline>
        </w:drawing>
      </w:r>
    </w:p>
    <w:p w14:paraId="023F4778" w14:textId="11DE3B05" w:rsidR="00933B5C" w:rsidRPr="00EF0394" w:rsidRDefault="00933B5C" w:rsidP="00933B5C">
      <w:pPr>
        <w:spacing w:line="240" w:lineRule="auto"/>
        <w:jc w:val="both"/>
        <w:rPr>
          <w:rFonts w:ascii="Arial" w:eastAsia="Times New Roman" w:hAnsi="Arial" w:cs="Arial"/>
          <w:b/>
          <w:bCs/>
          <w:shd w:val="clear" w:color="auto" w:fill="FFFFFF"/>
        </w:rPr>
      </w:pPr>
      <w:r w:rsidRPr="00EF0394">
        <w:rPr>
          <w:rFonts w:ascii="Arial" w:eastAsia="Times New Roman" w:hAnsi="Arial" w:cs="Arial"/>
          <w:b/>
          <w:bCs/>
          <w:shd w:val="clear" w:color="auto" w:fill="FFFFFF"/>
        </w:rPr>
        <w:t xml:space="preserve">Figure 3: Expression of numerous metabolites in the PC3-TP53-WT &amp; PC3-TP53-R175H. (A) Heatmap depicting the expression of most dysregulated metabolites. </w:t>
      </w:r>
      <w:r w:rsidRPr="00EF0394">
        <w:rPr>
          <w:rFonts w:ascii="Arial" w:eastAsia="Times New Roman" w:hAnsi="Arial" w:cs="Arial"/>
          <w:shd w:val="clear" w:color="auto" w:fill="FFFFFF"/>
        </w:rPr>
        <w:t xml:space="preserve">Upregulated metabolites are </w:t>
      </w:r>
      <w:r w:rsidR="00A84B05" w:rsidRPr="00EF0394">
        <w:rPr>
          <w:rFonts w:ascii="Arial" w:eastAsia="Times New Roman" w:hAnsi="Arial" w:cs="Arial"/>
          <w:shd w:val="clear" w:color="auto" w:fill="FFFFFF"/>
        </w:rPr>
        <w:t>shown</w:t>
      </w:r>
      <w:r w:rsidRPr="00EF0394">
        <w:rPr>
          <w:rFonts w:ascii="Arial" w:eastAsia="Times New Roman" w:hAnsi="Arial" w:cs="Arial"/>
          <w:shd w:val="clear" w:color="auto" w:fill="FFFFFF"/>
        </w:rPr>
        <w:t xml:space="preserve"> in red, while the downregulated metabolites are in blue</w:t>
      </w:r>
      <w:r w:rsidRPr="00EF0394">
        <w:rPr>
          <w:rFonts w:ascii="Arial" w:eastAsia="Times New Roman" w:hAnsi="Arial" w:cs="Arial"/>
          <w:b/>
          <w:bCs/>
          <w:shd w:val="clear" w:color="auto" w:fill="FFFFFF"/>
        </w:rPr>
        <w:t xml:space="preserve"> (B) Volcano plot comparing the altered metabolites.</w:t>
      </w:r>
    </w:p>
    <w:p w14:paraId="7250759B" w14:textId="0BE68991" w:rsidR="00933B5C" w:rsidRPr="00EF0394" w:rsidRDefault="00082AD1" w:rsidP="00933B5C">
      <w:pPr>
        <w:spacing w:line="360" w:lineRule="auto"/>
        <w:jc w:val="both"/>
        <w:rPr>
          <w:rFonts w:ascii="Arial" w:eastAsia="Times New Roman" w:hAnsi="Arial" w:cs="Arial"/>
          <w:b/>
          <w:bCs/>
          <w:sz w:val="24"/>
          <w:szCs w:val="24"/>
          <w:shd w:val="clear" w:color="auto" w:fill="FFFFFF"/>
        </w:rPr>
      </w:pPr>
      <w:r w:rsidRPr="00EF0394">
        <w:rPr>
          <w:rFonts w:ascii="Arial" w:eastAsia="Times New Roman" w:hAnsi="Arial" w:cs="Arial"/>
          <w:b/>
          <w:bCs/>
          <w:sz w:val="24"/>
          <w:szCs w:val="24"/>
          <w:shd w:val="clear" w:color="auto" w:fill="FFFFFF"/>
        </w:rPr>
        <w:t xml:space="preserve">4.2.3 </w:t>
      </w:r>
      <w:r w:rsidR="00933B5C" w:rsidRPr="00EF0394">
        <w:rPr>
          <w:rFonts w:ascii="Arial" w:eastAsia="Times New Roman" w:hAnsi="Arial" w:cs="Arial"/>
          <w:b/>
          <w:bCs/>
          <w:sz w:val="24"/>
          <w:szCs w:val="24"/>
          <w:shd w:val="clear" w:color="auto" w:fill="FFFFFF"/>
        </w:rPr>
        <w:t xml:space="preserve">COMPARING PC3-TP53WT TO  PC3-TP53-R273H </w:t>
      </w:r>
    </w:p>
    <w:p w14:paraId="13BCA110" w14:textId="567742D1" w:rsidR="00933B5C" w:rsidRPr="00EF0394" w:rsidRDefault="00933B5C" w:rsidP="00933B5C">
      <w:pPr>
        <w:spacing w:line="360" w:lineRule="auto"/>
        <w:jc w:val="both"/>
        <w:rPr>
          <w:rFonts w:ascii="Arial" w:eastAsia="Times New Roman" w:hAnsi="Arial" w:cs="Arial"/>
          <w:sz w:val="24"/>
          <w:szCs w:val="24"/>
          <w:shd w:val="clear" w:color="auto" w:fill="FFFFFF"/>
        </w:rPr>
      </w:pPr>
      <w:r w:rsidRPr="00EF0394">
        <w:rPr>
          <w:rFonts w:ascii="Arial" w:eastAsia="Times New Roman" w:hAnsi="Arial" w:cs="Arial"/>
          <w:sz w:val="24"/>
          <w:szCs w:val="24"/>
          <w:shd w:val="clear" w:color="auto" w:fill="FFFFFF"/>
        </w:rPr>
        <w:t xml:space="preserve">In the WT sample, metabolites like acetoacetic acid, inosine, epinephrine/normetanephrine, adenosine, propionic acid, a-KG, 2-HG, and GAP/DHAP are upregulated, but these are downregulated in the R273H mutant (Figure 4A). Conversely, metabolites such as spermine, deoxyguanosine, thymidine, deoxyuridine, sucrose, and N-acetyl-DL-serine are downregulated in WT but upregulated in the R273H mutant (Figure 4A). In the volcano plot, the most significantly decreased metabolites, including GAP/DHAP, itaconic acid, GalNAC/GlcNAC, -KG, and 2-HG, are indicated by blue dots. Meanwhile, the most significantly increased metabolites, such as spermine, N-acetyl-DL-serine, deoxyuridine, and thymidine, are highlighted with orange dots (Figure 4B). These metabolites were selected because they have </w:t>
      </w:r>
      <w:r w:rsidR="00A06CDD" w:rsidRPr="00EF0394">
        <w:rPr>
          <w:rFonts w:ascii="Arial" w:eastAsia="Times New Roman" w:hAnsi="Arial" w:cs="Arial"/>
          <w:sz w:val="24"/>
          <w:szCs w:val="24"/>
          <w:shd w:val="clear" w:color="auto" w:fill="FFFFFF"/>
        </w:rPr>
        <w:t xml:space="preserve">a </w:t>
      </w:r>
      <w:r w:rsidRPr="00EF0394">
        <w:rPr>
          <w:rFonts w:ascii="Arial" w:eastAsia="Times New Roman" w:hAnsi="Arial" w:cs="Arial"/>
          <w:sz w:val="24"/>
          <w:szCs w:val="24"/>
          <w:shd w:val="clear" w:color="auto" w:fill="FFFFFF"/>
        </w:rPr>
        <w:t xml:space="preserve">p-value </w:t>
      </w:r>
      <w:r w:rsidRPr="00EF0394">
        <w:rPr>
          <w:rFonts w:ascii="Arial" w:eastAsia="Times New Roman" w:hAnsi="Arial" w:cs="Arial"/>
          <w:sz w:val="24"/>
          <w:szCs w:val="24"/>
          <w:shd w:val="clear" w:color="auto" w:fill="FFFFFF"/>
        </w:rPr>
        <w:sym w:font="Symbol" w:char="F03C"/>
      </w:r>
      <w:r w:rsidR="00A06CDD" w:rsidRPr="00EF0394">
        <w:rPr>
          <w:rFonts w:ascii="Arial" w:eastAsia="Times New Roman" w:hAnsi="Arial" w:cs="Arial"/>
          <w:sz w:val="24"/>
          <w:szCs w:val="24"/>
          <w:shd w:val="clear" w:color="auto" w:fill="FFFFFF"/>
        </w:rPr>
        <w:t xml:space="preserve">of </w:t>
      </w:r>
      <w:r w:rsidRPr="00EF0394">
        <w:rPr>
          <w:rFonts w:ascii="Arial" w:eastAsia="Times New Roman" w:hAnsi="Arial" w:cs="Arial"/>
          <w:sz w:val="24"/>
          <w:szCs w:val="24"/>
          <w:shd w:val="clear" w:color="auto" w:fill="FFFFFF"/>
        </w:rPr>
        <w:t xml:space="preserve">0.05 and </w:t>
      </w:r>
      <w:r w:rsidR="00A06CDD" w:rsidRPr="00EF0394">
        <w:rPr>
          <w:rFonts w:ascii="Arial" w:eastAsia="Times New Roman" w:hAnsi="Arial" w:cs="Arial"/>
          <w:sz w:val="24"/>
          <w:szCs w:val="24"/>
          <w:shd w:val="clear" w:color="auto" w:fill="FFFFFF"/>
        </w:rPr>
        <w:t xml:space="preserve">a </w:t>
      </w:r>
      <w:r w:rsidRPr="00EF0394">
        <w:rPr>
          <w:rFonts w:ascii="Arial" w:eastAsia="Times New Roman" w:hAnsi="Arial" w:cs="Arial"/>
          <w:sz w:val="24"/>
          <w:szCs w:val="24"/>
          <w:shd w:val="clear" w:color="auto" w:fill="FFFFFF"/>
        </w:rPr>
        <w:t xml:space="preserve">cutoff  </w:t>
      </w:r>
      <w:r w:rsidRPr="00EF0394">
        <w:rPr>
          <w:rFonts w:ascii="Arial" w:eastAsia="Times New Roman" w:hAnsi="Arial" w:cs="Arial"/>
          <w:sz w:val="24"/>
          <w:szCs w:val="24"/>
          <w:shd w:val="clear" w:color="auto" w:fill="FFFFFF"/>
        </w:rPr>
        <w:sym w:font="Symbol" w:char="F03E"/>
      </w:r>
      <w:r w:rsidR="00A06CDD" w:rsidRPr="00EF0394">
        <w:rPr>
          <w:rFonts w:ascii="Arial" w:eastAsia="Times New Roman" w:hAnsi="Arial" w:cs="Arial"/>
          <w:sz w:val="24"/>
          <w:szCs w:val="24"/>
          <w:shd w:val="clear" w:color="auto" w:fill="FFFFFF"/>
        </w:rPr>
        <w:t xml:space="preserve">of </w:t>
      </w:r>
      <w:r w:rsidRPr="00EF0394">
        <w:rPr>
          <w:rFonts w:ascii="Arial" w:eastAsia="Times New Roman" w:hAnsi="Arial" w:cs="Arial"/>
          <w:sz w:val="24"/>
          <w:szCs w:val="24"/>
          <w:shd w:val="clear" w:color="auto" w:fill="FFFFFF"/>
        </w:rPr>
        <w:t>2 FC.</w:t>
      </w:r>
    </w:p>
    <w:p w14:paraId="467BB010" w14:textId="0DDE547D" w:rsidR="00933B5C" w:rsidRPr="00EF0394" w:rsidRDefault="00933B5C" w:rsidP="00933B5C">
      <w:pPr>
        <w:spacing w:line="240" w:lineRule="auto"/>
        <w:jc w:val="both"/>
        <w:rPr>
          <w:rFonts w:ascii="Arial" w:eastAsia="Times New Roman" w:hAnsi="Arial" w:cs="Arial"/>
          <w:b/>
          <w:bCs/>
          <w:shd w:val="clear" w:color="auto" w:fill="FFFFFF"/>
        </w:rPr>
      </w:pPr>
      <w:r w:rsidRPr="00EF0394">
        <w:rPr>
          <w:rFonts w:ascii="Arial" w:eastAsia="Times New Roman" w:hAnsi="Arial" w:cs="Arial"/>
          <w:b/>
          <w:bCs/>
          <w:noProof/>
          <w:shd w:val="clear" w:color="auto" w:fill="FFFFFF"/>
        </w:rPr>
        <w:lastRenderedPageBreak/>
        <w:drawing>
          <wp:inline distT="0" distB="0" distL="0" distR="0" wp14:anchorId="121E3A12" wp14:editId="2CA6795D">
            <wp:extent cx="6332855" cy="357293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86237" cy="3603051"/>
                    </a:xfrm>
                    <a:prstGeom prst="rect">
                      <a:avLst/>
                    </a:prstGeom>
                  </pic:spPr>
                </pic:pic>
              </a:graphicData>
            </a:graphic>
          </wp:inline>
        </w:drawing>
      </w:r>
      <w:r w:rsidRPr="00EF0394">
        <w:rPr>
          <w:rFonts w:ascii="Arial" w:eastAsia="Times New Roman" w:hAnsi="Arial" w:cs="Arial"/>
          <w:b/>
          <w:bCs/>
          <w:shd w:val="clear" w:color="auto" w:fill="FFFFFF"/>
        </w:rPr>
        <w:t xml:space="preserve">Figure 4:  Expression of numerous metabolites in the PC3-TP53-WT &amp; PC3-TP53-R273H. (A) Heatmap depicting the expression of most dysregulated metabolites. </w:t>
      </w:r>
      <w:r w:rsidRPr="00EF0394">
        <w:rPr>
          <w:rFonts w:ascii="Arial" w:eastAsia="Times New Roman" w:hAnsi="Arial" w:cs="Arial"/>
          <w:shd w:val="clear" w:color="auto" w:fill="FFFFFF"/>
        </w:rPr>
        <w:t xml:space="preserve">Upregulated metabolites are </w:t>
      </w:r>
      <w:r w:rsidR="00A84B05" w:rsidRPr="00EF0394">
        <w:rPr>
          <w:rFonts w:ascii="Arial" w:eastAsia="Times New Roman" w:hAnsi="Arial" w:cs="Arial"/>
          <w:shd w:val="clear" w:color="auto" w:fill="FFFFFF"/>
        </w:rPr>
        <w:t>shown</w:t>
      </w:r>
      <w:r w:rsidRPr="00EF0394">
        <w:rPr>
          <w:rFonts w:ascii="Arial" w:eastAsia="Times New Roman" w:hAnsi="Arial" w:cs="Arial"/>
          <w:shd w:val="clear" w:color="auto" w:fill="FFFFFF"/>
        </w:rPr>
        <w:t xml:space="preserve"> in red, while the downregulated metabolites are in blue</w:t>
      </w:r>
      <w:r w:rsidRPr="00EF0394">
        <w:rPr>
          <w:rFonts w:ascii="Arial" w:eastAsia="Times New Roman" w:hAnsi="Arial" w:cs="Arial"/>
          <w:b/>
          <w:bCs/>
          <w:shd w:val="clear" w:color="auto" w:fill="FFFFFF"/>
        </w:rPr>
        <w:t xml:space="preserve"> (B) Volcano plot comparing the altered metabolites.</w:t>
      </w:r>
    </w:p>
    <w:p w14:paraId="28AFFB0F" w14:textId="77777777" w:rsidR="00933B5C" w:rsidRPr="00EF0394" w:rsidRDefault="00933B5C" w:rsidP="00933B5C">
      <w:pPr>
        <w:spacing w:line="240" w:lineRule="auto"/>
        <w:jc w:val="both"/>
        <w:rPr>
          <w:rFonts w:ascii="Arial" w:eastAsia="Times New Roman" w:hAnsi="Arial" w:cs="Arial"/>
          <w:shd w:val="clear" w:color="auto" w:fill="FFFFFF"/>
        </w:rPr>
      </w:pPr>
    </w:p>
    <w:p w14:paraId="42441F6C" w14:textId="42BA3F18" w:rsidR="00F5115A" w:rsidRPr="00EF0394" w:rsidRDefault="00082AD1" w:rsidP="00F5115A">
      <w:pPr>
        <w:spacing w:line="360" w:lineRule="auto"/>
        <w:jc w:val="both"/>
        <w:rPr>
          <w:rFonts w:ascii="Arial" w:eastAsia="Times New Roman" w:hAnsi="Arial" w:cs="Arial"/>
          <w:b/>
          <w:bCs/>
          <w:sz w:val="24"/>
          <w:szCs w:val="24"/>
          <w:shd w:val="clear" w:color="auto" w:fill="FFFFFF"/>
          <w:lang w:val="en"/>
        </w:rPr>
      </w:pPr>
      <w:r w:rsidRPr="00EF0394">
        <w:rPr>
          <w:rFonts w:ascii="Arial" w:eastAsia="Times New Roman" w:hAnsi="Arial" w:cs="Arial"/>
          <w:b/>
          <w:bCs/>
          <w:sz w:val="24"/>
          <w:szCs w:val="24"/>
          <w:shd w:val="clear" w:color="auto" w:fill="FFFFFF"/>
          <w:lang w:val="en"/>
        </w:rPr>
        <w:t xml:space="preserve">4.2.4 </w:t>
      </w:r>
      <w:r w:rsidR="00F5115A" w:rsidRPr="00EF0394">
        <w:rPr>
          <w:rFonts w:ascii="Arial" w:eastAsia="Times New Roman" w:hAnsi="Arial" w:cs="Arial"/>
          <w:b/>
          <w:bCs/>
          <w:sz w:val="24"/>
          <w:szCs w:val="24"/>
          <w:shd w:val="clear" w:color="auto" w:fill="FFFFFF"/>
          <w:lang w:val="en"/>
        </w:rPr>
        <w:t xml:space="preserve">COMPARISON BETWEEN PC3-GFP (KO) &amp; PC3-TP53-R175H </w:t>
      </w:r>
    </w:p>
    <w:p w14:paraId="4A7643FB" w14:textId="67402984" w:rsidR="00F5115A" w:rsidRPr="00EF0394" w:rsidRDefault="00F5115A" w:rsidP="00F5115A">
      <w:pPr>
        <w:spacing w:line="360" w:lineRule="auto"/>
        <w:jc w:val="both"/>
        <w:rPr>
          <w:rFonts w:ascii="Arial" w:eastAsia="Times New Roman" w:hAnsi="Arial" w:cs="Arial"/>
          <w:sz w:val="24"/>
          <w:szCs w:val="24"/>
          <w:shd w:val="clear" w:color="auto" w:fill="FFFFFF"/>
          <w:lang w:val="en"/>
        </w:rPr>
      </w:pPr>
      <w:r w:rsidRPr="00EF0394">
        <w:rPr>
          <w:rFonts w:ascii="Arial" w:eastAsia="Times New Roman" w:hAnsi="Arial" w:cs="Arial"/>
          <w:sz w:val="24"/>
          <w:szCs w:val="24"/>
          <w:shd w:val="clear" w:color="auto" w:fill="FFFFFF"/>
          <w:lang w:val="en"/>
        </w:rPr>
        <w:t>Metabolites that are upregulated in GFP are found to be downregulated in TP53-R175H, and the reverse is also true. The TP53 mutant (R175H) presence resulted in the downregulation of key TCA cycle and glycolysis intermediates, including α-ketoglutarate/succinyl CoA and GAP/DHAP</w:t>
      </w:r>
      <w:r w:rsidR="00A06CDD" w:rsidRPr="00EF0394">
        <w:rPr>
          <w:rFonts w:ascii="Arial" w:eastAsia="Times New Roman" w:hAnsi="Arial" w:cs="Arial"/>
          <w:sz w:val="24"/>
          <w:szCs w:val="24"/>
          <w:shd w:val="clear" w:color="auto" w:fill="FFFFFF"/>
          <w:lang w:val="en"/>
        </w:rPr>
        <w:t>,</w:t>
      </w:r>
      <w:r w:rsidRPr="00EF0394">
        <w:rPr>
          <w:rFonts w:ascii="Arial" w:eastAsia="Times New Roman" w:hAnsi="Arial" w:cs="Arial"/>
          <w:sz w:val="24"/>
          <w:szCs w:val="24"/>
          <w:shd w:val="clear" w:color="auto" w:fill="FFFFFF"/>
          <w:lang w:val="en"/>
        </w:rPr>
        <w:t xml:space="preserve"> respectively. These intermediates are upregulated in GFP. Conversely, metabolites like deoxyguanosine, spermidine, sucrose, and pseudouridine are upregulated in the R175H mutant and downregulated in GFP (Fig</w:t>
      </w:r>
      <w:r w:rsidR="00F60CBB" w:rsidRPr="00EF0394">
        <w:rPr>
          <w:rFonts w:ascii="Arial" w:eastAsia="Times New Roman" w:hAnsi="Arial" w:cs="Arial"/>
          <w:sz w:val="24"/>
          <w:szCs w:val="24"/>
          <w:shd w:val="clear" w:color="auto" w:fill="FFFFFF"/>
          <w:lang w:val="en"/>
        </w:rPr>
        <w:t>ure</w:t>
      </w:r>
      <w:r w:rsidRPr="00EF0394">
        <w:rPr>
          <w:rFonts w:ascii="Arial" w:eastAsia="Times New Roman" w:hAnsi="Arial" w:cs="Arial"/>
          <w:sz w:val="24"/>
          <w:szCs w:val="24"/>
          <w:shd w:val="clear" w:color="auto" w:fill="FFFFFF"/>
          <w:lang w:val="en"/>
        </w:rPr>
        <w:t xml:space="preserve"> </w:t>
      </w:r>
      <w:r w:rsidR="003E4B22" w:rsidRPr="00EF0394">
        <w:rPr>
          <w:rFonts w:ascii="Arial" w:eastAsia="Times New Roman" w:hAnsi="Arial" w:cs="Arial"/>
          <w:sz w:val="24"/>
          <w:szCs w:val="24"/>
          <w:shd w:val="clear" w:color="auto" w:fill="FFFFFF"/>
          <w:lang w:val="en"/>
        </w:rPr>
        <w:t>5</w:t>
      </w:r>
      <w:r w:rsidRPr="00EF0394">
        <w:rPr>
          <w:rFonts w:ascii="Arial" w:eastAsia="Times New Roman" w:hAnsi="Arial" w:cs="Arial"/>
          <w:sz w:val="24"/>
          <w:szCs w:val="24"/>
          <w:shd w:val="clear" w:color="auto" w:fill="FFFFFF"/>
          <w:lang w:val="en"/>
        </w:rPr>
        <w:t>A). In the volcano plot, succinyl CoA is the most significantly decreased metabolite, while pseudouridine is the most increased (Fig</w:t>
      </w:r>
      <w:r w:rsidR="00F60CBB" w:rsidRPr="00EF0394">
        <w:rPr>
          <w:rFonts w:ascii="Arial" w:eastAsia="Times New Roman" w:hAnsi="Arial" w:cs="Arial"/>
          <w:sz w:val="24"/>
          <w:szCs w:val="24"/>
          <w:shd w:val="clear" w:color="auto" w:fill="FFFFFF"/>
          <w:lang w:val="en"/>
        </w:rPr>
        <w:t>ure</w:t>
      </w:r>
      <w:r w:rsidRPr="00EF0394">
        <w:rPr>
          <w:rFonts w:ascii="Arial" w:eastAsia="Times New Roman" w:hAnsi="Arial" w:cs="Arial"/>
          <w:sz w:val="24"/>
          <w:szCs w:val="24"/>
          <w:shd w:val="clear" w:color="auto" w:fill="FFFFFF"/>
          <w:lang w:val="en"/>
        </w:rPr>
        <w:t xml:space="preserve"> </w:t>
      </w:r>
      <w:r w:rsidR="003E4B22" w:rsidRPr="00EF0394">
        <w:rPr>
          <w:rFonts w:ascii="Arial" w:eastAsia="Times New Roman" w:hAnsi="Arial" w:cs="Arial"/>
          <w:sz w:val="24"/>
          <w:szCs w:val="24"/>
          <w:shd w:val="clear" w:color="auto" w:fill="FFFFFF"/>
          <w:lang w:val="en"/>
        </w:rPr>
        <w:t>5</w:t>
      </w:r>
      <w:r w:rsidRPr="00EF0394">
        <w:rPr>
          <w:rFonts w:ascii="Arial" w:eastAsia="Times New Roman" w:hAnsi="Arial" w:cs="Arial"/>
          <w:sz w:val="24"/>
          <w:szCs w:val="24"/>
          <w:shd w:val="clear" w:color="auto" w:fill="FFFFFF"/>
          <w:lang w:val="en"/>
        </w:rPr>
        <w:t xml:space="preserve">B). </w:t>
      </w:r>
    </w:p>
    <w:p w14:paraId="599B2C20" w14:textId="30F8B9BE" w:rsidR="00F5115A" w:rsidRPr="00EF0394" w:rsidRDefault="00F5115A" w:rsidP="00F5115A">
      <w:pPr>
        <w:spacing w:line="360" w:lineRule="auto"/>
        <w:jc w:val="both"/>
        <w:rPr>
          <w:rFonts w:ascii="Arial" w:eastAsia="Times New Roman" w:hAnsi="Arial" w:cs="Arial"/>
          <w:sz w:val="24"/>
          <w:szCs w:val="24"/>
          <w:shd w:val="clear" w:color="auto" w:fill="FFFFFF"/>
          <w:lang w:val="en"/>
        </w:rPr>
      </w:pPr>
      <w:r w:rsidRPr="00EF0394">
        <w:rPr>
          <w:rFonts w:ascii="Arial" w:eastAsia="Times New Roman" w:hAnsi="Arial" w:cs="Arial"/>
          <w:b/>
          <w:bCs/>
          <w:noProof/>
          <w:sz w:val="24"/>
          <w:szCs w:val="24"/>
          <w:shd w:val="clear" w:color="auto" w:fill="FFFFFF"/>
        </w:rPr>
        <w:lastRenderedPageBreak/>
        <w:drawing>
          <wp:inline distT="0" distB="0" distL="0" distR="0" wp14:anchorId="50FA7A00" wp14:editId="5CAAE791">
            <wp:extent cx="6384749" cy="3208867"/>
            <wp:effectExtent l="0" t="0" r="381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05788" cy="3269699"/>
                    </a:xfrm>
                    <a:prstGeom prst="rect">
                      <a:avLst/>
                    </a:prstGeom>
                  </pic:spPr>
                </pic:pic>
              </a:graphicData>
            </a:graphic>
          </wp:inline>
        </w:drawing>
      </w:r>
    </w:p>
    <w:p w14:paraId="3FA7DA62" w14:textId="5398BF1A" w:rsidR="003E4B22" w:rsidRPr="00EF0394" w:rsidRDefault="00F5115A" w:rsidP="003E4B22">
      <w:pPr>
        <w:spacing w:line="240" w:lineRule="auto"/>
        <w:jc w:val="both"/>
        <w:rPr>
          <w:rFonts w:ascii="Arial" w:eastAsia="Times New Roman" w:hAnsi="Arial" w:cs="Arial"/>
          <w:b/>
          <w:bCs/>
          <w:shd w:val="clear" w:color="auto" w:fill="FFFFFF"/>
        </w:rPr>
      </w:pPr>
      <w:r w:rsidRPr="00EF0394">
        <w:rPr>
          <w:rFonts w:ascii="Arial" w:eastAsia="Times New Roman" w:hAnsi="Arial" w:cs="Arial"/>
          <w:b/>
          <w:bCs/>
          <w:shd w:val="clear" w:color="auto" w:fill="FFFFFF"/>
        </w:rPr>
        <w:t>Fig</w:t>
      </w:r>
      <w:r w:rsidR="003E4B22" w:rsidRPr="00EF0394">
        <w:rPr>
          <w:rFonts w:ascii="Arial" w:eastAsia="Times New Roman" w:hAnsi="Arial" w:cs="Arial"/>
          <w:b/>
          <w:bCs/>
          <w:shd w:val="clear" w:color="auto" w:fill="FFFFFF"/>
        </w:rPr>
        <w:t>ure</w:t>
      </w:r>
      <w:r w:rsidRPr="00EF0394">
        <w:rPr>
          <w:rFonts w:ascii="Arial" w:eastAsia="Times New Roman" w:hAnsi="Arial" w:cs="Arial"/>
          <w:b/>
          <w:bCs/>
          <w:shd w:val="clear" w:color="auto" w:fill="FFFFFF"/>
        </w:rPr>
        <w:t xml:space="preserve"> </w:t>
      </w:r>
      <w:r w:rsidR="003E4B22" w:rsidRPr="00EF0394">
        <w:rPr>
          <w:rFonts w:ascii="Arial" w:eastAsia="Times New Roman" w:hAnsi="Arial" w:cs="Arial"/>
          <w:b/>
          <w:bCs/>
          <w:shd w:val="clear" w:color="auto" w:fill="FFFFFF"/>
        </w:rPr>
        <w:t>5</w:t>
      </w:r>
      <w:r w:rsidRPr="00EF0394">
        <w:rPr>
          <w:rFonts w:ascii="Arial" w:eastAsia="Times New Roman" w:hAnsi="Arial" w:cs="Arial"/>
          <w:b/>
          <w:bCs/>
          <w:shd w:val="clear" w:color="auto" w:fill="FFFFFF"/>
        </w:rPr>
        <w:t xml:space="preserve">: </w:t>
      </w:r>
      <w:r w:rsidR="003E4B22" w:rsidRPr="00EF0394">
        <w:rPr>
          <w:rFonts w:ascii="Arial" w:eastAsia="Times New Roman" w:hAnsi="Arial" w:cs="Arial"/>
          <w:b/>
          <w:bCs/>
          <w:shd w:val="clear" w:color="auto" w:fill="FFFFFF"/>
        </w:rPr>
        <w:t xml:space="preserve">Expression of numerous metabolites in the PC3-GFP (KO) &amp; PC3-TP53-R175H. (A) Heatmap depicting the expression of most dysregulated metabolites. </w:t>
      </w:r>
      <w:r w:rsidR="003E4B22" w:rsidRPr="00EF0394">
        <w:rPr>
          <w:rFonts w:ascii="Arial" w:eastAsia="Times New Roman" w:hAnsi="Arial" w:cs="Arial"/>
          <w:shd w:val="clear" w:color="auto" w:fill="FFFFFF"/>
        </w:rPr>
        <w:t xml:space="preserve">Upregulated metabolites are </w:t>
      </w:r>
      <w:r w:rsidR="00A84B05" w:rsidRPr="00EF0394">
        <w:rPr>
          <w:rFonts w:ascii="Arial" w:eastAsia="Times New Roman" w:hAnsi="Arial" w:cs="Arial"/>
          <w:shd w:val="clear" w:color="auto" w:fill="FFFFFF"/>
        </w:rPr>
        <w:t>shown</w:t>
      </w:r>
      <w:r w:rsidR="003E4B22" w:rsidRPr="00EF0394">
        <w:rPr>
          <w:rFonts w:ascii="Arial" w:eastAsia="Times New Roman" w:hAnsi="Arial" w:cs="Arial"/>
          <w:shd w:val="clear" w:color="auto" w:fill="FFFFFF"/>
        </w:rPr>
        <w:t xml:space="preserve"> in red, while the downregulated metabolites are in blue</w:t>
      </w:r>
      <w:r w:rsidR="003E4B22" w:rsidRPr="00EF0394">
        <w:rPr>
          <w:rFonts w:ascii="Arial" w:eastAsia="Times New Roman" w:hAnsi="Arial" w:cs="Arial"/>
          <w:b/>
          <w:bCs/>
          <w:shd w:val="clear" w:color="auto" w:fill="FFFFFF"/>
        </w:rPr>
        <w:t xml:space="preserve"> (B) Volcano plot comparing the altered metabolites.</w:t>
      </w:r>
    </w:p>
    <w:p w14:paraId="52E93CE2" w14:textId="0CD3F172" w:rsidR="00E23C1B" w:rsidRPr="00EF0394" w:rsidRDefault="00082AD1" w:rsidP="00AB75B0">
      <w:pPr>
        <w:spacing w:line="360" w:lineRule="auto"/>
        <w:jc w:val="both"/>
        <w:rPr>
          <w:rFonts w:ascii="Arial" w:eastAsia="Times New Roman" w:hAnsi="Arial" w:cs="Arial"/>
          <w:b/>
          <w:bCs/>
          <w:sz w:val="24"/>
          <w:szCs w:val="24"/>
          <w:shd w:val="clear" w:color="auto" w:fill="FFFFFF"/>
          <w:lang w:val="en"/>
        </w:rPr>
      </w:pPr>
      <w:r w:rsidRPr="00EF0394">
        <w:rPr>
          <w:rFonts w:ascii="Arial" w:eastAsia="Times New Roman" w:hAnsi="Arial" w:cs="Arial"/>
          <w:b/>
          <w:bCs/>
          <w:sz w:val="24"/>
          <w:szCs w:val="24"/>
          <w:shd w:val="clear" w:color="auto" w:fill="FFFFFF"/>
          <w:lang w:val="en"/>
        </w:rPr>
        <w:t xml:space="preserve">4.2.5 </w:t>
      </w:r>
      <w:r w:rsidR="00E23C1B" w:rsidRPr="00EF0394">
        <w:rPr>
          <w:rFonts w:ascii="Arial" w:eastAsia="Times New Roman" w:hAnsi="Arial" w:cs="Arial"/>
          <w:b/>
          <w:bCs/>
          <w:sz w:val="24"/>
          <w:szCs w:val="24"/>
          <w:shd w:val="clear" w:color="auto" w:fill="FFFFFF"/>
          <w:lang w:val="en"/>
        </w:rPr>
        <w:t xml:space="preserve">COMPARISON BETWEEN PC3-GFP (KO) &amp; PC3-TP53-R273H  </w:t>
      </w:r>
    </w:p>
    <w:p w14:paraId="58D186DD" w14:textId="22DCAFAB" w:rsidR="00E23C1B" w:rsidRPr="00EF0394" w:rsidRDefault="00E23C1B" w:rsidP="00AB75B0">
      <w:pPr>
        <w:spacing w:line="360" w:lineRule="auto"/>
        <w:jc w:val="both"/>
        <w:rPr>
          <w:rFonts w:ascii="Arial" w:eastAsia="Times New Roman" w:hAnsi="Arial" w:cs="Arial"/>
          <w:sz w:val="24"/>
          <w:szCs w:val="24"/>
          <w:shd w:val="clear" w:color="auto" w:fill="FFFFFF"/>
          <w:lang w:val="en"/>
        </w:rPr>
      </w:pPr>
      <w:r w:rsidRPr="00EF0394">
        <w:rPr>
          <w:rFonts w:ascii="Arial" w:eastAsia="Times New Roman" w:hAnsi="Arial" w:cs="Arial"/>
          <w:sz w:val="24"/>
          <w:szCs w:val="24"/>
          <w:shd w:val="clear" w:color="auto" w:fill="FFFFFF"/>
          <w:lang w:val="en"/>
        </w:rPr>
        <w:t>Comparing GFP (KO) to the R273H mutant, metabolites like GalNAC/GlcNAC, adenosine, acetoacetic acid, acetylcholine, octopamine, lactic acid, and NADP+ are downregulated in the R273H mutant but upregulated in GFP. Conversely, spermidine, N-acetyl-DL-serine, pseudouridine, deoxyguanosine, sucrose, and AMP/dGMP are upregulated in the R273H mutant but downregulated in GFP (Fig</w:t>
      </w:r>
      <w:r w:rsidR="00F60CBB" w:rsidRPr="00EF0394">
        <w:rPr>
          <w:rFonts w:ascii="Arial" w:eastAsia="Times New Roman" w:hAnsi="Arial" w:cs="Arial"/>
          <w:sz w:val="24"/>
          <w:szCs w:val="24"/>
          <w:shd w:val="clear" w:color="auto" w:fill="FFFFFF"/>
          <w:lang w:val="en"/>
        </w:rPr>
        <w:t>ure</w:t>
      </w:r>
      <w:r w:rsidRPr="00EF0394">
        <w:rPr>
          <w:rFonts w:ascii="Arial" w:eastAsia="Times New Roman" w:hAnsi="Arial" w:cs="Arial"/>
          <w:sz w:val="24"/>
          <w:szCs w:val="24"/>
          <w:shd w:val="clear" w:color="auto" w:fill="FFFFFF"/>
          <w:lang w:val="en"/>
        </w:rPr>
        <w:t xml:space="preserve"> </w:t>
      </w:r>
      <w:r w:rsidR="003E4B22" w:rsidRPr="00EF0394">
        <w:rPr>
          <w:rFonts w:ascii="Arial" w:eastAsia="Times New Roman" w:hAnsi="Arial" w:cs="Arial"/>
          <w:sz w:val="24"/>
          <w:szCs w:val="24"/>
          <w:shd w:val="clear" w:color="auto" w:fill="FFFFFF"/>
          <w:lang w:val="en"/>
        </w:rPr>
        <w:t>6</w:t>
      </w:r>
      <w:r w:rsidRPr="00EF0394">
        <w:rPr>
          <w:rFonts w:ascii="Arial" w:eastAsia="Times New Roman" w:hAnsi="Arial" w:cs="Arial"/>
          <w:sz w:val="24"/>
          <w:szCs w:val="24"/>
          <w:shd w:val="clear" w:color="auto" w:fill="FFFFFF"/>
          <w:lang w:val="en"/>
        </w:rPr>
        <w:t>A). In the volcano plot, pseudouridine and spermidine are the most significantly increased metabolites, while GalNAC/GlcNAC and itaconic acid are the most decreased (Fig</w:t>
      </w:r>
      <w:r w:rsidR="00255A39" w:rsidRPr="00EF0394">
        <w:rPr>
          <w:rFonts w:ascii="Arial" w:eastAsia="Times New Roman" w:hAnsi="Arial" w:cs="Arial"/>
          <w:sz w:val="24"/>
          <w:szCs w:val="24"/>
          <w:shd w:val="clear" w:color="auto" w:fill="FFFFFF"/>
          <w:lang w:val="en"/>
        </w:rPr>
        <w:t>ure</w:t>
      </w:r>
      <w:r w:rsidRPr="00EF0394">
        <w:rPr>
          <w:rFonts w:ascii="Arial" w:eastAsia="Times New Roman" w:hAnsi="Arial" w:cs="Arial"/>
          <w:sz w:val="24"/>
          <w:szCs w:val="24"/>
          <w:shd w:val="clear" w:color="auto" w:fill="FFFFFF"/>
          <w:lang w:val="en"/>
        </w:rPr>
        <w:t xml:space="preserve"> </w:t>
      </w:r>
      <w:r w:rsidR="003E4B22" w:rsidRPr="00EF0394">
        <w:rPr>
          <w:rFonts w:ascii="Arial" w:eastAsia="Times New Roman" w:hAnsi="Arial" w:cs="Arial"/>
          <w:sz w:val="24"/>
          <w:szCs w:val="24"/>
          <w:shd w:val="clear" w:color="auto" w:fill="FFFFFF"/>
          <w:lang w:val="en"/>
        </w:rPr>
        <w:t>6</w:t>
      </w:r>
      <w:r w:rsidRPr="00EF0394">
        <w:rPr>
          <w:rFonts w:ascii="Arial" w:eastAsia="Times New Roman" w:hAnsi="Arial" w:cs="Arial"/>
          <w:sz w:val="24"/>
          <w:szCs w:val="24"/>
          <w:shd w:val="clear" w:color="auto" w:fill="FFFFFF"/>
          <w:lang w:val="en"/>
        </w:rPr>
        <w:t xml:space="preserve">B). </w:t>
      </w:r>
    </w:p>
    <w:p w14:paraId="32ACABD8" w14:textId="5635D3A8" w:rsidR="003E4B22" w:rsidRPr="00EF0394" w:rsidRDefault="00E23C1B" w:rsidP="003E4B22">
      <w:pPr>
        <w:spacing w:line="240" w:lineRule="auto"/>
        <w:jc w:val="both"/>
        <w:rPr>
          <w:rFonts w:ascii="Arial" w:eastAsia="Times New Roman" w:hAnsi="Arial" w:cs="Arial"/>
          <w:b/>
          <w:bCs/>
          <w:shd w:val="clear" w:color="auto" w:fill="FFFFFF"/>
        </w:rPr>
      </w:pPr>
      <w:r w:rsidRPr="00EF0394">
        <w:rPr>
          <w:rFonts w:ascii="Arial" w:hAnsi="Arial" w:cs="Arial"/>
          <w:b/>
          <w:bCs/>
          <w:noProof/>
          <w:sz w:val="24"/>
          <w:szCs w:val="24"/>
        </w:rPr>
        <w:lastRenderedPageBreak/>
        <w:drawing>
          <wp:inline distT="0" distB="0" distL="0" distR="0" wp14:anchorId="37080A8D" wp14:editId="0DE97353">
            <wp:extent cx="6371890" cy="2523066"/>
            <wp:effectExtent l="0" t="0" r="381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46074" cy="2552440"/>
                    </a:xfrm>
                    <a:prstGeom prst="rect">
                      <a:avLst/>
                    </a:prstGeom>
                  </pic:spPr>
                </pic:pic>
              </a:graphicData>
            </a:graphic>
          </wp:inline>
        </w:drawing>
      </w:r>
      <w:r w:rsidR="00AB75B0" w:rsidRPr="00EF0394">
        <w:rPr>
          <w:rFonts w:ascii="Arial" w:hAnsi="Arial" w:cs="Arial"/>
          <w:b/>
          <w:bCs/>
          <w:sz w:val="24"/>
          <w:szCs w:val="24"/>
        </w:rPr>
        <w:t xml:space="preserve"> </w:t>
      </w:r>
      <w:r w:rsidR="00AB75B0" w:rsidRPr="00EF0394">
        <w:rPr>
          <w:rFonts w:ascii="Arial" w:hAnsi="Arial" w:cs="Arial"/>
          <w:b/>
          <w:bCs/>
        </w:rPr>
        <w:t>Fig</w:t>
      </w:r>
      <w:r w:rsidR="00255A39" w:rsidRPr="00EF0394">
        <w:rPr>
          <w:rFonts w:ascii="Arial" w:hAnsi="Arial" w:cs="Arial"/>
          <w:b/>
          <w:bCs/>
        </w:rPr>
        <w:t>ure</w:t>
      </w:r>
      <w:r w:rsidR="00AB75B0" w:rsidRPr="00EF0394">
        <w:rPr>
          <w:rFonts w:ascii="Arial" w:hAnsi="Arial" w:cs="Arial"/>
          <w:b/>
          <w:bCs/>
        </w:rPr>
        <w:t xml:space="preserve"> </w:t>
      </w:r>
      <w:r w:rsidR="003E4B22" w:rsidRPr="00EF0394">
        <w:rPr>
          <w:rFonts w:ascii="Arial" w:hAnsi="Arial" w:cs="Arial"/>
          <w:b/>
          <w:bCs/>
        </w:rPr>
        <w:t>6</w:t>
      </w:r>
      <w:r w:rsidR="00AB75B0" w:rsidRPr="00EF0394">
        <w:rPr>
          <w:rFonts w:ascii="Arial" w:hAnsi="Arial" w:cs="Arial"/>
          <w:b/>
          <w:bCs/>
        </w:rPr>
        <w:t xml:space="preserve">: </w:t>
      </w:r>
      <w:r w:rsidR="003E4B22" w:rsidRPr="00EF0394">
        <w:rPr>
          <w:rFonts w:ascii="Arial" w:eastAsia="Times New Roman" w:hAnsi="Arial" w:cs="Arial"/>
          <w:b/>
          <w:bCs/>
          <w:shd w:val="clear" w:color="auto" w:fill="FFFFFF"/>
        </w:rPr>
        <w:t xml:space="preserve">Expression of numerous metabolites in the PC3-GFP (KO) &amp; PC3-TP53-R273H. (A) Heatmap depicting the expression of most dysregulated metabolites. </w:t>
      </w:r>
      <w:r w:rsidR="003E4B22" w:rsidRPr="00EF0394">
        <w:rPr>
          <w:rFonts w:ascii="Arial" w:eastAsia="Times New Roman" w:hAnsi="Arial" w:cs="Arial"/>
          <w:shd w:val="clear" w:color="auto" w:fill="FFFFFF"/>
        </w:rPr>
        <w:t xml:space="preserve">Upregulated metabolites are </w:t>
      </w:r>
      <w:r w:rsidR="00A84B05" w:rsidRPr="00EF0394">
        <w:rPr>
          <w:rFonts w:ascii="Arial" w:eastAsia="Times New Roman" w:hAnsi="Arial" w:cs="Arial"/>
          <w:shd w:val="clear" w:color="auto" w:fill="FFFFFF"/>
        </w:rPr>
        <w:t>shown</w:t>
      </w:r>
      <w:r w:rsidR="003E4B22" w:rsidRPr="00EF0394">
        <w:rPr>
          <w:rFonts w:ascii="Arial" w:eastAsia="Times New Roman" w:hAnsi="Arial" w:cs="Arial"/>
          <w:shd w:val="clear" w:color="auto" w:fill="FFFFFF"/>
        </w:rPr>
        <w:t xml:space="preserve"> in red, while the downregulated metabolites are in blue</w:t>
      </w:r>
      <w:r w:rsidR="003E4B22" w:rsidRPr="00EF0394">
        <w:rPr>
          <w:rFonts w:ascii="Arial" w:eastAsia="Times New Roman" w:hAnsi="Arial" w:cs="Arial"/>
          <w:b/>
          <w:bCs/>
          <w:shd w:val="clear" w:color="auto" w:fill="FFFFFF"/>
        </w:rPr>
        <w:t xml:space="preserve"> (B) Volcano plot comparing the altered metabolites.</w:t>
      </w:r>
    </w:p>
    <w:p w14:paraId="0FF0FA35" w14:textId="7FBC3CE2" w:rsidR="00255A39" w:rsidRPr="00EF0394" w:rsidRDefault="00082AD1" w:rsidP="00F60CBB">
      <w:pPr>
        <w:spacing w:after="0" w:line="360" w:lineRule="auto"/>
        <w:rPr>
          <w:rFonts w:ascii="Arial" w:eastAsia="Times New Roman" w:hAnsi="Arial" w:cs="Arial"/>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 xml:space="preserve">5.0 </w:t>
      </w:r>
      <w:r w:rsidR="008A4794" w:rsidRPr="00EF0394">
        <w:rPr>
          <w:rFonts w:ascii="Arial" w:eastAsia="Times New Roman" w:hAnsi="Arial" w:cs="Arial"/>
          <w:b/>
          <w:bCs/>
          <w:kern w:val="0"/>
          <w:sz w:val="24"/>
          <w:szCs w:val="24"/>
          <w:shd w:val="clear" w:color="auto" w:fill="FFFFFF"/>
          <w14:ligatures w14:val="none"/>
        </w:rPr>
        <w:t>DISCUSSION</w:t>
      </w:r>
    </w:p>
    <w:p w14:paraId="4E033FD9" w14:textId="0762A871" w:rsidR="008A4794" w:rsidRPr="00EF0394" w:rsidRDefault="00255A39" w:rsidP="00607E20">
      <w:pPr>
        <w:spacing w:after="0" w:line="360" w:lineRule="auto"/>
        <w:jc w:val="both"/>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sz w:val="24"/>
          <w:szCs w:val="24"/>
          <w:shd w:val="clear" w:color="auto" w:fill="FFFFFF"/>
        </w:rPr>
        <w:t>In this study, the generation of stable PC-3 cell lines transduced with vector control (V5-DEST-GFP), V5-TP53-wildtype, V5-TP53-R175H</w:t>
      </w:r>
      <w:r w:rsidR="00A06CDD" w:rsidRPr="00EF0394">
        <w:rPr>
          <w:rFonts w:ascii="Arial" w:eastAsia="Times New Roman" w:hAnsi="Arial" w:cs="Arial"/>
          <w:sz w:val="24"/>
          <w:szCs w:val="24"/>
          <w:shd w:val="clear" w:color="auto" w:fill="FFFFFF"/>
        </w:rPr>
        <w:t>,</w:t>
      </w:r>
      <w:r w:rsidRPr="00EF0394">
        <w:rPr>
          <w:rFonts w:ascii="Arial" w:eastAsia="Times New Roman" w:hAnsi="Arial" w:cs="Arial"/>
          <w:sz w:val="24"/>
          <w:szCs w:val="24"/>
          <w:shd w:val="clear" w:color="auto" w:fill="FFFFFF"/>
        </w:rPr>
        <w:t xml:space="preserve"> and V5-TP53-R273H</w:t>
      </w:r>
      <w:r w:rsidR="00A06CDD" w:rsidRPr="00EF0394">
        <w:rPr>
          <w:rFonts w:ascii="Arial" w:eastAsia="Times New Roman" w:hAnsi="Arial" w:cs="Arial"/>
          <w:sz w:val="24"/>
          <w:szCs w:val="24"/>
          <w:shd w:val="clear" w:color="auto" w:fill="FFFFFF"/>
        </w:rPr>
        <w:t>,</w:t>
      </w:r>
      <w:r w:rsidRPr="00EF0394">
        <w:rPr>
          <w:rFonts w:ascii="Arial" w:eastAsia="Times New Roman" w:hAnsi="Arial" w:cs="Arial"/>
          <w:sz w:val="24"/>
          <w:szCs w:val="24"/>
          <w:shd w:val="clear" w:color="auto" w:fill="FFFFFF"/>
        </w:rPr>
        <w:t xml:space="preserve"> was confirmed from the result of western blot (Figure 1). </w:t>
      </w:r>
      <w:r w:rsidR="00F60CBB" w:rsidRPr="00EF0394">
        <w:rPr>
          <w:rFonts w:ascii="Arial" w:eastAsia="Times New Roman" w:hAnsi="Arial" w:cs="Arial"/>
          <w:sz w:val="24"/>
          <w:szCs w:val="24"/>
          <w:shd w:val="clear" w:color="auto" w:fill="FFFFFF"/>
        </w:rPr>
        <w:t xml:space="preserve">This result agrees with the findings of Yoo et al., which showed </w:t>
      </w:r>
      <w:r w:rsidR="00A06CDD" w:rsidRPr="00EF0394">
        <w:rPr>
          <w:rFonts w:ascii="Arial" w:eastAsia="Times New Roman" w:hAnsi="Arial" w:cs="Arial"/>
          <w:sz w:val="24"/>
          <w:szCs w:val="24"/>
          <w:shd w:val="clear" w:color="auto" w:fill="FFFFFF"/>
        </w:rPr>
        <w:t xml:space="preserve">a </w:t>
      </w:r>
      <w:r w:rsidR="00F60CBB" w:rsidRPr="00EF0394">
        <w:rPr>
          <w:rFonts w:ascii="Arial" w:eastAsia="Times New Roman" w:hAnsi="Arial" w:cs="Arial"/>
          <w:sz w:val="24"/>
          <w:szCs w:val="24"/>
          <w:shd w:val="clear" w:color="auto" w:fill="FFFFFF"/>
        </w:rPr>
        <w:t xml:space="preserve">western blot with the indicated proteins in PC-3 cells (TP53 null) expressing vector control (V5-DEST-GFP), TP53-R175H, and TP53-R273H </w:t>
      </w:r>
      <w:r w:rsidR="00734B5D" w:rsidRPr="00EF0394">
        <w:rPr>
          <w:rFonts w:ascii="Arial" w:eastAsia="Times New Roman" w:hAnsi="Arial" w:cs="Arial"/>
          <w:sz w:val="24"/>
          <w:szCs w:val="24"/>
          <w:shd w:val="clear" w:color="auto" w:fill="FFFFFF"/>
        </w:rPr>
        <w:fldChar w:fldCharType="begin"/>
      </w:r>
      <w:r w:rsidR="00734B5D" w:rsidRPr="00EF0394">
        <w:rPr>
          <w:rFonts w:ascii="Arial" w:eastAsia="Times New Roman" w:hAnsi="Arial" w:cs="Arial"/>
          <w:sz w:val="24"/>
          <w:szCs w:val="24"/>
          <w:shd w:val="clear" w:color="auto" w:fill="FFFFFF"/>
        </w:rPr>
        <w:instrText xml:space="preserve"> ADDIN ZOTERO_ITEM CSL_CITATION {"citationID":"RmyfWyqT","properties":{"formattedCitation":"(Yoo, 2023)","plainCitation":"(Yoo, 2023)","noteIndex":0},"citationItems":[{"id":14,"uris":["http://zotero.org/users/local/5QJK0Flt/items/QQK7GV5C"],"itemData":{"id":14,"type":"article-journal","abstract":"&lt;p&gt;Background: The TP53 tumor suppressor is frequently altered in lethal, castration-resistant prostate cancer (CRPC). However, to date there are no effective treatments that specifically target TP53 gain-of-function (GOF) mutants. Thus, there is an urgent need to identify and target vulnerabilities that perpetuate disease progression and treatment resistance resulting from TP53 GOF mutants.&lt;/p&gt;","container-title":"Cancer Research","DOI":"10.1158/1538-7445.AM2023-1712","ISSN":"1538-7445","issue":"7_Supplement","page":"1712-1712","title":"Abstract 1712: Targeting asparagine dependency as a therapy for TP53-mutated castration-resistant prostate cancer","volume":"83","author":[{"family":"Yoo","given":"Young A"}],"issued":{"date-parts":[["2023",4,4]]}}}],"schema":"https://github.com/citation-style-language/schema/raw/master/csl-citation.json"} </w:instrText>
      </w:r>
      <w:r w:rsidR="00734B5D" w:rsidRPr="00EF0394">
        <w:rPr>
          <w:rFonts w:ascii="Arial" w:eastAsia="Times New Roman" w:hAnsi="Arial" w:cs="Arial"/>
          <w:sz w:val="24"/>
          <w:szCs w:val="24"/>
          <w:shd w:val="clear" w:color="auto" w:fill="FFFFFF"/>
        </w:rPr>
        <w:fldChar w:fldCharType="separate"/>
      </w:r>
      <w:r w:rsidR="00734B5D" w:rsidRPr="00EF0394">
        <w:rPr>
          <w:rFonts w:ascii="Arial" w:eastAsia="Times New Roman" w:hAnsi="Arial" w:cs="Arial"/>
          <w:noProof/>
          <w:sz w:val="24"/>
          <w:szCs w:val="24"/>
          <w:shd w:val="clear" w:color="auto" w:fill="FFFFFF"/>
        </w:rPr>
        <w:t>(Yoo, 2023)</w:t>
      </w:r>
      <w:r w:rsidR="00734B5D" w:rsidRPr="00EF0394">
        <w:rPr>
          <w:rFonts w:ascii="Arial" w:eastAsia="Times New Roman" w:hAnsi="Arial" w:cs="Arial"/>
          <w:sz w:val="24"/>
          <w:szCs w:val="24"/>
          <w:shd w:val="clear" w:color="auto" w:fill="FFFFFF"/>
        </w:rPr>
        <w:fldChar w:fldCharType="end"/>
      </w:r>
      <w:r w:rsidR="0089006D" w:rsidRPr="00EF0394">
        <w:rPr>
          <w:rFonts w:ascii="Arial" w:eastAsia="Times New Roman" w:hAnsi="Arial" w:cs="Arial"/>
          <w:sz w:val="24"/>
          <w:szCs w:val="24"/>
          <w:shd w:val="clear" w:color="auto" w:fill="FFFFFF"/>
        </w:rPr>
        <w:fldChar w:fldCharType="begin"/>
      </w:r>
      <w:r w:rsidR="0089006D" w:rsidRPr="00EF0394">
        <w:rPr>
          <w:rFonts w:ascii="Arial" w:eastAsia="Times New Roman" w:hAnsi="Arial" w:cs="Arial"/>
          <w:sz w:val="24"/>
          <w:szCs w:val="24"/>
          <w:shd w:val="clear" w:color="auto" w:fill="FFFFFF"/>
        </w:rPr>
        <w:instrText xml:space="preserve"> ADDIN ZOTERO_ITEM CSL_CITATION {"citationID":"SwxSMuTJ","properties":{"formattedCitation":"(Yoo, 2023)","plainCitation":"(Yoo, 2023)","noteIndex":0},"citationItems":[{"id":14,"uris":["http://zotero.org/users/local/5QJK0Flt/items/QQK7GV5C"],"itemData":{"id":14,"type":"article-journal","abstract":"&lt;p&gt;Background: The TP53 tumor suppressor is frequently altered in lethal, castration-resistant prostate cancer (CRPC). However, to date there are no effective treatments that specifically target TP53 gain-of-function (GOF) mutants. Thus, there is an urgent need to identify and target vulnerabilities that perpetuate disease progression and treatment resistance resulting from TP53 GOF mutants.&lt;/p&gt;","container-title":"Cancer Research","DOI":"10.1158/1538-7445.AM2023-1712","ISSN":"1538-7445","issue":"7_Supplement","page":"1712-1712","title":"Abstract 1712: Targeting asparagine dependency as a therapy for TP53-mutated castration-resistant prostate cancer","volume":"83","author":[{"family":"Yoo","given":"Young A"}],"issued":{"date-parts":[["2023",4,4]]}}}],"schema":"https://github.com/citation-style-language/schema/raw/master/csl-citation.json"} </w:instrText>
      </w:r>
      <w:r w:rsidR="0089006D" w:rsidRPr="00EF0394">
        <w:rPr>
          <w:rFonts w:ascii="Arial" w:eastAsia="Times New Roman" w:hAnsi="Arial" w:cs="Arial"/>
          <w:sz w:val="24"/>
          <w:szCs w:val="24"/>
          <w:shd w:val="clear" w:color="auto" w:fill="FFFFFF"/>
        </w:rPr>
        <w:fldChar w:fldCharType="separate"/>
      </w:r>
      <w:r w:rsidR="0089006D" w:rsidRPr="00EF0394">
        <w:rPr>
          <w:rFonts w:ascii="Arial" w:eastAsia="Times New Roman" w:hAnsi="Arial" w:cs="Arial"/>
          <w:sz w:val="24"/>
          <w:szCs w:val="24"/>
          <w:shd w:val="clear" w:color="auto" w:fill="FFFFFF"/>
        </w:rPr>
        <w:fldChar w:fldCharType="end"/>
      </w:r>
      <w:r w:rsidR="00F60CBB" w:rsidRPr="00EF0394">
        <w:rPr>
          <w:rFonts w:ascii="Arial" w:eastAsia="Times New Roman" w:hAnsi="Arial" w:cs="Arial"/>
          <w:sz w:val="24"/>
          <w:szCs w:val="24"/>
          <w:shd w:val="clear" w:color="auto" w:fill="FFFFFF"/>
        </w:rPr>
        <w:t xml:space="preserve">. </w:t>
      </w:r>
      <w:r w:rsidR="00F60CBB" w:rsidRPr="00EF0394">
        <w:rPr>
          <w:rFonts w:ascii="Arial" w:hAnsi="Arial" w:cs="Arial"/>
          <w:sz w:val="24"/>
          <w:szCs w:val="24"/>
        </w:rPr>
        <w:t>This study supports the idea that targeting a metabolic vulnerability present in TP53</w:t>
      </w:r>
      <w:r w:rsidR="00A06CDD" w:rsidRPr="00EF0394">
        <w:rPr>
          <w:rFonts w:ascii="Arial" w:hAnsi="Arial" w:cs="Arial"/>
          <w:sz w:val="24"/>
          <w:szCs w:val="24"/>
        </w:rPr>
        <w:t>-</w:t>
      </w:r>
      <w:r w:rsidR="00F60CBB" w:rsidRPr="00EF0394">
        <w:rPr>
          <w:rFonts w:ascii="Arial" w:hAnsi="Arial" w:cs="Arial"/>
          <w:sz w:val="24"/>
          <w:szCs w:val="24"/>
        </w:rPr>
        <w:t>altered tumors could be a promising therapeutic strategy</w:t>
      </w:r>
      <w:r w:rsidR="00F60CBB" w:rsidRPr="00EF0394">
        <w:rPr>
          <w:rFonts w:ascii="Arial" w:eastAsia="Times New Roman" w:hAnsi="Arial" w:cs="Arial"/>
          <w:kern w:val="0"/>
          <w:sz w:val="24"/>
          <w:szCs w:val="24"/>
          <w:shd w:val="clear" w:color="auto" w:fill="FFFFFF"/>
          <w14:ligatures w14:val="none"/>
        </w:rPr>
        <w:t xml:space="preserve">. </w:t>
      </w:r>
      <w:r w:rsidR="00F60CBB" w:rsidRPr="00EF0394">
        <w:rPr>
          <w:rFonts w:ascii="Arial" w:eastAsia="Times New Roman" w:hAnsi="Arial" w:cs="Arial"/>
          <w:kern w:val="0"/>
          <w:sz w:val="24"/>
          <w:szCs w:val="24"/>
          <w:shd w:val="clear" w:color="auto" w:fill="FFFFFF"/>
          <w:lang w:val="en"/>
          <w14:ligatures w14:val="none"/>
        </w:rPr>
        <w:t xml:space="preserve">We demonstrated that </w:t>
      </w:r>
      <w:r w:rsidR="006648CA" w:rsidRPr="00EF0394">
        <w:rPr>
          <w:rFonts w:ascii="Arial" w:eastAsia="Times New Roman" w:hAnsi="Arial" w:cs="Arial"/>
          <w:kern w:val="0"/>
          <w:sz w:val="24"/>
          <w:szCs w:val="24"/>
          <w:shd w:val="clear" w:color="auto" w:fill="FFFFFF"/>
          <w:lang w:val="en"/>
          <w14:ligatures w14:val="none"/>
        </w:rPr>
        <w:t xml:space="preserve">the </w:t>
      </w:r>
      <w:r w:rsidR="00F60CBB" w:rsidRPr="00EF0394">
        <w:rPr>
          <w:rFonts w:ascii="Arial" w:eastAsia="Times New Roman" w:hAnsi="Arial" w:cs="Arial"/>
          <w:kern w:val="0"/>
          <w:sz w:val="24"/>
          <w:szCs w:val="24"/>
          <w:shd w:val="clear" w:color="auto" w:fill="FFFFFF"/>
          <w:lang w:val="en"/>
          <w14:ligatures w14:val="none"/>
        </w:rPr>
        <w:t xml:space="preserve">presence of the PC3-TP53-R175H mutant through its gain-of-function mutation reduces α-ketoglutarate/succinyl COA concentration, thereby promoting prostate cancer progression. This is consistent with a study </w:t>
      </w:r>
      <w:r w:rsidR="00A06CDD" w:rsidRPr="00EF0394">
        <w:rPr>
          <w:rFonts w:ascii="Arial" w:eastAsia="Times New Roman" w:hAnsi="Arial" w:cs="Arial"/>
          <w:kern w:val="0"/>
          <w:sz w:val="24"/>
          <w:szCs w:val="24"/>
          <w:shd w:val="clear" w:color="auto" w:fill="FFFFFF"/>
          <w:lang w:val="en"/>
          <w14:ligatures w14:val="none"/>
        </w:rPr>
        <w:t>that</w:t>
      </w:r>
      <w:r w:rsidR="00F60CBB" w:rsidRPr="00EF0394">
        <w:rPr>
          <w:rFonts w:ascii="Arial" w:eastAsia="Times New Roman" w:hAnsi="Arial" w:cs="Arial"/>
          <w:kern w:val="0"/>
          <w:sz w:val="24"/>
          <w:szCs w:val="24"/>
          <w:shd w:val="clear" w:color="auto" w:fill="FFFFFF"/>
          <w:lang w:val="en"/>
          <w14:ligatures w14:val="none"/>
        </w:rPr>
        <w:t xml:space="preserve"> showed that P53 wild-type triggers </w:t>
      </w:r>
      <w:r w:rsidR="006648CA" w:rsidRPr="00EF0394">
        <w:rPr>
          <w:rFonts w:ascii="Arial" w:eastAsia="Times New Roman" w:hAnsi="Arial" w:cs="Arial"/>
          <w:kern w:val="0"/>
          <w:sz w:val="24"/>
          <w:szCs w:val="24"/>
          <w:shd w:val="clear" w:color="auto" w:fill="FFFFFF"/>
          <w:lang w:val="en"/>
          <w14:ligatures w14:val="none"/>
        </w:rPr>
        <w:t xml:space="preserve">an </w:t>
      </w:r>
      <w:r w:rsidR="00F60CBB" w:rsidRPr="00EF0394">
        <w:rPr>
          <w:rFonts w:ascii="Arial" w:eastAsia="Times New Roman" w:hAnsi="Arial" w:cs="Arial"/>
          <w:kern w:val="0"/>
          <w:sz w:val="24"/>
          <w:szCs w:val="24"/>
          <w:shd w:val="clear" w:color="auto" w:fill="FFFFFF"/>
          <w:lang w:val="en"/>
          <w14:ligatures w14:val="none"/>
        </w:rPr>
        <w:t xml:space="preserve">increase in </w:t>
      </w:r>
      <w:r w:rsidR="00F60CBB" w:rsidRPr="00EF0394">
        <w:rPr>
          <w:rFonts w:ascii="Arial" w:eastAsia="Times New Roman" w:hAnsi="Arial" w:cs="Arial"/>
          <w:kern w:val="0"/>
          <w:sz w:val="24"/>
          <w:szCs w:val="24"/>
          <w:shd w:val="clear" w:color="auto" w:fill="FFFFFF"/>
          <w:lang w:val="el-GR"/>
          <w14:ligatures w14:val="none"/>
        </w:rPr>
        <w:t>α</w:t>
      </w:r>
      <w:r w:rsidR="00F60CBB" w:rsidRPr="00EF0394">
        <w:rPr>
          <w:rFonts w:ascii="Arial" w:eastAsia="Times New Roman" w:hAnsi="Arial" w:cs="Arial"/>
          <w:kern w:val="0"/>
          <w:sz w:val="24"/>
          <w:szCs w:val="24"/>
          <w:shd w:val="clear" w:color="auto" w:fill="FFFFFF"/>
          <w:lang w:val="en"/>
          <w14:ligatures w14:val="none"/>
        </w:rPr>
        <w:t>-KG/succinate ratio</w:t>
      </w:r>
      <w:r w:rsidR="00A06CDD" w:rsidRPr="00EF0394">
        <w:rPr>
          <w:rFonts w:ascii="Arial" w:eastAsia="Times New Roman" w:hAnsi="Arial" w:cs="Arial"/>
          <w:kern w:val="0"/>
          <w:sz w:val="24"/>
          <w:szCs w:val="24"/>
          <w:shd w:val="clear" w:color="auto" w:fill="FFFFFF"/>
          <w:lang w:val="en"/>
          <w14:ligatures w14:val="none"/>
        </w:rPr>
        <w:t>,</w:t>
      </w:r>
      <w:r w:rsidR="00F60CBB" w:rsidRPr="00EF0394">
        <w:rPr>
          <w:rFonts w:ascii="Arial" w:eastAsia="Times New Roman" w:hAnsi="Arial" w:cs="Arial"/>
          <w:kern w:val="0"/>
          <w:sz w:val="24"/>
          <w:szCs w:val="24"/>
          <w:shd w:val="clear" w:color="auto" w:fill="FFFFFF"/>
          <w:lang w:val="en"/>
          <w14:ligatures w14:val="none"/>
        </w:rPr>
        <w:t xml:space="preserve"> resulting in specific tumor suppressive effects</w:t>
      </w:r>
      <w:r w:rsidR="00A06CDD" w:rsidRPr="00EF0394">
        <w:rPr>
          <w:rFonts w:ascii="Arial" w:eastAsia="Times New Roman" w:hAnsi="Arial" w:cs="Arial"/>
          <w:kern w:val="0"/>
          <w:sz w:val="24"/>
          <w:szCs w:val="24"/>
          <w:shd w:val="clear" w:color="auto" w:fill="FFFFFF"/>
          <w:lang w:val="en"/>
          <w14:ligatures w14:val="none"/>
        </w:rPr>
        <w:t>,</w:t>
      </w:r>
      <w:r w:rsidR="00F60CBB" w:rsidRPr="00EF0394">
        <w:rPr>
          <w:rFonts w:ascii="Arial" w:eastAsia="Times New Roman" w:hAnsi="Arial" w:cs="Arial"/>
          <w:kern w:val="0"/>
          <w:sz w:val="24"/>
          <w:szCs w:val="24"/>
          <w:shd w:val="clear" w:color="auto" w:fill="FFFFFF"/>
          <w:lang w:val="en"/>
          <w14:ligatures w14:val="none"/>
        </w:rPr>
        <w:t xml:space="preserve"> while loss of p53 inhibit</w:t>
      </w:r>
      <w:r w:rsidR="006648CA" w:rsidRPr="00EF0394">
        <w:rPr>
          <w:rFonts w:ascii="Arial" w:eastAsia="Times New Roman" w:hAnsi="Arial" w:cs="Arial"/>
          <w:kern w:val="0"/>
          <w:sz w:val="24"/>
          <w:szCs w:val="24"/>
          <w:shd w:val="clear" w:color="auto" w:fill="FFFFFF"/>
          <w:lang w:val="en"/>
          <w14:ligatures w14:val="none"/>
        </w:rPr>
        <w:t>s</w:t>
      </w:r>
      <w:r w:rsidR="00F60CBB" w:rsidRPr="00EF0394">
        <w:rPr>
          <w:rFonts w:ascii="Arial" w:eastAsia="Times New Roman" w:hAnsi="Arial" w:cs="Arial"/>
          <w:kern w:val="0"/>
          <w:sz w:val="24"/>
          <w:szCs w:val="24"/>
          <w:shd w:val="clear" w:color="auto" w:fill="FFFFFF"/>
          <w:lang w:val="en"/>
          <w14:ligatures w14:val="none"/>
        </w:rPr>
        <w:t xml:space="preserve"> the accumulation of </w:t>
      </w:r>
      <w:r w:rsidR="00F60CBB" w:rsidRPr="00EF0394">
        <w:rPr>
          <w:rFonts w:ascii="Arial" w:eastAsia="Times New Roman" w:hAnsi="Arial" w:cs="Arial"/>
          <w:kern w:val="0"/>
          <w:sz w:val="24"/>
          <w:szCs w:val="24"/>
          <w:shd w:val="clear" w:color="auto" w:fill="FFFFFF"/>
          <w:lang w:val="el-GR"/>
          <w14:ligatures w14:val="none"/>
        </w:rPr>
        <w:t>α-</w:t>
      </w:r>
      <w:r w:rsidR="00F60CBB" w:rsidRPr="00EF0394">
        <w:rPr>
          <w:rFonts w:ascii="Arial" w:eastAsia="Times New Roman" w:hAnsi="Arial" w:cs="Arial"/>
          <w:kern w:val="0"/>
          <w:sz w:val="24"/>
          <w:szCs w:val="24"/>
          <w:shd w:val="clear" w:color="auto" w:fill="FFFFFF"/>
          <w:lang w:val="en"/>
          <w14:ligatures w14:val="none"/>
        </w:rPr>
        <w:t xml:space="preserve">ketoglutarate which </w:t>
      </w:r>
      <w:r w:rsidR="006648CA" w:rsidRPr="00EF0394">
        <w:rPr>
          <w:rFonts w:ascii="Arial" w:eastAsia="Times New Roman" w:hAnsi="Arial" w:cs="Arial"/>
          <w:kern w:val="0"/>
          <w:sz w:val="24"/>
          <w:szCs w:val="24"/>
          <w:shd w:val="clear" w:color="auto" w:fill="FFFFFF"/>
          <w:lang w:val="en"/>
          <w14:ligatures w14:val="none"/>
        </w:rPr>
        <w:t xml:space="preserve">leads </w:t>
      </w:r>
      <w:r w:rsidR="00F60CBB" w:rsidRPr="00EF0394">
        <w:rPr>
          <w:rFonts w:ascii="Arial" w:eastAsia="Times New Roman" w:hAnsi="Arial" w:cs="Arial"/>
          <w:kern w:val="0"/>
          <w:sz w:val="24"/>
          <w:szCs w:val="24"/>
          <w:shd w:val="clear" w:color="auto" w:fill="FFFFFF"/>
          <w:lang w:val="en"/>
          <w14:ligatures w14:val="none"/>
        </w:rPr>
        <w:t>to the development of more aggressive and less differentiated carcinomas</w:t>
      </w:r>
      <w:r w:rsidR="00A06CDD" w:rsidRPr="00EF0394">
        <w:rPr>
          <w:rFonts w:ascii="Arial" w:eastAsia="Times New Roman" w:hAnsi="Arial" w:cs="Arial"/>
          <w:kern w:val="0"/>
          <w:sz w:val="24"/>
          <w:szCs w:val="24"/>
          <w:shd w:val="clear" w:color="auto" w:fill="FFFFFF"/>
          <w:lang w:val="en"/>
          <w14:ligatures w14:val="none"/>
        </w:rPr>
        <w:t>,</w:t>
      </w:r>
      <w:r w:rsidR="00F60CBB" w:rsidRPr="00EF0394">
        <w:rPr>
          <w:rFonts w:ascii="Arial" w:eastAsia="Times New Roman" w:hAnsi="Arial" w:cs="Arial"/>
          <w:kern w:val="0"/>
          <w:sz w:val="24"/>
          <w:szCs w:val="24"/>
          <w:shd w:val="clear" w:color="auto" w:fill="FFFFFF"/>
          <w:lang w:val="en"/>
          <w14:ligatures w14:val="none"/>
        </w:rPr>
        <w:t xml:space="preserve"> marked by reduced </w:t>
      </w:r>
      <w:r w:rsidR="00F60CBB" w:rsidRPr="00EF0394">
        <w:rPr>
          <w:rFonts w:ascii="Arial" w:eastAsia="Times New Roman" w:hAnsi="Arial" w:cs="Arial"/>
          <w:kern w:val="0"/>
          <w:sz w:val="24"/>
          <w:szCs w:val="24"/>
          <w:shd w:val="clear" w:color="auto" w:fill="FFFFFF"/>
          <w:lang w:val="el-GR"/>
          <w14:ligatures w14:val="none"/>
        </w:rPr>
        <w:t>α-</w:t>
      </w:r>
      <w:r w:rsidR="00F60CBB" w:rsidRPr="00EF0394">
        <w:rPr>
          <w:rFonts w:ascii="Arial" w:eastAsia="Times New Roman" w:hAnsi="Arial" w:cs="Arial"/>
          <w:kern w:val="0"/>
          <w:sz w:val="24"/>
          <w:szCs w:val="24"/>
          <w:shd w:val="clear" w:color="auto" w:fill="FFFFFF"/>
          <w:lang w:val="en"/>
          <w14:ligatures w14:val="none"/>
        </w:rPr>
        <w:t xml:space="preserve">ketoglutarate-dependent activity </w:t>
      </w:r>
      <w:r w:rsidR="00734B5D" w:rsidRPr="00EF0394">
        <w:rPr>
          <w:rFonts w:ascii="Arial" w:eastAsia="Times New Roman" w:hAnsi="Arial" w:cs="Arial"/>
          <w:kern w:val="0"/>
          <w:sz w:val="24"/>
          <w:szCs w:val="24"/>
          <w:shd w:val="clear" w:color="auto" w:fill="FFFFFF"/>
          <w:lang w:val="en"/>
          <w14:ligatures w14:val="none"/>
        </w:rPr>
        <w:fldChar w:fldCharType="begin"/>
      </w:r>
      <w:r w:rsidR="00734B5D" w:rsidRPr="00EF0394">
        <w:rPr>
          <w:rFonts w:ascii="Arial" w:eastAsia="Times New Roman" w:hAnsi="Arial" w:cs="Arial"/>
          <w:kern w:val="0"/>
          <w:sz w:val="24"/>
          <w:szCs w:val="24"/>
          <w:shd w:val="clear" w:color="auto" w:fill="FFFFFF"/>
          <w:lang w:val="en"/>
          <w14:ligatures w14:val="none"/>
        </w:rPr>
        <w:instrText xml:space="preserve"> ADDIN ZOTERO_ITEM CSL_CITATION {"citationID":"tjwoNGS1","properties":{"formattedCitation":"(Morris et al., 2019)","plainCitation":"(Morris et al., 2019)","noteIndex":0},"citationItems":[{"id":9,"uris":["http://zotero.org/users/local/5QJK0Flt/items/UM8RDYA3"],"itemData":{"id":9,"type":"article-journal","container-title":"Nature","DOI":"10.1038/s41586-019-1577-5","ISSN":"0028-0836","issue":"7775","page":"595-599","title":"α-Ketoglutarate links p53 to cell fate during tumour suppression","volume":"573","author":[{"family":"Morris","given":"John P."},{"family":"Yashinskie","given":"Jossie J."},{"family":"Koche","given":"Richard"},{"family":"Chandwani","given":"Rohit"},{"family":"Tian","given":"Sha"},{"family":"Chen","given":"Chi-Chao"},{"family":"Baslan","given":"Timour"},{"family":"Marinkovic","given":"Zoran S."},{"family":"Sánchez-Rivera","given":"Francisco J."},{"family":"Leach","given":"Steven D."},{"family":"Carmona-Fontaine","given":"Carlos"},{"family":"Thompson","given":"Craig B."},{"family":"Finley","given":"Lydia W. S."},{"family":"Lowe","given":"Scott W."}],"issued":{"date-parts":[["2019",9,26]]}}}],"schema":"https://github.com/citation-style-language/schema/raw/master/csl-citation.json"} </w:instrText>
      </w:r>
      <w:r w:rsidR="00734B5D" w:rsidRPr="00EF0394">
        <w:rPr>
          <w:rFonts w:ascii="Arial" w:eastAsia="Times New Roman" w:hAnsi="Arial" w:cs="Arial"/>
          <w:kern w:val="0"/>
          <w:sz w:val="24"/>
          <w:szCs w:val="24"/>
          <w:shd w:val="clear" w:color="auto" w:fill="FFFFFF"/>
          <w:lang w:val="en"/>
          <w14:ligatures w14:val="none"/>
        </w:rPr>
        <w:fldChar w:fldCharType="separate"/>
      </w:r>
      <w:r w:rsidR="00734B5D" w:rsidRPr="00EF0394">
        <w:rPr>
          <w:rFonts w:ascii="Arial" w:eastAsia="Times New Roman" w:hAnsi="Arial" w:cs="Arial"/>
          <w:noProof/>
          <w:kern w:val="0"/>
          <w:sz w:val="24"/>
          <w:szCs w:val="24"/>
          <w:shd w:val="clear" w:color="auto" w:fill="FFFFFF"/>
          <w:lang w:val="en"/>
          <w14:ligatures w14:val="none"/>
        </w:rPr>
        <w:t>(Morris et al., 2019)</w:t>
      </w:r>
      <w:r w:rsidR="00734B5D" w:rsidRPr="00EF0394">
        <w:rPr>
          <w:rFonts w:ascii="Arial" w:eastAsia="Times New Roman" w:hAnsi="Arial" w:cs="Arial"/>
          <w:kern w:val="0"/>
          <w:sz w:val="24"/>
          <w:szCs w:val="24"/>
          <w:shd w:val="clear" w:color="auto" w:fill="FFFFFF"/>
          <w:lang w:val="en"/>
          <w14:ligatures w14:val="none"/>
        </w:rPr>
        <w:fldChar w:fldCharType="end"/>
      </w:r>
      <w:r w:rsidR="00F60CBB" w:rsidRPr="00EF0394">
        <w:rPr>
          <w:rFonts w:ascii="Arial" w:eastAsia="Times New Roman" w:hAnsi="Arial" w:cs="Arial"/>
          <w:kern w:val="0"/>
          <w:sz w:val="24"/>
          <w:szCs w:val="24"/>
          <w:shd w:val="clear" w:color="auto" w:fill="FFFFFF"/>
          <w:lang w:val="en"/>
          <w14:ligatures w14:val="none"/>
        </w:rPr>
        <w:t>. Therefore, TP53 mutants were shown to downregulate the expression of TCA cycle enzymes</w:t>
      </w:r>
      <w:r w:rsidR="00A06CDD" w:rsidRPr="00EF0394">
        <w:rPr>
          <w:rFonts w:ascii="Arial" w:eastAsia="Times New Roman" w:hAnsi="Arial" w:cs="Arial"/>
          <w:kern w:val="0"/>
          <w:sz w:val="24"/>
          <w:szCs w:val="24"/>
          <w:shd w:val="clear" w:color="auto" w:fill="FFFFFF"/>
          <w:lang w:val="en"/>
          <w14:ligatures w14:val="none"/>
        </w:rPr>
        <w:t>,</w:t>
      </w:r>
      <w:r w:rsidR="00F60CBB" w:rsidRPr="00EF0394">
        <w:rPr>
          <w:rFonts w:ascii="Arial" w:eastAsia="Times New Roman" w:hAnsi="Arial" w:cs="Arial"/>
          <w:kern w:val="0"/>
          <w:sz w:val="24"/>
          <w:szCs w:val="24"/>
          <w:shd w:val="clear" w:color="auto" w:fill="FFFFFF"/>
          <w:lang w:val="en"/>
          <w14:ligatures w14:val="none"/>
        </w:rPr>
        <w:t xml:space="preserve"> leading to decreased α-KG levels in cancer cells </w:t>
      </w:r>
      <w:r w:rsidR="0089006D" w:rsidRPr="00EF0394">
        <w:rPr>
          <w:rFonts w:ascii="Arial" w:eastAsia="Times New Roman" w:hAnsi="Arial" w:cs="Arial"/>
          <w:kern w:val="0"/>
          <w:sz w:val="24"/>
          <w:szCs w:val="24"/>
          <w:shd w:val="clear" w:color="auto" w:fill="FFFFFF"/>
          <w:lang w:val="en"/>
          <w14:ligatures w14:val="none"/>
        </w:rPr>
        <w:fldChar w:fldCharType="begin"/>
      </w:r>
      <w:r w:rsidR="0089006D" w:rsidRPr="00EF0394">
        <w:rPr>
          <w:rFonts w:ascii="Arial" w:eastAsia="Times New Roman" w:hAnsi="Arial" w:cs="Arial"/>
          <w:kern w:val="0"/>
          <w:sz w:val="24"/>
          <w:szCs w:val="24"/>
          <w:shd w:val="clear" w:color="auto" w:fill="FFFFFF"/>
          <w:lang w:val="en"/>
          <w14:ligatures w14:val="none"/>
        </w:rPr>
        <w:instrText xml:space="preserve"> ADDIN ZOTERO_ITEM CSL_CITATION {"citationID":"uHnVR3yj","properties":{"formattedCitation":"(Morris et al., 2019)","plainCitation":"(Morris et al., 2019)","noteIndex":0},"citationItems":[{"id":9,"uris":["http://zotero.org/users/local/5QJK0Flt/items/UM8RDYA3"],"itemData":{"id":9,"type":"article-journal","container-title":"Nature","DOI":"10.1038/s41586-019-1577-5","ISSN":"0028-0836","issue":"7775","page":"595-599","title":"α-Ketoglutarate links p53 to cell fate during tumour suppression","volume":"573","author":[{"family":"Morris","given":"John P."},{"family":"Yashinskie","given":"Jossie J."},{"family":"Koche","given":"Richard"},{"family":"Chandwani","given":"Rohit"},{"family":"Tian","given":"Sha"},{"family":"Chen","given":"Chi-Chao"},{"family":"Baslan","given":"Timour"},{"family":"Marinkovic","given":"Zoran S."},{"family":"Sánchez-Rivera","given":"Francisco J."},{"family":"Leach","given":"Steven D."},{"family":"Carmona-Fontaine","given":"Carlos"},{"family":"Thompson","given":"Craig B."},{"family":"Finley","given":"Lydia W. S."},{"family":"Lowe","given":"Scott W."}],"issued":{"date-parts":[["2019",9,26]]}}}],"schema":"https://github.com/citation-style-language/schema/raw/master/csl-citation.json"} </w:instrText>
      </w:r>
      <w:r w:rsidR="0089006D" w:rsidRPr="00EF0394">
        <w:rPr>
          <w:rFonts w:ascii="Arial" w:eastAsia="Times New Roman" w:hAnsi="Arial" w:cs="Arial"/>
          <w:kern w:val="0"/>
          <w:sz w:val="24"/>
          <w:szCs w:val="24"/>
          <w:shd w:val="clear" w:color="auto" w:fill="FFFFFF"/>
          <w:lang w:val="en"/>
          <w14:ligatures w14:val="none"/>
        </w:rPr>
        <w:fldChar w:fldCharType="separate"/>
      </w:r>
      <w:r w:rsidR="0089006D" w:rsidRPr="00EF0394">
        <w:rPr>
          <w:rFonts w:ascii="Arial" w:eastAsia="Times New Roman" w:hAnsi="Arial" w:cs="Arial"/>
          <w:noProof/>
          <w:kern w:val="0"/>
          <w:sz w:val="24"/>
          <w:szCs w:val="24"/>
          <w:shd w:val="clear" w:color="auto" w:fill="FFFFFF"/>
          <w:lang w:val="en"/>
          <w14:ligatures w14:val="none"/>
        </w:rPr>
        <w:t>(Morris et al., 2019)</w:t>
      </w:r>
      <w:r w:rsidR="0089006D" w:rsidRPr="00EF0394">
        <w:rPr>
          <w:rFonts w:ascii="Arial" w:eastAsia="Times New Roman" w:hAnsi="Arial" w:cs="Arial"/>
          <w:kern w:val="0"/>
          <w:sz w:val="24"/>
          <w:szCs w:val="24"/>
          <w:shd w:val="clear" w:color="auto" w:fill="FFFFFF"/>
          <w:lang w:val="en"/>
          <w14:ligatures w14:val="none"/>
        </w:rPr>
        <w:fldChar w:fldCharType="end"/>
      </w:r>
      <w:r w:rsidR="00F60CBB" w:rsidRPr="00EF0394">
        <w:rPr>
          <w:rFonts w:ascii="Arial" w:eastAsia="Times New Roman" w:hAnsi="Arial" w:cs="Arial"/>
          <w:kern w:val="0"/>
          <w:sz w:val="24"/>
          <w:szCs w:val="24"/>
          <w:shd w:val="clear" w:color="auto" w:fill="FFFFFF"/>
          <w:lang w:val="en"/>
          <w14:ligatures w14:val="none"/>
        </w:rPr>
        <w:t xml:space="preserve">. p53 rewires glucose and glutamine metabolism to favor the accumulation of α-KG at the expense of succinate. TP53 mutation may lead to alterations in α-KG levels and its downstream metabolic pathways. The change in succinyl-CoA concentration was reported to affect the development of tumors by </w:t>
      </w:r>
      <w:r w:rsidR="00F60CBB" w:rsidRPr="00EF0394">
        <w:rPr>
          <w:rFonts w:ascii="Arial" w:eastAsia="Times New Roman" w:hAnsi="Arial" w:cs="Arial"/>
          <w:kern w:val="0"/>
          <w:sz w:val="24"/>
          <w:szCs w:val="24"/>
          <w:shd w:val="clear" w:color="auto" w:fill="FFFFFF"/>
          <w:lang w:val="en"/>
          <w14:ligatures w14:val="none"/>
        </w:rPr>
        <w:lastRenderedPageBreak/>
        <w:t>regulating tumor metabolism or by acting as a substrate to regulate the level of succinyl</w:t>
      </w:r>
      <w:r w:rsidR="00A06CDD" w:rsidRPr="00EF0394">
        <w:rPr>
          <w:rFonts w:ascii="Arial" w:eastAsia="Times New Roman" w:hAnsi="Arial" w:cs="Arial"/>
          <w:kern w:val="0"/>
          <w:sz w:val="24"/>
          <w:szCs w:val="24"/>
          <w:shd w:val="clear" w:color="auto" w:fill="FFFFFF"/>
          <w:lang w:val="en"/>
          <w14:ligatures w14:val="none"/>
        </w:rPr>
        <w:t xml:space="preserve"> </w:t>
      </w:r>
      <w:r w:rsidR="00F60CBB" w:rsidRPr="00EF0394">
        <w:rPr>
          <w:rFonts w:ascii="Arial" w:eastAsia="Times New Roman" w:hAnsi="Arial" w:cs="Arial"/>
          <w:kern w:val="0"/>
          <w:sz w:val="24"/>
          <w:szCs w:val="24"/>
          <w:shd w:val="clear" w:color="auto" w:fill="FFFFFF"/>
          <w:lang w:val="en"/>
          <w14:ligatures w14:val="none"/>
        </w:rPr>
        <w:t xml:space="preserve">modification </w:t>
      </w:r>
      <w:r w:rsidR="00F53D13" w:rsidRPr="00EF0394">
        <w:rPr>
          <w:rFonts w:ascii="Arial" w:eastAsia="Times New Roman" w:hAnsi="Arial" w:cs="Arial"/>
          <w:kern w:val="0"/>
          <w:sz w:val="24"/>
          <w:szCs w:val="24"/>
          <w:shd w:val="clear" w:color="auto" w:fill="FFFFFF"/>
          <w:lang w:val="en"/>
          <w14:ligatures w14:val="none"/>
        </w:rPr>
        <w:fldChar w:fldCharType="begin"/>
      </w:r>
      <w:r w:rsidR="00F53D13" w:rsidRPr="00EF0394">
        <w:rPr>
          <w:rFonts w:ascii="Arial" w:eastAsia="Times New Roman" w:hAnsi="Arial" w:cs="Arial"/>
          <w:kern w:val="0"/>
          <w:sz w:val="24"/>
          <w:szCs w:val="24"/>
          <w:shd w:val="clear" w:color="auto" w:fill="FFFFFF"/>
          <w:lang w:val="en"/>
          <w14:ligatures w14:val="none"/>
        </w:rPr>
        <w:instrText xml:space="preserve"> ADDIN ZOTERO_ITEM CSL_CITATION {"citationID":"OO5xgKs1","properties":{"formattedCitation":"(Tong, 2021)","plainCitation":"(Tong, 2021)","noteIndex":0},"citationItems":[{"id":31,"uris":["http://zotero.org/users/local/5QJK0Flt/items/DP5GM7WJ"],"itemData":{"id":31,"type":"article-journal","container-title":"Mol Cell.","page":"2303-2316.e8.","title":"SUCLA2-coupled regulation of GLS succinylation and activity counteracts oxidative stress in tumor cells.","volume":"81","author":[{"family":"Tong","given":"Y.","suffix":"Guo, D., Lin, S. H., et al."}],"issued":{"date-parts":[["2021"]]}}}],"schema":"https://github.com/citation-style-language/schema/raw/master/csl-citation.json"} </w:instrText>
      </w:r>
      <w:r w:rsidR="00F53D13" w:rsidRPr="00EF0394">
        <w:rPr>
          <w:rFonts w:ascii="Arial" w:eastAsia="Times New Roman" w:hAnsi="Arial" w:cs="Arial"/>
          <w:kern w:val="0"/>
          <w:sz w:val="24"/>
          <w:szCs w:val="24"/>
          <w:shd w:val="clear" w:color="auto" w:fill="FFFFFF"/>
          <w:lang w:val="en"/>
          <w14:ligatures w14:val="none"/>
        </w:rPr>
        <w:fldChar w:fldCharType="separate"/>
      </w:r>
      <w:r w:rsidR="00F53D13" w:rsidRPr="00EF0394">
        <w:rPr>
          <w:rFonts w:ascii="Arial" w:eastAsia="Times New Roman" w:hAnsi="Arial" w:cs="Arial"/>
          <w:noProof/>
          <w:kern w:val="0"/>
          <w:sz w:val="24"/>
          <w:szCs w:val="24"/>
          <w:shd w:val="clear" w:color="auto" w:fill="FFFFFF"/>
          <w:lang w:val="en"/>
          <w14:ligatures w14:val="none"/>
        </w:rPr>
        <w:t>(Tong, 2021)</w:t>
      </w:r>
      <w:r w:rsidR="00F53D13" w:rsidRPr="00EF0394">
        <w:rPr>
          <w:rFonts w:ascii="Arial" w:eastAsia="Times New Roman" w:hAnsi="Arial" w:cs="Arial"/>
          <w:kern w:val="0"/>
          <w:sz w:val="24"/>
          <w:szCs w:val="24"/>
          <w:shd w:val="clear" w:color="auto" w:fill="FFFFFF"/>
          <w:lang w:val="en"/>
          <w14:ligatures w14:val="none"/>
        </w:rPr>
        <w:fldChar w:fldCharType="end"/>
      </w:r>
      <w:r w:rsidR="00F60CBB" w:rsidRPr="00EF0394">
        <w:rPr>
          <w:rFonts w:ascii="Arial" w:eastAsia="Times New Roman" w:hAnsi="Arial" w:cs="Arial"/>
          <w:kern w:val="0"/>
          <w:sz w:val="24"/>
          <w:szCs w:val="24"/>
          <w:shd w:val="clear" w:color="auto" w:fill="FFFFFF"/>
          <w:lang w:val="en"/>
          <w14:ligatures w14:val="none"/>
        </w:rPr>
        <w:t>.</w:t>
      </w:r>
      <w:r w:rsidR="00E276CB" w:rsidRPr="00EF0394">
        <w:rPr>
          <w:rFonts w:ascii="Arial" w:eastAsia="Times New Roman" w:hAnsi="Arial" w:cs="Arial"/>
          <w:kern w:val="0"/>
          <w:sz w:val="24"/>
          <w:szCs w:val="24"/>
          <w:shd w:val="clear" w:color="auto" w:fill="FFFFFF"/>
          <w:lang w:val="en"/>
          <w14:ligatures w14:val="none"/>
        </w:rPr>
        <w:t xml:space="preserve"> </w:t>
      </w:r>
      <w:r w:rsidR="00E276CB" w:rsidRPr="00EF0394">
        <w:rPr>
          <w:rFonts w:ascii="Arial" w:eastAsia="Times New Roman" w:hAnsi="Arial" w:cs="Arial"/>
          <w:sz w:val="24"/>
          <w:szCs w:val="24"/>
          <w:shd w:val="clear" w:color="auto" w:fill="FFFFFF"/>
        </w:rPr>
        <w:t>In this study, N-acetyl-DL-serine was upregulated by both mutants (PC3-TP53-R175H &amp; R273H). This result is in</w:t>
      </w:r>
      <w:r w:rsidR="006648CA" w:rsidRPr="00EF0394">
        <w:rPr>
          <w:rFonts w:ascii="Arial" w:eastAsia="Times New Roman" w:hAnsi="Arial" w:cs="Arial"/>
          <w:sz w:val="24"/>
          <w:szCs w:val="24"/>
          <w:shd w:val="clear" w:color="auto" w:fill="FFFFFF"/>
        </w:rPr>
        <w:t xml:space="preserve"> </w:t>
      </w:r>
      <w:r w:rsidR="00E276CB" w:rsidRPr="00EF0394">
        <w:rPr>
          <w:rFonts w:ascii="Arial" w:eastAsia="Times New Roman" w:hAnsi="Arial" w:cs="Arial"/>
          <w:sz w:val="24"/>
          <w:szCs w:val="24"/>
          <w:shd w:val="clear" w:color="auto" w:fill="FFFFFF"/>
        </w:rPr>
        <w:t xml:space="preserve">line with the findings of Tombari </w:t>
      </w:r>
      <w:r w:rsidR="00E276CB" w:rsidRPr="00EF0394">
        <w:rPr>
          <w:rFonts w:ascii="Arial" w:eastAsia="Times New Roman" w:hAnsi="Arial" w:cs="Arial"/>
          <w:i/>
          <w:iCs/>
          <w:sz w:val="24"/>
          <w:szCs w:val="24"/>
          <w:shd w:val="clear" w:color="auto" w:fill="FFFFFF"/>
        </w:rPr>
        <w:t>et al</w:t>
      </w:r>
      <w:r w:rsidR="00A06CDD" w:rsidRPr="00EF0394">
        <w:rPr>
          <w:rFonts w:ascii="Arial" w:eastAsia="Times New Roman" w:hAnsi="Arial" w:cs="Arial"/>
          <w:i/>
          <w:iCs/>
          <w:sz w:val="24"/>
          <w:szCs w:val="24"/>
          <w:shd w:val="clear" w:color="auto" w:fill="FFFFFF"/>
        </w:rPr>
        <w:t>.,</w:t>
      </w:r>
      <w:r w:rsidR="00E276CB" w:rsidRPr="00EF0394">
        <w:rPr>
          <w:rFonts w:ascii="Arial" w:eastAsia="Times New Roman" w:hAnsi="Arial" w:cs="Arial"/>
          <w:sz w:val="24"/>
          <w:szCs w:val="24"/>
          <w:shd w:val="clear" w:color="auto" w:fill="FFFFFF"/>
        </w:rPr>
        <w:t xml:space="preserve"> which showed that missense mutant p53 oncoproteins stimulate de novo serine/glycine synthesis and essential amino acid intake, promoting breast cancer growth </w:t>
      </w:r>
      <w:r w:rsidR="00F53D13" w:rsidRPr="00EF0394">
        <w:rPr>
          <w:rFonts w:ascii="Arial" w:eastAsia="Times New Roman" w:hAnsi="Arial" w:cs="Arial"/>
          <w:sz w:val="24"/>
          <w:szCs w:val="24"/>
          <w:shd w:val="clear" w:color="auto" w:fill="FFFFFF"/>
        </w:rPr>
        <w:fldChar w:fldCharType="begin"/>
      </w:r>
      <w:r w:rsidR="00F53D13" w:rsidRPr="00EF0394">
        <w:rPr>
          <w:rFonts w:ascii="Arial" w:eastAsia="Times New Roman" w:hAnsi="Arial" w:cs="Arial"/>
          <w:sz w:val="24"/>
          <w:szCs w:val="24"/>
          <w:shd w:val="clear" w:color="auto" w:fill="FFFFFF"/>
        </w:rPr>
        <w:instrText xml:space="preserve"> ADDIN ZOTERO_ITEM CSL_CITATION {"citationID":"kxlxwdjD","properties":{"formattedCitation":"(Tombari et al., 2023)","plainCitation":"(Tombari et al., 2023)","noteIndex":0},"citationItems":[{"id":13,"uris":["http://zotero.org/users/local/5QJK0Flt/items/BBLTXSR5"],"itemData":{"id":13,"type":"article-journal","abstract":"&lt;p&gt; Reprogramming of amino acid metabolism, sustained by oncogenic signaling, is crucial for cancer cell survival under nutrient limitation. Here we discovered that missense mutant p53 oncoproteins stimulate de novo serine/glycine synthesis and essential amino acids intake, promoting breast cancer growth. Mechanistically, mutant p53, unlike the wild-type counterpart, induces the expression of serine-synthesis-pathway enzymes and L-type amino acid transporter 1 (LAT1)/CD98 heavy chain heterodimer. This effect is exacerbated by amino acid shortage, representing a mutant p53-dependent metabolic adaptive response. When cells suffer amino acids scarcity, mutant p53 protein is stabilized and induces metabolic alterations and an amino acid transcriptional program that sustain cancer cell proliferation. In patient-derived tumor organoids, pharmacological targeting of either serine-synthesis-pathway and LAT1-mediated transport synergizes with amino acid shortage in blunting mutant p53-dependent growth. These findings reveal vulnerabilities potentially exploitable for tackling breast tumors bearing missense &lt;italic&gt;TP53&lt;/italic&gt; mutations. &lt;/p&gt;","container-title":"Nature Communications","DOI":"10.1038/s41467-023-42458-1","ISSN":"2041-1723","issue":"1","page":"6777","title":"Mutant p53 sustains serine-glycine synthesis and essential amino acids intake promoting breast cancer growth","volume":"14","author":[{"family":"Tombari","given":"Camilla"},{"family":"Zannini","given":"Alessandro"},{"family":"Bertolio","given":"Rebecca"},{"family":"Pedretti","given":"Silvia"},{"family":"Audano","given":"Matteo"},{"family":"Triboli","given":"Luca"},{"family":"Cancila","given":"Valeria"},{"family":"Vacca","given":"Davide"},{"family":"Caputo","given":"Manuel"},{"family":"Donzelli","given":"Sara"},{"family":"Segatto","given":"Ilenia"},{"family":"Vodret","given":"Simone"},{"family":"Piazza","given":"Silvano"},{"family":"Rustighi","given":"Alessandra"},{"family":"Mantovani","given":"Fiamma"},{"family":"Belletti","given":"Barbara"},{"family":"Baldassarre","given":"Gustavo"},{"family":"Blandino","given":"Giovanni"},{"family":"Tripodo","given":"Claudio"},{"family":"Bicciato","given":"Silvio"},{"family":"Mitro","given":"Nico"},{"family":"Del Sal","given":"Giannino"}],"issued":{"date-parts":[["2023",10,25]]}}}],"schema":"https://github.com/citation-style-language/schema/raw/master/csl-citation.json"} </w:instrText>
      </w:r>
      <w:r w:rsidR="00F53D13" w:rsidRPr="00EF0394">
        <w:rPr>
          <w:rFonts w:ascii="Arial" w:eastAsia="Times New Roman" w:hAnsi="Arial" w:cs="Arial"/>
          <w:sz w:val="24"/>
          <w:szCs w:val="24"/>
          <w:shd w:val="clear" w:color="auto" w:fill="FFFFFF"/>
        </w:rPr>
        <w:fldChar w:fldCharType="separate"/>
      </w:r>
      <w:r w:rsidR="00F53D13" w:rsidRPr="00EF0394">
        <w:rPr>
          <w:rFonts w:ascii="Arial" w:eastAsia="Times New Roman" w:hAnsi="Arial" w:cs="Arial"/>
          <w:noProof/>
          <w:sz w:val="24"/>
          <w:szCs w:val="24"/>
          <w:shd w:val="clear" w:color="auto" w:fill="FFFFFF"/>
        </w:rPr>
        <w:t>(Tombari et al., 2023)</w:t>
      </w:r>
      <w:r w:rsidR="00F53D13"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 PC3-TP53-R273H mutant downregulates an important metabolite, NADP+</w:t>
      </w:r>
      <w:r w:rsidR="00A06CDD" w:rsidRPr="00EF0394">
        <w:rPr>
          <w:rFonts w:ascii="Arial" w:eastAsia="Times New Roman" w:hAnsi="Arial" w:cs="Arial"/>
          <w:sz w:val="24"/>
          <w:szCs w:val="24"/>
          <w:shd w:val="clear" w:color="auto" w:fill="FFFFFF"/>
        </w:rPr>
        <w:t>,</w:t>
      </w:r>
      <w:r w:rsidR="00E276CB" w:rsidRPr="00EF0394">
        <w:rPr>
          <w:rFonts w:ascii="Arial" w:eastAsia="Times New Roman" w:hAnsi="Arial" w:cs="Arial"/>
          <w:sz w:val="24"/>
          <w:szCs w:val="24"/>
          <w:shd w:val="clear" w:color="auto" w:fill="FFFFFF"/>
        </w:rPr>
        <w:t xml:space="preserve"> which is crucial for redox balance and cellular defense mechanisms</w:t>
      </w:r>
      <w:r w:rsidR="00A06CDD" w:rsidRPr="00EF0394">
        <w:rPr>
          <w:rFonts w:ascii="Arial" w:eastAsia="Times New Roman" w:hAnsi="Arial" w:cs="Arial"/>
          <w:sz w:val="24"/>
          <w:szCs w:val="24"/>
          <w:shd w:val="clear" w:color="auto" w:fill="FFFFFF"/>
        </w:rPr>
        <w:t>,</w:t>
      </w:r>
      <w:r w:rsidR="00E276CB" w:rsidRPr="00EF0394">
        <w:rPr>
          <w:rFonts w:ascii="Arial" w:eastAsia="Times New Roman" w:hAnsi="Arial" w:cs="Arial"/>
          <w:sz w:val="24"/>
          <w:szCs w:val="24"/>
          <w:shd w:val="clear" w:color="auto" w:fill="FFFFFF"/>
        </w:rPr>
        <w:t xml:space="preserve"> potentially leading to increased oxidative stress in cancer cells </w:t>
      </w:r>
      <w:r w:rsidR="00F53D13" w:rsidRPr="00EF0394">
        <w:rPr>
          <w:rFonts w:ascii="Arial" w:eastAsia="Times New Roman" w:hAnsi="Arial" w:cs="Arial"/>
          <w:sz w:val="24"/>
          <w:szCs w:val="24"/>
          <w:shd w:val="clear" w:color="auto" w:fill="FFFFFF"/>
        </w:rPr>
        <w:fldChar w:fldCharType="begin"/>
      </w:r>
      <w:r w:rsidR="00F53D13" w:rsidRPr="00EF0394">
        <w:rPr>
          <w:rFonts w:ascii="Arial" w:eastAsia="Times New Roman" w:hAnsi="Arial" w:cs="Arial"/>
          <w:sz w:val="24"/>
          <w:szCs w:val="24"/>
          <w:shd w:val="clear" w:color="auto" w:fill="FFFFFF"/>
        </w:rPr>
        <w:instrText xml:space="preserve"> ADDIN ZOTERO_ITEM CSL_CITATION {"citationID":"kdiAKKEB","properties":{"formattedCitation":"(Hayes et al., 2020)","plainCitation":"(Hayes et al., 2020)","noteIndex":0},"citationItems":[{"id":15,"uris":["http://zotero.org/users/local/5QJK0Flt/items/GW33PPGL"],"itemData":{"id":15,"type":"article-journal","container-title":"Cancer Cell","DOI":"10.1016/j.ccell.2020.06.001","ISSN":"15356108","issue":"2","page":"167-197","title":"Oxidative Stress in Cancer","volume":"38","author":[{"family":"Hayes","given":"John D."},{"family":"Dinkova-Kostova","given":"Albena T."},{"family":"Tew","given":"Kenneth D."}],"issued":{"date-parts":[["2020",8]]}}}],"schema":"https://github.com/citation-style-language/schema/raw/master/csl-citation.json"} </w:instrText>
      </w:r>
      <w:r w:rsidR="00F53D13" w:rsidRPr="00EF0394">
        <w:rPr>
          <w:rFonts w:ascii="Arial" w:eastAsia="Times New Roman" w:hAnsi="Arial" w:cs="Arial"/>
          <w:sz w:val="24"/>
          <w:szCs w:val="24"/>
          <w:shd w:val="clear" w:color="auto" w:fill="FFFFFF"/>
        </w:rPr>
        <w:fldChar w:fldCharType="separate"/>
      </w:r>
      <w:r w:rsidR="00F53D13" w:rsidRPr="00EF0394">
        <w:rPr>
          <w:rFonts w:ascii="Arial" w:eastAsia="Times New Roman" w:hAnsi="Arial" w:cs="Arial"/>
          <w:noProof/>
          <w:sz w:val="24"/>
          <w:szCs w:val="24"/>
          <w:shd w:val="clear" w:color="auto" w:fill="FFFFFF"/>
        </w:rPr>
        <w:t>(Hayes et al., 2020)</w:t>
      </w:r>
      <w:r w:rsidR="00F53D13"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 Consistent with our finding, a study showed that TP53 mutation downregulates the expression of enzymes in NADP+ metabolism</w:t>
      </w:r>
      <w:r w:rsidR="00A06CDD" w:rsidRPr="00EF0394">
        <w:rPr>
          <w:rFonts w:ascii="Arial" w:eastAsia="Times New Roman" w:hAnsi="Arial" w:cs="Arial"/>
          <w:sz w:val="24"/>
          <w:szCs w:val="24"/>
          <w:shd w:val="clear" w:color="auto" w:fill="FFFFFF"/>
        </w:rPr>
        <w:t>,</w:t>
      </w:r>
      <w:r w:rsidR="00E276CB" w:rsidRPr="00EF0394">
        <w:rPr>
          <w:rFonts w:ascii="Arial" w:eastAsia="Times New Roman" w:hAnsi="Arial" w:cs="Arial"/>
          <w:sz w:val="24"/>
          <w:szCs w:val="24"/>
          <w:shd w:val="clear" w:color="auto" w:fill="FFFFFF"/>
        </w:rPr>
        <w:t xml:space="preserve"> such as glucose-6-phosphate dehydrogenase and isocitrate dehydrogenase </w:t>
      </w:r>
      <w:r w:rsidR="00F53D13" w:rsidRPr="00EF0394">
        <w:rPr>
          <w:rFonts w:ascii="Arial" w:eastAsia="Times New Roman" w:hAnsi="Arial" w:cs="Arial"/>
          <w:sz w:val="24"/>
          <w:szCs w:val="24"/>
          <w:shd w:val="clear" w:color="auto" w:fill="FFFFFF"/>
        </w:rPr>
        <w:fldChar w:fldCharType="begin"/>
      </w:r>
      <w:r w:rsidR="00F53D13" w:rsidRPr="00EF0394">
        <w:rPr>
          <w:rFonts w:ascii="Arial" w:eastAsia="Times New Roman" w:hAnsi="Arial" w:cs="Arial"/>
          <w:sz w:val="24"/>
          <w:szCs w:val="24"/>
          <w:shd w:val="clear" w:color="auto" w:fill="FFFFFF"/>
        </w:rPr>
        <w:instrText xml:space="preserve"> ADDIN ZOTERO_ITEM CSL_CITATION {"citationID":"qSygm9JB","properties":{"formattedCitation":"(Ju et al., 2020)","plainCitation":"(Ju et al., 2020)","noteIndex":0},"citationItems":[{"id":5,"uris":["http://zotero.org/users/local/5QJK0Flt/items/K4R42GST"],"itemData":{"id":5,"type":"article-journal","abstract":"&lt;p&gt;Nicotinamide adenine dinucleotide phosphate (NADPH) is an essential electron donor in all organisms, and provides the reducing power for anabolic reactions and redox balance. NADPH homeostasis is regulated by varied signaling pathways and several metabolic enzymes that undergo adaptive alteration in cancer cells. The metabolic reprogramming of NADPH renders cancer cells both highly dependent on this metabolic network for antioxidant capacity and more susceptible to oxidative stress. Modulating the unique NADPH homeostasis of cancer cells might be an effective strategy to eliminate these cells. In this review, we summarize the current existing literatures on NADPH homeostasis, including its biological functions, regulatory mechanisms and the corresponding therapeutic interventions in human cancers, providing insights into therapeutic implications of targeting NADPH metabolism and the associated mechanism for cancer therapy.&lt;/p&gt;","container-title":"Signal Transduction and Targeted Therapy","DOI":"10.1038/s41392-020-00326-0","ISSN":"2059-3635","issue":"1","page":"231","title":"NADPH homeostasis in cancer: functions, mechanisms and therapeutic implications","volume":"5","author":[{"family":"Ju","given":"Huai-Qiang"},{"family":"Lin","given":"Jin-Fei"},{"family":"Tian","given":"Tian"},{"family":"Xie","given":"Dan"},{"family":"Xu","given":"Rui-Hua"}],"issued":{"date-parts":[["2020",10,7]]}}}],"schema":"https://github.com/citation-style-language/schema/raw/master/csl-citation.json"} </w:instrText>
      </w:r>
      <w:r w:rsidR="00F53D13" w:rsidRPr="00EF0394">
        <w:rPr>
          <w:rFonts w:ascii="Arial" w:eastAsia="Times New Roman" w:hAnsi="Arial" w:cs="Arial"/>
          <w:sz w:val="24"/>
          <w:szCs w:val="24"/>
          <w:shd w:val="clear" w:color="auto" w:fill="FFFFFF"/>
        </w:rPr>
        <w:fldChar w:fldCharType="separate"/>
      </w:r>
      <w:r w:rsidR="00F53D13" w:rsidRPr="00EF0394">
        <w:rPr>
          <w:rFonts w:ascii="Arial" w:eastAsia="Times New Roman" w:hAnsi="Arial" w:cs="Arial"/>
          <w:noProof/>
          <w:sz w:val="24"/>
          <w:szCs w:val="24"/>
          <w:shd w:val="clear" w:color="auto" w:fill="FFFFFF"/>
        </w:rPr>
        <w:t>(Ju et al., 2020)</w:t>
      </w:r>
      <w:r w:rsidR="00F53D13"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 xml:space="preserve">. This dysregulation can further disrupt the NADP+/NADPH balance and affect various cellular processes, including DNA repair, cell cycle control, and apoptosis. Another study showed that TP53 mutants can lead to an altered NADP+/NADPH ratio, resulting in increased oxidative stress and impaired cellular redox homeostasis </w:t>
      </w:r>
      <w:r w:rsidR="00F53D13" w:rsidRPr="00EF0394">
        <w:rPr>
          <w:rFonts w:ascii="Arial" w:eastAsia="Times New Roman" w:hAnsi="Arial" w:cs="Arial"/>
          <w:sz w:val="24"/>
          <w:szCs w:val="24"/>
          <w:shd w:val="clear" w:color="auto" w:fill="FFFFFF"/>
        </w:rPr>
        <w:fldChar w:fldCharType="begin"/>
      </w:r>
      <w:r w:rsidR="00F53D13" w:rsidRPr="00EF0394">
        <w:rPr>
          <w:rFonts w:ascii="Arial" w:eastAsia="Times New Roman" w:hAnsi="Arial" w:cs="Arial"/>
          <w:sz w:val="24"/>
          <w:szCs w:val="24"/>
          <w:shd w:val="clear" w:color="auto" w:fill="FFFFFF"/>
        </w:rPr>
        <w:instrText xml:space="preserve"> ADDIN ZOTERO_ITEM CSL_CITATION {"citationID":"L9zSHFgi","properties":{"formattedCitation":"(Cordani et al., 2020)","plainCitation":"(Cordani et al., 2020)","noteIndex":0},"citationItems":[{"id":3,"uris":["http://zotero.org/users/local/5QJK0Flt/items/599DX7RJ"],"itemData":{"id":3,"type":"article-journal","abstract":"&lt;p&gt;The TP53 tumor suppressor gene is the most frequently altered gene in tumors and an increasing number of studies highlight that mutant p53 proteins can acquire oncogenic properties, referred to as gain-of-function (GOF). Reactive oxygen species (ROS) play critical roles as intracellular messengers, regulating numerous signaling pathways linked to metabolism and cell growth. Tumor cells frequently display higher ROS levels compared to healthy cells as a result of their increased metabolism as well as serving as an oncogenic agent because of its damaging and mutational properties. Several studies reported that in contrast with the wild type protein, mutant p53 isoforms fail to exert antioxidant activities and rather increase intracellular ROS, driving a pro-tumorigenic survival. These pro-oxidant oncogenic abilities of GOF mutant p53 include signaling and metabolic rewiring, as well as the modulation of critical ROS-related transcription factors and antioxidant systems, which lead ROS unbalance linked to tumor progression. The studies summarized here highlight that GOF mutant p53 isoforms might constitute major targets for selective therapeutic intervention against several types of tumors and that ROS enhancement driven by mutant p53 might represent an “Achilles heel” of cancer cells, suggesting pro-oxidant drugs as a therapeutic approach for cancer patients bearing the mutant TP53 gene.&lt;/p&gt;","container-title":"Biomolecules","DOI":"10.3390/biom10030361","ISSN":"2218-273X","issue":"3","page":"361","title":"Mutant p53-Associated Molecular Mechanisms of ROS Regulation in Cancer Cells","volume":"10","author":[{"family":"Cordani","given":"Marco"},{"family":"Butera","given":"Giovanna"},{"family":"Pacchiana","given":"Raffaella"},{"family":"Masetto","given":"Francesca"},{"family":"Mullappilly","given":"Nidula"},{"family":"Riganti","given":"Chiara"},{"family":"Donadelli","given":"Massimo"}],"issued":{"date-parts":[["2020",2,26]]}}}],"schema":"https://github.com/citation-style-language/schema/raw/master/csl-citation.json"} </w:instrText>
      </w:r>
      <w:r w:rsidR="00F53D13" w:rsidRPr="00EF0394">
        <w:rPr>
          <w:rFonts w:ascii="Arial" w:eastAsia="Times New Roman" w:hAnsi="Arial" w:cs="Arial"/>
          <w:sz w:val="24"/>
          <w:szCs w:val="24"/>
          <w:shd w:val="clear" w:color="auto" w:fill="FFFFFF"/>
        </w:rPr>
        <w:fldChar w:fldCharType="separate"/>
      </w:r>
      <w:r w:rsidR="00F53D13" w:rsidRPr="00EF0394">
        <w:rPr>
          <w:rFonts w:ascii="Arial" w:eastAsia="Times New Roman" w:hAnsi="Arial" w:cs="Arial"/>
          <w:noProof/>
          <w:sz w:val="24"/>
          <w:szCs w:val="24"/>
          <w:shd w:val="clear" w:color="auto" w:fill="FFFFFF"/>
        </w:rPr>
        <w:t>(Cordani et al., 2020)</w:t>
      </w:r>
      <w:r w:rsidR="00F53D13"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 xml:space="preserve">. According to our findings, PC3-TP53-R175H &amp; PC3-TP53-R273H mutants downregulate GAP/DHAP. This corresponds with a study </w:t>
      </w:r>
      <w:r w:rsidR="00A06CDD" w:rsidRPr="00EF0394">
        <w:rPr>
          <w:rFonts w:ascii="Arial" w:eastAsia="Times New Roman" w:hAnsi="Arial" w:cs="Arial"/>
          <w:sz w:val="24"/>
          <w:szCs w:val="24"/>
          <w:shd w:val="clear" w:color="auto" w:fill="FFFFFF"/>
        </w:rPr>
        <w:t>that</w:t>
      </w:r>
      <w:r w:rsidR="00E276CB" w:rsidRPr="00EF0394">
        <w:rPr>
          <w:rFonts w:ascii="Arial" w:eastAsia="Times New Roman" w:hAnsi="Arial" w:cs="Arial"/>
          <w:sz w:val="24"/>
          <w:szCs w:val="24"/>
          <w:shd w:val="clear" w:color="auto" w:fill="FFFFFF"/>
        </w:rPr>
        <w:t xml:space="preserve"> showed that TP53 mutant upregulates glyceraldehyde-3-phosphate dehydrogenase (an enzyme that catalyzed the conversion of GAP to 1,3-bisphosphoglycerate) in breast cancer </w:t>
      </w:r>
      <w:r w:rsidR="00F53D13" w:rsidRPr="00EF0394">
        <w:rPr>
          <w:rFonts w:ascii="Arial" w:eastAsia="Times New Roman" w:hAnsi="Arial" w:cs="Arial"/>
          <w:sz w:val="24"/>
          <w:szCs w:val="24"/>
          <w:shd w:val="clear" w:color="auto" w:fill="FFFFFF"/>
        </w:rPr>
        <w:fldChar w:fldCharType="begin"/>
      </w:r>
      <w:r w:rsidR="00F53D13" w:rsidRPr="00EF0394">
        <w:rPr>
          <w:rFonts w:ascii="Arial" w:eastAsia="Times New Roman" w:hAnsi="Arial" w:cs="Arial"/>
          <w:sz w:val="24"/>
          <w:szCs w:val="24"/>
          <w:shd w:val="clear" w:color="auto" w:fill="FFFFFF"/>
        </w:rPr>
        <w:instrText xml:space="preserve"> ADDIN ZOTERO_ITEM CSL_CITATION {"citationID":"ntPEeTME","properties":{"formattedCitation":"(Harami-Papp et al., 2016)","plainCitation":"(Harami-Papp et al., 2016)","noteIndex":0},"citationItems":[{"id":4,"uris":["http://zotero.org/users/local/5QJK0Flt/items/UA55NWCS"],"itemData":{"id":4,"type":"article-journal","container-title":"Oncotarget","DOI":"10.18632/oncotarget.11594","ISSN":"1949-2553","issue":"41","page":"67183-67195","title":"TP53 mutation hits energy metabolism and increases glycolysis in breast cancer","volume":"7","author":[{"family":"Harami-Papp","given":"Hajnalka"},{"family":"Pongor","given":"Lőrinc S."},{"family":"Munkácsy","given":"Gyöngyi"},{"family":"Horváth","given":"Gergő"},{"family":"Nagy","given":"Ádám M."},{"family":"Ambrus","given":"Attila"},{"family":"Hauser","given":"Péter"},{"family":"Szabó","given":"András"},{"family":"Tretter","given":"László"},{"family":"Győrffy","given":"Balázs"}],"issued":{"date-parts":[["2016",10,11]]}}}],"schema":"https://github.com/citation-style-language/schema/raw/master/csl-citation.json"} </w:instrText>
      </w:r>
      <w:r w:rsidR="00F53D13" w:rsidRPr="00EF0394">
        <w:rPr>
          <w:rFonts w:ascii="Arial" w:eastAsia="Times New Roman" w:hAnsi="Arial" w:cs="Arial"/>
          <w:sz w:val="24"/>
          <w:szCs w:val="24"/>
          <w:shd w:val="clear" w:color="auto" w:fill="FFFFFF"/>
        </w:rPr>
        <w:fldChar w:fldCharType="separate"/>
      </w:r>
      <w:r w:rsidR="00F53D13" w:rsidRPr="00EF0394">
        <w:rPr>
          <w:rFonts w:ascii="Arial" w:eastAsia="Times New Roman" w:hAnsi="Arial" w:cs="Arial"/>
          <w:noProof/>
          <w:sz w:val="24"/>
          <w:szCs w:val="24"/>
          <w:shd w:val="clear" w:color="auto" w:fill="FFFFFF"/>
        </w:rPr>
        <w:t>(Harami-Papp et al., 2016)</w:t>
      </w:r>
      <w:r w:rsidR="00F53D13"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 xml:space="preserve">. Growing evidence showed that </w:t>
      </w:r>
      <w:r w:rsidR="006648CA" w:rsidRPr="00EF0394">
        <w:rPr>
          <w:rFonts w:ascii="Arial" w:eastAsia="Times New Roman" w:hAnsi="Arial" w:cs="Arial"/>
          <w:sz w:val="24"/>
          <w:szCs w:val="24"/>
          <w:shd w:val="clear" w:color="auto" w:fill="FFFFFF"/>
        </w:rPr>
        <w:t xml:space="preserve">the </w:t>
      </w:r>
      <w:r w:rsidR="00E276CB" w:rsidRPr="00EF0394">
        <w:rPr>
          <w:rFonts w:ascii="Arial" w:eastAsia="Times New Roman" w:hAnsi="Arial" w:cs="Arial"/>
          <w:sz w:val="24"/>
          <w:szCs w:val="24"/>
          <w:shd w:val="clear" w:color="auto" w:fill="FFFFFF"/>
        </w:rPr>
        <w:t xml:space="preserve">TP53 mutant suppressed the activity of TP53-induced glycolysis and apoptosis regulator (TIGAR), a protein that inhibits glycolysis and promotes the pentose phosphate pathway </w:t>
      </w:r>
      <w:r w:rsidR="00F53D13" w:rsidRPr="00EF0394">
        <w:rPr>
          <w:rFonts w:ascii="Arial" w:eastAsia="Times New Roman" w:hAnsi="Arial" w:cs="Arial"/>
          <w:sz w:val="24"/>
          <w:szCs w:val="24"/>
          <w:shd w:val="clear" w:color="auto" w:fill="FFFFFF"/>
        </w:rPr>
        <w:fldChar w:fldCharType="begin"/>
      </w:r>
      <w:r w:rsidR="00F53D13" w:rsidRPr="00EF0394">
        <w:rPr>
          <w:rFonts w:ascii="Arial" w:eastAsia="Times New Roman" w:hAnsi="Arial" w:cs="Arial"/>
          <w:sz w:val="24"/>
          <w:szCs w:val="24"/>
          <w:shd w:val="clear" w:color="auto" w:fill="FFFFFF"/>
        </w:rPr>
        <w:instrText xml:space="preserve"> ADDIN ZOTERO_ITEM CSL_CITATION {"citationID":"UoRAaeih","properties":{"formattedCitation":"(Wanka et al., 2012)","plainCitation":"(Wanka et al., 2012)","noteIndex":0},"citationItems":[{"id":10,"uris":["http://zotero.org/users/local/5QJK0Flt/items/FNWD5LP5"],"itemData":{"id":10,"type":"article-journal","container-title":"Journal of Biological Chemistry","DOI":"10.1074/jbc.M112.384578","ISSN":"00219258","issue":"40","page":"33436-33446","title":"Tp53-induced Glycolysis and Apoptosis Regulator (TIGAR) Protects Glioma Cells from Starvation-induced Cell Death by Up-regulating Respiration and Improving Cellular Redox Homeostasis","volume":"287","author":[{"family":"Wanka","given":"Christina"},{"family":"Steinbach","given":"Joachim P."},{"family":"Rieger","given":"Johannes"}],"issued":{"date-parts":[["2012",9]]}}}],"schema":"https://github.com/citation-style-language/schema/raw/master/csl-citation.json"} </w:instrText>
      </w:r>
      <w:r w:rsidR="00F53D13" w:rsidRPr="00EF0394">
        <w:rPr>
          <w:rFonts w:ascii="Arial" w:eastAsia="Times New Roman" w:hAnsi="Arial" w:cs="Arial"/>
          <w:sz w:val="24"/>
          <w:szCs w:val="24"/>
          <w:shd w:val="clear" w:color="auto" w:fill="FFFFFF"/>
        </w:rPr>
        <w:fldChar w:fldCharType="separate"/>
      </w:r>
      <w:r w:rsidR="00F53D13" w:rsidRPr="00EF0394">
        <w:rPr>
          <w:rFonts w:ascii="Arial" w:eastAsia="Times New Roman" w:hAnsi="Arial" w:cs="Arial"/>
          <w:noProof/>
          <w:sz w:val="24"/>
          <w:szCs w:val="24"/>
          <w:shd w:val="clear" w:color="auto" w:fill="FFFFFF"/>
        </w:rPr>
        <w:t>(Wanka et al., 2012)</w:t>
      </w:r>
      <w:r w:rsidR="00F53D13"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 xml:space="preserve">. This led to </w:t>
      </w:r>
      <w:r w:rsidR="006648CA" w:rsidRPr="00EF0394">
        <w:rPr>
          <w:rFonts w:ascii="Arial" w:eastAsia="Times New Roman" w:hAnsi="Arial" w:cs="Arial"/>
          <w:sz w:val="24"/>
          <w:szCs w:val="24"/>
          <w:shd w:val="clear" w:color="auto" w:fill="FFFFFF"/>
        </w:rPr>
        <w:t xml:space="preserve">a </w:t>
      </w:r>
      <w:r w:rsidR="00E276CB" w:rsidRPr="00EF0394">
        <w:rPr>
          <w:rFonts w:ascii="Arial" w:eastAsia="Times New Roman" w:hAnsi="Arial" w:cs="Arial"/>
          <w:sz w:val="24"/>
          <w:szCs w:val="24"/>
          <w:shd w:val="clear" w:color="auto" w:fill="FFFFFF"/>
        </w:rPr>
        <w:t xml:space="preserve">shift in resources away from GAP/ DHAP production. The lowered levels of GAP/DHAP are reflective of the broader metabolic derangements caused by </w:t>
      </w:r>
      <w:r w:rsidR="006648CA" w:rsidRPr="00EF0394">
        <w:rPr>
          <w:rFonts w:ascii="Arial" w:eastAsia="Times New Roman" w:hAnsi="Arial" w:cs="Arial"/>
          <w:sz w:val="24"/>
          <w:szCs w:val="24"/>
          <w:shd w:val="clear" w:color="auto" w:fill="FFFFFF"/>
        </w:rPr>
        <w:t xml:space="preserve">the </w:t>
      </w:r>
      <w:r w:rsidR="00E276CB" w:rsidRPr="00EF0394">
        <w:rPr>
          <w:rFonts w:ascii="Arial" w:eastAsia="Times New Roman" w:hAnsi="Arial" w:cs="Arial"/>
          <w:sz w:val="24"/>
          <w:szCs w:val="24"/>
          <w:shd w:val="clear" w:color="auto" w:fill="FFFFFF"/>
        </w:rPr>
        <w:t>p53 mutant in the glycolytic pathway. The two mutants (R175H &amp; R273H) also upregulate spermidine</w:t>
      </w:r>
      <w:r w:rsidR="00A06CDD" w:rsidRPr="00EF0394">
        <w:rPr>
          <w:rFonts w:ascii="Arial" w:eastAsia="Times New Roman" w:hAnsi="Arial" w:cs="Arial"/>
          <w:sz w:val="24"/>
          <w:szCs w:val="24"/>
          <w:shd w:val="clear" w:color="auto" w:fill="FFFFFF"/>
        </w:rPr>
        <w:t>,</w:t>
      </w:r>
      <w:r w:rsidR="00E276CB" w:rsidRPr="00EF0394">
        <w:rPr>
          <w:rFonts w:ascii="Arial" w:eastAsia="Times New Roman" w:hAnsi="Arial" w:cs="Arial"/>
          <w:sz w:val="24"/>
          <w:szCs w:val="24"/>
          <w:shd w:val="clear" w:color="auto" w:fill="FFFFFF"/>
        </w:rPr>
        <w:t xml:space="preserve"> while TP53-R273H upregulates spermine.</w:t>
      </w:r>
      <w:r w:rsidR="00607E20" w:rsidRPr="00EF0394">
        <w:rPr>
          <w:rFonts w:ascii="Arial" w:eastAsia="Times New Roman" w:hAnsi="Arial" w:cs="Arial"/>
          <w:sz w:val="24"/>
          <w:szCs w:val="24"/>
          <w:shd w:val="clear" w:color="auto" w:fill="FFFFFF"/>
        </w:rPr>
        <w:t xml:space="preserve"> This agrees with a finding which revealed that TP53 mutants regulate ornithine decarboxylase activity (an enzyme that catalyzes the first step in polyamine synthesis), resulting in increased production of spermidine</w:t>
      </w:r>
      <w:r w:rsidR="00C05517" w:rsidRPr="00EF0394">
        <w:rPr>
          <w:rFonts w:ascii="Arial" w:eastAsia="Times New Roman" w:hAnsi="Arial" w:cs="Arial"/>
          <w:sz w:val="24"/>
          <w:szCs w:val="24"/>
          <w:shd w:val="clear" w:color="auto" w:fill="FFFFFF"/>
        </w:rPr>
        <w:t xml:space="preserve"> </w:t>
      </w:r>
      <w:r w:rsidR="00C05517" w:rsidRPr="00EF0394">
        <w:rPr>
          <w:rFonts w:ascii="Arial" w:eastAsia="Times New Roman" w:hAnsi="Arial" w:cs="Arial"/>
          <w:sz w:val="24"/>
          <w:szCs w:val="24"/>
          <w:shd w:val="clear" w:color="auto" w:fill="FFFFFF"/>
        </w:rPr>
        <w:fldChar w:fldCharType="begin"/>
      </w:r>
      <w:r w:rsidR="00C05517" w:rsidRPr="00EF0394">
        <w:rPr>
          <w:rFonts w:ascii="Arial" w:eastAsia="Times New Roman" w:hAnsi="Arial" w:cs="Arial"/>
          <w:sz w:val="24"/>
          <w:szCs w:val="24"/>
          <w:shd w:val="clear" w:color="auto" w:fill="FFFFFF"/>
        </w:rPr>
        <w:instrText xml:space="preserve"> ADDIN ZOTERO_ITEM CSL_CITATION {"citationID":"sD1Ij1K1","properties":{"formattedCitation":"(Xuan et al., 2023)","plainCitation":"(Xuan et al., 2023)","noteIndex":0},"citationItems":[{"id":11,"uris":["http://zotero.org/users/local/5QJK0Flt/items/WB6DUGQ3"],"itemData":{"id":11,"type":"article-journal","abstract":"&lt;p&gt;Polyamines are essential for the growth and proliferation of mammalian cells and are intimately involved in biological mechanisms such as DNA replication, RNA transcription, protein synthesis, and post-translational modification. These mechanisms regulate cellular proliferation, differentiation, programmed cell death, and the formation of tumors. Several studies have confirmed the positive effect of polyamines on the maintenance of health, while others have demonstrated that their activity may promote the occurrence and progression of diseases. This review examines a variety of topics, such as polyamine source and metabolism, including metabolism, transport, and the potential impact of polyamines on health and disease. In addition, a brief summary of the effects of oncogenes and signaling pathways on tumor polyamine metabolism is provided.&lt;/p&gt;","container-title":"Cell Communication and Signaling","DOI":"10.1186/s12964-023-01373-0","ISSN":"1478-811X","issue":"1","page":"348","title":"Polyamines: their significance for maintaining health and contributing to diseases","volume":"21","author":[{"family":"Xuan","given":"Mengjuan"},{"family":"Gu","given":"Xinyu"},{"family":"Li","given":"Juan"},{"family":"Huang","given":"Di"},{"family":"Xue","given":"Chen"},{"family":"He","given":"Yuting"}],"issued":{"date-parts":[["2023",12,4]]}}}],"schema":"https://github.com/citation-style-language/schema/raw/master/csl-citation.json"} </w:instrText>
      </w:r>
      <w:r w:rsidR="00C05517" w:rsidRPr="00EF0394">
        <w:rPr>
          <w:rFonts w:ascii="Arial" w:eastAsia="Times New Roman" w:hAnsi="Arial" w:cs="Arial"/>
          <w:sz w:val="24"/>
          <w:szCs w:val="24"/>
          <w:shd w:val="clear" w:color="auto" w:fill="FFFFFF"/>
        </w:rPr>
        <w:fldChar w:fldCharType="separate"/>
      </w:r>
      <w:r w:rsidR="00C05517" w:rsidRPr="00EF0394">
        <w:rPr>
          <w:rFonts w:ascii="Arial" w:eastAsia="Times New Roman" w:hAnsi="Arial" w:cs="Arial"/>
          <w:noProof/>
          <w:sz w:val="24"/>
          <w:szCs w:val="24"/>
          <w:shd w:val="clear" w:color="auto" w:fill="FFFFFF"/>
        </w:rPr>
        <w:t>(Xuan et al., 2023)</w:t>
      </w:r>
      <w:r w:rsidR="00C05517" w:rsidRPr="00EF0394">
        <w:rPr>
          <w:rFonts w:ascii="Arial" w:eastAsia="Times New Roman" w:hAnsi="Arial" w:cs="Arial"/>
          <w:sz w:val="24"/>
          <w:szCs w:val="24"/>
          <w:shd w:val="clear" w:color="auto" w:fill="FFFFFF"/>
        </w:rPr>
        <w:fldChar w:fldCharType="end"/>
      </w:r>
      <w:r w:rsidR="00607E20" w:rsidRPr="00EF0394">
        <w:rPr>
          <w:rFonts w:ascii="Arial" w:eastAsia="Times New Roman" w:hAnsi="Arial" w:cs="Arial"/>
          <w:sz w:val="24"/>
          <w:szCs w:val="24"/>
          <w:shd w:val="clear" w:color="auto" w:fill="FFFFFF"/>
        </w:rPr>
        <w:t xml:space="preserve">. Other </w:t>
      </w:r>
      <w:r w:rsidR="00E276CB" w:rsidRPr="00EF0394">
        <w:rPr>
          <w:rFonts w:ascii="Arial" w:eastAsia="Times New Roman" w:hAnsi="Arial" w:cs="Arial"/>
          <w:sz w:val="24"/>
          <w:szCs w:val="24"/>
          <w:shd w:val="clear" w:color="auto" w:fill="FFFFFF"/>
        </w:rPr>
        <w:t xml:space="preserve">studies discovered a decrease in spermine concentration in prostate cancer patients, suggesting spermine to be an endogenous inhibitor of prostate cancer growth </w:t>
      </w:r>
      <w:r w:rsidR="00C05517" w:rsidRPr="00EF0394">
        <w:rPr>
          <w:rFonts w:ascii="Arial" w:eastAsia="Times New Roman" w:hAnsi="Arial" w:cs="Arial"/>
          <w:sz w:val="24"/>
          <w:szCs w:val="24"/>
          <w:shd w:val="clear" w:color="auto" w:fill="FFFFFF"/>
        </w:rPr>
        <w:fldChar w:fldCharType="begin"/>
      </w:r>
      <w:r w:rsidR="00C05517" w:rsidRPr="00EF0394">
        <w:rPr>
          <w:rFonts w:ascii="Arial" w:eastAsia="Times New Roman" w:hAnsi="Arial" w:cs="Arial"/>
          <w:sz w:val="24"/>
          <w:szCs w:val="24"/>
          <w:shd w:val="clear" w:color="auto" w:fill="FFFFFF"/>
        </w:rPr>
        <w:instrText xml:space="preserve"> ADDIN ZOTERO_ITEM CSL_CITATION {"citationID":"0DgjtYRg","properties":{"formattedCitation":"(Bentrad et al., 2019; Maksymiuk et al., 2018)","plainCitation":"(Bentrad et al., 2019; Maksymiuk et al., 2018)","noteIndex":0},"citationItems":[{"id":2,"uris":["http://zotero.org/users/local/5QJK0Flt/items/WBHDDFJ4"],"itemData":{"id":2,"type":"article-journal","container-title":"Annals of Oncology","DOI":"10.1093/annonc/mdz343.023","ISSN":"09237534","page":"vi123","title":"Urinary spermine level as novel additional diagnostic marker of prostate cancer","volume":"30","author":[{"family":"Bentrad","given":"Veronika V."},{"family":"Gogol","given":"Sergii V."},{"family":"Zaletok","given":"Sophia P."},{"family":"Vitruk","given":"Yurii V."},{"family":"Stakhovskyi","given":"Eduard O."},{"family":"Grechko","given":"Boghdan O."}],"issued":{"date-parts":[["2019",10]]}}},{"id":8,"uris":["http://zotero.org/users/local/5QJK0Flt/items/DVNR4QAQ"],"itemData":{"id":8,"type":"article-journal","container-title":"Future Science OA","DOI":"10.4155/fsoa-2018-0077","ISSN":"2056-5623","issue":"10","title":"Spermidine/Spermine &lt;i&gt;N1&lt;/i&gt; -Acetyltransferase-1 as a Diagnostic Biomarker in Human Cancer","volume":"4","author":[{"family":"Maksymiuk","given":"Andrew W"},{"family":"Sitar","given":"Daniel S"},{"family":"Ahmed","given":"Rashid"},{"family":"Cheng","given":"Brian"},{"family":"Bach","given":"Horacio"},{"family":"Bagchi","given":"Rushita Adhikari"},{"family":"Aroutiounova","given":"Nina"},{"family":"Tappia","given":"Paramjit S"},{"family":"Ramjiawan","given":"Bram"}],"issued":{"date-parts":[["2018",12,10]]}}}],"schema":"https://github.com/citation-style-language/schema/raw/master/csl-citation.json"} </w:instrText>
      </w:r>
      <w:r w:rsidR="00C05517" w:rsidRPr="00EF0394">
        <w:rPr>
          <w:rFonts w:ascii="Arial" w:eastAsia="Times New Roman" w:hAnsi="Arial" w:cs="Arial"/>
          <w:sz w:val="24"/>
          <w:szCs w:val="24"/>
          <w:shd w:val="clear" w:color="auto" w:fill="FFFFFF"/>
        </w:rPr>
        <w:fldChar w:fldCharType="separate"/>
      </w:r>
      <w:r w:rsidR="00C05517" w:rsidRPr="00EF0394">
        <w:rPr>
          <w:rFonts w:ascii="Arial" w:eastAsia="Times New Roman" w:hAnsi="Arial" w:cs="Arial"/>
          <w:noProof/>
          <w:sz w:val="24"/>
          <w:szCs w:val="24"/>
          <w:shd w:val="clear" w:color="auto" w:fill="FFFFFF"/>
        </w:rPr>
        <w:t>(Bentrad et al., 2019; Maksymiuk et al., 2018)</w:t>
      </w:r>
      <w:r w:rsidR="00C05517" w:rsidRPr="00EF0394">
        <w:rPr>
          <w:rFonts w:ascii="Arial" w:eastAsia="Times New Roman" w:hAnsi="Arial" w:cs="Arial"/>
          <w:sz w:val="24"/>
          <w:szCs w:val="24"/>
          <w:shd w:val="clear" w:color="auto" w:fill="FFFFFF"/>
        </w:rPr>
        <w:fldChar w:fldCharType="end"/>
      </w:r>
      <w:r w:rsidR="00E276CB" w:rsidRPr="00EF0394">
        <w:rPr>
          <w:rFonts w:ascii="Arial" w:eastAsia="Times New Roman" w:hAnsi="Arial" w:cs="Arial"/>
          <w:sz w:val="24"/>
          <w:szCs w:val="24"/>
          <w:shd w:val="clear" w:color="auto" w:fill="FFFFFF"/>
        </w:rPr>
        <w:t>.</w:t>
      </w:r>
      <w:r w:rsidR="00971F0E" w:rsidRPr="00EF0394">
        <w:rPr>
          <w:rFonts w:ascii="Arial" w:eastAsia="Times New Roman" w:hAnsi="Arial" w:cs="Arial"/>
          <w:sz w:val="24"/>
          <w:szCs w:val="24"/>
          <w:shd w:val="clear" w:color="auto" w:fill="FFFFFF"/>
        </w:rPr>
        <w:t xml:space="preserve"> </w:t>
      </w:r>
    </w:p>
    <w:p w14:paraId="7D40A635" w14:textId="10D820EC" w:rsidR="00275C0E" w:rsidRPr="00EF0394" w:rsidRDefault="00061F03" w:rsidP="00061F03">
      <w:pPr>
        <w:spacing w:after="0" w:line="360" w:lineRule="auto"/>
        <w:jc w:val="both"/>
        <w:rPr>
          <w:rFonts w:ascii="Arial" w:eastAsia="Times New Roman" w:hAnsi="Arial" w:cs="Arial"/>
          <w:sz w:val="24"/>
          <w:szCs w:val="24"/>
          <w:shd w:val="clear" w:color="auto" w:fill="FFFFFF"/>
          <w:lang w:val="en"/>
        </w:rPr>
      </w:pPr>
      <w:r w:rsidRPr="00EF0394">
        <w:rPr>
          <w:rFonts w:ascii="Arial" w:eastAsia="Times New Roman" w:hAnsi="Arial" w:cs="Arial"/>
          <w:sz w:val="24"/>
          <w:szCs w:val="24"/>
          <w:shd w:val="clear" w:color="auto" w:fill="FFFFFF"/>
        </w:rPr>
        <w:t>In this study, PC3-TP53-R273H mutant decreased adenosine levels</w:t>
      </w:r>
      <w:r w:rsidR="00A06CDD" w:rsidRPr="00EF0394">
        <w:rPr>
          <w:rFonts w:ascii="Arial" w:eastAsia="Times New Roman" w:hAnsi="Arial" w:cs="Arial"/>
          <w:sz w:val="24"/>
          <w:szCs w:val="24"/>
          <w:shd w:val="clear" w:color="auto" w:fill="FFFFFF"/>
        </w:rPr>
        <w:t>,</w:t>
      </w:r>
      <w:r w:rsidRPr="00EF0394">
        <w:rPr>
          <w:rFonts w:ascii="Arial" w:eastAsia="Times New Roman" w:hAnsi="Arial" w:cs="Arial"/>
          <w:sz w:val="24"/>
          <w:szCs w:val="24"/>
          <w:shd w:val="clear" w:color="auto" w:fill="FFFFFF"/>
        </w:rPr>
        <w:t xml:space="preserve"> which corresponds with a finding showing that adenosine inhibits cell growth and induce</w:t>
      </w:r>
      <w:r w:rsidR="006648CA" w:rsidRPr="00EF0394">
        <w:rPr>
          <w:rFonts w:ascii="Arial" w:eastAsia="Times New Roman" w:hAnsi="Arial" w:cs="Arial"/>
          <w:sz w:val="24"/>
          <w:szCs w:val="24"/>
          <w:shd w:val="clear" w:color="auto" w:fill="FFFFFF"/>
        </w:rPr>
        <w:t>s</w:t>
      </w:r>
      <w:r w:rsidRPr="00EF0394">
        <w:rPr>
          <w:rFonts w:ascii="Arial" w:eastAsia="Times New Roman" w:hAnsi="Arial" w:cs="Arial"/>
          <w:sz w:val="24"/>
          <w:szCs w:val="24"/>
          <w:shd w:val="clear" w:color="auto" w:fill="FFFFFF"/>
        </w:rPr>
        <w:t xml:space="preserve"> </w:t>
      </w:r>
      <w:r w:rsidRPr="00EF0394">
        <w:rPr>
          <w:rFonts w:ascii="Arial" w:eastAsia="Times New Roman" w:hAnsi="Arial" w:cs="Arial"/>
          <w:sz w:val="24"/>
          <w:szCs w:val="24"/>
          <w:shd w:val="clear" w:color="auto" w:fill="FFFFFF"/>
        </w:rPr>
        <w:lastRenderedPageBreak/>
        <w:t xml:space="preserve">apoptosis in human prostate cancer cells </w:t>
      </w:r>
      <w:r w:rsidR="00C05517" w:rsidRPr="00EF0394">
        <w:rPr>
          <w:rFonts w:ascii="Arial" w:eastAsia="Times New Roman" w:hAnsi="Arial" w:cs="Arial"/>
          <w:sz w:val="24"/>
          <w:szCs w:val="24"/>
          <w:shd w:val="clear" w:color="auto" w:fill="FFFFFF"/>
        </w:rPr>
        <w:fldChar w:fldCharType="begin"/>
      </w:r>
      <w:r w:rsidR="00C05517" w:rsidRPr="00EF0394">
        <w:rPr>
          <w:rFonts w:ascii="Arial" w:eastAsia="Times New Roman" w:hAnsi="Arial" w:cs="Arial"/>
          <w:sz w:val="24"/>
          <w:szCs w:val="24"/>
          <w:shd w:val="clear" w:color="auto" w:fill="FFFFFF"/>
        </w:rPr>
        <w:instrText xml:space="preserve"> ADDIN ZOTERO_ITEM CSL_CITATION {"citationID":"8EeSCoaW","properties":{"formattedCitation":"(Aghaei et al., 2011)","plainCitation":"(Aghaei et al., 2011)","noteIndex":0},"citationItems":[{"id":7,"uris":["http://zotero.org/users/local/5QJK0Flt/items/6NK4UC9W"],"itemData":{"id":7,"type":"article-journal","container-title":"Journal of Cancer Research and Clinical Oncology","DOI":"10.1007/s00432-011-1031-z","ISSN":"0171-5216","issue":"10","page":"1511-1523","title":"Molecular mechanisms of A3 adenosine receptor-induced G1 cell cycle arrest and apoptosis in androgen-dependent and independent prostate cancer cell lines: involvement of intrinsic pathway","volume":"137","author":[{"family":"Aghaei","given":"Mahmoud"},{"family":"Panjehpour","given":"Mojtaba"},{"family":"Karami-Tehrani","given":"Fatemeh"},{"family":"Salami","given":"Siamak"}],"issued":{"date-parts":[["2011",10,10]]}}}],"schema":"https://github.com/citation-style-language/schema/raw/master/csl-citation.json"} </w:instrText>
      </w:r>
      <w:r w:rsidR="00C05517" w:rsidRPr="00EF0394">
        <w:rPr>
          <w:rFonts w:ascii="Arial" w:eastAsia="Times New Roman" w:hAnsi="Arial" w:cs="Arial"/>
          <w:sz w:val="24"/>
          <w:szCs w:val="24"/>
          <w:shd w:val="clear" w:color="auto" w:fill="FFFFFF"/>
        </w:rPr>
        <w:fldChar w:fldCharType="separate"/>
      </w:r>
      <w:r w:rsidR="00C05517" w:rsidRPr="00EF0394">
        <w:rPr>
          <w:rFonts w:ascii="Arial" w:eastAsia="Times New Roman" w:hAnsi="Arial" w:cs="Arial"/>
          <w:noProof/>
          <w:sz w:val="24"/>
          <w:szCs w:val="24"/>
          <w:shd w:val="clear" w:color="auto" w:fill="FFFFFF"/>
        </w:rPr>
        <w:t>(Aghaei et al., 2011)</w:t>
      </w:r>
      <w:r w:rsidR="00C05517" w:rsidRPr="00EF0394">
        <w:rPr>
          <w:rFonts w:ascii="Arial" w:eastAsia="Times New Roman" w:hAnsi="Arial" w:cs="Arial"/>
          <w:sz w:val="24"/>
          <w:szCs w:val="24"/>
          <w:shd w:val="clear" w:color="auto" w:fill="FFFFFF"/>
        </w:rPr>
        <w:fldChar w:fldCharType="end"/>
      </w:r>
      <w:r w:rsidRPr="00EF0394">
        <w:rPr>
          <w:rFonts w:ascii="Arial" w:eastAsia="Times New Roman" w:hAnsi="Arial" w:cs="Arial"/>
          <w:sz w:val="24"/>
          <w:szCs w:val="24"/>
          <w:shd w:val="clear" w:color="auto" w:fill="FFFFFF"/>
        </w:rPr>
        <w:t xml:space="preserve">. We found that PC3-TP53-R175H downregulates glutamine. This is consistent with the findings of Tran </w:t>
      </w:r>
      <w:r w:rsidRPr="00EF0394">
        <w:rPr>
          <w:rFonts w:ascii="Arial" w:eastAsia="Times New Roman" w:hAnsi="Arial" w:cs="Arial"/>
          <w:i/>
          <w:iCs/>
          <w:sz w:val="24"/>
          <w:szCs w:val="24"/>
          <w:shd w:val="clear" w:color="auto" w:fill="FFFFFF"/>
        </w:rPr>
        <w:t>et al</w:t>
      </w:r>
      <w:r w:rsidR="00A06CDD" w:rsidRPr="00EF0394">
        <w:rPr>
          <w:rFonts w:ascii="Arial" w:eastAsia="Times New Roman" w:hAnsi="Arial" w:cs="Arial"/>
          <w:i/>
          <w:iCs/>
          <w:sz w:val="24"/>
          <w:szCs w:val="24"/>
          <w:shd w:val="clear" w:color="auto" w:fill="FFFFFF"/>
        </w:rPr>
        <w:t>.,</w:t>
      </w:r>
      <w:r w:rsidRPr="00EF0394">
        <w:rPr>
          <w:rFonts w:ascii="Arial" w:eastAsia="Times New Roman" w:hAnsi="Arial" w:cs="Arial"/>
          <w:sz w:val="24"/>
          <w:szCs w:val="24"/>
          <w:shd w:val="clear" w:color="auto" w:fill="FFFFFF"/>
        </w:rPr>
        <w:t xml:space="preserve"> which demonstrated that TP53 mutant</w:t>
      </w:r>
      <w:r w:rsidR="006648CA" w:rsidRPr="00EF0394">
        <w:rPr>
          <w:rFonts w:ascii="Arial" w:eastAsia="Times New Roman" w:hAnsi="Arial" w:cs="Arial"/>
          <w:sz w:val="24"/>
          <w:szCs w:val="24"/>
          <w:shd w:val="clear" w:color="auto" w:fill="FFFFFF"/>
        </w:rPr>
        <w:t>s</w:t>
      </w:r>
      <w:r w:rsidRPr="00EF0394">
        <w:rPr>
          <w:rFonts w:ascii="Arial" w:eastAsia="Times New Roman" w:hAnsi="Arial" w:cs="Arial"/>
          <w:sz w:val="24"/>
          <w:szCs w:val="24"/>
          <w:shd w:val="clear" w:color="auto" w:fill="FFFFFF"/>
        </w:rPr>
        <w:t xml:space="preserve"> promote cancer cell survival upon glutamine deprivation through p21 induction both in vitro and in vivo </w:t>
      </w:r>
      <w:r w:rsidR="00C05517" w:rsidRPr="00EF0394">
        <w:rPr>
          <w:rFonts w:ascii="Arial" w:eastAsia="Times New Roman" w:hAnsi="Arial" w:cs="Arial"/>
          <w:sz w:val="24"/>
          <w:szCs w:val="24"/>
          <w:shd w:val="clear" w:color="auto" w:fill="FFFFFF"/>
        </w:rPr>
        <w:fldChar w:fldCharType="begin"/>
      </w:r>
      <w:r w:rsidR="00C05517" w:rsidRPr="00EF0394">
        <w:rPr>
          <w:rFonts w:ascii="Arial" w:eastAsia="Times New Roman" w:hAnsi="Arial" w:cs="Arial"/>
          <w:sz w:val="24"/>
          <w:szCs w:val="24"/>
          <w:shd w:val="clear" w:color="auto" w:fill="FFFFFF"/>
        </w:rPr>
        <w:instrText xml:space="preserve"> ADDIN ZOTERO_ITEM CSL_CITATION {"citationID":"YdsXWTXs","properties":{"formattedCitation":"(Tran et al., 2017)","plainCitation":"(Tran et al., 2017)","noteIndex":0},"citationItems":[{"id":12,"uris":["http://zotero.org/users/local/5QJK0Flt/items/CHH2HRN5"],"itemData":{"id":12,"type":"article-journal","container-title":"Oncogene","DOI":"10.1038/onc.2016.360","ISSN":"0950-9232","issue":"14","page":"1991-2001","title":"Tumor-associated mutant p53 promotes cancer cell survival upon glutamine deprivation through p21 induction","volume":"36","author":[{"family":"Tran","given":"T Q"},{"family":"Lowman","given":"X H"},{"family":"Reid","given":"M A"},{"family":"Mendez-Dorantes","given":"C"},{"family":"Pan","given":"M"},{"family":"Yang","given":"Y"},{"family":"Kong","given":"M"}],"issued":{"date-parts":[["2017",4,6]]}}}],"schema":"https://github.com/citation-style-language/schema/raw/master/csl-citation.json"} </w:instrText>
      </w:r>
      <w:r w:rsidR="00C05517" w:rsidRPr="00EF0394">
        <w:rPr>
          <w:rFonts w:ascii="Arial" w:eastAsia="Times New Roman" w:hAnsi="Arial" w:cs="Arial"/>
          <w:sz w:val="24"/>
          <w:szCs w:val="24"/>
          <w:shd w:val="clear" w:color="auto" w:fill="FFFFFF"/>
        </w:rPr>
        <w:fldChar w:fldCharType="separate"/>
      </w:r>
      <w:r w:rsidR="00C05517" w:rsidRPr="00EF0394">
        <w:rPr>
          <w:rFonts w:ascii="Arial" w:eastAsia="Times New Roman" w:hAnsi="Arial" w:cs="Arial"/>
          <w:noProof/>
          <w:sz w:val="24"/>
          <w:szCs w:val="24"/>
          <w:shd w:val="clear" w:color="auto" w:fill="FFFFFF"/>
        </w:rPr>
        <w:t>(Tran et al., 2017)</w:t>
      </w:r>
      <w:r w:rsidR="00C05517" w:rsidRPr="00EF0394">
        <w:rPr>
          <w:rFonts w:ascii="Arial" w:eastAsia="Times New Roman" w:hAnsi="Arial" w:cs="Arial"/>
          <w:sz w:val="24"/>
          <w:szCs w:val="24"/>
          <w:shd w:val="clear" w:color="auto" w:fill="FFFFFF"/>
        </w:rPr>
        <w:fldChar w:fldCharType="end"/>
      </w:r>
      <w:r w:rsidRPr="00EF0394">
        <w:rPr>
          <w:rFonts w:ascii="Arial" w:eastAsia="Times New Roman" w:hAnsi="Arial" w:cs="Arial"/>
          <w:sz w:val="24"/>
          <w:szCs w:val="24"/>
          <w:shd w:val="clear" w:color="auto" w:fill="FFFFFF"/>
        </w:rPr>
        <w:t xml:space="preserve">. Pseudouridine level was upregulated by the two mutants (PC3-TP53-R175H &amp; R273H). </w:t>
      </w:r>
      <w:r w:rsidRPr="00EF0394">
        <w:rPr>
          <w:rFonts w:ascii="Arial" w:eastAsia="Times New Roman" w:hAnsi="Arial" w:cs="Arial"/>
          <w:sz w:val="24"/>
          <w:szCs w:val="24"/>
          <w:shd w:val="clear" w:color="auto" w:fill="FFFFFF"/>
          <w:lang w:val="en"/>
        </w:rPr>
        <w:t xml:space="preserve">This agrees </w:t>
      </w:r>
      <w:r w:rsidR="006648CA" w:rsidRPr="00EF0394">
        <w:rPr>
          <w:rFonts w:ascii="Arial" w:eastAsia="Times New Roman" w:hAnsi="Arial" w:cs="Arial"/>
          <w:sz w:val="24"/>
          <w:szCs w:val="24"/>
          <w:shd w:val="clear" w:color="auto" w:fill="FFFFFF"/>
          <w:lang w:val="en"/>
        </w:rPr>
        <w:t xml:space="preserve">with </w:t>
      </w:r>
      <w:r w:rsidRPr="00EF0394">
        <w:rPr>
          <w:rFonts w:ascii="Arial" w:eastAsia="Times New Roman" w:hAnsi="Arial" w:cs="Arial"/>
          <w:sz w:val="24"/>
          <w:szCs w:val="24"/>
          <w:shd w:val="clear" w:color="auto" w:fill="FFFFFF"/>
          <w:lang w:val="en"/>
        </w:rPr>
        <w:t xml:space="preserve">the study which reported that </w:t>
      </w:r>
      <w:r w:rsidR="006648CA" w:rsidRPr="00EF0394">
        <w:rPr>
          <w:rFonts w:ascii="Arial" w:eastAsia="Times New Roman" w:hAnsi="Arial" w:cs="Arial"/>
          <w:sz w:val="24"/>
          <w:szCs w:val="24"/>
          <w:shd w:val="clear" w:color="auto" w:fill="FFFFFF"/>
          <w:lang w:val="en"/>
        </w:rPr>
        <w:t xml:space="preserve">an </w:t>
      </w:r>
      <w:r w:rsidRPr="00EF0394">
        <w:rPr>
          <w:rFonts w:ascii="Arial" w:eastAsia="Times New Roman" w:hAnsi="Arial" w:cs="Arial"/>
          <w:sz w:val="24"/>
          <w:szCs w:val="24"/>
          <w:shd w:val="clear" w:color="auto" w:fill="FFFFFF"/>
          <w:lang w:val="en"/>
        </w:rPr>
        <w:t xml:space="preserve">elevated level of pseudouridine is associated with the incidence and progression of prostate cancer, as well as a novel biomarker in prostate cancer progression to advanced disease </w:t>
      </w:r>
      <w:r w:rsidR="00C05517" w:rsidRPr="00EF0394">
        <w:rPr>
          <w:rFonts w:ascii="Arial" w:eastAsia="Times New Roman" w:hAnsi="Arial" w:cs="Arial"/>
          <w:sz w:val="24"/>
          <w:szCs w:val="24"/>
          <w:shd w:val="clear" w:color="auto" w:fill="FFFFFF"/>
          <w:lang w:val="en"/>
        </w:rPr>
        <w:fldChar w:fldCharType="begin"/>
      </w:r>
      <w:r w:rsidR="00C05517" w:rsidRPr="00EF0394">
        <w:rPr>
          <w:rFonts w:ascii="Arial" w:eastAsia="Times New Roman" w:hAnsi="Arial" w:cs="Arial"/>
          <w:sz w:val="24"/>
          <w:szCs w:val="24"/>
          <w:shd w:val="clear" w:color="auto" w:fill="FFFFFF"/>
          <w:lang w:val="en"/>
        </w:rPr>
        <w:instrText xml:space="preserve"> ADDIN ZOTERO_ITEM CSL_CITATION {"citationID":"9McaxzQb","properties":{"formattedCitation":"(Stockert et al., 2021)","plainCitation":"(Stockert et al., 2021)","noteIndex":0},"citationItems":[{"id":6,"uris":["http://zotero.org/users/local/5QJK0Flt/items/XWBLJUHX"],"itemData":{"id":6,"type":"article-journal","container-title":"Urologic Oncology: Seminars and Original Investigations","DOI":"10.1016/j.urolonc.2020.06.026","ISSN":"10781439","issue":"1","page":"63-71","title":"Pseudouridine as a novel biomarker in prostate cancer","volume":"39","author":[{"family":"Stockert","given":"Jennifer A."},{"family":"Weil","given":"Rachel"},{"family":"Yadav","given":"Kamlesh K."},{"family":"Kyprianou","given":"Natasha"},{"family":"Tewari","given":"Ashutosh K."}],"issued":{"date-parts":[["2021",1]]}}}],"schema":"https://github.com/citation-style-language/schema/raw/master/csl-citation.json"} </w:instrText>
      </w:r>
      <w:r w:rsidR="00C05517" w:rsidRPr="00EF0394">
        <w:rPr>
          <w:rFonts w:ascii="Arial" w:eastAsia="Times New Roman" w:hAnsi="Arial" w:cs="Arial"/>
          <w:sz w:val="24"/>
          <w:szCs w:val="24"/>
          <w:shd w:val="clear" w:color="auto" w:fill="FFFFFF"/>
          <w:lang w:val="en"/>
        </w:rPr>
        <w:fldChar w:fldCharType="separate"/>
      </w:r>
      <w:r w:rsidR="00C05517" w:rsidRPr="00EF0394">
        <w:rPr>
          <w:rFonts w:ascii="Arial" w:eastAsia="Times New Roman" w:hAnsi="Arial" w:cs="Arial"/>
          <w:noProof/>
          <w:sz w:val="24"/>
          <w:szCs w:val="24"/>
          <w:shd w:val="clear" w:color="auto" w:fill="FFFFFF"/>
          <w:lang w:val="en"/>
        </w:rPr>
        <w:t>(Stockert et al., 2021)</w:t>
      </w:r>
      <w:r w:rsidR="00C05517" w:rsidRPr="00EF0394">
        <w:rPr>
          <w:rFonts w:ascii="Arial" w:eastAsia="Times New Roman" w:hAnsi="Arial" w:cs="Arial"/>
          <w:sz w:val="24"/>
          <w:szCs w:val="24"/>
          <w:shd w:val="clear" w:color="auto" w:fill="FFFFFF"/>
          <w:lang w:val="en"/>
        </w:rPr>
        <w:fldChar w:fldCharType="end"/>
      </w:r>
      <w:r w:rsidRPr="00EF0394">
        <w:rPr>
          <w:rFonts w:ascii="Arial" w:eastAsia="Times New Roman" w:hAnsi="Arial" w:cs="Arial"/>
          <w:sz w:val="24"/>
          <w:szCs w:val="24"/>
          <w:shd w:val="clear" w:color="auto" w:fill="FFFFFF"/>
          <w:lang w:val="en"/>
        </w:rPr>
        <w:t xml:space="preserve">. Pseudouridine was shown to enhance the stability and translation of mRNA by modifying RNA structure. This leads to more efficient protein synthesis, which can promote the production of oncogenes (cancer-promoting genes) that drive the uncontrolled proliferation of prostate cancer cells </w:t>
      </w:r>
      <w:r w:rsidR="00C05517" w:rsidRPr="00EF0394">
        <w:rPr>
          <w:rFonts w:ascii="Arial" w:eastAsia="Times New Roman" w:hAnsi="Arial" w:cs="Arial"/>
          <w:sz w:val="24"/>
          <w:szCs w:val="24"/>
          <w:shd w:val="clear" w:color="auto" w:fill="FFFFFF"/>
          <w:lang w:val="en"/>
        </w:rPr>
        <w:fldChar w:fldCharType="begin"/>
      </w:r>
      <w:r w:rsidR="00C05517" w:rsidRPr="00EF0394">
        <w:rPr>
          <w:rFonts w:ascii="Arial" w:eastAsia="Times New Roman" w:hAnsi="Arial" w:cs="Arial"/>
          <w:sz w:val="24"/>
          <w:szCs w:val="24"/>
          <w:shd w:val="clear" w:color="auto" w:fill="FFFFFF"/>
          <w:lang w:val="en"/>
        </w:rPr>
        <w:instrText xml:space="preserve"> ADDIN ZOTERO_ITEM CSL_CITATION {"citationID":"11ffVwVo","properties":{"formattedCitation":"(Stockert et al., 2021)","plainCitation":"(Stockert et al., 2021)","noteIndex":0},"citationItems":[{"id":6,"uris":["http://zotero.org/users/local/5QJK0Flt/items/XWBLJUHX"],"itemData":{"id":6,"type":"article-journal","container-title":"Urologic Oncology: Seminars and Original Investigations","DOI":"10.1016/j.urolonc.2020.06.026","ISSN":"10781439","issue":"1","page":"63-71","title":"Pseudouridine as a novel biomarker in prostate cancer","volume":"39","author":[{"family":"Stockert","given":"Jennifer A."},{"family":"Weil","given":"Rachel"},{"family":"Yadav","given":"Kamlesh K."},{"family":"Kyprianou","given":"Natasha"},{"family":"Tewari","given":"Ashutosh K."}],"issued":{"date-parts":[["2021",1]]}}}],"schema":"https://github.com/citation-style-language/schema/raw/master/csl-citation.json"} </w:instrText>
      </w:r>
      <w:r w:rsidR="00C05517" w:rsidRPr="00EF0394">
        <w:rPr>
          <w:rFonts w:ascii="Arial" w:eastAsia="Times New Roman" w:hAnsi="Arial" w:cs="Arial"/>
          <w:sz w:val="24"/>
          <w:szCs w:val="24"/>
          <w:shd w:val="clear" w:color="auto" w:fill="FFFFFF"/>
          <w:lang w:val="en"/>
        </w:rPr>
        <w:fldChar w:fldCharType="separate"/>
      </w:r>
      <w:r w:rsidR="00C05517" w:rsidRPr="00EF0394">
        <w:rPr>
          <w:rFonts w:ascii="Arial" w:eastAsia="Times New Roman" w:hAnsi="Arial" w:cs="Arial"/>
          <w:noProof/>
          <w:sz w:val="24"/>
          <w:szCs w:val="24"/>
          <w:shd w:val="clear" w:color="auto" w:fill="FFFFFF"/>
          <w:lang w:val="en"/>
        </w:rPr>
        <w:t>(Stockert et al., 2021)</w:t>
      </w:r>
      <w:r w:rsidR="00C05517" w:rsidRPr="00EF0394">
        <w:rPr>
          <w:rFonts w:ascii="Arial" w:eastAsia="Times New Roman" w:hAnsi="Arial" w:cs="Arial"/>
          <w:sz w:val="24"/>
          <w:szCs w:val="24"/>
          <w:shd w:val="clear" w:color="auto" w:fill="FFFFFF"/>
          <w:lang w:val="en"/>
        </w:rPr>
        <w:fldChar w:fldCharType="end"/>
      </w:r>
      <w:r w:rsidRPr="00EF0394">
        <w:rPr>
          <w:rFonts w:ascii="Arial" w:eastAsia="Times New Roman" w:hAnsi="Arial" w:cs="Arial"/>
          <w:sz w:val="24"/>
          <w:szCs w:val="24"/>
          <w:shd w:val="clear" w:color="auto" w:fill="FFFFFF"/>
          <w:lang w:val="en"/>
        </w:rPr>
        <w:t xml:space="preserve">. </w:t>
      </w:r>
      <w:r w:rsidR="00B85F78" w:rsidRPr="00EF0394">
        <w:rPr>
          <w:rFonts w:ascii="Arial" w:eastAsia="Times New Roman" w:hAnsi="Arial" w:cs="Arial"/>
          <w:sz w:val="24"/>
          <w:szCs w:val="24"/>
          <w:shd w:val="clear" w:color="auto" w:fill="FFFFFF"/>
        </w:rPr>
        <w:t xml:space="preserve">Further research should be carried out to show how each TP53 GOF mutant contributes to the cells’ ability to adapt metabolic alterations to support their growth and survival. </w:t>
      </w:r>
      <w:r w:rsidR="00B33096" w:rsidRPr="00EF0394">
        <w:rPr>
          <w:rFonts w:ascii="Arial" w:eastAsia="Times New Roman" w:hAnsi="Arial" w:cs="Arial"/>
          <w:sz w:val="24"/>
          <w:szCs w:val="24"/>
          <w:shd w:val="clear" w:color="auto" w:fill="FFFFFF"/>
        </w:rPr>
        <w:t>Also, some of the metabolites identified</w:t>
      </w:r>
      <w:r w:rsidR="00A06CDD" w:rsidRPr="00EF0394">
        <w:rPr>
          <w:rFonts w:ascii="Arial" w:eastAsia="Times New Roman" w:hAnsi="Arial" w:cs="Arial"/>
          <w:sz w:val="24"/>
          <w:szCs w:val="24"/>
          <w:shd w:val="clear" w:color="auto" w:fill="FFFFFF"/>
        </w:rPr>
        <w:t>,</w:t>
      </w:r>
      <w:r w:rsidR="00B33096" w:rsidRPr="00EF0394">
        <w:rPr>
          <w:rFonts w:ascii="Arial" w:eastAsia="Times New Roman" w:hAnsi="Arial" w:cs="Arial"/>
          <w:sz w:val="24"/>
          <w:szCs w:val="24"/>
          <w:shd w:val="clear" w:color="auto" w:fill="FFFFFF"/>
        </w:rPr>
        <w:t xml:space="preserve"> such as pseudouridine and spermidine</w:t>
      </w:r>
      <w:r w:rsidR="00A06CDD" w:rsidRPr="00EF0394">
        <w:rPr>
          <w:rFonts w:ascii="Arial" w:eastAsia="Times New Roman" w:hAnsi="Arial" w:cs="Arial"/>
          <w:sz w:val="24"/>
          <w:szCs w:val="24"/>
          <w:shd w:val="clear" w:color="auto" w:fill="FFFFFF"/>
        </w:rPr>
        <w:t>,</w:t>
      </w:r>
      <w:r w:rsidR="00B33096" w:rsidRPr="00EF0394">
        <w:rPr>
          <w:rFonts w:ascii="Arial" w:eastAsia="Times New Roman" w:hAnsi="Arial" w:cs="Arial"/>
          <w:sz w:val="24"/>
          <w:szCs w:val="24"/>
          <w:shd w:val="clear" w:color="auto" w:fill="FFFFFF"/>
        </w:rPr>
        <w:t xml:space="preserve"> could serve as biomarkers for prostate cancer progression and treatment efficacy, especially in patients with TP53 mutations.</w:t>
      </w:r>
    </w:p>
    <w:p w14:paraId="16F43928" w14:textId="3E9F578F" w:rsidR="00302DE5" w:rsidRPr="00EF0394" w:rsidRDefault="00082AD1" w:rsidP="00061F03">
      <w:pPr>
        <w:spacing w:after="0" w:line="360" w:lineRule="auto"/>
        <w:jc w:val="both"/>
        <w:rPr>
          <w:rFonts w:ascii="Arial" w:eastAsia="Times New Roman" w:hAnsi="Arial" w:cs="Arial"/>
          <w:b/>
          <w:bCs/>
          <w:sz w:val="24"/>
          <w:szCs w:val="24"/>
          <w:shd w:val="clear" w:color="auto" w:fill="FFFFFF"/>
        </w:rPr>
      </w:pPr>
      <w:r w:rsidRPr="00EF0394">
        <w:rPr>
          <w:rFonts w:ascii="Arial" w:eastAsia="Times New Roman" w:hAnsi="Arial" w:cs="Arial"/>
          <w:b/>
          <w:bCs/>
          <w:sz w:val="24"/>
          <w:szCs w:val="24"/>
          <w:shd w:val="clear" w:color="auto" w:fill="FFFFFF"/>
        </w:rPr>
        <w:t xml:space="preserve">6.0 </w:t>
      </w:r>
      <w:r w:rsidR="00302DE5" w:rsidRPr="00EF0394">
        <w:rPr>
          <w:rFonts w:ascii="Arial" w:eastAsia="Times New Roman" w:hAnsi="Arial" w:cs="Arial"/>
          <w:b/>
          <w:bCs/>
          <w:sz w:val="24"/>
          <w:szCs w:val="24"/>
          <w:shd w:val="clear" w:color="auto" w:fill="FFFFFF"/>
        </w:rPr>
        <w:t>Conclusion</w:t>
      </w:r>
      <w:r w:rsidR="000D1D17" w:rsidRPr="00EF0394">
        <w:rPr>
          <w:rFonts w:ascii="Arial" w:eastAsia="Times New Roman" w:hAnsi="Arial" w:cs="Arial"/>
          <w:b/>
          <w:bCs/>
          <w:sz w:val="24"/>
          <w:szCs w:val="24"/>
          <w:shd w:val="clear" w:color="auto" w:fill="FFFFFF"/>
        </w:rPr>
        <w:t xml:space="preserve"> </w:t>
      </w:r>
    </w:p>
    <w:p w14:paraId="66068AF5" w14:textId="2F40A72C" w:rsidR="00D74DEA" w:rsidRPr="00EF0394" w:rsidRDefault="000D1D17" w:rsidP="00D74DEA">
      <w:pPr>
        <w:spacing w:line="360" w:lineRule="auto"/>
        <w:jc w:val="both"/>
        <w:rPr>
          <w:rFonts w:ascii="Arial" w:eastAsia="Times New Roman" w:hAnsi="Arial" w:cs="Arial"/>
          <w:shd w:val="clear" w:color="auto" w:fill="FFFFFF"/>
        </w:rPr>
      </w:pPr>
      <w:r w:rsidRPr="00EF0394">
        <w:rPr>
          <w:rFonts w:ascii="Arial" w:eastAsia="Times New Roman" w:hAnsi="Arial" w:cs="Arial"/>
          <w:sz w:val="24"/>
          <w:szCs w:val="24"/>
          <w:shd w:val="clear" w:color="auto" w:fill="FFFFFF"/>
          <w:lang w:val="en"/>
        </w:rPr>
        <w:t xml:space="preserve">This study investigated the </w:t>
      </w:r>
      <w:r w:rsidR="00605A07" w:rsidRPr="00EF0394">
        <w:rPr>
          <w:rFonts w:ascii="Arial" w:eastAsia="Times New Roman" w:hAnsi="Arial" w:cs="Arial"/>
          <w:sz w:val="24"/>
          <w:szCs w:val="24"/>
          <w:shd w:val="clear" w:color="auto" w:fill="FFFFFF"/>
        </w:rPr>
        <w:t>significantly altered key metabolites involved in the major metabolic pathways contributing to tumor progression</w:t>
      </w:r>
      <w:r w:rsidR="00605A07" w:rsidRPr="00EF0394">
        <w:rPr>
          <w:rFonts w:ascii="Arial" w:eastAsia="Times New Roman" w:hAnsi="Arial" w:cs="Arial"/>
          <w:sz w:val="24"/>
          <w:szCs w:val="24"/>
          <w:shd w:val="clear" w:color="auto" w:fill="FFFFFF"/>
          <w:lang w:val="en"/>
        </w:rPr>
        <w:t xml:space="preserve"> </w:t>
      </w:r>
      <w:r w:rsidRPr="00EF0394">
        <w:rPr>
          <w:rFonts w:ascii="Arial" w:eastAsia="Times New Roman" w:hAnsi="Arial" w:cs="Arial"/>
          <w:sz w:val="24"/>
          <w:szCs w:val="24"/>
          <w:shd w:val="clear" w:color="auto" w:fill="FFFFFF"/>
          <w:lang w:val="en"/>
        </w:rPr>
        <w:t>in prostate cancer cells</w:t>
      </w:r>
      <w:r w:rsidR="007263BC" w:rsidRPr="00EF0394">
        <w:rPr>
          <w:rFonts w:ascii="Arial" w:eastAsia="Times New Roman" w:hAnsi="Arial" w:cs="Arial"/>
          <w:sz w:val="24"/>
          <w:szCs w:val="24"/>
          <w:shd w:val="clear" w:color="auto" w:fill="FFFFFF"/>
          <w:lang w:val="en"/>
        </w:rPr>
        <w:t>.</w:t>
      </w:r>
      <w:r w:rsidRPr="00EF0394">
        <w:rPr>
          <w:rFonts w:ascii="Arial" w:eastAsia="Times New Roman" w:hAnsi="Arial" w:cs="Arial"/>
          <w:sz w:val="24"/>
          <w:szCs w:val="24"/>
          <w:shd w:val="clear" w:color="auto" w:fill="FFFFFF"/>
          <w:lang w:val="en"/>
        </w:rPr>
        <w:t xml:space="preserve"> </w:t>
      </w:r>
      <w:r w:rsidR="00933926" w:rsidRPr="00EF0394">
        <w:rPr>
          <w:rFonts w:ascii="Arial" w:eastAsia="Times New Roman" w:hAnsi="Arial" w:cs="Arial"/>
          <w:sz w:val="24"/>
          <w:szCs w:val="24"/>
          <w:shd w:val="clear" w:color="auto" w:fill="FFFFFF"/>
          <w:lang w:val="en"/>
        </w:rPr>
        <w:t>P</w:t>
      </w:r>
      <w:r w:rsidR="00203A84" w:rsidRPr="00EF0394">
        <w:rPr>
          <w:rFonts w:ascii="Arial" w:eastAsia="Times New Roman" w:hAnsi="Arial" w:cs="Arial"/>
          <w:sz w:val="24"/>
          <w:szCs w:val="24"/>
          <w:shd w:val="clear" w:color="auto" w:fill="FFFFFF"/>
          <w:lang w:val="en"/>
        </w:rPr>
        <w:t>resent</w:t>
      </w:r>
      <w:r w:rsidR="00933926" w:rsidRPr="00EF0394">
        <w:rPr>
          <w:rFonts w:ascii="Arial" w:eastAsia="Times New Roman" w:hAnsi="Arial" w:cs="Arial"/>
          <w:sz w:val="24"/>
          <w:szCs w:val="24"/>
          <w:shd w:val="clear" w:color="auto" w:fill="FFFFFF"/>
          <w:lang w:val="en"/>
        </w:rPr>
        <w:t>ing</w:t>
      </w:r>
      <w:r w:rsidR="00203A84" w:rsidRPr="00EF0394">
        <w:rPr>
          <w:rFonts w:ascii="Arial" w:eastAsia="Times New Roman" w:hAnsi="Arial" w:cs="Arial"/>
          <w:sz w:val="24"/>
          <w:szCs w:val="24"/>
          <w:shd w:val="clear" w:color="auto" w:fill="FFFFFF"/>
          <w:lang w:val="en"/>
        </w:rPr>
        <w:t xml:space="preserve"> </w:t>
      </w:r>
      <w:r w:rsidR="00B33096" w:rsidRPr="00EF0394">
        <w:rPr>
          <w:rFonts w:ascii="Arial" w:eastAsia="Times New Roman" w:hAnsi="Arial" w:cs="Arial"/>
          <w:sz w:val="24"/>
          <w:szCs w:val="24"/>
          <w:shd w:val="clear" w:color="auto" w:fill="FFFFFF"/>
          <w:lang w:val="en"/>
        </w:rPr>
        <w:t>insights into the identification of metabolic alterations that result from TP53 GOF mutation</w:t>
      </w:r>
      <w:r w:rsidR="007263BC" w:rsidRPr="00EF0394">
        <w:rPr>
          <w:rFonts w:ascii="Arial" w:eastAsia="Times New Roman" w:hAnsi="Arial" w:cs="Arial"/>
          <w:sz w:val="24"/>
          <w:szCs w:val="24"/>
          <w:shd w:val="clear" w:color="auto" w:fill="FFFFFF"/>
          <w:lang w:val="en"/>
        </w:rPr>
        <w:t xml:space="preserve"> </w:t>
      </w:r>
      <w:r w:rsidR="007263BC" w:rsidRPr="00EF0394">
        <w:rPr>
          <w:rFonts w:ascii="Arial" w:eastAsia="Times New Roman" w:hAnsi="Arial" w:cs="Arial"/>
          <w:sz w:val="24"/>
          <w:szCs w:val="24"/>
          <w:shd w:val="clear" w:color="auto" w:fill="FFFFFF"/>
        </w:rPr>
        <w:t xml:space="preserve">(R175H &amp; R273H) </w:t>
      </w:r>
      <w:r w:rsidR="00B33096" w:rsidRPr="00EF0394">
        <w:rPr>
          <w:rFonts w:ascii="Arial" w:eastAsia="Times New Roman" w:hAnsi="Arial" w:cs="Arial"/>
          <w:sz w:val="24"/>
          <w:szCs w:val="24"/>
          <w:shd w:val="clear" w:color="auto" w:fill="FFFFFF"/>
          <w:lang w:val="en"/>
        </w:rPr>
        <w:t xml:space="preserve">to target prostate cancer therapeutically. </w:t>
      </w:r>
      <w:r w:rsidRPr="00EF0394">
        <w:rPr>
          <w:rFonts w:ascii="Arial" w:eastAsia="Times New Roman" w:hAnsi="Arial" w:cs="Arial"/>
          <w:sz w:val="24"/>
          <w:szCs w:val="24"/>
          <w:shd w:val="clear" w:color="auto" w:fill="FFFFFF"/>
          <w:lang w:val="en"/>
        </w:rPr>
        <w:t xml:space="preserve">These mutants </w:t>
      </w:r>
      <w:r w:rsidR="00784D6F" w:rsidRPr="00EF0394">
        <w:rPr>
          <w:rFonts w:ascii="Arial" w:eastAsia="Times New Roman" w:hAnsi="Arial" w:cs="Arial"/>
          <w:sz w:val="24"/>
          <w:szCs w:val="24"/>
          <w:shd w:val="clear" w:color="auto" w:fill="FFFFFF"/>
          <w:lang w:val="en"/>
        </w:rPr>
        <w:t xml:space="preserve">downregulate </w:t>
      </w:r>
      <w:r w:rsidRPr="00EF0394">
        <w:rPr>
          <w:rFonts w:ascii="Arial" w:eastAsia="Times New Roman" w:hAnsi="Arial" w:cs="Arial"/>
          <w:sz w:val="24"/>
          <w:szCs w:val="24"/>
          <w:shd w:val="clear" w:color="auto" w:fill="FFFFFF"/>
          <w:lang w:val="en"/>
        </w:rPr>
        <w:t xml:space="preserve">metabolites </w:t>
      </w:r>
      <w:r w:rsidR="00784D6F" w:rsidRPr="00EF0394">
        <w:rPr>
          <w:rFonts w:ascii="Arial" w:eastAsia="Times New Roman" w:hAnsi="Arial" w:cs="Arial"/>
          <w:sz w:val="24"/>
          <w:szCs w:val="24"/>
          <w:shd w:val="clear" w:color="auto" w:fill="FFFFFF"/>
          <w:lang w:val="en"/>
        </w:rPr>
        <w:t xml:space="preserve">such as GAP/DHAP </w:t>
      </w:r>
      <w:r w:rsidRPr="00EF0394">
        <w:rPr>
          <w:rFonts w:ascii="Arial" w:eastAsia="Times New Roman" w:hAnsi="Arial" w:cs="Arial"/>
          <w:sz w:val="24"/>
          <w:szCs w:val="24"/>
          <w:shd w:val="clear" w:color="auto" w:fill="FFFFFF"/>
          <w:lang w:val="en"/>
        </w:rPr>
        <w:t xml:space="preserve">involved in glycolysis and </w:t>
      </w:r>
      <w:r w:rsidR="00784D6F" w:rsidRPr="00EF0394">
        <w:rPr>
          <w:rFonts w:ascii="Arial" w:eastAsia="Times New Roman" w:hAnsi="Arial" w:cs="Arial"/>
          <w:sz w:val="24"/>
          <w:szCs w:val="24"/>
          <w:shd w:val="clear" w:color="auto" w:fill="FFFFFF"/>
          <w:lang w:val="en"/>
        </w:rPr>
        <w:t xml:space="preserve">α-ketoglutarate in </w:t>
      </w:r>
      <w:r w:rsidR="00A06CDD" w:rsidRPr="00EF0394">
        <w:rPr>
          <w:rFonts w:ascii="Arial" w:eastAsia="Times New Roman" w:hAnsi="Arial" w:cs="Arial"/>
          <w:sz w:val="24"/>
          <w:szCs w:val="24"/>
          <w:shd w:val="clear" w:color="auto" w:fill="FFFFFF"/>
          <w:lang w:val="en"/>
        </w:rPr>
        <w:t xml:space="preserve">the </w:t>
      </w:r>
      <w:r w:rsidRPr="00EF0394">
        <w:rPr>
          <w:rFonts w:ascii="Arial" w:eastAsia="Times New Roman" w:hAnsi="Arial" w:cs="Arial"/>
          <w:sz w:val="24"/>
          <w:szCs w:val="24"/>
          <w:shd w:val="clear" w:color="auto" w:fill="FFFFFF"/>
          <w:lang w:val="en"/>
        </w:rPr>
        <w:t>TCA cycle</w:t>
      </w:r>
      <w:r w:rsidR="00A06CDD" w:rsidRPr="00EF0394">
        <w:rPr>
          <w:rFonts w:ascii="Arial" w:eastAsia="Times New Roman" w:hAnsi="Arial" w:cs="Arial"/>
          <w:sz w:val="24"/>
          <w:szCs w:val="24"/>
          <w:shd w:val="clear" w:color="auto" w:fill="FFFFFF"/>
          <w:lang w:val="en"/>
        </w:rPr>
        <w:t>,</w:t>
      </w:r>
      <w:r w:rsidRPr="00EF0394">
        <w:rPr>
          <w:rFonts w:ascii="Arial" w:eastAsia="Times New Roman" w:hAnsi="Arial" w:cs="Arial"/>
          <w:sz w:val="24"/>
          <w:szCs w:val="24"/>
          <w:shd w:val="clear" w:color="auto" w:fill="FFFFFF"/>
          <w:lang w:val="en"/>
        </w:rPr>
        <w:t xml:space="preserve"> </w:t>
      </w:r>
      <w:r w:rsidR="00784D6F" w:rsidRPr="00EF0394">
        <w:rPr>
          <w:rFonts w:ascii="Arial" w:eastAsia="Times New Roman" w:hAnsi="Arial" w:cs="Arial"/>
          <w:sz w:val="24"/>
          <w:szCs w:val="24"/>
          <w:shd w:val="clear" w:color="auto" w:fill="FFFFFF"/>
          <w:lang w:val="en"/>
        </w:rPr>
        <w:t xml:space="preserve">which may promote cancer cell survival. </w:t>
      </w:r>
      <w:r w:rsidRPr="00EF0394">
        <w:rPr>
          <w:rFonts w:ascii="Arial" w:eastAsia="Times New Roman" w:hAnsi="Arial" w:cs="Arial"/>
          <w:sz w:val="24"/>
          <w:szCs w:val="24"/>
          <w:shd w:val="clear" w:color="auto" w:fill="FFFFFF"/>
          <w:lang w:val="en"/>
        </w:rPr>
        <w:t xml:space="preserve">However, </w:t>
      </w:r>
      <w:r w:rsidR="006648CA" w:rsidRPr="00EF0394">
        <w:rPr>
          <w:rFonts w:ascii="Arial" w:eastAsia="Times New Roman" w:hAnsi="Arial" w:cs="Arial"/>
          <w:sz w:val="24"/>
          <w:szCs w:val="24"/>
          <w:shd w:val="clear" w:color="auto" w:fill="FFFFFF"/>
          <w:lang w:val="en"/>
        </w:rPr>
        <w:t xml:space="preserve">the </w:t>
      </w:r>
      <w:r w:rsidRPr="00EF0394">
        <w:rPr>
          <w:rFonts w:ascii="Arial" w:eastAsia="Times New Roman" w:hAnsi="Arial" w:cs="Arial"/>
          <w:sz w:val="24"/>
          <w:szCs w:val="24"/>
          <w:shd w:val="clear" w:color="auto" w:fill="FFFFFF"/>
          <w:lang w:val="en"/>
        </w:rPr>
        <w:t xml:space="preserve">upregulation of metabolites such as spermidine and pseudouridine </w:t>
      </w:r>
      <w:r w:rsidR="00DB0931" w:rsidRPr="00EF0394">
        <w:rPr>
          <w:rFonts w:ascii="Arial" w:eastAsia="Times New Roman" w:hAnsi="Arial" w:cs="Arial"/>
          <w:sz w:val="24"/>
          <w:szCs w:val="24"/>
          <w:shd w:val="clear" w:color="auto" w:fill="FFFFFF"/>
          <w:lang w:val="en"/>
        </w:rPr>
        <w:t xml:space="preserve">by these mutants </w:t>
      </w:r>
      <w:r w:rsidRPr="00EF0394">
        <w:rPr>
          <w:rFonts w:ascii="Arial" w:eastAsia="Times New Roman" w:hAnsi="Arial" w:cs="Arial"/>
          <w:sz w:val="24"/>
          <w:szCs w:val="24"/>
          <w:shd w:val="clear" w:color="auto" w:fill="FFFFFF"/>
          <w:lang w:val="en"/>
        </w:rPr>
        <w:t>highlight</w:t>
      </w:r>
      <w:r w:rsidR="006648CA" w:rsidRPr="00EF0394">
        <w:rPr>
          <w:rFonts w:ascii="Arial" w:eastAsia="Times New Roman" w:hAnsi="Arial" w:cs="Arial"/>
          <w:sz w:val="24"/>
          <w:szCs w:val="24"/>
          <w:shd w:val="clear" w:color="auto" w:fill="FFFFFF"/>
          <w:lang w:val="en"/>
        </w:rPr>
        <w:t>s</w:t>
      </w:r>
      <w:r w:rsidRPr="00EF0394">
        <w:rPr>
          <w:rFonts w:ascii="Arial" w:eastAsia="Times New Roman" w:hAnsi="Arial" w:cs="Arial"/>
          <w:sz w:val="24"/>
          <w:szCs w:val="24"/>
          <w:shd w:val="clear" w:color="auto" w:fill="FFFFFF"/>
          <w:lang w:val="en"/>
        </w:rPr>
        <w:t xml:space="preserve"> their roles in promoting prostate cancer. In conclusion, this study </w:t>
      </w:r>
      <w:r w:rsidR="00D74DEA" w:rsidRPr="00EF0394">
        <w:rPr>
          <w:rFonts w:ascii="Arial" w:eastAsia="Times New Roman" w:hAnsi="Arial" w:cs="Arial"/>
          <w:sz w:val="24"/>
          <w:szCs w:val="24"/>
          <w:shd w:val="clear" w:color="auto" w:fill="FFFFFF"/>
          <w:lang w:val="en"/>
        </w:rPr>
        <w:t xml:space="preserve">showed </w:t>
      </w:r>
      <w:r w:rsidR="00D74DEA" w:rsidRPr="00EF0394">
        <w:rPr>
          <w:rFonts w:ascii="Arial" w:eastAsia="Times New Roman" w:hAnsi="Arial" w:cs="Arial"/>
          <w:shd w:val="clear" w:color="auto" w:fill="FFFFFF"/>
        </w:rPr>
        <w:t>the metabolic alterations driven by TP53-R175H &amp; R273H in prostate cancer cells</w:t>
      </w:r>
      <w:r w:rsidR="00A06CDD" w:rsidRPr="00EF0394">
        <w:rPr>
          <w:rFonts w:ascii="Arial" w:eastAsia="Times New Roman" w:hAnsi="Arial" w:cs="Arial"/>
          <w:shd w:val="clear" w:color="auto" w:fill="FFFFFF"/>
        </w:rPr>
        <w:t>,</w:t>
      </w:r>
      <w:r w:rsidR="00D74DEA" w:rsidRPr="00EF0394">
        <w:rPr>
          <w:rFonts w:ascii="Arial" w:eastAsia="Times New Roman" w:hAnsi="Arial" w:cs="Arial"/>
          <w:shd w:val="clear" w:color="auto" w:fill="FFFFFF"/>
        </w:rPr>
        <w:t xml:space="preserve"> which could provide therapeutic benefits. </w:t>
      </w:r>
    </w:p>
    <w:p w14:paraId="28F5CCEF" w14:textId="104317CA" w:rsidR="008A4794" w:rsidRPr="00EF0394" w:rsidRDefault="008A4794" w:rsidP="00203A84">
      <w:pPr>
        <w:spacing w:after="0" w:line="240" w:lineRule="auto"/>
        <w:jc w:val="both"/>
        <w:rPr>
          <w:rFonts w:ascii="Arial" w:eastAsia="Times New Roman" w:hAnsi="Arial" w:cs="Arial"/>
          <w:b/>
          <w:bCs/>
          <w:sz w:val="24"/>
          <w:szCs w:val="24"/>
          <w:shd w:val="clear" w:color="auto" w:fill="FFFFFF"/>
          <w:lang w:val="en"/>
        </w:rPr>
      </w:pPr>
      <w:r w:rsidRPr="00EF0394">
        <w:rPr>
          <w:rFonts w:ascii="Arial" w:hAnsi="Arial" w:cs="Arial"/>
          <w:b/>
          <w:bCs/>
          <w:sz w:val="24"/>
          <w:szCs w:val="24"/>
        </w:rPr>
        <w:t xml:space="preserve">Abbreviations  </w:t>
      </w:r>
    </w:p>
    <w:p w14:paraId="2FD188C4" w14:textId="1AAA2D58" w:rsidR="000D1D17" w:rsidRPr="00EF0394" w:rsidRDefault="000D1D17" w:rsidP="00203A84">
      <w:pPr>
        <w:spacing w:after="0" w:line="240" w:lineRule="auto"/>
        <w:jc w:val="both"/>
        <w:rPr>
          <w:rFonts w:ascii="Arial" w:hAnsi="Arial" w:cs="Arial"/>
          <w:sz w:val="24"/>
          <w:szCs w:val="24"/>
        </w:rPr>
      </w:pPr>
      <w:r w:rsidRPr="00EF0394">
        <w:rPr>
          <w:rFonts w:ascii="Arial" w:hAnsi="Arial" w:cs="Arial"/>
          <w:sz w:val="24"/>
          <w:szCs w:val="24"/>
        </w:rPr>
        <w:t>TP53:</w:t>
      </w:r>
      <w:r w:rsidR="00203A84" w:rsidRPr="00EF0394">
        <w:rPr>
          <w:rFonts w:ascii="Arial" w:hAnsi="Arial" w:cs="Arial"/>
          <w:sz w:val="24"/>
          <w:szCs w:val="24"/>
        </w:rPr>
        <w:t xml:space="preserve"> </w:t>
      </w:r>
      <w:r w:rsidR="00393B10" w:rsidRPr="00EF0394">
        <w:rPr>
          <w:rFonts w:ascii="Arial" w:hAnsi="Arial" w:cs="Arial"/>
          <w:sz w:val="24"/>
          <w:szCs w:val="24"/>
        </w:rPr>
        <w:t>Tumor suppressor protein 53</w:t>
      </w:r>
      <w:r w:rsidRPr="00EF0394">
        <w:rPr>
          <w:rFonts w:ascii="Arial" w:hAnsi="Arial" w:cs="Arial"/>
          <w:sz w:val="24"/>
          <w:szCs w:val="24"/>
        </w:rPr>
        <w:t xml:space="preserve">   </w:t>
      </w:r>
    </w:p>
    <w:p w14:paraId="315AE41D" w14:textId="36173D16" w:rsidR="00E45B95" w:rsidRPr="00EF0394" w:rsidRDefault="00E45B95" w:rsidP="00203A84">
      <w:pPr>
        <w:spacing w:after="0" w:line="240" w:lineRule="auto"/>
        <w:jc w:val="both"/>
        <w:rPr>
          <w:rFonts w:ascii="Arial" w:hAnsi="Arial" w:cs="Arial"/>
          <w:sz w:val="24"/>
          <w:szCs w:val="24"/>
        </w:rPr>
      </w:pPr>
      <w:r w:rsidRPr="00EF0394">
        <w:rPr>
          <w:rFonts w:ascii="Arial" w:hAnsi="Arial" w:cs="Arial"/>
          <w:sz w:val="24"/>
          <w:szCs w:val="24"/>
        </w:rPr>
        <w:t xml:space="preserve">PC: </w:t>
      </w:r>
      <w:r w:rsidR="00203A84" w:rsidRPr="00EF0394">
        <w:rPr>
          <w:rFonts w:ascii="Arial" w:hAnsi="Arial" w:cs="Arial"/>
          <w:sz w:val="24"/>
          <w:szCs w:val="24"/>
        </w:rPr>
        <w:t xml:space="preserve">    </w:t>
      </w:r>
      <w:r w:rsidRPr="00EF0394">
        <w:rPr>
          <w:rFonts w:ascii="Arial" w:hAnsi="Arial" w:cs="Arial"/>
          <w:sz w:val="24"/>
          <w:szCs w:val="24"/>
        </w:rPr>
        <w:t xml:space="preserve">Prostate Cancer </w:t>
      </w:r>
    </w:p>
    <w:p w14:paraId="53E510B8" w14:textId="3F7AACF8" w:rsidR="00E45B95" w:rsidRPr="00EF0394" w:rsidRDefault="00E45B95" w:rsidP="00203A84">
      <w:pPr>
        <w:spacing w:after="0" w:line="240" w:lineRule="auto"/>
        <w:jc w:val="both"/>
        <w:rPr>
          <w:rFonts w:ascii="Arial" w:hAnsi="Arial" w:cs="Arial"/>
          <w:sz w:val="24"/>
          <w:szCs w:val="24"/>
        </w:rPr>
      </w:pPr>
      <w:r w:rsidRPr="00EF0394">
        <w:rPr>
          <w:rFonts w:ascii="Arial" w:hAnsi="Arial" w:cs="Arial"/>
          <w:sz w:val="24"/>
          <w:szCs w:val="24"/>
        </w:rPr>
        <w:t>CRPC:</w:t>
      </w:r>
      <w:r w:rsidR="00203A84" w:rsidRPr="00EF0394">
        <w:rPr>
          <w:rFonts w:ascii="Arial" w:hAnsi="Arial" w:cs="Arial"/>
          <w:sz w:val="24"/>
          <w:szCs w:val="24"/>
        </w:rPr>
        <w:t xml:space="preserve"> </w:t>
      </w:r>
      <w:r w:rsidRPr="00EF0394">
        <w:rPr>
          <w:rFonts w:ascii="Arial" w:hAnsi="Arial" w:cs="Arial"/>
          <w:sz w:val="24"/>
          <w:szCs w:val="24"/>
        </w:rPr>
        <w:t xml:space="preserve">Castration Resistance Prostate Cancer </w:t>
      </w:r>
    </w:p>
    <w:p w14:paraId="3D604427" w14:textId="3018B8EA" w:rsidR="00393B10" w:rsidRPr="00EF0394" w:rsidRDefault="00393B10" w:rsidP="00203A84">
      <w:pPr>
        <w:spacing w:after="0" w:line="240" w:lineRule="auto"/>
        <w:jc w:val="both"/>
        <w:rPr>
          <w:rFonts w:ascii="Arial" w:hAnsi="Arial" w:cs="Arial"/>
          <w:sz w:val="24"/>
          <w:szCs w:val="24"/>
        </w:rPr>
      </w:pPr>
      <w:r w:rsidRPr="00EF0394">
        <w:rPr>
          <w:rFonts w:ascii="Arial" w:hAnsi="Arial" w:cs="Arial"/>
          <w:sz w:val="24"/>
          <w:szCs w:val="24"/>
        </w:rPr>
        <w:t xml:space="preserve">KO:  </w:t>
      </w:r>
      <w:r w:rsidR="00E45B95" w:rsidRPr="00EF0394">
        <w:rPr>
          <w:rFonts w:ascii="Arial" w:hAnsi="Arial" w:cs="Arial"/>
          <w:sz w:val="24"/>
          <w:szCs w:val="24"/>
        </w:rPr>
        <w:t xml:space="preserve">   </w:t>
      </w:r>
      <w:r w:rsidRPr="00EF0394">
        <w:rPr>
          <w:rFonts w:ascii="Arial" w:hAnsi="Arial" w:cs="Arial"/>
          <w:sz w:val="24"/>
          <w:szCs w:val="24"/>
        </w:rPr>
        <w:t>Knockout</w:t>
      </w:r>
    </w:p>
    <w:p w14:paraId="53C8946C" w14:textId="79A7A959" w:rsidR="00203A84" w:rsidRPr="00EF0394" w:rsidRDefault="00393B10" w:rsidP="00203A84">
      <w:pPr>
        <w:spacing w:line="240" w:lineRule="auto"/>
        <w:jc w:val="both"/>
        <w:rPr>
          <w:rFonts w:ascii="Arial" w:hAnsi="Arial" w:cs="Arial"/>
          <w:sz w:val="24"/>
          <w:szCs w:val="24"/>
        </w:rPr>
      </w:pPr>
      <w:r w:rsidRPr="00EF0394">
        <w:rPr>
          <w:rFonts w:ascii="Arial" w:hAnsi="Arial" w:cs="Arial"/>
          <w:sz w:val="24"/>
          <w:szCs w:val="24"/>
        </w:rPr>
        <w:t xml:space="preserve">GFP:  </w:t>
      </w:r>
      <w:r w:rsidR="00E45B95" w:rsidRPr="00EF0394">
        <w:rPr>
          <w:rFonts w:ascii="Arial" w:hAnsi="Arial" w:cs="Arial"/>
          <w:sz w:val="24"/>
          <w:szCs w:val="24"/>
        </w:rPr>
        <w:t xml:space="preserve"> </w:t>
      </w:r>
      <w:r w:rsidRPr="00EF0394">
        <w:rPr>
          <w:rFonts w:ascii="Arial" w:hAnsi="Arial" w:cs="Arial"/>
          <w:sz w:val="24"/>
          <w:szCs w:val="24"/>
        </w:rPr>
        <w:t xml:space="preserve">Green fluorescent protein </w:t>
      </w:r>
    </w:p>
    <w:p w14:paraId="7137C4CD" w14:textId="604A7644" w:rsidR="00393B10" w:rsidRPr="00EF0394" w:rsidRDefault="00393B10" w:rsidP="00203A84">
      <w:pPr>
        <w:spacing w:line="240" w:lineRule="auto"/>
        <w:jc w:val="both"/>
        <w:rPr>
          <w:rFonts w:ascii="Arial" w:hAnsi="Arial" w:cs="Arial"/>
          <w:sz w:val="24"/>
          <w:szCs w:val="24"/>
        </w:rPr>
      </w:pPr>
      <w:r w:rsidRPr="00EF0394">
        <w:rPr>
          <w:rFonts w:ascii="Arial" w:hAnsi="Arial" w:cs="Arial"/>
          <w:sz w:val="24"/>
          <w:szCs w:val="24"/>
        </w:rPr>
        <w:t xml:space="preserve">GAP: </w:t>
      </w:r>
      <w:r w:rsidR="00E45B95" w:rsidRPr="00EF0394">
        <w:rPr>
          <w:rFonts w:ascii="Arial" w:hAnsi="Arial" w:cs="Arial"/>
          <w:sz w:val="24"/>
          <w:szCs w:val="24"/>
        </w:rPr>
        <w:t xml:space="preserve"> </w:t>
      </w:r>
      <w:r w:rsidRPr="00EF0394">
        <w:rPr>
          <w:rFonts w:ascii="Arial" w:hAnsi="Arial" w:cs="Arial"/>
          <w:sz w:val="24"/>
          <w:szCs w:val="24"/>
        </w:rPr>
        <w:t xml:space="preserve">Glyceraldehyde-3-phosphate </w:t>
      </w:r>
    </w:p>
    <w:p w14:paraId="5D8B6086" w14:textId="4F69F6CB" w:rsidR="00393B10" w:rsidRPr="00EF0394" w:rsidRDefault="00393B10" w:rsidP="00203A84">
      <w:pPr>
        <w:spacing w:line="240" w:lineRule="auto"/>
        <w:jc w:val="both"/>
        <w:rPr>
          <w:rFonts w:ascii="Arial" w:hAnsi="Arial" w:cs="Arial"/>
          <w:sz w:val="24"/>
          <w:szCs w:val="24"/>
        </w:rPr>
      </w:pPr>
      <w:r w:rsidRPr="00EF0394">
        <w:rPr>
          <w:rFonts w:ascii="Arial" w:hAnsi="Arial" w:cs="Arial"/>
          <w:sz w:val="24"/>
          <w:szCs w:val="24"/>
        </w:rPr>
        <w:lastRenderedPageBreak/>
        <w:t xml:space="preserve">DHAP: Dihydroxy acetone phosphate </w:t>
      </w:r>
    </w:p>
    <w:p w14:paraId="2F2DAE60" w14:textId="50F2E1E7" w:rsidR="0001333A" w:rsidRPr="00127F1F" w:rsidRDefault="0001333A" w:rsidP="00203A84">
      <w:pPr>
        <w:spacing w:line="240" w:lineRule="auto"/>
        <w:jc w:val="both"/>
        <w:rPr>
          <w:rFonts w:ascii="Arial" w:hAnsi="Arial" w:cs="Arial"/>
          <w:sz w:val="24"/>
          <w:szCs w:val="24"/>
          <w:lang w:val="de-DE"/>
        </w:rPr>
      </w:pPr>
      <w:r w:rsidRPr="00127F1F">
        <w:rPr>
          <w:rFonts w:ascii="Arial" w:hAnsi="Arial" w:cs="Arial"/>
          <w:sz w:val="24"/>
          <w:szCs w:val="24"/>
          <w:lang w:val="de-DE"/>
        </w:rPr>
        <w:t xml:space="preserve">WT:     </w:t>
      </w:r>
      <w:r w:rsidR="00E45B95" w:rsidRPr="00127F1F">
        <w:rPr>
          <w:rFonts w:ascii="Arial" w:hAnsi="Arial" w:cs="Arial"/>
          <w:sz w:val="24"/>
          <w:szCs w:val="24"/>
          <w:lang w:val="de-DE"/>
        </w:rPr>
        <w:t xml:space="preserve">Wild-type </w:t>
      </w:r>
    </w:p>
    <w:p w14:paraId="7323E65D" w14:textId="0C886701" w:rsidR="00E45B95" w:rsidRPr="00127F1F" w:rsidRDefault="00E45B95" w:rsidP="00203A84">
      <w:pPr>
        <w:spacing w:line="240" w:lineRule="auto"/>
        <w:jc w:val="both"/>
        <w:rPr>
          <w:rFonts w:ascii="Arial" w:hAnsi="Arial" w:cs="Arial"/>
          <w:sz w:val="24"/>
          <w:szCs w:val="24"/>
          <w:lang w:val="de-DE"/>
        </w:rPr>
      </w:pPr>
      <w:r w:rsidRPr="00127F1F">
        <w:rPr>
          <w:rFonts w:ascii="Arial" w:hAnsi="Arial" w:cs="Arial"/>
          <w:sz w:val="24"/>
          <w:szCs w:val="24"/>
          <w:lang w:val="de-DE"/>
        </w:rPr>
        <w:t xml:space="preserve">ADT:   Androgen Deprivation Therapy </w:t>
      </w:r>
    </w:p>
    <w:p w14:paraId="0598B4B5" w14:textId="0A251EBB" w:rsidR="00E45B95" w:rsidRPr="00EF0394" w:rsidRDefault="00E45B95" w:rsidP="00203A84">
      <w:pPr>
        <w:spacing w:line="240" w:lineRule="auto"/>
        <w:jc w:val="both"/>
        <w:rPr>
          <w:rFonts w:ascii="Arial" w:hAnsi="Arial" w:cs="Arial"/>
          <w:sz w:val="24"/>
          <w:szCs w:val="24"/>
        </w:rPr>
      </w:pPr>
      <w:r w:rsidRPr="00EF0394">
        <w:rPr>
          <w:rFonts w:ascii="Arial" w:hAnsi="Arial" w:cs="Arial"/>
          <w:sz w:val="24"/>
          <w:szCs w:val="24"/>
        </w:rPr>
        <w:t>HEK293T: Human embryonic kidney 293T</w:t>
      </w:r>
      <w:r w:rsidR="00FF0B74" w:rsidRPr="00EF0394">
        <w:rPr>
          <w:rFonts w:ascii="Arial" w:hAnsi="Arial" w:cs="Arial"/>
          <w:sz w:val="24"/>
          <w:szCs w:val="24"/>
        </w:rPr>
        <w:t xml:space="preserve"> </w:t>
      </w:r>
    </w:p>
    <w:p w14:paraId="4D18A421" w14:textId="67E43CAB" w:rsidR="00FF0B74" w:rsidRPr="00EF0394" w:rsidRDefault="00FF0B74" w:rsidP="00203A84">
      <w:pPr>
        <w:spacing w:line="240" w:lineRule="auto"/>
        <w:jc w:val="both"/>
        <w:rPr>
          <w:rFonts w:ascii="Arial" w:hAnsi="Arial" w:cs="Arial"/>
          <w:sz w:val="24"/>
          <w:szCs w:val="24"/>
        </w:rPr>
      </w:pPr>
      <w:r w:rsidRPr="00EF0394">
        <w:rPr>
          <w:rFonts w:ascii="Arial" w:hAnsi="Arial" w:cs="Arial"/>
          <w:sz w:val="24"/>
          <w:szCs w:val="24"/>
        </w:rPr>
        <w:t>GOF:  Gain-of-function</w:t>
      </w:r>
    </w:p>
    <w:p w14:paraId="4A06E3F2" w14:textId="77777777" w:rsidR="00203A84" w:rsidRPr="00EF0394" w:rsidRDefault="008A4794" w:rsidP="00203A84">
      <w:pPr>
        <w:spacing w:line="240" w:lineRule="auto"/>
        <w:jc w:val="both"/>
        <w:rPr>
          <w:rFonts w:ascii="Arial" w:hAnsi="Arial" w:cs="Arial"/>
          <w:sz w:val="24"/>
          <w:szCs w:val="24"/>
        </w:rPr>
      </w:pPr>
      <w:r w:rsidRPr="00EF0394">
        <w:rPr>
          <w:rFonts w:ascii="Arial" w:hAnsi="Arial" w:cs="Arial"/>
          <w:b/>
          <w:bCs/>
          <w:sz w:val="24"/>
          <w:szCs w:val="24"/>
          <w:shd w:val="clear" w:color="auto" w:fill="FFFFFF"/>
        </w:rPr>
        <w:t>Ethics declarations</w:t>
      </w:r>
    </w:p>
    <w:p w14:paraId="47FEC214" w14:textId="2F0ABD24" w:rsidR="008A4794" w:rsidRPr="00EF0394" w:rsidRDefault="008A4794" w:rsidP="00203A84">
      <w:pPr>
        <w:spacing w:line="240" w:lineRule="auto"/>
        <w:jc w:val="both"/>
        <w:rPr>
          <w:rFonts w:ascii="Arial" w:hAnsi="Arial" w:cs="Arial"/>
          <w:sz w:val="24"/>
          <w:szCs w:val="24"/>
        </w:rPr>
      </w:pPr>
      <w:r w:rsidRPr="00EF0394">
        <w:rPr>
          <w:rFonts w:ascii="Arial" w:hAnsi="Arial" w:cs="Arial"/>
          <w:sz w:val="24"/>
          <w:szCs w:val="24"/>
          <w:shd w:val="clear" w:color="auto" w:fill="FFFFFF"/>
        </w:rPr>
        <w:t>Not applicable.</w:t>
      </w:r>
    </w:p>
    <w:p w14:paraId="22F2F3DF" w14:textId="77777777" w:rsidR="008A4794" w:rsidRPr="00EF0394" w:rsidRDefault="008A4794" w:rsidP="008A4794">
      <w:pPr>
        <w:shd w:val="clear" w:color="auto" w:fill="FFFFFF"/>
        <w:spacing w:after="0" w:line="360" w:lineRule="auto"/>
        <w:jc w:val="both"/>
        <w:rPr>
          <w:rFonts w:ascii="Arial" w:hAnsi="Arial" w:cs="Arial"/>
          <w:b/>
          <w:bCs/>
          <w:sz w:val="24"/>
          <w:szCs w:val="24"/>
          <w:shd w:val="clear" w:color="auto" w:fill="FFFFFF"/>
        </w:rPr>
      </w:pPr>
      <w:r w:rsidRPr="00EF0394">
        <w:rPr>
          <w:rFonts w:ascii="Arial" w:hAnsi="Arial" w:cs="Arial"/>
          <w:b/>
          <w:bCs/>
          <w:sz w:val="24"/>
          <w:szCs w:val="24"/>
          <w:shd w:val="clear" w:color="auto" w:fill="FFFFFF"/>
        </w:rPr>
        <w:t>Consent for publication</w:t>
      </w:r>
    </w:p>
    <w:p w14:paraId="5D828315" w14:textId="77777777" w:rsidR="008A4794" w:rsidRPr="00EF0394" w:rsidRDefault="008A4794" w:rsidP="008A4794">
      <w:pPr>
        <w:shd w:val="clear" w:color="auto" w:fill="FFFFFF"/>
        <w:spacing w:after="0" w:line="360" w:lineRule="auto"/>
        <w:jc w:val="both"/>
        <w:rPr>
          <w:rFonts w:ascii="Arial" w:hAnsi="Arial" w:cs="Arial"/>
          <w:sz w:val="24"/>
          <w:szCs w:val="24"/>
          <w:shd w:val="clear" w:color="auto" w:fill="FFFFFF"/>
        </w:rPr>
      </w:pPr>
      <w:r w:rsidRPr="00EF0394">
        <w:rPr>
          <w:rFonts w:ascii="Arial" w:hAnsi="Arial" w:cs="Arial"/>
          <w:sz w:val="24"/>
          <w:szCs w:val="24"/>
          <w:shd w:val="clear" w:color="auto" w:fill="FFFFFF"/>
        </w:rPr>
        <w:t>Not applicable.</w:t>
      </w:r>
    </w:p>
    <w:p w14:paraId="560BE7D4" w14:textId="77777777" w:rsidR="008A4794" w:rsidRPr="00EF0394" w:rsidRDefault="008A4794" w:rsidP="008A4794">
      <w:pPr>
        <w:spacing w:after="0" w:line="360" w:lineRule="auto"/>
        <w:jc w:val="both"/>
        <w:rPr>
          <w:rFonts w:ascii="Arial" w:hAnsi="Arial" w:cs="Arial"/>
          <w:b/>
          <w:bCs/>
          <w:sz w:val="24"/>
          <w:szCs w:val="24"/>
        </w:rPr>
      </w:pPr>
      <w:r w:rsidRPr="00EF0394">
        <w:rPr>
          <w:rFonts w:ascii="Arial" w:hAnsi="Arial" w:cs="Arial"/>
          <w:b/>
          <w:bCs/>
          <w:sz w:val="24"/>
          <w:szCs w:val="24"/>
        </w:rPr>
        <w:t>Availability of data and materials</w:t>
      </w:r>
    </w:p>
    <w:p w14:paraId="21C99F23" w14:textId="77777777" w:rsidR="008A4794" w:rsidRPr="00EF0394" w:rsidRDefault="008A4794" w:rsidP="008A4794">
      <w:pPr>
        <w:spacing w:after="0" w:line="360" w:lineRule="auto"/>
        <w:jc w:val="both"/>
        <w:rPr>
          <w:rFonts w:ascii="Arial" w:hAnsi="Arial" w:cs="Arial"/>
          <w:b/>
          <w:bCs/>
          <w:sz w:val="24"/>
          <w:szCs w:val="24"/>
        </w:rPr>
      </w:pPr>
      <w:r w:rsidRPr="00EF0394">
        <w:rPr>
          <w:rFonts w:ascii="Arial" w:hAnsi="Arial" w:cs="Arial"/>
          <w:b/>
          <w:bCs/>
          <w:sz w:val="24"/>
          <w:szCs w:val="24"/>
        </w:rPr>
        <w:t>Not applicable.</w:t>
      </w:r>
    </w:p>
    <w:p w14:paraId="639146D7" w14:textId="77777777" w:rsidR="00127F1F" w:rsidRDefault="00127F1F" w:rsidP="008A4794">
      <w:pPr>
        <w:spacing w:after="0" w:line="360" w:lineRule="auto"/>
        <w:jc w:val="both"/>
        <w:rPr>
          <w:rFonts w:ascii="Arial" w:eastAsia="Times New Roman" w:hAnsi="Arial" w:cs="Arial"/>
          <w:b/>
          <w:bCs/>
          <w:kern w:val="0"/>
          <w:sz w:val="24"/>
          <w:szCs w:val="24"/>
          <w:shd w:val="clear" w:color="auto" w:fill="FFFFFF"/>
          <w14:ligatures w14:val="none"/>
        </w:rPr>
      </w:pPr>
    </w:p>
    <w:p w14:paraId="7D2505F6" w14:textId="70681241" w:rsidR="00C578FA" w:rsidRPr="00EF0394" w:rsidRDefault="00304966" w:rsidP="008A4794">
      <w:pPr>
        <w:spacing w:after="0" w:line="360" w:lineRule="auto"/>
        <w:jc w:val="both"/>
        <w:rPr>
          <w:rFonts w:ascii="Arial" w:eastAsia="Times New Roman" w:hAnsi="Arial" w:cs="Arial"/>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t>References</w:t>
      </w:r>
    </w:p>
    <w:p w14:paraId="250CB138" w14:textId="77777777" w:rsidR="00734B5D" w:rsidRPr="00EF0394" w:rsidRDefault="00331529" w:rsidP="000878A2">
      <w:pPr>
        <w:pStyle w:val="Bibliography"/>
        <w:spacing w:line="240" w:lineRule="auto"/>
        <w:rPr>
          <w:rFonts w:ascii="Arial" w:hAnsi="Arial" w:cs="Arial"/>
          <w:sz w:val="24"/>
        </w:rPr>
      </w:pPr>
      <w:r w:rsidRPr="00EF0394">
        <w:rPr>
          <w:rFonts w:ascii="Arial" w:eastAsia="Times New Roman" w:hAnsi="Arial" w:cs="Arial"/>
          <w:b/>
          <w:bCs/>
          <w:kern w:val="0"/>
          <w:sz w:val="24"/>
          <w:szCs w:val="24"/>
          <w:shd w:val="clear" w:color="auto" w:fill="FFFFFF"/>
          <w14:ligatures w14:val="none"/>
        </w:rPr>
        <w:fldChar w:fldCharType="begin"/>
      </w:r>
      <w:r w:rsidRPr="00EF0394">
        <w:rPr>
          <w:rFonts w:ascii="Arial" w:eastAsia="Times New Roman" w:hAnsi="Arial" w:cs="Arial"/>
          <w:b/>
          <w:bCs/>
          <w:kern w:val="0"/>
          <w:sz w:val="24"/>
          <w:szCs w:val="24"/>
          <w:shd w:val="clear" w:color="auto" w:fill="FFFFFF"/>
          <w14:ligatures w14:val="none"/>
        </w:rPr>
        <w:instrText xml:space="preserve"> ADDIN ZOTERO_BIBL {"uncited":[],"omitted":[],"custom":[]} CSL_BIBLIOGRAPHY </w:instrText>
      </w:r>
      <w:r w:rsidRPr="00EF0394">
        <w:rPr>
          <w:rFonts w:ascii="Arial" w:eastAsia="Times New Roman" w:hAnsi="Arial" w:cs="Arial"/>
          <w:b/>
          <w:bCs/>
          <w:kern w:val="0"/>
          <w:sz w:val="24"/>
          <w:szCs w:val="24"/>
          <w:shd w:val="clear" w:color="auto" w:fill="FFFFFF"/>
          <w14:ligatures w14:val="none"/>
        </w:rPr>
        <w:fldChar w:fldCharType="separate"/>
      </w:r>
      <w:r w:rsidR="00734B5D" w:rsidRPr="00EF0394">
        <w:rPr>
          <w:rFonts w:ascii="Arial" w:hAnsi="Arial" w:cs="Arial"/>
          <w:sz w:val="24"/>
        </w:rPr>
        <w:t xml:space="preserve">Aghaei, M., Panjehpour, M., Karami-Tehrani, F., &amp; Salami, S. (2011). Molecular mechanisms of A3 adenosine receptor-induced G1 cell cycle arrest and apoptosis in androgen-dependent and independent prostate cancer cell lines: Involvement of intrinsic pathway. </w:t>
      </w:r>
      <w:r w:rsidR="00734B5D" w:rsidRPr="00EF0394">
        <w:rPr>
          <w:rFonts w:ascii="Arial" w:hAnsi="Arial" w:cs="Arial"/>
          <w:i/>
          <w:iCs/>
          <w:sz w:val="24"/>
        </w:rPr>
        <w:t>Journal of Cancer Research and Clinical Oncology</w:t>
      </w:r>
      <w:r w:rsidR="00734B5D" w:rsidRPr="00EF0394">
        <w:rPr>
          <w:rFonts w:ascii="Arial" w:hAnsi="Arial" w:cs="Arial"/>
          <w:sz w:val="24"/>
        </w:rPr>
        <w:t xml:space="preserve">, </w:t>
      </w:r>
      <w:r w:rsidR="00734B5D" w:rsidRPr="00EF0394">
        <w:rPr>
          <w:rFonts w:ascii="Arial" w:hAnsi="Arial" w:cs="Arial"/>
          <w:i/>
          <w:iCs/>
          <w:sz w:val="24"/>
        </w:rPr>
        <w:t>137</w:t>
      </w:r>
      <w:r w:rsidR="00734B5D" w:rsidRPr="00EF0394">
        <w:rPr>
          <w:rFonts w:ascii="Arial" w:hAnsi="Arial" w:cs="Arial"/>
          <w:sz w:val="24"/>
        </w:rPr>
        <w:t>(10), 1511–1523. https://doi.org/10.1007/s00432-011-1031-z</w:t>
      </w:r>
    </w:p>
    <w:p w14:paraId="72F77CCB"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Ahmad, F. (2021). </w:t>
      </w:r>
      <w:r w:rsidRPr="00EF0394">
        <w:rPr>
          <w:rFonts w:ascii="Arial" w:hAnsi="Arial" w:cs="Arial"/>
          <w:i/>
          <w:iCs/>
          <w:sz w:val="24"/>
        </w:rPr>
        <w:t>Metabolic reprogramming in prostate cancer.</w:t>
      </w:r>
      <w:r w:rsidRPr="00EF0394">
        <w:rPr>
          <w:rFonts w:ascii="Arial" w:hAnsi="Arial" w:cs="Arial"/>
          <w:sz w:val="24"/>
        </w:rPr>
        <w:t xml:space="preserve"> </w:t>
      </w:r>
      <w:r w:rsidRPr="00EF0394">
        <w:rPr>
          <w:rFonts w:ascii="Arial" w:hAnsi="Arial" w:cs="Arial"/>
          <w:i/>
          <w:iCs/>
          <w:sz w:val="24"/>
        </w:rPr>
        <w:t>125</w:t>
      </w:r>
      <w:r w:rsidRPr="00EF0394">
        <w:rPr>
          <w:rFonts w:ascii="Arial" w:hAnsi="Arial" w:cs="Arial"/>
          <w:sz w:val="24"/>
        </w:rPr>
        <w:t>, 1185-1196.</w:t>
      </w:r>
    </w:p>
    <w:p w14:paraId="1B7B7494"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Bentrad, V. V., Gogol, S. V., Zaletok, S. P., Vitruk, Y. V., Stakhovskyi, E. O., &amp; Grechko, B. O. (2019). Urinary spermine level as novel additional diagnostic marker of prostate cancer. </w:t>
      </w:r>
      <w:r w:rsidRPr="00EF0394">
        <w:rPr>
          <w:rFonts w:ascii="Arial" w:hAnsi="Arial" w:cs="Arial"/>
          <w:i/>
          <w:iCs/>
          <w:sz w:val="24"/>
        </w:rPr>
        <w:t>Annals of Oncology</w:t>
      </w:r>
      <w:r w:rsidRPr="00EF0394">
        <w:rPr>
          <w:rFonts w:ascii="Arial" w:hAnsi="Arial" w:cs="Arial"/>
          <w:sz w:val="24"/>
        </w:rPr>
        <w:t xml:space="preserve">, </w:t>
      </w:r>
      <w:r w:rsidRPr="00EF0394">
        <w:rPr>
          <w:rFonts w:ascii="Arial" w:hAnsi="Arial" w:cs="Arial"/>
          <w:i/>
          <w:iCs/>
          <w:sz w:val="24"/>
        </w:rPr>
        <w:t>30</w:t>
      </w:r>
      <w:r w:rsidRPr="00EF0394">
        <w:rPr>
          <w:rFonts w:ascii="Arial" w:hAnsi="Arial" w:cs="Arial"/>
          <w:sz w:val="24"/>
        </w:rPr>
        <w:t>, vi123. https://doi.org/10.1093/annonc/mdz343.023</w:t>
      </w:r>
    </w:p>
    <w:p w14:paraId="6A341CEB"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Chavez-Perez, V. A., Strasberg–Rieber, M., &amp; Rieber, M. (2011). Metabolic utilization of exogenous pyruvate by mutant p53 (R175H) human melanoma cells promotes survival under glucose depletion. </w:t>
      </w:r>
      <w:r w:rsidRPr="00EF0394">
        <w:rPr>
          <w:rFonts w:ascii="Arial" w:hAnsi="Arial" w:cs="Arial"/>
          <w:i/>
          <w:iCs/>
          <w:sz w:val="24"/>
        </w:rPr>
        <w:t>Cancer Biology &amp; Therapy</w:t>
      </w:r>
      <w:r w:rsidRPr="00EF0394">
        <w:rPr>
          <w:rFonts w:ascii="Arial" w:hAnsi="Arial" w:cs="Arial"/>
          <w:sz w:val="24"/>
        </w:rPr>
        <w:t xml:space="preserve">, </w:t>
      </w:r>
      <w:r w:rsidRPr="00EF0394">
        <w:rPr>
          <w:rFonts w:ascii="Arial" w:hAnsi="Arial" w:cs="Arial"/>
          <w:i/>
          <w:iCs/>
          <w:sz w:val="24"/>
        </w:rPr>
        <w:t>12</w:t>
      </w:r>
      <w:r w:rsidRPr="00EF0394">
        <w:rPr>
          <w:rFonts w:ascii="Arial" w:hAnsi="Arial" w:cs="Arial"/>
          <w:sz w:val="24"/>
        </w:rPr>
        <w:t>(7), 647–656. https://doi.org/10.4161/cbt.12.7.16566</w:t>
      </w:r>
    </w:p>
    <w:p w14:paraId="6C464453"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Cordani, M., Butera, G., Pacchiana, R., Masetto, F., Mullappilly, N., Riganti, C., &amp; Donadelli, M. (2020). Mutant p53-Associated Molecular Mechanisms of ROS Regulation in Cancer Cells. </w:t>
      </w:r>
      <w:r w:rsidRPr="00EF0394">
        <w:rPr>
          <w:rFonts w:ascii="Arial" w:hAnsi="Arial" w:cs="Arial"/>
          <w:i/>
          <w:iCs/>
          <w:sz w:val="24"/>
        </w:rPr>
        <w:t>Biomolecules</w:t>
      </w:r>
      <w:r w:rsidRPr="00EF0394">
        <w:rPr>
          <w:rFonts w:ascii="Arial" w:hAnsi="Arial" w:cs="Arial"/>
          <w:sz w:val="24"/>
        </w:rPr>
        <w:t xml:space="preserve">, </w:t>
      </w:r>
      <w:r w:rsidRPr="00EF0394">
        <w:rPr>
          <w:rFonts w:ascii="Arial" w:hAnsi="Arial" w:cs="Arial"/>
          <w:i/>
          <w:iCs/>
          <w:sz w:val="24"/>
        </w:rPr>
        <w:t>10</w:t>
      </w:r>
      <w:r w:rsidRPr="00EF0394">
        <w:rPr>
          <w:rFonts w:ascii="Arial" w:hAnsi="Arial" w:cs="Arial"/>
          <w:sz w:val="24"/>
        </w:rPr>
        <w:t>(3), 361. https://doi.org/10.3390/biom10030361</w:t>
      </w:r>
    </w:p>
    <w:p w14:paraId="5EB82600"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De Laere, B., Oeyen, S., Mayrhofer, M., Whitington, T., van Dam, P.-J., Van Oyen, P., Ghysel, C., Ampe, J., Ost, P., Demey, W., Hoekx, L., Schrijvers, D., Brouwers, B., Lybaert, W., Everaert, E. G., De Maeseneer, D., Strijbos, M., Bols, A., Fransis, K., … Dirix, L. Y. (2019). </w:t>
      </w:r>
      <w:r w:rsidRPr="00EF0394">
        <w:rPr>
          <w:rFonts w:ascii="Arial" w:hAnsi="Arial" w:cs="Arial"/>
          <w:i/>
          <w:iCs/>
          <w:sz w:val="24"/>
        </w:rPr>
        <w:t>TP53</w:t>
      </w:r>
      <w:r w:rsidRPr="00EF0394">
        <w:rPr>
          <w:rFonts w:ascii="Arial" w:hAnsi="Arial" w:cs="Arial"/>
          <w:sz w:val="24"/>
        </w:rPr>
        <w:t xml:space="preserve"> Outperforms Other Androgen Receptor Biomarkers to Predict Abiraterone or Enzalutamide Outcome in Metastatic Castration-Resistant Prostate Cancer. </w:t>
      </w:r>
      <w:r w:rsidRPr="00EF0394">
        <w:rPr>
          <w:rFonts w:ascii="Arial" w:hAnsi="Arial" w:cs="Arial"/>
          <w:i/>
          <w:iCs/>
          <w:sz w:val="24"/>
        </w:rPr>
        <w:t>Clinical Cancer Research</w:t>
      </w:r>
      <w:r w:rsidRPr="00EF0394">
        <w:rPr>
          <w:rFonts w:ascii="Arial" w:hAnsi="Arial" w:cs="Arial"/>
          <w:sz w:val="24"/>
        </w:rPr>
        <w:t xml:space="preserve">, </w:t>
      </w:r>
      <w:r w:rsidRPr="00EF0394">
        <w:rPr>
          <w:rFonts w:ascii="Arial" w:hAnsi="Arial" w:cs="Arial"/>
          <w:i/>
          <w:iCs/>
          <w:sz w:val="24"/>
        </w:rPr>
        <w:t>25</w:t>
      </w:r>
      <w:r w:rsidRPr="00EF0394">
        <w:rPr>
          <w:rFonts w:ascii="Arial" w:hAnsi="Arial" w:cs="Arial"/>
          <w:sz w:val="24"/>
        </w:rPr>
        <w:t>(6), 1766–1773. https://doi.org/10.1158/1078-0432.CCR-18-1943</w:t>
      </w:r>
    </w:p>
    <w:p w14:paraId="5996C5F5"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Dong L, Z. R., Xue W, de Reijke TM, Pienta KJ. (2019). Metastatic prostate cancer remains incurable, why? </w:t>
      </w:r>
      <w:r w:rsidRPr="00EF0394">
        <w:rPr>
          <w:rFonts w:ascii="Arial" w:hAnsi="Arial" w:cs="Arial"/>
          <w:i/>
          <w:iCs/>
          <w:sz w:val="24"/>
        </w:rPr>
        <w:t>Asian J Urol.</w:t>
      </w:r>
      <w:r w:rsidRPr="00EF0394">
        <w:rPr>
          <w:rFonts w:ascii="Arial" w:hAnsi="Arial" w:cs="Arial"/>
          <w:sz w:val="24"/>
        </w:rPr>
        <w:t xml:space="preserve">, </w:t>
      </w:r>
      <w:r w:rsidRPr="00EF0394">
        <w:rPr>
          <w:rFonts w:ascii="Arial" w:hAnsi="Arial" w:cs="Arial"/>
          <w:i/>
          <w:iCs/>
          <w:sz w:val="24"/>
        </w:rPr>
        <w:t>6</w:t>
      </w:r>
      <w:r w:rsidRPr="00EF0394">
        <w:rPr>
          <w:rFonts w:ascii="Arial" w:hAnsi="Arial" w:cs="Arial"/>
          <w:sz w:val="24"/>
        </w:rPr>
        <w:t>(1), 26–41.</w:t>
      </w:r>
    </w:p>
    <w:p w14:paraId="083540CB"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Gupta, D. G., Varma, N., Kumar, A., Naseem, S., Sachdeva, M. U. S., Sreedharanunni, S., Binota, J., Bose, P., Khadwal, A., Malhotra, P., &amp; Varma, S. (2023). Genomic and proteomic characterization of Philadelphia</w:t>
      </w:r>
      <w:r w:rsidRPr="00EF0394">
        <w:rPr>
          <w:rFonts w:ascii="Cambria Math" w:hAnsi="Cambria Math" w:cs="Cambria Math"/>
          <w:sz w:val="24"/>
        </w:rPr>
        <w:t>‐</w:t>
      </w:r>
      <w:r w:rsidRPr="00EF0394">
        <w:rPr>
          <w:rFonts w:ascii="Arial" w:hAnsi="Arial" w:cs="Arial"/>
          <w:sz w:val="24"/>
        </w:rPr>
        <w:t>like B</w:t>
      </w:r>
      <w:r w:rsidRPr="00EF0394">
        <w:rPr>
          <w:rFonts w:ascii="Cambria Math" w:hAnsi="Cambria Math" w:cs="Cambria Math"/>
          <w:sz w:val="24"/>
        </w:rPr>
        <w:t>‐</w:t>
      </w:r>
      <w:r w:rsidRPr="00EF0394">
        <w:rPr>
          <w:rFonts w:ascii="Arial" w:hAnsi="Arial" w:cs="Arial"/>
          <w:sz w:val="24"/>
        </w:rPr>
        <w:lastRenderedPageBreak/>
        <w:t xml:space="preserve">lineage acute lymphoblastic leukemia: A report of Indian patients. </w:t>
      </w:r>
      <w:r w:rsidRPr="00EF0394">
        <w:rPr>
          <w:rFonts w:ascii="Arial" w:hAnsi="Arial" w:cs="Arial"/>
          <w:i/>
          <w:iCs/>
          <w:sz w:val="24"/>
        </w:rPr>
        <w:t>Cancer</w:t>
      </w:r>
      <w:r w:rsidRPr="00EF0394">
        <w:rPr>
          <w:rFonts w:ascii="Arial" w:hAnsi="Arial" w:cs="Arial"/>
          <w:sz w:val="24"/>
        </w:rPr>
        <w:t xml:space="preserve">, </w:t>
      </w:r>
      <w:r w:rsidRPr="00EF0394">
        <w:rPr>
          <w:rFonts w:ascii="Arial" w:hAnsi="Arial" w:cs="Arial"/>
          <w:i/>
          <w:iCs/>
          <w:sz w:val="24"/>
        </w:rPr>
        <w:t>129</w:t>
      </w:r>
      <w:r w:rsidRPr="00EF0394">
        <w:rPr>
          <w:rFonts w:ascii="Arial" w:hAnsi="Arial" w:cs="Arial"/>
          <w:sz w:val="24"/>
        </w:rPr>
        <w:t>(8), 1217–1226. https://doi.org/10.1002/cncr.34665</w:t>
      </w:r>
    </w:p>
    <w:p w14:paraId="7E0357BA"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Gupta, D. G., Varma, N., Sharma, P., Truica, M. I., Abdulkadir, S. A., Singh, P., Singh Sachdeva, M. U., Naseem, S., Siddiqui, M. R., Bose, P., Binota, J., Malhotra, P., Khadwal, A., Trehan, A., &amp; Varma, S. (2023). Hematological, clinical, immunophenotypic characterization, and treatment outcomes of prognostically significant genetic subtypes of B</w:t>
      </w:r>
      <w:r w:rsidRPr="00EF0394">
        <w:rPr>
          <w:rFonts w:ascii="Cambria Math" w:hAnsi="Cambria Math" w:cs="Cambria Math"/>
          <w:sz w:val="24"/>
        </w:rPr>
        <w:t>‐</w:t>
      </w:r>
      <w:r w:rsidRPr="00EF0394">
        <w:rPr>
          <w:rFonts w:ascii="Arial" w:hAnsi="Arial" w:cs="Arial"/>
          <w:sz w:val="24"/>
        </w:rPr>
        <w:t xml:space="preserve">lineage acute lymphoblastic leukemia: A report of 1021 patients from India. </w:t>
      </w:r>
      <w:r w:rsidRPr="00EF0394">
        <w:rPr>
          <w:rFonts w:ascii="Arial" w:hAnsi="Arial" w:cs="Arial"/>
          <w:i/>
          <w:iCs/>
          <w:sz w:val="24"/>
        </w:rPr>
        <w:t>Cancer</w:t>
      </w:r>
      <w:r w:rsidRPr="00EF0394">
        <w:rPr>
          <w:rFonts w:ascii="Arial" w:hAnsi="Arial" w:cs="Arial"/>
          <w:sz w:val="24"/>
        </w:rPr>
        <w:t xml:space="preserve">, </w:t>
      </w:r>
      <w:r w:rsidRPr="00EF0394">
        <w:rPr>
          <w:rFonts w:ascii="Arial" w:hAnsi="Arial" w:cs="Arial"/>
          <w:i/>
          <w:iCs/>
          <w:sz w:val="24"/>
        </w:rPr>
        <w:t>129</w:t>
      </w:r>
      <w:r w:rsidRPr="00EF0394">
        <w:rPr>
          <w:rFonts w:ascii="Arial" w:hAnsi="Arial" w:cs="Arial"/>
          <w:sz w:val="24"/>
        </w:rPr>
        <w:t>(21), 3390–3404. https://doi.org/10.1002/cncr.34957</w:t>
      </w:r>
    </w:p>
    <w:p w14:paraId="61496C4F"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Gupta, D. G., Varma, N., Sreedharanunni, S., Abdulkadir, S. A., Naseem, S., Sachdeva, M. U. S., Binota, J., Bose, P., Malhotra, P., Khadwal, A., &amp; Varma, S. (2023). ‘Evaluation of adverse prognostic gene alterations &amp;amp; MRD positivity in BCR::ABL1-like B-lineage acute lymphoblastic leukaemia patients, in a resource-constrained setting. </w:t>
      </w:r>
      <w:r w:rsidRPr="00EF0394">
        <w:rPr>
          <w:rFonts w:ascii="Arial" w:hAnsi="Arial" w:cs="Arial"/>
          <w:i/>
          <w:iCs/>
          <w:sz w:val="24"/>
        </w:rPr>
        <w:t>British Journal of Cancer</w:t>
      </w:r>
      <w:r w:rsidRPr="00EF0394">
        <w:rPr>
          <w:rFonts w:ascii="Arial" w:hAnsi="Arial" w:cs="Arial"/>
          <w:sz w:val="24"/>
        </w:rPr>
        <w:t xml:space="preserve">, </w:t>
      </w:r>
      <w:r w:rsidRPr="00EF0394">
        <w:rPr>
          <w:rFonts w:ascii="Arial" w:hAnsi="Arial" w:cs="Arial"/>
          <w:i/>
          <w:iCs/>
          <w:sz w:val="24"/>
        </w:rPr>
        <w:t>129</w:t>
      </w:r>
      <w:r w:rsidRPr="00EF0394">
        <w:rPr>
          <w:rFonts w:ascii="Arial" w:hAnsi="Arial" w:cs="Arial"/>
          <w:sz w:val="24"/>
        </w:rPr>
        <w:t>(1), 143–152. https://doi.org/10.1038/s41416-023-02294-y</w:t>
      </w:r>
    </w:p>
    <w:p w14:paraId="58CD08B6"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Harami-Papp, H., Pongor, L. S., Munkácsy, G., Horváth, G., Nagy, Á. M., Ambrus, A., Hauser, P., Szabó, A., Tretter, L., &amp; Győrffy, B. (2016). TP53 mutation hits energy metabolism and increases glycolysis in breast cancer. </w:t>
      </w:r>
      <w:r w:rsidRPr="00EF0394">
        <w:rPr>
          <w:rFonts w:ascii="Arial" w:hAnsi="Arial" w:cs="Arial"/>
          <w:i/>
          <w:iCs/>
          <w:sz w:val="24"/>
        </w:rPr>
        <w:t>Oncotarget</w:t>
      </w:r>
      <w:r w:rsidRPr="00EF0394">
        <w:rPr>
          <w:rFonts w:ascii="Arial" w:hAnsi="Arial" w:cs="Arial"/>
          <w:sz w:val="24"/>
        </w:rPr>
        <w:t xml:space="preserve">, </w:t>
      </w:r>
      <w:r w:rsidRPr="00EF0394">
        <w:rPr>
          <w:rFonts w:ascii="Arial" w:hAnsi="Arial" w:cs="Arial"/>
          <w:i/>
          <w:iCs/>
          <w:sz w:val="24"/>
        </w:rPr>
        <w:t>7</w:t>
      </w:r>
      <w:r w:rsidRPr="00EF0394">
        <w:rPr>
          <w:rFonts w:ascii="Arial" w:hAnsi="Arial" w:cs="Arial"/>
          <w:sz w:val="24"/>
        </w:rPr>
        <w:t>(41), 67183–67195. https://doi.org/10.18632/oncotarget.11594</w:t>
      </w:r>
    </w:p>
    <w:p w14:paraId="4CD40B2D"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Hayes, J. D., Dinkova-Kostova, A. T., &amp; Tew, K. D. (2020). Oxidative Stress in Cancer. </w:t>
      </w:r>
      <w:r w:rsidRPr="00EF0394">
        <w:rPr>
          <w:rFonts w:ascii="Arial" w:hAnsi="Arial" w:cs="Arial"/>
          <w:i/>
          <w:iCs/>
          <w:sz w:val="24"/>
        </w:rPr>
        <w:t>Cancer Cell</w:t>
      </w:r>
      <w:r w:rsidRPr="00EF0394">
        <w:rPr>
          <w:rFonts w:ascii="Arial" w:hAnsi="Arial" w:cs="Arial"/>
          <w:sz w:val="24"/>
        </w:rPr>
        <w:t xml:space="preserve">, </w:t>
      </w:r>
      <w:r w:rsidRPr="00EF0394">
        <w:rPr>
          <w:rFonts w:ascii="Arial" w:hAnsi="Arial" w:cs="Arial"/>
          <w:i/>
          <w:iCs/>
          <w:sz w:val="24"/>
        </w:rPr>
        <w:t>38</w:t>
      </w:r>
      <w:r w:rsidRPr="00EF0394">
        <w:rPr>
          <w:rFonts w:ascii="Arial" w:hAnsi="Arial" w:cs="Arial"/>
          <w:sz w:val="24"/>
        </w:rPr>
        <w:t>(2), 167–197. https://doi.org/10.1016/j.ccell.2020.06.001</w:t>
      </w:r>
    </w:p>
    <w:p w14:paraId="7DBDAE1C"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Ju, H.-Q., Lin, J.-F., Tian, T., Xie, D., &amp; Xu, R.-H. (2020). NADPH homeostasis in cancer: Functions, mechanisms and therapeutic implications. </w:t>
      </w:r>
      <w:r w:rsidRPr="00EF0394">
        <w:rPr>
          <w:rFonts w:ascii="Arial" w:hAnsi="Arial" w:cs="Arial"/>
          <w:i/>
          <w:iCs/>
          <w:sz w:val="24"/>
        </w:rPr>
        <w:t>Signal Transduction and Targeted Therapy</w:t>
      </w:r>
      <w:r w:rsidRPr="00EF0394">
        <w:rPr>
          <w:rFonts w:ascii="Arial" w:hAnsi="Arial" w:cs="Arial"/>
          <w:sz w:val="24"/>
        </w:rPr>
        <w:t xml:space="preserve">, </w:t>
      </w:r>
      <w:r w:rsidRPr="00EF0394">
        <w:rPr>
          <w:rFonts w:ascii="Arial" w:hAnsi="Arial" w:cs="Arial"/>
          <w:i/>
          <w:iCs/>
          <w:sz w:val="24"/>
        </w:rPr>
        <w:t>5</w:t>
      </w:r>
      <w:r w:rsidRPr="00EF0394">
        <w:rPr>
          <w:rFonts w:ascii="Arial" w:hAnsi="Arial" w:cs="Arial"/>
          <w:sz w:val="24"/>
        </w:rPr>
        <w:t>(1), 231. https://doi.org/10.1038/s41392-020-00326-0</w:t>
      </w:r>
    </w:p>
    <w:p w14:paraId="70CD7688"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Kalo, E., Kogan-Sakin, I., Solomon, H., Bar-Nathan, E., Shay, M., Shetzer, Y., Dekel, E., Goldfinger, N., Buganim, Y., Stambolsky, P., Goldstein, I., Madar, S., &amp; Rotter, V. (2012). Mutant p53R273H attenuates the expression of phase 2 detoxifying enzymes and promotes the survival of cells with high ROS levels. </w:t>
      </w:r>
      <w:r w:rsidRPr="00EF0394">
        <w:rPr>
          <w:rFonts w:ascii="Arial" w:hAnsi="Arial" w:cs="Arial"/>
          <w:i/>
          <w:iCs/>
          <w:sz w:val="24"/>
        </w:rPr>
        <w:t>Journal of Cell Science</w:t>
      </w:r>
      <w:r w:rsidRPr="00EF0394">
        <w:rPr>
          <w:rFonts w:ascii="Arial" w:hAnsi="Arial" w:cs="Arial"/>
          <w:sz w:val="24"/>
        </w:rPr>
        <w:t>. https://doi.org/10.1242/jcs.106815</w:t>
      </w:r>
    </w:p>
    <w:p w14:paraId="1549441B"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Kollareddy, M. D. E., Vallabhaneni, K. C. ,. </w:t>
      </w:r>
      <w:r w:rsidRPr="00127F1F">
        <w:rPr>
          <w:rFonts w:ascii="Arial" w:hAnsi="Arial" w:cs="Arial"/>
          <w:sz w:val="24"/>
          <w:lang w:val="de-DE"/>
        </w:rPr>
        <w:t xml:space="preserve">Chan, A. ,. Le T, &amp;. Chauhan, K. M. (2015). </w:t>
      </w:r>
      <w:r w:rsidRPr="00EF0394">
        <w:rPr>
          <w:rFonts w:ascii="Arial" w:hAnsi="Arial" w:cs="Arial"/>
          <w:sz w:val="24"/>
        </w:rPr>
        <w:t xml:space="preserve">Regulation of nucleotide metabolism by mutant p53 contributes to its gain-of-function activities. </w:t>
      </w:r>
      <w:r w:rsidRPr="00EF0394">
        <w:rPr>
          <w:rFonts w:ascii="Arial" w:hAnsi="Arial" w:cs="Arial"/>
          <w:i/>
          <w:iCs/>
          <w:sz w:val="24"/>
        </w:rPr>
        <w:t>Nat Commun.</w:t>
      </w:r>
      <w:r w:rsidRPr="00EF0394">
        <w:rPr>
          <w:rFonts w:ascii="Arial" w:hAnsi="Arial" w:cs="Arial"/>
          <w:sz w:val="24"/>
        </w:rPr>
        <w:t xml:space="preserve">, </w:t>
      </w:r>
      <w:r w:rsidRPr="00EF0394">
        <w:rPr>
          <w:rFonts w:ascii="Arial" w:hAnsi="Arial" w:cs="Arial"/>
          <w:i/>
          <w:iCs/>
          <w:sz w:val="24"/>
        </w:rPr>
        <w:t>6</w:t>
      </w:r>
      <w:r w:rsidRPr="00EF0394">
        <w:rPr>
          <w:rFonts w:ascii="Arial" w:hAnsi="Arial" w:cs="Arial"/>
          <w:sz w:val="24"/>
        </w:rPr>
        <w:t>, 7389.</w:t>
      </w:r>
    </w:p>
    <w:p w14:paraId="36C68DA9"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Liu, C., Zhu, Y. ,. Lou, W. ,. Nadiminty, N. ,. </w:t>
      </w:r>
      <w:r w:rsidRPr="00127F1F">
        <w:rPr>
          <w:rFonts w:ascii="Arial" w:hAnsi="Arial" w:cs="Arial"/>
          <w:sz w:val="24"/>
          <w:lang w:val="de-DE"/>
        </w:rPr>
        <w:t xml:space="preserve">Chen, X. ,. Zhou, Q, et al. </w:t>
      </w:r>
      <w:r w:rsidRPr="00EF0394">
        <w:rPr>
          <w:rFonts w:ascii="Arial" w:hAnsi="Arial" w:cs="Arial"/>
          <w:sz w:val="24"/>
        </w:rPr>
        <w:t xml:space="preserve">(2013). Functional p53 determines docetaxel sensitivity in prostate cancer cells. </w:t>
      </w:r>
      <w:r w:rsidRPr="00EF0394">
        <w:rPr>
          <w:rFonts w:ascii="Arial" w:hAnsi="Arial" w:cs="Arial"/>
          <w:i/>
          <w:iCs/>
          <w:sz w:val="24"/>
        </w:rPr>
        <w:t>Prostate.</w:t>
      </w:r>
      <w:r w:rsidRPr="00EF0394">
        <w:rPr>
          <w:rFonts w:ascii="Arial" w:hAnsi="Arial" w:cs="Arial"/>
          <w:sz w:val="24"/>
        </w:rPr>
        <w:t xml:space="preserve">, </w:t>
      </w:r>
      <w:r w:rsidRPr="00EF0394">
        <w:rPr>
          <w:rFonts w:ascii="Arial" w:hAnsi="Arial" w:cs="Arial"/>
          <w:i/>
          <w:iCs/>
          <w:sz w:val="24"/>
        </w:rPr>
        <w:t>73</w:t>
      </w:r>
      <w:r w:rsidRPr="00EF0394">
        <w:rPr>
          <w:rFonts w:ascii="Arial" w:hAnsi="Arial" w:cs="Arial"/>
          <w:sz w:val="24"/>
        </w:rPr>
        <w:t>(4), 418–427.</w:t>
      </w:r>
    </w:p>
    <w:p w14:paraId="7A355BAA"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Long, X. (2021). </w:t>
      </w:r>
      <w:r w:rsidRPr="00EF0394">
        <w:rPr>
          <w:rFonts w:ascii="Arial" w:hAnsi="Arial" w:cs="Arial"/>
          <w:i/>
          <w:iCs/>
          <w:sz w:val="24"/>
        </w:rPr>
        <w:t>TP53 Inhibited AR Signaling Promote Enzalutamide Resistance in LNCaP cell.</w:t>
      </w:r>
    </w:p>
    <w:p w14:paraId="6C0A8FB4"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Maksymiuk, A. W., Sitar, D. S., Ahmed, R., Cheng, B., Bach, H., Bagchi, R. A., Aroutiounova, N., Tappia, P. S., &amp; Ramjiawan, B. (2018). Spermidine/Spermine </w:t>
      </w:r>
      <w:r w:rsidRPr="00EF0394">
        <w:rPr>
          <w:rFonts w:ascii="Arial" w:hAnsi="Arial" w:cs="Arial"/>
          <w:i/>
          <w:iCs/>
          <w:sz w:val="24"/>
        </w:rPr>
        <w:t>N1</w:t>
      </w:r>
      <w:r w:rsidRPr="00EF0394">
        <w:rPr>
          <w:rFonts w:ascii="Arial" w:hAnsi="Arial" w:cs="Arial"/>
          <w:sz w:val="24"/>
        </w:rPr>
        <w:t xml:space="preserve"> -Acetyltransferase-1 as a Diagnostic Biomarker in Human Cancer. </w:t>
      </w:r>
      <w:r w:rsidRPr="00EF0394">
        <w:rPr>
          <w:rFonts w:ascii="Arial" w:hAnsi="Arial" w:cs="Arial"/>
          <w:i/>
          <w:iCs/>
          <w:sz w:val="24"/>
        </w:rPr>
        <w:t>Future Science OA</w:t>
      </w:r>
      <w:r w:rsidRPr="00EF0394">
        <w:rPr>
          <w:rFonts w:ascii="Arial" w:hAnsi="Arial" w:cs="Arial"/>
          <w:sz w:val="24"/>
        </w:rPr>
        <w:t xml:space="preserve">, </w:t>
      </w:r>
      <w:r w:rsidRPr="00EF0394">
        <w:rPr>
          <w:rFonts w:ascii="Arial" w:hAnsi="Arial" w:cs="Arial"/>
          <w:i/>
          <w:iCs/>
          <w:sz w:val="24"/>
        </w:rPr>
        <w:t>4</w:t>
      </w:r>
      <w:r w:rsidRPr="00EF0394">
        <w:rPr>
          <w:rFonts w:ascii="Arial" w:hAnsi="Arial" w:cs="Arial"/>
          <w:sz w:val="24"/>
        </w:rPr>
        <w:t>(10). https://doi.org/10.4155/fsoa-2018-0077</w:t>
      </w:r>
    </w:p>
    <w:p w14:paraId="6C37CB79"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Mantovani, F., Collavin, L., &amp; Del Sal, G. (2019). Mutant p53 as a guardian of the cancer cell. </w:t>
      </w:r>
      <w:r w:rsidRPr="00EF0394">
        <w:rPr>
          <w:rFonts w:ascii="Arial" w:hAnsi="Arial" w:cs="Arial"/>
          <w:i/>
          <w:iCs/>
          <w:sz w:val="24"/>
        </w:rPr>
        <w:t>Cell Death &amp; Differentiation</w:t>
      </w:r>
      <w:r w:rsidRPr="00EF0394">
        <w:rPr>
          <w:rFonts w:ascii="Arial" w:hAnsi="Arial" w:cs="Arial"/>
          <w:sz w:val="24"/>
        </w:rPr>
        <w:t xml:space="preserve">, </w:t>
      </w:r>
      <w:r w:rsidRPr="00EF0394">
        <w:rPr>
          <w:rFonts w:ascii="Arial" w:hAnsi="Arial" w:cs="Arial"/>
          <w:i/>
          <w:iCs/>
          <w:sz w:val="24"/>
        </w:rPr>
        <w:t>26</w:t>
      </w:r>
      <w:r w:rsidRPr="00EF0394">
        <w:rPr>
          <w:rFonts w:ascii="Arial" w:hAnsi="Arial" w:cs="Arial"/>
          <w:sz w:val="24"/>
        </w:rPr>
        <w:t>(2), 199–212. https://doi.org/10.1038/s41418-018-0246-9</w:t>
      </w:r>
    </w:p>
    <w:p w14:paraId="3385CE21" w14:textId="77777777" w:rsidR="00734B5D" w:rsidRPr="00127F1F" w:rsidRDefault="00734B5D" w:rsidP="000878A2">
      <w:pPr>
        <w:pStyle w:val="Bibliography"/>
        <w:spacing w:line="240" w:lineRule="auto"/>
        <w:rPr>
          <w:rFonts w:ascii="Arial" w:hAnsi="Arial" w:cs="Arial"/>
          <w:sz w:val="24"/>
          <w:lang w:val="de-DE"/>
        </w:rPr>
      </w:pPr>
      <w:r w:rsidRPr="00EF0394">
        <w:rPr>
          <w:rFonts w:ascii="Arial" w:hAnsi="Arial" w:cs="Arial"/>
          <w:sz w:val="24"/>
        </w:rPr>
        <w:t>Morris, J. P., Yashinskie, J. J., Koche, R., Chandwani, R., Tian, S., Chen, C.-C., Baslan, T., Marinkovic, Z. S., Sánchez-Rivera, F. J., Leach, S. D., Carmona-Fontaine, C., Thompson, C. B., Finley, L. W. S., &amp; Lowe, S. W. (2019). α-</w:t>
      </w:r>
      <w:r w:rsidRPr="00EF0394">
        <w:rPr>
          <w:rFonts w:ascii="Arial" w:hAnsi="Arial" w:cs="Arial"/>
          <w:sz w:val="24"/>
        </w:rPr>
        <w:lastRenderedPageBreak/>
        <w:t xml:space="preserve">Ketoglutarate links p53 to cell fate during tumour suppression. </w:t>
      </w:r>
      <w:r w:rsidRPr="00127F1F">
        <w:rPr>
          <w:rFonts w:ascii="Arial" w:hAnsi="Arial" w:cs="Arial"/>
          <w:i/>
          <w:iCs/>
          <w:sz w:val="24"/>
          <w:lang w:val="de-DE"/>
        </w:rPr>
        <w:t>Nature</w:t>
      </w:r>
      <w:r w:rsidRPr="00127F1F">
        <w:rPr>
          <w:rFonts w:ascii="Arial" w:hAnsi="Arial" w:cs="Arial"/>
          <w:sz w:val="24"/>
          <w:lang w:val="de-DE"/>
        </w:rPr>
        <w:t xml:space="preserve">, </w:t>
      </w:r>
      <w:r w:rsidRPr="00127F1F">
        <w:rPr>
          <w:rFonts w:ascii="Arial" w:hAnsi="Arial" w:cs="Arial"/>
          <w:i/>
          <w:iCs/>
          <w:sz w:val="24"/>
          <w:lang w:val="de-DE"/>
        </w:rPr>
        <w:t>573</w:t>
      </w:r>
      <w:r w:rsidRPr="00127F1F">
        <w:rPr>
          <w:rFonts w:ascii="Arial" w:hAnsi="Arial" w:cs="Arial"/>
          <w:sz w:val="24"/>
          <w:lang w:val="de-DE"/>
        </w:rPr>
        <w:t>(7775), 595–599. https://doi.org/10.1038/s41586-019-1577-5</w:t>
      </w:r>
    </w:p>
    <w:p w14:paraId="2F41947E" w14:textId="77777777" w:rsidR="00734B5D" w:rsidRPr="00EF0394" w:rsidRDefault="00734B5D" w:rsidP="000878A2">
      <w:pPr>
        <w:pStyle w:val="Bibliography"/>
        <w:spacing w:line="240" w:lineRule="auto"/>
        <w:rPr>
          <w:rFonts w:ascii="Arial" w:hAnsi="Arial" w:cs="Arial"/>
          <w:sz w:val="24"/>
        </w:rPr>
      </w:pPr>
      <w:r w:rsidRPr="00127F1F">
        <w:rPr>
          <w:rFonts w:ascii="Arial" w:hAnsi="Arial" w:cs="Arial"/>
          <w:sz w:val="24"/>
          <w:lang w:val="de-DE"/>
        </w:rPr>
        <w:t xml:space="preserve">Olivier, M., Hollstein, M. ,. &amp;. Hainaut, P. (2010). </w:t>
      </w:r>
      <w:r w:rsidRPr="00EF0394">
        <w:rPr>
          <w:rFonts w:ascii="Arial" w:hAnsi="Arial" w:cs="Arial"/>
          <w:sz w:val="24"/>
        </w:rPr>
        <w:t xml:space="preserve">TP53 mutations in human cancers: Origins, consequences, and clinical use. </w:t>
      </w:r>
      <w:r w:rsidRPr="00EF0394">
        <w:rPr>
          <w:rFonts w:ascii="Arial" w:hAnsi="Arial" w:cs="Arial"/>
          <w:i/>
          <w:iCs/>
          <w:sz w:val="24"/>
        </w:rPr>
        <w:t>Cold Spring Harb Perspect Biol.</w:t>
      </w:r>
      <w:r w:rsidRPr="00EF0394">
        <w:rPr>
          <w:rFonts w:ascii="Arial" w:hAnsi="Arial" w:cs="Arial"/>
          <w:sz w:val="24"/>
        </w:rPr>
        <w:t xml:space="preserve">, </w:t>
      </w:r>
      <w:r w:rsidRPr="00EF0394">
        <w:rPr>
          <w:rFonts w:ascii="Arial" w:hAnsi="Arial" w:cs="Arial"/>
          <w:i/>
          <w:iCs/>
          <w:sz w:val="24"/>
        </w:rPr>
        <w:t>2</w:t>
      </w:r>
      <w:r w:rsidRPr="00EF0394">
        <w:rPr>
          <w:rFonts w:ascii="Arial" w:hAnsi="Arial" w:cs="Arial"/>
          <w:sz w:val="24"/>
        </w:rPr>
        <w:t>, a001008.</w:t>
      </w:r>
    </w:p>
    <w:p w14:paraId="01EA6AB6"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Stiewe, T., &amp;. Haran, T. E. (2018). How mutations shape p53 interactions with the genome to promote tumorigenesis and drug resistance. </w:t>
      </w:r>
      <w:r w:rsidRPr="00EF0394">
        <w:rPr>
          <w:rFonts w:ascii="Arial" w:hAnsi="Arial" w:cs="Arial"/>
          <w:i/>
          <w:iCs/>
          <w:sz w:val="24"/>
        </w:rPr>
        <w:t>Drug Resist Updates Rev Comment Antimicrob Anticancer Chemother.</w:t>
      </w:r>
      <w:r w:rsidRPr="00EF0394">
        <w:rPr>
          <w:rFonts w:ascii="Arial" w:hAnsi="Arial" w:cs="Arial"/>
          <w:sz w:val="24"/>
        </w:rPr>
        <w:t xml:space="preserve">, </w:t>
      </w:r>
      <w:r w:rsidRPr="00EF0394">
        <w:rPr>
          <w:rFonts w:ascii="Arial" w:hAnsi="Arial" w:cs="Arial"/>
          <w:i/>
          <w:iCs/>
          <w:sz w:val="24"/>
        </w:rPr>
        <w:t>38</w:t>
      </w:r>
      <w:r w:rsidRPr="00EF0394">
        <w:rPr>
          <w:rFonts w:ascii="Arial" w:hAnsi="Arial" w:cs="Arial"/>
          <w:sz w:val="24"/>
        </w:rPr>
        <w:t>, 27–43.</w:t>
      </w:r>
    </w:p>
    <w:p w14:paraId="190C7FCB"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Stockert, J. A., Weil, R., Yadav, K. K., Kyprianou, N., &amp; Tewari, A. K. (2021). Pseudouridine as a novel biomarker in prostate cancer. </w:t>
      </w:r>
      <w:r w:rsidRPr="00EF0394">
        <w:rPr>
          <w:rFonts w:ascii="Arial" w:hAnsi="Arial" w:cs="Arial"/>
          <w:i/>
          <w:iCs/>
          <w:sz w:val="24"/>
        </w:rPr>
        <w:t>Urologic Oncology: Seminars and Original Investigations</w:t>
      </w:r>
      <w:r w:rsidRPr="00EF0394">
        <w:rPr>
          <w:rFonts w:ascii="Arial" w:hAnsi="Arial" w:cs="Arial"/>
          <w:sz w:val="24"/>
        </w:rPr>
        <w:t xml:space="preserve">, </w:t>
      </w:r>
      <w:r w:rsidRPr="00EF0394">
        <w:rPr>
          <w:rFonts w:ascii="Arial" w:hAnsi="Arial" w:cs="Arial"/>
          <w:i/>
          <w:iCs/>
          <w:sz w:val="24"/>
        </w:rPr>
        <w:t>39</w:t>
      </w:r>
      <w:r w:rsidRPr="00EF0394">
        <w:rPr>
          <w:rFonts w:ascii="Arial" w:hAnsi="Arial" w:cs="Arial"/>
          <w:sz w:val="24"/>
        </w:rPr>
        <w:t>(1), 63–71. https://doi.org/10.1016/j.urolonc.2020.06.026</w:t>
      </w:r>
    </w:p>
    <w:p w14:paraId="0F8F40A7" w14:textId="77777777" w:rsidR="00734B5D" w:rsidRPr="00EF0394" w:rsidRDefault="00734B5D" w:rsidP="000878A2">
      <w:pPr>
        <w:pStyle w:val="Bibliography"/>
        <w:spacing w:line="240" w:lineRule="auto"/>
        <w:rPr>
          <w:rFonts w:ascii="Arial" w:hAnsi="Arial" w:cs="Arial"/>
          <w:sz w:val="24"/>
        </w:rPr>
      </w:pPr>
      <w:r w:rsidRPr="00127F1F">
        <w:rPr>
          <w:rFonts w:ascii="Arial" w:hAnsi="Arial" w:cs="Arial"/>
          <w:sz w:val="24"/>
          <w:lang w:val="de-DE"/>
        </w:rPr>
        <w:t xml:space="preserve">Strmiska, V., Michalek, P. ,. Eckschlager, T. ,. </w:t>
      </w:r>
      <w:proofErr w:type="spellStart"/>
      <w:r w:rsidRPr="00EF0394">
        <w:rPr>
          <w:rFonts w:ascii="Arial" w:hAnsi="Arial" w:cs="Arial"/>
          <w:sz w:val="24"/>
        </w:rPr>
        <w:t>Stiborova</w:t>
      </w:r>
      <w:proofErr w:type="spellEnd"/>
      <w:r w:rsidRPr="00EF0394">
        <w:rPr>
          <w:rFonts w:ascii="Arial" w:hAnsi="Arial" w:cs="Arial"/>
          <w:sz w:val="24"/>
        </w:rPr>
        <w:t xml:space="preserve">, M. ,. Adam, V. ,. Krizkova, S. ,. and Heger, Z. (2019). Prostate cancer-specific hallmarks of amino acids metabolism: Towards a paradigm of precision medicine. </w:t>
      </w:r>
      <w:r w:rsidRPr="00EF0394">
        <w:rPr>
          <w:rFonts w:ascii="Arial" w:hAnsi="Arial" w:cs="Arial"/>
          <w:i/>
          <w:iCs/>
          <w:sz w:val="24"/>
        </w:rPr>
        <w:t>2019</w:t>
      </w:r>
      <w:r w:rsidRPr="00EF0394">
        <w:rPr>
          <w:rFonts w:ascii="Arial" w:hAnsi="Arial" w:cs="Arial"/>
          <w:sz w:val="24"/>
        </w:rPr>
        <w:t xml:space="preserve">, </w:t>
      </w:r>
      <w:r w:rsidRPr="00EF0394">
        <w:rPr>
          <w:rFonts w:ascii="Arial" w:hAnsi="Arial" w:cs="Arial"/>
          <w:i/>
          <w:iCs/>
          <w:sz w:val="24"/>
        </w:rPr>
        <w:t>1871</w:t>
      </w:r>
      <w:r w:rsidRPr="00EF0394">
        <w:rPr>
          <w:rFonts w:ascii="Arial" w:hAnsi="Arial" w:cs="Arial"/>
          <w:sz w:val="24"/>
        </w:rPr>
        <w:t>, 248–258.</w:t>
      </w:r>
    </w:p>
    <w:p w14:paraId="05B0101A" w14:textId="77777777" w:rsidR="00734B5D" w:rsidRPr="00127F1F" w:rsidRDefault="00734B5D" w:rsidP="000878A2">
      <w:pPr>
        <w:pStyle w:val="Bibliography"/>
        <w:spacing w:line="240" w:lineRule="auto"/>
        <w:rPr>
          <w:rFonts w:ascii="Arial" w:hAnsi="Arial" w:cs="Arial"/>
          <w:sz w:val="24"/>
          <w:lang w:val="de-DE"/>
        </w:rPr>
      </w:pPr>
      <w:r w:rsidRPr="00EF0394">
        <w:rPr>
          <w:rFonts w:ascii="Arial" w:hAnsi="Arial" w:cs="Arial"/>
          <w:sz w:val="24"/>
        </w:rPr>
        <w:t xml:space="preserve">Teo MY, R. D., Kantoff P. (2019). Treatment of Advanced Prostate Cancer. </w:t>
      </w:r>
      <w:r w:rsidRPr="00127F1F">
        <w:rPr>
          <w:rFonts w:ascii="Arial" w:hAnsi="Arial" w:cs="Arial"/>
          <w:i/>
          <w:iCs/>
          <w:sz w:val="24"/>
          <w:lang w:val="de-DE"/>
        </w:rPr>
        <w:t>Annu Rev Med.</w:t>
      </w:r>
      <w:r w:rsidRPr="00127F1F">
        <w:rPr>
          <w:rFonts w:ascii="Arial" w:hAnsi="Arial" w:cs="Arial"/>
          <w:sz w:val="24"/>
          <w:lang w:val="de-DE"/>
        </w:rPr>
        <w:t xml:space="preserve">, </w:t>
      </w:r>
      <w:r w:rsidRPr="00127F1F">
        <w:rPr>
          <w:rFonts w:ascii="Arial" w:hAnsi="Arial" w:cs="Arial"/>
          <w:i/>
          <w:iCs/>
          <w:sz w:val="24"/>
          <w:lang w:val="de-DE"/>
        </w:rPr>
        <w:t>70</w:t>
      </w:r>
      <w:r w:rsidRPr="00127F1F">
        <w:rPr>
          <w:rFonts w:ascii="Arial" w:hAnsi="Arial" w:cs="Arial"/>
          <w:sz w:val="24"/>
          <w:lang w:val="de-DE"/>
        </w:rPr>
        <w:t>, 479–499.</w:t>
      </w:r>
    </w:p>
    <w:p w14:paraId="4E666938" w14:textId="77777777" w:rsidR="00734B5D" w:rsidRPr="00EF0394" w:rsidRDefault="00734B5D" w:rsidP="000878A2">
      <w:pPr>
        <w:pStyle w:val="Bibliography"/>
        <w:spacing w:line="240" w:lineRule="auto"/>
        <w:rPr>
          <w:rFonts w:ascii="Arial" w:hAnsi="Arial" w:cs="Arial"/>
          <w:sz w:val="24"/>
        </w:rPr>
      </w:pPr>
      <w:r w:rsidRPr="00127F1F">
        <w:rPr>
          <w:rFonts w:ascii="Arial" w:hAnsi="Arial" w:cs="Arial"/>
          <w:sz w:val="24"/>
          <w:lang w:val="de-DE"/>
        </w:rPr>
        <w:t xml:space="preserve">Teroerde, M., Nientiedt, C., Duensing, A., Hohenfellner, M., Stenzinger, A., &amp; Duensing, S. (2021). </w:t>
      </w:r>
      <w:r w:rsidRPr="00EF0394">
        <w:rPr>
          <w:rFonts w:ascii="Arial" w:hAnsi="Arial" w:cs="Arial"/>
          <w:sz w:val="24"/>
        </w:rPr>
        <w:t xml:space="preserve">Revisiting the Role of p53 in Prostate Cancer. In </w:t>
      </w:r>
      <w:r w:rsidRPr="00EF0394">
        <w:rPr>
          <w:rFonts w:ascii="Arial" w:hAnsi="Arial" w:cs="Arial"/>
          <w:i/>
          <w:iCs/>
          <w:sz w:val="24"/>
        </w:rPr>
        <w:t>Prostate Cancer</w:t>
      </w:r>
      <w:r w:rsidRPr="00EF0394">
        <w:rPr>
          <w:rFonts w:ascii="Arial" w:hAnsi="Arial" w:cs="Arial"/>
          <w:sz w:val="24"/>
        </w:rPr>
        <w:t xml:space="preserve"> (pp. 113–124). Exon Publications. https://doi.org/10.36255/exonpublications.prostatecancer.p53.2021</w:t>
      </w:r>
    </w:p>
    <w:p w14:paraId="49DF76E3"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Tombari, C., Zannini, A., Bertolio, R., Pedretti, S., Audano, M., Triboli, L., Cancila, V., Vacca, D., Caputo, M., Donzelli, S., Segatto, I., Vodret, S., Piazza, S., Rustighi, A., Mantovani, F., Belletti, B., Baldassarre, G., Blandino, G., Tripodo, C., … Del Sal, G. (2023). Mutant p53 sustains serine-glycine synthesis and essential amino acids intake promoting breast cancer growth. </w:t>
      </w:r>
      <w:r w:rsidRPr="00EF0394">
        <w:rPr>
          <w:rFonts w:ascii="Arial" w:hAnsi="Arial" w:cs="Arial"/>
          <w:i/>
          <w:iCs/>
          <w:sz w:val="24"/>
        </w:rPr>
        <w:t>Nature Communications</w:t>
      </w:r>
      <w:r w:rsidRPr="00EF0394">
        <w:rPr>
          <w:rFonts w:ascii="Arial" w:hAnsi="Arial" w:cs="Arial"/>
          <w:sz w:val="24"/>
        </w:rPr>
        <w:t xml:space="preserve">, </w:t>
      </w:r>
      <w:r w:rsidRPr="00EF0394">
        <w:rPr>
          <w:rFonts w:ascii="Arial" w:hAnsi="Arial" w:cs="Arial"/>
          <w:i/>
          <w:iCs/>
          <w:sz w:val="24"/>
        </w:rPr>
        <w:t>14</w:t>
      </w:r>
      <w:r w:rsidRPr="00EF0394">
        <w:rPr>
          <w:rFonts w:ascii="Arial" w:hAnsi="Arial" w:cs="Arial"/>
          <w:sz w:val="24"/>
        </w:rPr>
        <w:t>(1), 6777. https://doi.org/10.1038/s41467-023-42458-1</w:t>
      </w:r>
    </w:p>
    <w:p w14:paraId="1CE0D1BC"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Tong, Y., Guo, D. ,. Lin, S. H. ,. et al. (2021). SUCLA2-coupled regulation of GLS succinylation and activity counteracts oxidative stress in tumor cells. </w:t>
      </w:r>
      <w:r w:rsidRPr="00EF0394">
        <w:rPr>
          <w:rFonts w:ascii="Arial" w:hAnsi="Arial" w:cs="Arial"/>
          <w:i/>
          <w:iCs/>
          <w:sz w:val="24"/>
        </w:rPr>
        <w:t>Mol Cell.</w:t>
      </w:r>
      <w:r w:rsidRPr="00EF0394">
        <w:rPr>
          <w:rFonts w:ascii="Arial" w:hAnsi="Arial" w:cs="Arial"/>
          <w:sz w:val="24"/>
        </w:rPr>
        <w:t xml:space="preserve">, </w:t>
      </w:r>
      <w:r w:rsidRPr="00EF0394">
        <w:rPr>
          <w:rFonts w:ascii="Arial" w:hAnsi="Arial" w:cs="Arial"/>
          <w:i/>
          <w:iCs/>
          <w:sz w:val="24"/>
        </w:rPr>
        <w:t>81</w:t>
      </w:r>
      <w:r w:rsidRPr="00EF0394">
        <w:rPr>
          <w:rFonts w:ascii="Arial" w:hAnsi="Arial" w:cs="Arial"/>
          <w:sz w:val="24"/>
        </w:rPr>
        <w:t>, 2303-2316.e8.</w:t>
      </w:r>
    </w:p>
    <w:p w14:paraId="77DAE904" w14:textId="77777777" w:rsidR="00734B5D" w:rsidRPr="00127F1F" w:rsidRDefault="00734B5D" w:rsidP="000878A2">
      <w:pPr>
        <w:pStyle w:val="Bibliography"/>
        <w:spacing w:line="240" w:lineRule="auto"/>
        <w:rPr>
          <w:rFonts w:ascii="Arial" w:hAnsi="Arial" w:cs="Arial"/>
          <w:sz w:val="24"/>
          <w:lang w:val="de-DE"/>
        </w:rPr>
      </w:pPr>
      <w:r w:rsidRPr="00EF0394">
        <w:rPr>
          <w:rFonts w:ascii="Arial" w:hAnsi="Arial" w:cs="Arial"/>
          <w:sz w:val="24"/>
        </w:rPr>
        <w:t xml:space="preserve">Tran, T. Q., Lowman, X. H., Reid, M. A., Mendez-Dorantes, C., Pan, M., Yang, Y., &amp; Kong, M. (2017). Tumor-associated mutant p53 promotes cancer cell survival upon glutamine deprivation through p21 induction. </w:t>
      </w:r>
      <w:r w:rsidRPr="00127F1F">
        <w:rPr>
          <w:rFonts w:ascii="Arial" w:hAnsi="Arial" w:cs="Arial"/>
          <w:i/>
          <w:iCs/>
          <w:sz w:val="24"/>
          <w:lang w:val="de-DE"/>
        </w:rPr>
        <w:t>Oncogene</w:t>
      </w:r>
      <w:r w:rsidRPr="00127F1F">
        <w:rPr>
          <w:rFonts w:ascii="Arial" w:hAnsi="Arial" w:cs="Arial"/>
          <w:sz w:val="24"/>
          <w:lang w:val="de-DE"/>
        </w:rPr>
        <w:t xml:space="preserve">, </w:t>
      </w:r>
      <w:r w:rsidRPr="00127F1F">
        <w:rPr>
          <w:rFonts w:ascii="Arial" w:hAnsi="Arial" w:cs="Arial"/>
          <w:i/>
          <w:iCs/>
          <w:sz w:val="24"/>
          <w:lang w:val="de-DE"/>
        </w:rPr>
        <w:t>36</w:t>
      </w:r>
      <w:r w:rsidRPr="00127F1F">
        <w:rPr>
          <w:rFonts w:ascii="Arial" w:hAnsi="Arial" w:cs="Arial"/>
          <w:sz w:val="24"/>
          <w:lang w:val="de-DE"/>
        </w:rPr>
        <w:t>(14), 1991–2001. https://doi.org/10.1038/onc.2016.360</w:t>
      </w:r>
    </w:p>
    <w:p w14:paraId="242A48D9" w14:textId="77777777" w:rsidR="00734B5D" w:rsidRPr="00EF0394" w:rsidRDefault="00734B5D" w:rsidP="000878A2">
      <w:pPr>
        <w:pStyle w:val="Bibliography"/>
        <w:spacing w:line="240" w:lineRule="auto"/>
        <w:rPr>
          <w:rFonts w:ascii="Arial" w:hAnsi="Arial" w:cs="Arial"/>
          <w:sz w:val="24"/>
        </w:rPr>
      </w:pPr>
      <w:r w:rsidRPr="00127F1F">
        <w:rPr>
          <w:rFonts w:ascii="Arial" w:hAnsi="Arial" w:cs="Arial"/>
          <w:sz w:val="24"/>
          <w:lang w:val="de-DE"/>
        </w:rPr>
        <w:t xml:space="preserve">Wanka, C., Steinbach, J. P., &amp; Rieger, J. (2012). </w:t>
      </w:r>
      <w:r w:rsidRPr="00EF0394">
        <w:rPr>
          <w:rFonts w:ascii="Arial" w:hAnsi="Arial" w:cs="Arial"/>
          <w:sz w:val="24"/>
        </w:rPr>
        <w:t xml:space="preserve">Tp53-induced Glycolysis and Apoptosis Regulator (TIGAR) Protects Glioma Cells from Starvation-induced Cell Death by Up-regulating Respiration and Improving Cellular Redox Homeostasis. </w:t>
      </w:r>
      <w:r w:rsidRPr="00EF0394">
        <w:rPr>
          <w:rFonts w:ascii="Arial" w:hAnsi="Arial" w:cs="Arial"/>
          <w:i/>
          <w:iCs/>
          <w:sz w:val="24"/>
        </w:rPr>
        <w:t>Journal of Biological Chemistry</w:t>
      </w:r>
      <w:r w:rsidRPr="00EF0394">
        <w:rPr>
          <w:rFonts w:ascii="Arial" w:hAnsi="Arial" w:cs="Arial"/>
          <w:sz w:val="24"/>
        </w:rPr>
        <w:t xml:space="preserve">, </w:t>
      </w:r>
      <w:r w:rsidRPr="00EF0394">
        <w:rPr>
          <w:rFonts w:ascii="Arial" w:hAnsi="Arial" w:cs="Arial"/>
          <w:i/>
          <w:iCs/>
          <w:sz w:val="24"/>
        </w:rPr>
        <w:t>287</w:t>
      </w:r>
      <w:r w:rsidRPr="00EF0394">
        <w:rPr>
          <w:rFonts w:ascii="Arial" w:hAnsi="Arial" w:cs="Arial"/>
          <w:sz w:val="24"/>
        </w:rPr>
        <w:t>(40), 33436–33446. https://doi.org/10.1074/jbc.M112.384578</w:t>
      </w:r>
    </w:p>
    <w:p w14:paraId="05397332"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Xuan, M., Gu, X., Li, J., Huang, D., Xue, C., &amp; He, Y. (2023). Polyamines: Their significance for maintaining health and contributing to diseases. </w:t>
      </w:r>
      <w:r w:rsidRPr="00EF0394">
        <w:rPr>
          <w:rFonts w:ascii="Arial" w:hAnsi="Arial" w:cs="Arial"/>
          <w:i/>
          <w:iCs/>
          <w:sz w:val="24"/>
        </w:rPr>
        <w:t>Cell Communication and Signaling</w:t>
      </w:r>
      <w:r w:rsidRPr="00EF0394">
        <w:rPr>
          <w:rFonts w:ascii="Arial" w:hAnsi="Arial" w:cs="Arial"/>
          <w:sz w:val="24"/>
        </w:rPr>
        <w:t xml:space="preserve">, </w:t>
      </w:r>
      <w:r w:rsidRPr="00EF0394">
        <w:rPr>
          <w:rFonts w:ascii="Arial" w:hAnsi="Arial" w:cs="Arial"/>
          <w:i/>
          <w:iCs/>
          <w:sz w:val="24"/>
        </w:rPr>
        <w:t>21</w:t>
      </w:r>
      <w:r w:rsidRPr="00EF0394">
        <w:rPr>
          <w:rFonts w:ascii="Arial" w:hAnsi="Arial" w:cs="Arial"/>
          <w:sz w:val="24"/>
        </w:rPr>
        <w:t>(1), 348. https://doi.org/10.1186/s12964-023-01373-0</w:t>
      </w:r>
    </w:p>
    <w:p w14:paraId="0804E7C9"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Yoo, Y. A. (2023). Abstract 1712: Targeting asparagine dependency as a therapy for TP53-mutated castration-resistant prostate cancer. </w:t>
      </w:r>
      <w:r w:rsidRPr="00EF0394">
        <w:rPr>
          <w:rFonts w:ascii="Arial" w:hAnsi="Arial" w:cs="Arial"/>
          <w:i/>
          <w:iCs/>
          <w:sz w:val="24"/>
        </w:rPr>
        <w:t>Cancer Research</w:t>
      </w:r>
      <w:r w:rsidRPr="00EF0394">
        <w:rPr>
          <w:rFonts w:ascii="Arial" w:hAnsi="Arial" w:cs="Arial"/>
          <w:sz w:val="24"/>
        </w:rPr>
        <w:t xml:space="preserve">, </w:t>
      </w:r>
      <w:r w:rsidRPr="00EF0394">
        <w:rPr>
          <w:rFonts w:ascii="Arial" w:hAnsi="Arial" w:cs="Arial"/>
          <w:i/>
          <w:iCs/>
          <w:sz w:val="24"/>
        </w:rPr>
        <w:t>83</w:t>
      </w:r>
      <w:r w:rsidRPr="00EF0394">
        <w:rPr>
          <w:rFonts w:ascii="Arial" w:hAnsi="Arial" w:cs="Arial"/>
          <w:sz w:val="24"/>
        </w:rPr>
        <w:t>(7_Supplement), 1712–1712. https://doi.org/10.1158/1538-7445.AM2023-1712</w:t>
      </w:r>
    </w:p>
    <w:p w14:paraId="3F3CBA59"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Zhang, C., Liu, J., Liang, Y., Wu, R., Zhao, Y., Hong, X., Lin, M., Yu, H., Liu, L., Levine, A. J., Hu, W., &amp; Feng, Z. (2013). Tumour-associated mutant p53 </w:t>
      </w:r>
      <w:r w:rsidRPr="00EF0394">
        <w:rPr>
          <w:rFonts w:ascii="Arial" w:hAnsi="Arial" w:cs="Arial"/>
          <w:sz w:val="24"/>
        </w:rPr>
        <w:lastRenderedPageBreak/>
        <w:t xml:space="preserve">drives the Warburg effect. </w:t>
      </w:r>
      <w:r w:rsidRPr="00EF0394">
        <w:rPr>
          <w:rFonts w:ascii="Arial" w:hAnsi="Arial" w:cs="Arial"/>
          <w:i/>
          <w:iCs/>
          <w:sz w:val="24"/>
        </w:rPr>
        <w:t>Nature Communications</w:t>
      </w:r>
      <w:r w:rsidRPr="00EF0394">
        <w:rPr>
          <w:rFonts w:ascii="Arial" w:hAnsi="Arial" w:cs="Arial"/>
          <w:sz w:val="24"/>
        </w:rPr>
        <w:t xml:space="preserve">, </w:t>
      </w:r>
      <w:r w:rsidRPr="00EF0394">
        <w:rPr>
          <w:rFonts w:ascii="Arial" w:hAnsi="Arial" w:cs="Arial"/>
          <w:i/>
          <w:iCs/>
          <w:sz w:val="24"/>
        </w:rPr>
        <w:t>4</w:t>
      </w:r>
      <w:r w:rsidRPr="00EF0394">
        <w:rPr>
          <w:rFonts w:ascii="Arial" w:hAnsi="Arial" w:cs="Arial"/>
          <w:sz w:val="24"/>
        </w:rPr>
        <w:t>(1), 2935. https://doi.org/10.1038/ncomms3935</w:t>
      </w:r>
    </w:p>
    <w:p w14:paraId="17C5C83E"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Zhou, G., Wang, J., Zhao, M., Xie, T.-X., Tanaka, N., Sano, D., Patel, A. A., Ward, A. M., Sandulache, V. C., Jasser, S. A., Skinner, H. D., Fitzgerald, A. L., Osman, A. A., Wei, Y., Xia, X., Songyang, Z., Mills, G. B., Hung, M.-C., Caulin, C., … Myers, J. N. (2014). Gain-of-Function Mutant p53 Promotes Cell Growth and Cancer Cell Metabolism via Inhibition of AMPK Activation. </w:t>
      </w:r>
      <w:r w:rsidRPr="00EF0394">
        <w:rPr>
          <w:rFonts w:ascii="Arial" w:hAnsi="Arial" w:cs="Arial"/>
          <w:i/>
          <w:iCs/>
          <w:sz w:val="24"/>
        </w:rPr>
        <w:t>Molecular Cell</w:t>
      </w:r>
      <w:r w:rsidRPr="00EF0394">
        <w:rPr>
          <w:rFonts w:ascii="Arial" w:hAnsi="Arial" w:cs="Arial"/>
          <w:sz w:val="24"/>
        </w:rPr>
        <w:t xml:space="preserve">, </w:t>
      </w:r>
      <w:r w:rsidRPr="00EF0394">
        <w:rPr>
          <w:rFonts w:ascii="Arial" w:hAnsi="Arial" w:cs="Arial"/>
          <w:i/>
          <w:iCs/>
          <w:sz w:val="24"/>
        </w:rPr>
        <w:t>54</w:t>
      </w:r>
      <w:r w:rsidRPr="00EF0394">
        <w:rPr>
          <w:rFonts w:ascii="Arial" w:hAnsi="Arial" w:cs="Arial"/>
          <w:sz w:val="24"/>
        </w:rPr>
        <w:t>(6), 960–974. https://doi.org/10.1016/j.molcel.2014.04.024</w:t>
      </w:r>
    </w:p>
    <w:p w14:paraId="199FB92F" w14:textId="77777777" w:rsidR="00734B5D" w:rsidRPr="00EF0394" w:rsidRDefault="00734B5D" w:rsidP="000878A2">
      <w:pPr>
        <w:pStyle w:val="Bibliography"/>
        <w:spacing w:line="240" w:lineRule="auto"/>
        <w:rPr>
          <w:rFonts w:ascii="Arial" w:hAnsi="Arial" w:cs="Arial"/>
          <w:sz w:val="24"/>
        </w:rPr>
      </w:pPr>
      <w:r w:rsidRPr="00EF0394">
        <w:rPr>
          <w:rFonts w:ascii="Arial" w:hAnsi="Arial" w:cs="Arial"/>
          <w:sz w:val="24"/>
        </w:rPr>
        <w:t xml:space="preserve">Zhou, X., Hao, Q., &amp; Lu, H. (2019). Mutant p53 in cancer therapy—The barrier or the path. </w:t>
      </w:r>
      <w:r w:rsidRPr="00EF0394">
        <w:rPr>
          <w:rFonts w:ascii="Arial" w:hAnsi="Arial" w:cs="Arial"/>
          <w:i/>
          <w:iCs/>
          <w:sz w:val="24"/>
        </w:rPr>
        <w:t>Journal of Molecular Cell Biology</w:t>
      </w:r>
      <w:r w:rsidRPr="00EF0394">
        <w:rPr>
          <w:rFonts w:ascii="Arial" w:hAnsi="Arial" w:cs="Arial"/>
          <w:sz w:val="24"/>
        </w:rPr>
        <w:t xml:space="preserve">, </w:t>
      </w:r>
      <w:r w:rsidRPr="00EF0394">
        <w:rPr>
          <w:rFonts w:ascii="Arial" w:hAnsi="Arial" w:cs="Arial"/>
          <w:i/>
          <w:iCs/>
          <w:sz w:val="24"/>
        </w:rPr>
        <w:t>11</w:t>
      </w:r>
      <w:r w:rsidRPr="00EF0394">
        <w:rPr>
          <w:rFonts w:ascii="Arial" w:hAnsi="Arial" w:cs="Arial"/>
          <w:sz w:val="24"/>
        </w:rPr>
        <w:t>(4), 293–305. https://doi.org/10.1093/jmcb/mjy072</w:t>
      </w:r>
    </w:p>
    <w:p w14:paraId="4ECA5D4C" w14:textId="60FC2220" w:rsidR="00C05517" w:rsidRPr="00EF0394" w:rsidRDefault="00331529" w:rsidP="000878A2">
      <w:pPr>
        <w:spacing w:after="0" w:line="240" w:lineRule="auto"/>
        <w:jc w:val="both"/>
        <w:rPr>
          <w:rFonts w:ascii="Arial" w:eastAsia="Times New Roman" w:hAnsi="Arial" w:cs="Arial"/>
          <w:b/>
          <w:bCs/>
          <w:kern w:val="0"/>
          <w:sz w:val="24"/>
          <w:szCs w:val="24"/>
          <w:shd w:val="clear" w:color="auto" w:fill="FFFFFF"/>
          <w14:ligatures w14:val="none"/>
        </w:rPr>
      </w:pPr>
      <w:r w:rsidRPr="00EF0394">
        <w:rPr>
          <w:rFonts w:ascii="Arial" w:eastAsia="Times New Roman" w:hAnsi="Arial" w:cs="Arial"/>
          <w:b/>
          <w:bCs/>
          <w:kern w:val="0"/>
          <w:sz w:val="24"/>
          <w:szCs w:val="24"/>
          <w:shd w:val="clear" w:color="auto" w:fill="FFFFFF"/>
          <w14:ligatures w14:val="none"/>
        </w:rPr>
        <w:fldChar w:fldCharType="end"/>
      </w:r>
    </w:p>
    <w:sectPr w:rsidR="00C05517" w:rsidRPr="00EF039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175A8" w14:textId="77777777" w:rsidR="008C0951" w:rsidRDefault="008C0951" w:rsidP="00212E2B">
      <w:pPr>
        <w:spacing w:after="0" w:line="240" w:lineRule="auto"/>
      </w:pPr>
      <w:r>
        <w:separator/>
      </w:r>
    </w:p>
  </w:endnote>
  <w:endnote w:type="continuationSeparator" w:id="0">
    <w:p w14:paraId="5F4B9FAE" w14:textId="77777777" w:rsidR="008C0951" w:rsidRDefault="008C0951" w:rsidP="0021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4A636" w14:textId="77777777" w:rsidR="00127F1F" w:rsidRDefault="00127F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56172" w14:textId="77777777" w:rsidR="00127F1F" w:rsidRDefault="00127F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FE048" w14:textId="77777777" w:rsidR="00127F1F" w:rsidRDefault="00127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B3DB0" w14:textId="77777777" w:rsidR="008C0951" w:rsidRDefault="008C0951" w:rsidP="00212E2B">
      <w:pPr>
        <w:spacing w:after="0" w:line="240" w:lineRule="auto"/>
      </w:pPr>
      <w:r>
        <w:separator/>
      </w:r>
    </w:p>
  </w:footnote>
  <w:footnote w:type="continuationSeparator" w:id="0">
    <w:p w14:paraId="6E9CD732" w14:textId="77777777" w:rsidR="008C0951" w:rsidRDefault="008C0951" w:rsidP="0021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72F2D" w14:textId="491087FB" w:rsidR="00127F1F" w:rsidRDefault="00127F1F">
    <w:pPr>
      <w:pStyle w:val="Header"/>
    </w:pPr>
    <w:r>
      <w:rPr>
        <w:noProof/>
      </w:rPr>
      <w:pict w14:anchorId="57DCB4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2080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4AC00" w14:textId="1984AA57" w:rsidR="00127F1F" w:rsidRDefault="00127F1F">
    <w:pPr>
      <w:pStyle w:val="Header"/>
    </w:pPr>
    <w:r>
      <w:rPr>
        <w:noProof/>
      </w:rPr>
      <w:pict w14:anchorId="46893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2080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78A33" w14:textId="27717B31" w:rsidR="00127F1F" w:rsidRDefault="00127F1F">
    <w:pPr>
      <w:pStyle w:val="Header"/>
    </w:pPr>
    <w:r>
      <w:rPr>
        <w:noProof/>
      </w:rPr>
      <w:pict w14:anchorId="0E211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2080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E1D99"/>
    <w:multiLevelType w:val="multilevel"/>
    <w:tmpl w:val="243E1D99"/>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034355"/>
    <w:multiLevelType w:val="hybridMultilevel"/>
    <w:tmpl w:val="D458E986"/>
    <w:lvl w:ilvl="0" w:tplc="172A1406">
      <w:start w:val="1"/>
      <w:numFmt w:val="decimal"/>
      <w:lvlText w:val="%1."/>
      <w:lvlJc w:val="left"/>
      <w:pPr>
        <w:ind w:left="720" w:hanging="360"/>
      </w:pPr>
      <w:rPr>
        <w:rFonts w:hint="default"/>
      </w:rPr>
    </w:lvl>
    <w:lvl w:ilvl="1" w:tplc="71A8B75E">
      <w:numFmt w:val="bullet"/>
      <w:lvlText w:val="•"/>
      <w:lvlJc w:val="left"/>
      <w:pPr>
        <w:ind w:left="1800" w:hanging="720"/>
      </w:pPr>
      <w:rPr>
        <w:rFonts w:ascii="Arial" w:eastAsiaTheme="minorHAnsi" w:hAnsi="Arial" w:cs="Arial" w:hint="default"/>
      </w:rPr>
    </w:lvl>
    <w:lvl w:ilvl="2" w:tplc="17BE5770" w:tentative="1">
      <w:start w:val="1"/>
      <w:numFmt w:val="lowerRoman"/>
      <w:lvlText w:val="%3."/>
      <w:lvlJc w:val="right"/>
      <w:pPr>
        <w:ind w:left="2160" w:hanging="180"/>
      </w:pPr>
    </w:lvl>
    <w:lvl w:ilvl="3" w:tplc="CCF42A40" w:tentative="1">
      <w:start w:val="1"/>
      <w:numFmt w:val="decimal"/>
      <w:lvlText w:val="%4."/>
      <w:lvlJc w:val="left"/>
      <w:pPr>
        <w:ind w:left="2880" w:hanging="360"/>
      </w:pPr>
    </w:lvl>
    <w:lvl w:ilvl="4" w:tplc="4AAE72B0" w:tentative="1">
      <w:start w:val="1"/>
      <w:numFmt w:val="lowerLetter"/>
      <w:lvlText w:val="%5."/>
      <w:lvlJc w:val="left"/>
      <w:pPr>
        <w:ind w:left="3600" w:hanging="360"/>
      </w:pPr>
    </w:lvl>
    <w:lvl w:ilvl="5" w:tplc="46E89486" w:tentative="1">
      <w:start w:val="1"/>
      <w:numFmt w:val="lowerRoman"/>
      <w:lvlText w:val="%6."/>
      <w:lvlJc w:val="right"/>
      <w:pPr>
        <w:ind w:left="4320" w:hanging="180"/>
      </w:pPr>
    </w:lvl>
    <w:lvl w:ilvl="6" w:tplc="5AD4FC04" w:tentative="1">
      <w:start w:val="1"/>
      <w:numFmt w:val="decimal"/>
      <w:lvlText w:val="%7."/>
      <w:lvlJc w:val="left"/>
      <w:pPr>
        <w:ind w:left="5040" w:hanging="360"/>
      </w:pPr>
    </w:lvl>
    <w:lvl w:ilvl="7" w:tplc="D82CCB02" w:tentative="1">
      <w:start w:val="1"/>
      <w:numFmt w:val="lowerLetter"/>
      <w:lvlText w:val="%8."/>
      <w:lvlJc w:val="left"/>
      <w:pPr>
        <w:ind w:left="5760" w:hanging="360"/>
      </w:pPr>
    </w:lvl>
    <w:lvl w:ilvl="8" w:tplc="C0201CD8" w:tentative="1">
      <w:start w:val="1"/>
      <w:numFmt w:val="lowerRoman"/>
      <w:lvlText w:val="%9."/>
      <w:lvlJc w:val="right"/>
      <w:pPr>
        <w:ind w:left="6480" w:hanging="180"/>
      </w:pPr>
    </w:lvl>
  </w:abstractNum>
  <w:abstractNum w:abstractNumId="2" w15:restartNumberingAfterBreak="0">
    <w:nsid w:val="39246289"/>
    <w:multiLevelType w:val="multilevel"/>
    <w:tmpl w:val="392462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FA556B"/>
    <w:multiLevelType w:val="hybridMultilevel"/>
    <w:tmpl w:val="5DF02222"/>
    <w:lvl w:ilvl="0" w:tplc="CFCC736C">
      <w:start w:val="1"/>
      <w:numFmt w:val="decimal"/>
      <w:lvlText w:val="%1."/>
      <w:lvlJc w:val="left"/>
      <w:pPr>
        <w:tabs>
          <w:tab w:val="num" w:pos="720"/>
        </w:tabs>
        <w:ind w:left="720" w:hanging="360"/>
      </w:pPr>
    </w:lvl>
    <w:lvl w:ilvl="1" w:tplc="7C98461C" w:tentative="1">
      <w:start w:val="1"/>
      <w:numFmt w:val="decimal"/>
      <w:lvlText w:val="%2."/>
      <w:lvlJc w:val="left"/>
      <w:pPr>
        <w:tabs>
          <w:tab w:val="num" w:pos="1440"/>
        </w:tabs>
        <w:ind w:left="1440" w:hanging="360"/>
      </w:pPr>
    </w:lvl>
    <w:lvl w:ilvl="2" w:tplc="2A509224" w:tentative="1">
      <w:start w:val="1"/>
      <w:numFmt w:val="decimal"/>
      <w:lvlText w:val="%3."/>
      <w:lvlJc w:val="left"/>
      <w:pPr>
        <w:tabs>
          <w:tab w:val="num" w:pos="2160"/>
        </w:tabs>
        <w:ind w:left="2160" w:hanging="360"/>
      </w:pPr>
    </w:lvl>
    <w:lvl w:ilvl="3" w:tplc="FFA6183A" w:tentative="1">
      <w:start w:val="1"/>
      <w:numFmt w:val="decimal"/>
      <w:lvlText w:val="%4."/>
      <w:lvlJc w:val="left"/>
      <w:pPr>
        <w:tabs>
          <w:tab w:val="num" w:pos="2880"/>
        </w:tabs>
        <w:ind w:left="2880" w:hanging="360"/>
      </w:pPr>
    </w:lvl>
    <w:lvl w:ilvl="4" w:tplc="E85A7C36" w:tentative="1">
      <w:start w:val="1"/>
      <w:numFmt w:val="decimal"/>
      <w:lvlText w:val="%5."/>
      <w:lvlJc w:val="left"/>
      <w:pPr>
        <w:tabs>
          <w:tab w:val="num" w:pos="3600"/>
        </w:tabs>
        <w:ind w:left="3600" w:hanging="360"/>
      </w:pPr>
    </w:lvl>
    <w:lvl w:ilvl="5" w:tplc="BDB66878" w:tentative="1">
      <w:start w:val="1"/>
      <w:numFmt w:val="decimal"/>
      <w:lvlText w:val="%6."/>
      <w:lvlJc w:val="left"/>
      <w:pPr>
        <w:tabs>
          <w:tab w:val="num" w:pos="4320"/>
        </w:tabs>
        <w:ind w:left="4320" w:hanging="360"/>
      </w:pPr>
    </w:lvl>
    <w:lvl w:ilvl="6" w:tplc="26A6FFEE" w:tentative="1">
      <w:start w:val="1"/>
      <w:numFmt w:val="decimal"/>
      <w:lvlText w:val="%7."/>
      <w:lvlJc w:val="left"/>
      <w:pPr>
        <w:tabs>
          <w:tab w:val="num" w:pos="5040"/>
        </w:tabs>
        <w:ind w:left="5040" w:hanging="360"/>
      </w:pPr>
    </w:lvl>
    <w:lvl w:ilvl="7" w:tplc="12C2FF74" w:tentative="1">
      <w:start w:val="1"/>
      <w:numFmt w:val="decimal"/>
      <w:lvlText w:val="%8."/>
      <w:lvlJc w:val="left"/>
      <w:pPr>
        <w:tabs>
          <w:tab w:val="num" w:pos="5760"/>
        </w:tabs>
        <w:ind w:left="5760" w:hanging="360"/>
      </w:pPr>
    </w:lvl>
    <w:lvl w:ilvl="8" w:tplc="C80CE9FE" w:tentative="1">
      <w:start w:val="1"/>
      <w:numFmt w:val="decimal"/>
      <w:lvlText w:val="%9."/>
      <w:lvlJc w:val="left"/>
      <w:pPr>
        <w:tabs>
          <w:tab w:val="num" w:pos="6480"/>
        </w:tabs>
        <w:ind w:left="6480" w:hanging="360"/>
      </w:pPr>
    </w:lvl>
  </w:abstractNum>
  <w:abstractNum w:abstractNumId="4" w15:restartNumberingAfterBreak="0">
    <w:nsid w:val="427714C1"/>
    <w:multiLevelType w:val="multilevel"/>
    <w:tmpl w:val="427714C1"/>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EB3237"/>
    <w:multiLevelType w:val="multilevel"/>
    <w:tmpl w:val="48EB3237"/>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DA324B"/>
    <w:multiLevelType w:val="multilevel"/>
    <w:tmpl w:val="4BDA324B"/>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E253DC"/>
    <w:multiLevelType w:val="hybridMultilevel"/>
    <w:tmpl w:val="51D83984"/>
    <w:lvl w:ilvl="0" w:tplc="34EA5C16">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EF7860"/>
    <w:multiLevelType w:val="hybridMultilevel"/>
    <w:tmpl w:val="7B2CA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898231">
    <w:abstractNumId w:val="0"/>
  </w:num>
  <w:num w:numId="2" w16cid:durableId="787703343">
    <w:abstractNumId w:val="6"/>
  </w:num>
  <w:num w:numId="3" w16cid:durableId="2081051395">
    <w:abstractNumId w:val="4"/>
  </w:num>
  <w:num w:numId="4" w16cid:durableId="843205369">
    <w:abstractNumId w:val="2"/>
  </w:num>
  <w:num w:numId="5" w16cid:durableId="1454135660">
    <w:abstractNumId w:val="5"/>
  </w:num>
  <w:num w:numId="6" w16cid:durableId="1048458274">
    <w:abstractNumId w:val="1"/>
  </w:num>
  <w:num w:numId="7" w16cid:durableId="1166676479">
    <w:abstractNumId w:val="7"/>
  </w:num>
  <w:num w:numId="8" w16cid:durableId="881018605">
    <w:abstractNumId w:val="8"/>
  </w:num>
  <w:num w:numId="9" w16cid:durableId="469371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KzMDQyMTa2NDS1MDRV0lEKTi0uzszPAykwrAUA64THUCwAAAA="/>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C0C90"/>
    <w:rsid w:val="00001417"/>
    <w:rsid w:val="000121D4"/>
    <w:rsid w:val="0001333A"/>
    <w:rsid w:val="00054053"/>
    <w:rsid w:val="00061F03"/>
    <w:rsid w:val="000667A7"/>
    <w:rsid w:val="00081B41"/>
    <w:rsid w:val="00082299"/>
    <w:rsid w:val="00082AD1"/>
    <w:rsid w:val="000878A2"/>
    <w:rsid w:val="000A7372"/>
    <w:rsid w:val="000D1D17"/>
    <w:rsid w:val="00102023"/>
    <w:rsid w:val="0010645A"/>
    <w:rsid w:val="00127F1F"/>
    <w:rsid w:val="0013774E"/>
    <w:rsid w:val="00182FFE"/>
    <w:rsid w:val="001A7459"/>
    <w:rsid w:val="001B4757"/>
    <w:rsid w:val="001C407E"/>
    <w:rsid w:val="001E3D1B"/>
    <w:rsid w:val="001F62B0"/>
    <w:rsid w:val="00203A84"/>
    <w:rsid w:val="00212E2B"/>
    <w:rsid w:val="002363B7"/>
    <w:rsid w:val="00255A39"/>
    <w:rsid w:val="00275C0E"/>
    <w:rsid w:val="00281F7F"/>
    <w:rsid w:val="00283361"/>
    <w:rsid w:val="0029109D"/>
    <w:rsid w:val="00297B98"/>
    <w:rsid w:val="002B46E5"/>
    <w:rsid w:val="002E5AC0"/>
    <w:rsid w:val="002E76DA"/>
    <w:rsid w:val="00302DE5"/>
    <w:rsid w:val="00304966"/>
    <w:rsid w:val="00331529"/>
    <w:rsid w:val="00351756"/>
    <w:rsid w:val="00367803"/>
    <w:rsid w:val="00370A39"/>
    <w:rsid w:val="00371692"/>
    <w:rsid w:val="00385E15"/>
    <w:rsid w:val="00393B10"/>
    <w:rsid w:val="0039592F"/>
    <w:rsid w:val="003A45C1"/>
    <w:rsid w:val="003A7357"/>
    <w:rsid w:val="003B3D7F"/>
    <w:rsid w:val="003D19AC"/>
    <w:rsid w:val="003E4B22"/>
    <w:rsid w:val="0042146C"/>
    <w:rsid w:val="00432DDA"/>
    <w:rsid w:val="00435DAB"/>
    <w:rsid w:val="0045288B"/>
    <w:rsid w:val="00465B4A"/>
    <w:rsid w:val="00485F00"/>
    <w:rsid w:val="004A5BA0"/>
    <w:rsid w:val="004B2605"/>
    <w:rsid w:val="004C7D35"/>
    <w:rsid w:val="004E7A2D"/>
    <w:rsid w:val="00550F70"/>
    <w:rsid w:val="00554978"/>
    <w:rsid w:val="005565FD"/>
    <w:rsid w:val="005673FE"/>
    <w:rsid w:val="005973DB"/>
    <w:rsid w:val="005A3262"/>
    <w:rsid w:val="005B2415"/>
    <w:rsid w:val="005B50E8"/>
    <w:rsid w:val="005B5DE3"/>
    <w:rsid w:val="005C0C90"/>
    <w:rsid w:val="005C38E8"/>
    <w:rsid w:val="005E2E84"/>
    <w:rsid w:val="005F03A5"/>
    <w:rsid w:val="005F0ADC"/>
    <w:rsid w:val="00601F5C"/>
    <w:rsid w:val="00605A07"/>
    <w:rsid w:val="00606379"/>
    <w:rsid w:val="00607E20"/>
    <w:rsid w:val="00625E0D"/>
    <w:rsid w:val="006648CA"/>
    <w:rsid w:val="00684808"/>
    <w:rsid w:val="00694DFA"/>
    <w:rsid w:val="006A4635"/>
    <w:rsid w:val="006C2CA9"/>
    <w:rsid w:val="006C2F85"/>
    <w:rsid w:val="006C66C8"/>
    <w:rsid w:val="006C74D7"/>
    <w:rsid w:val="006D17F0"/>
    <w:rsid w:val="006E7CD4"/>
    <w:rsid w:val="006F351F"/>
    <w:rsid w:val="0070262D"/>
    <w:rsid w:val="007263BC"/>
    <w:rsid w:val="00734B5D"/>
    <w:rsid w:val="00736707"/>
    <w:rsid w:val="00770D53"/>
    <w:rsid w:val="00784D6F"/>
    <w:rsid w:val="007C3667"/>
    <w:rsid w:val="007D3BDB"/>
    <w:rsid w:val="007D5F12"/>
    <w:rsid w:val="007E302F"/>
    <w:rsid w:val="007F0DC5"/>
    <w:rsid w:val="008010CA"/>
    <w:rsid w:val="00801128"/>
    <w:rsid w:val="008329BE"/>
    <w:rsid w:val="00844B74"/>
    <w:rsid w:val="00861244"/>
    <w:rsid w:val="0089006D"/>
    <w:rsid w:val="008A4794"/>
    <w:rsid w:val="008B3D5A"/>
    <w:rsid w:val="008C0951"/>
    <w:rsid w:val="008F3F7B"/>
    <w:rsid w:val="00912C56"/>
    <w:rsid w:val="00933926"/>
    <w:rsid w:val="00933B5C"/>
    <w:rsid w:val="00936261"/>
    <w:rsid w:val="0094218D"/>
    <w:rsid w:val="0095355F"/>
    <w:rsid w:val="00971F0E"/>
    <w:rsid w:val="00993797"/>
    <w:rsid w:val="00993F3F"/>
    <w:rsid w:val="009A490F"/>
    <w:rsid w:val="009C50CB"/>
    <w:rsid w:val="009D2A9E"/>
    <w:rsid w:val="009D658C"/>
    <w:rsid w:val="009E4AC8"/>
    <w:rsid w:val="009F3D3E"/>
    <w:rsid w:val="00A06CDD"/>
    <w:rsid w:val="00A27123"/>
    <w:rsid w:val="00A52190"/>
    <w:rsid w:val="00A6016E"/>
    <w:rsid w:val="00A84B05"/>
    <w:rsid w:val="00A96816"/>
    <w:rsid w:val="00AA3557"/>
    <w:rsid w:val="00AB75B0"/>
    <w:rsid w:val="00B33096"/>
    <w:rsid w:val="00B41C5D"/>
    <w:rsid w:val="00B441A2"/>
    <w:rsid w:val="00B66781"/>
    <w:rsid w:val="00B854F3"/>
    <w:rsid w:val="00B85F78"/>
    <w:rsid w:val="00BA0041"/>
    <w:rsid w:val="00BB53E3"/>
    <w:rsid w:val="00BE0BB9"/>
    <w:rsid w:val="00C05347"/>
    <w:rsid w:val="00C05517"/>
    <w:rsid w:val="00C07593"/>
    <w:rsid w:val="00C3267E"/>
    <w:rsid w:val="00C430B2"/>
    <w:rsid w:val="00C578FA"/>
    <w:rsid w:val="00C57D96"/>
    <w:rsid w:val="00CB0346"/>
    <w:rsid w:val="00CC61B3"/>
    <w:rsid w:val="00CD66FA"/>
    <w:rsid w:val="00CD7FED"/>
    <w:rsid w:val="00CE27C9"/>
    <w:rsid w:val="00CF0056"/>
    <w:rsid w:val="00CF7BB0"/>
    <w:rsid w:val="00D01FE4"/>
    <w:rsid w:val="00D4768A"/>
    <w:rsid w:val="00D50F63"/>
    <w:rsid w:val="00D672DF"/>
    <w:rsid w:val="00D74DEA"/>
    <w:rsid w:val="00D922A3"/>
    <w:rsid w:val="00DB0931"/>
    <w:rsid w:val="00DC3D19"/>
    <w:rsid w:val="00DE5487"/>
    <w:rsid w:val="00E04CEA"/>
    <w:rsid w:val="00E14DFF"/>
    <w:rsid w:val="00E227F4"/>
    <w:rsid w:val="00E23C1B"/>
    <w:rsid w:val="00E276CB"/>
    <w:rsid w:val="00E43876"/>
    <w:rsid w:val="00E45B95"/>
    <w:rsid w:val="00E762FA"/>
    <w:rsid w:val="00E878AC"/>
    <w:rsid w:val="00ED225D"/>
    <w:rsid w:val="00EF0394"/>
    <w:rsid w:val="00F01061"/>
    <w:rsid w:val="00F3077C"/>
    <w:rsid w:val="00F42B5B"/>
    <w:rsid w:val="00F43D8A"/>
    <w:rsid w:val="00F44297"/>
    <w:rsid w:val="00F5115A"/>
    <w:rsid w:val="00F53D13"/>
    <w:rsid w:val="00F571A0"/>
    <w:rsid w:val="00F60CBB"/>
    <w:rsid w:val="00F67B0A"/>
    <w:rsid w:val="00F7647E"/>
    <w:rsid w:val="00F84C95"/>
    <w:rsid w:val="00FA0C9D"/>
    <w:rsid w:val="00FA1208"/>
    <w:rsid w:val="00FA7C2A"/>
    <w:rsid w:val="00FB7378"/>
    <w:rsid w:val="00FD6630"/>
    <w:rsid w:val="00FF0B74"/>
    <w:rsid w:val="00FF0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0118D"/>
  <w15:chartTrackingRefBased/>
  <w15:docId w15:val="{FA103F63-C37C-5449-ACA5-E93DF267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9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C90"/>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C90"/>
    <w:pPr>
      <w:ind w:left="720"/>
      <w:contextualSpacing/>
    </w:pPr>
  </w:style>
  <w:style w:type="paragraph" w:customStyle="1" w:styleId="s22">
    <w:name w:val="s22"/>
    <w:basedOn w:val="Normal"/>
    <w:rsid w:val="005C0C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6">
    <w:name w:val="s6"/>
    <w:basedOn w:val="DefaultParagraphFont"/>
    <w:rsid w:val="005C0C90"/>
  </w:style>
  <w:style w:type="character" w:customStyle="1" w:styleId="s7">
    <w:name w:val="s7"/>
    <w:basedOn w:val="DefaultParagraphFont"/>
    <w:rsid w:val="005C0C90"/>
  </w:style>
  <w:style w:type="character" w:customStyle="1" w:styleId="apple-converted-space">
    <w:name w:val="apple-converted-space"/>
    <w:basedOn w:val="DefaultParagraphFont"/>
    <w:rsid w:val="005C0C90"/>
  </w:style>
  <w:style w:type="character" w:customStyle="1" w:styleId="s15">
    <w:name w:val="s15"/>
    <w:basedOn w:val="DefaultParagraphFont"/>
    <w:rsid w:val="005C0C90"/>
  </w:style>
  <w:style w:type="character" w:styleId="CommentReference">
    <w:name w:val="annotation reference"/>
    <w:basedOn w:val="DefaultParagraphFont"/>
    <w:uiPriority w:val="99"/>
    <w:semiHidden/>
    <w:unhideWhenUsed/>
    <w:rsid w:val="00F84C95"/>
    <w:rPr>
      <w:sz w:val="16"/>
      <w:szCs w:val="16"/>
    </w:rPr>
  </w:style>
  <w:style w:type="paragraph" w:styleId="CommentText">
    <w:name w:val="annotation text"/>
    <w:basedOn w:val="Normal"/>
    <w:link w:val="CommentTextChar"/>
    <w:uiPriority w:val="99"/>
    <w:semiHidden/>
    <w:unhideWhenUsed/>
    <w:rsid w:val="00F84C95"/>
    <w:pPr>
      <w:spacing w:line="240" w:lineRule="auto"/>
    </w:pPr>
    <w:rPr>
      <w:sz w:val="20"/>
      <w:szCs w:val="20"/>
    </w:rPr>
  </w:style>
  <w:style w:type="character" w:customStyle="1" w:styleId="CommentTextChar">
    <w:name w:val="Comment Text Char"/>
    <w:basedOn w:val="DefaultParagraphFont"/>
    <w:link w:val="CommentText"/>
    <w:uiPriority w:val="99"/>
    <w:semiHidden/>
    <w:rsid w:val="00F84C95"/>
    <w:rPr>
      <w:sz w:val="20"/>
      <w:szCs w:val="20"/>
    </w:rPr>
  </w:style>
  <w:style w:type="paragraph" w:styleId="CommentSubject">
    <w:name w:val="annotation subject"/>
    <w:basedOn w:val="CommentText"/>
    <w:next w:val="CommentText"/>
    <w:link w:val="CommentSubjectChar"/>
    <w:uiPriority w:val="99"/>
    <w:semiHidden/>
    <w:unhideWhenUsed/>
    <w:rsid w:val="00F84C95"/>
    <w:rPr>
      <w:b/>
      <w:bCs/>
    </w:rPr>
  </w:style>
  <w:style w:type="character" w:customStyle="1" w:styleId="CommentSubjectChar">
    <w:name w:val="Comment Subject Char"/>
    <w:basedOn w:val="CommentTextChar"/>
    <w:link w:val="CommentSubject"/>
    <w:uiPriority w:val="99"/>
    <w:semiHidden/>
    <w:rsid w:val="00F84C95"/>
    <w:rPr>
      <w:b/>
      <w:bCs/>
      <w:sz w:val="20"/>
      <w:szCs w:val="20"/>
    </w:rPr>
  </w:style>
  <w:style w:type="paragraph" w:styleId="Header">
    <w:name w:val="header"/>
    <w:basedOn w:val="Normal"/>
    <w:link w:val="HeaderChar"/>
    <w:uiPriority w:val="99"/>
    <w:unhideWhenUsed/>
    <w:rsid w:val="0021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E2B"/>
    <w:rPr>
      <w:sz w:val="22"/>
      <w:szCs w:val="22"/>
    </w:rPr>
  </w:style>
  <w:style w:type="paragraph" w:styleId="Footer">
    <w:name w:val="footer"/>
    <w:basedOn w:val="Normal"/>
    <w:link w:val="FooterChar"/>
    <w:uiPriority w:val="99"/>
    <w:unhideWhenUsed/>
    <w:rsid w:val="0021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E2B"/>
    <w:rPr>
      <w:sz w:val="22"/>
      <w:szCs w:val="22"/>
    </w:rPr>
  </w:style>
  <w:style w:type="paragraph" w:customStyle="1" w:styleId="EndNoteBibliographyTitle">
    <w:name w:val="EndNote Bibliography Title"/>
    <w:basedOn w:val="Normal"/>
    <w:link w:val="EndNoteBibliographyTitleChar"/>
    <w:rsid w:val="002E5AC0"/>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2E5AC0"/>
    <w:rPr>
      <w:rFonts w:ascii="Calibri" w:hAnsi="Calibri" w:cs="Calibri"/>
      <w:sz w:val="22"/>
      <w:szCs w:val="22"/>
    </w:rPr>
  </w:style>
  <w:style w:type="paragraph" w:customStyle="1" w:styleId="EndNoteBibliography">
    <w:name w:val="EndNote Bibliography"/>
    <w:basedOn w:val="Normal"/>
    <w:link w:val="EndNoteBibliographyChar"/>
    <w:rsid w:val="002E5AC0"/>
    <w:pPr>
      <w:spacing w:line="240" w:lineRule="auto"/>
      <w:jc w:val="both"/>
    </w:pPr>
    <w:rPr>
      <w:rFonts w:ascii="Calibri" w:hAnsi="Calibri" w:cs="Calibri"/>
    </w:rPr>
  </w:style>
  <w:style w:type="character" w:customStyle="1" w:styleId="EndNoteBibliographyChar">
    <w:name w:val="EndNote Bibliography Char"/>
    <w:basedOn w:val="DefaultParagraphFont"/>
    <w:link w:val="EndNoteBibliography"/>
    <w:rsid w:val="002E5AC0"/>
    <w:rPr>
      <w:rFonts w:ascii="Calibri" w:hAnsi="Calibri" w:cs="Calibri"/>
      <w:sz w:val="22"/>
      <w:szCs w:val="22"/>
    </w:rPr>
  </w:style>
  <w:style w:type="character" w:styleId="Hyperlink">
    <w:name w:val="Hyperlink"/>
    <w:basedOn w:val="DefaultParagraphFont"/>
    <w:uiPriority w:val="99"/>
    <w:unhideWhenUsed/>
    <w:rsid w:val="00971F0E"/>
    <w:rPr>
      <w:color w:val="0563C1" w:themeColor="hyperlink"/>
      <w:u w:val="single"/>
    </w:rPr>
  </w:style>
  <w:style w:type="character" w:styleId="UnresolvedMention">
    <w:name w:val="Unresolved Mention"/>
    <w:basedOn w:val="DefaultParagraphFont"/>
    <w:uiPriority w:val="99"/>
    <w:semiHidden/>
    <w:unhideWhenUsed/>
    <w:rsid w:val="00CE27C9"/>
    <w:rPr>
      <w:color w:val="605E5C"/>
      <w:shd w:val="clear" w:color="auto" w:fill="E1DFDD"/>
    </w:rPr>
  </w:style>
  <w:style w:type="paragraph" w:styleId="PlainText">
    <w:name w:val="Plain Text"/>
    <w:basedOn w:val="Normal"/>
    <w:link w:val="PlainTextChar"/>
    <w:uiPriority w:val="99"/>
    <w:unhideWhenUsed/>
    <w:rsid w:val="00E227F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E227F4"/>
    <w:rPr>
      <w:rFonts w:ascii="Consolas" w:hAnsi="Consolas" w:cs="Consolas"/>
      <w:sz w:val="21"/>
      <w:szCs w:val="21"/>
    </w:rPr>
  </w:style>
  <w:style w:type="paragraph" w:styleId="Revision">
    <w:name w:val="Revision"/>
    <w:hidden/>
    <w:uiPriority w:val="99"/>
    <w:semiHidden/>
    <w:rsid w:val="007E302F"/>
    <w:rPr>
      <w:sz w:val="22"/>
      <w:szCs w:val="22"/>
    </w:rPr>
  </w:style>
  <w:style w:type="paragraph" w:styleId="Bibliography">
    <w:name w:val="Bibliography"/>
    <w:basedOn w:val="Normal"/>
    <w:next w:val="Normal"/>
    <w:uiPriority w:val="37"/>
    <w:unhideWhenUsed/>
    <w:rsid w:val="00C0551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78504">
      <w:bodyDiv w:val="1"/>
      <w:marLeft w:val="0"/>
      <w:marRight w:val="0"/>
      <w:marTop w:val="0"/>
      <w:marBottom w:val="0"/>
      <w:divBdr>
        <w:top w:val="none" w:sz="0" w:space="0" w:color="auto"/>
        <w:left w:val="none" w:sz="0" w:space="0" w:color="auto"/>
        <w:bottom w:val="none" w:sz="0" w:space="0" w:color="auto"/>
        <w:right w:val="none" w:sz="0" w:space="0" w:color="auto"/>
      </w:divBdr>
    </w:div>
    <w:div w:id="442117293">
      <w:bodyDiv w:val="1"/>
      <w:marLeft w:val="0"/>
      <w:marRight w:val="0"/>
      <w:marTop w:val="0"/>
      <w:marBottom w:val="0"/>
      <w:divBdr>
        <w:top w:val="none" w:sz="0" w:space="0" w:color="auto"/>
        <w:left w:val="none" w:sz="0" w:space="0" w:color="auto"/>
        <w:bottom w:val="none" w:sz="0" w:space="0" w:color="auto"/>
        <w:right w:val="none" w:sz="0" w:space="0" w:color="auto"/>
      </w:divBdr>
      <w:divsChild>
        <w:div w:id="1726948020">
          <w:marLeft w:val="0"/>
          <w:marRight w:val="0"/>
          <w:marTop w:val="0"/>
          <w:marBottom w:val="0"/>
          <w:divBdr>
            <w:top w:val="single" w:sz="2" w:space="0" w:color="D9D9E3"/>
            <w:left w:val="single" w:sz="2" w:space="0" w:color="D9D9E3"/>
            <w:bottom w:val="single" w:sz="2" w:space="0" w:color="D9D9E3"/>
            <w:right w:val="single" w:sz="2" w:space="0" w:color="D9D9E3"/>
          </w:divBdr>
          <w:divsChild>
            <w:div w:id="746417162">
              <w:marLeft w:val="0"/>
              <w:marRight w:val="0"/>
              <w:marTop w:val="0"/>
              <w:marBottom w:val="0"/>
              <w:divBdr>
                <w:top w:val="single" w:sz="2" w:space="0" w:color="D9D9E3"/>
                <w:left w:val="single" w:sz="2" w:space="0" w:color="D9D9E3"/>
                <w:bottom w:val="single" w:sz="2" w:space="0" w:color="D9D9E3"/>
                <w:right w:val="single" w:sz="2" w:space="0" w:color="D9D9E3"/>
              </w:divBdr>
              <w:divsChild>
                <w:div w:id="565186112">
                  <w:marLeft w:val="0"/>
                  <w:marRight w:val="0"/>
                  <w:marTop w:val="0"/>
                  <w:marBottom w:val="0"/>
                  <w:divBdr>
                    <w:top w:val="single" w:sz="2" w:space="0" w:color="D9D9E3"/>
                    <w:left w:val="single" w:sz="2" w:space="0" w:color="D9D9E3"/>
                    <w:bottom w:val="single" w:sz="2" w:space="0" w:color="D9D9E3"/>
                    <w:right w:val="single" w:sz="2" w:space="0" w:color="D9D9E3"/>
                  </w:divBdr>
                  <w:divsChild>
                    <w:div w:id="860700">
                      <w:marLeft w:val="0"/>
                      <w:marRight w:val="0"/>
                      <w:marTop w:val="0"/>
                      <w:marBottom w:val="0"/>
                      <w:divBdr>
                        <w:top w:val="single" w:sz="2" w:space="0" w:color="D9D9E3"/>
                        <w:left w:val="single" w:sz="2" w:space="0" w:color="D9D9E3"/>
                        <w:bottom w:val="single" w:sz="2" w:space="0" w:color="D9D9E3"/>
                        <w:right w:val="single" w:sz="2" w:space="0" w:color="D9D9E3"/>
                      </w:divBdr>
                      <w:divsChild>
                        <w:div w:id="94595573">
                          <w:marLeft w:val="0"/>
                          <w:marRight w:val="0"/>
                          <w:marTop w:val="0"/>
                          <w:marBottom w:val="0"/>
                          <w:divBdr>
                            <w:top w:val="single" w:sz="2" w:space="0" w:color="D9D9E3"/>
                            <w:left w:val="single" w:sz="2" w:space="0" w:color="D9D9E3"/>
                            <w:bottom w:val="single" w:sz="2" w:space="0" w:color="D9D9E3"/>
                            <w:right w:val="single" w:sz="2" w:space="0" w:color="D9D9E3"/>
                          </w:divBdr>
                          <w:divsChild>
                            <w:div w:id="75593973">
                              <w:marLeft w:val="0"/>
                              <w:marRight w:val="0"/>
                              <w:marTop w:val="100"/>
                              <w:marBottom w:val="100"/>
                              <w:divBdr>
                                <w:top w:val="single" w:sz="2" w:space="0" w:color="D9D9E3"/>
                                <w:left w:val="single" w:sz="2" w:space="0" w:color="D9D9E3"/>
                                <w:bottom w:val="single" w:sz="2" w:space="0" w:color="D9D9E3"/>
                                <w:right w:val="single" w:sz="2" w:space="0" w:color="D9D9E3"/>
                              </w:divBdr>
                              <w:divsChild>
                                <w:div w:id="1592472836">
                                  <w:marLeft w:val="0"/>
                                  <w:marRight w:val="0"/>
                                  <w:marTop w:val="0"/>
                                  <w:marBottom w:val="0"/>
                                  <w:divBdr>
                                    <w:top w:val="single" w:sz="2" w:space="0" w:color="D9D9E3"/>
                                    <w:left w:val="single" w:sz="2" w:space="0" w:color="D9D9E3"/>
                                    <w:bottom w:val="single" w:sz="2" w:space="0" w:color="D9D9E3"/>
                                    <w:right w:val="single" w:sz="2" w:space="0" w:color="D9D9E3"/>
                                  </w:divBdr>
                                  <w:divsChild>
                                    <w:div w:id="1505319681">
                                      <w:marLeft w:val="0"/>
                                      <w:marRight w:val="0"/>
                                      <w:marTop w:val="0"/>
                                      <w:marBottom w:val="0"/>
                                      <w:divBdr>
                                        <w:top w:val="single" w:sz="2" w:space="0" w:color="D9D9E3"/>
                                        <w:left w:val="single" w:sz="2" w:space="0" w:color="D9D9E3"/>
                                        <w:bottom w:val="single" w:sz="2" w:space="0" w:color="D9D9E3"/>
                                        <w:right w:val="single" w:sz="2" w:space="0" w:color="D9D9E3"/>
                                      </w:divBdr>
                                      <w:divsChild>
                                        <w:div w:id="2074083520">
                                          <w:marLeft w:val="0"/>
                                          <w:marRight w:val="0"/>
                                          <w:marTop w:val="0"/>
                                          <w:marBottom w:val="0"/>
                                          <w:divBdr>
                                            <w:top w:val="single" w:sz="2" w:space="0" w:color="D9D9E3"/>
                                            <w:left w:val="single" w:sz="2" w:space="0" w:color="D9D9E3"/>
                                            <w:bottom w:val="single" w:sz="2" w:space="0" w:color="D9D9E3"/>
                                            <w:right w:val="single" w:sz="2" w:space="0" w:color="D9D9E3"/>
                                          </w:divBdr>
                                          <w:divsChild>
                                            <w:div w:id="60754274">
                                              <w:marLeft w:val="0"/>
                                              <w:marRight w:val="0"/>
                                              <w:marTop w:val="0"/>
                                              <w:marBottom w:val="0"/>
                                              <w:divBdr>
                                                <w:top w:val="single" w:sz="2" w:space="0" w:color="D9D9E3"/>
                                                <w:left w:val="single" w:sz="2" w:space="0" w:color="D9D9E3"/>
                                                <w:bottom w:val="single" w:sz="2" w:space="0" w:color="D9D9E3"/>
                                                <w:right w:val="single" w:sz="2" w:space="0" w:color="D9D9E3"/>
                                              </w:divBdr>
                                              <w:divsChild>
                                                <w:div w:id="1550264580">
                                                  <w:marLeft w:val="0"/>
                                                  <w:marRight w:val="0"/>
                                                  <w:marTop w:val="0"/>
                                                  <w:marBottom w:val="0"/>
                                                  <w:divBdr>
                                                    <w:top w:val="single" w:sz="2" w:space="0" w:color="D9D9E3"/>
                                                    <w:left w:val="single" w:sz="2" w:space="0" w:color="D9D9E3"/>
                                                    <w:bottom w:val="single" w:sz="2" w:space="0" w:color="D9D9E3"/>
                                                    <w:right w:val="single" w:sz="2" w:space="0" w:color="D9D9E3"/>
                                                  </w:divBdr>
                                                  <w:divsChild>
                                                    <w:div w:id="2066485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3028909">
          <w:marLeft w:val="0"/>
          <w:marRight w:val="0"/>
          <w:marTop w:val="0"/>
          <w:marBottom w:val="0"/>
          <w:divBdr>
            <w:top w:val="none" w:sz="0" w:space="0" w:color="auto"/>
            <w:left w:val="none" w:sz="0" w:space="0" w:color="auto"/>
            <w:bottom w:val="none" w:sz="0" w:space="0" w:color="auto"/>
            <w:right w:val="none" w:sz="0" w:space="0" w:color="auto"/>
          </w:divBdr>
          <w:divsChild>
            <w:div w:id="1059282671">
              <w:marLeft w:val="0"/>
              <w:marRight w:val="0"/>
              <w:marTop w:val="0"/>
              <w:marBottom w:val="0"/>
              <w:divBdr>
                <w:top w:val="single" w:sz="2" w:space="0" w:color="D9D9E3"/>
                <w:left w:val="single" w:sz="2" w:space="0" w:color="D9D9E3"/>
                <w:bottom w:val="single" w:sz="2" w:space="0" w:color="D9D9E3"/>
                <w:right w:val="single" w:sz="2" w:space="0" w:color="D9D9E3"/>
              </w:divBdr>
              <w:divsChild>
                <w:div w:id="20208134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93168868">
      <w:bodyDiv w:val="1"/>
      <w:marLeft w:val="0"/>
      <w:marRight w:val="0"/>
      <w:marTop w:val="0"/>
      <w:marBottom w:val="0"/>
      <w:divBdr>
        <w:top w:val="none" w:sz="0" w:space="0" w:color="auto"/>
        <w:left w:val="none" w:sz="0" w:space="0" w:color="auto"/>
        <w:bottom w:val="none" w:sz="0" w:space="0" w:color="auto"/>
        <w:right w:val="none" w:sz="0" w:space="0" w:color="auto"/>
      </w:divBdr>
      <w:divsChild>
        <w:div w:id="1927767504">
          <w:marLeft w:val="0"/>
          <w:marRight w:val="0"/>
          <w:marTop w:val="0"/>
          <w:marBottom w:val="0"/>
          <w:divBdr>
            <w:top w:val="single" w:sz="2" w:space="0" w:color="D9D9E3"/>
            <w:left w:val="single" w:sz="2" w:space="0" w:color="D9D9E3"/>
            <w:bottom w:val="single" w:sz="2" w:space="0" w:color="D9D9E3"/>
            <w:right w:val="single" w:sz="2" w:space="0" w:color="D9D9E3"/>
          </w:divBdr>
          <w:divsChild>
            <w:div w:id="688412748">
              <w:marLeft w:val="0"/>
              <w:marRight w:val="0"/>
              <w:marTop w:val="0"/>
              <w:marBottom w:val="0"/>
              <w:divBdr>
                <w:top w:val="single" w:sz="2" w:space="0" w:color="D9D9E3"/>
                <w:left w:val="single" w:sz="2" w:space="0" w:color="D9D9E3"/>
                <w:bottom w:val="single" w:sz="2" w:space="0" w:color="D9D9E3"/>
                <w:right w:val="single" w:sz="2" w:space="0" w:color="D9D9E3"/>
              </w:divBdr>
              <w:divsChild>
                <w:div w:id="811753787">
                  <w:marLeft w:val="0"/>
                  <w:marRight w:val="0"/>
                  <w:marTop w:val="0"/>
                  <w:marBottom w:val="0"/>
                  <w:divBdr>
                    <w:top w:val="single" w:sz="2" w:space="0" w:color="D9D9E3"/>
                    <w:left w:val="single" w:sz="2" w:space="0" w:color="D9D9E3"/>
                    <w:bottom w:val="single" w:sz="2" w:space="0" w:color="D9D9E3"/>
                    <w:right w:val="single" w:sz="2" w:space="0" w:color="D9D9E3"/>
                  </w:divBdr>
                  <w:divsChild>
                    <w:div w:id="248391657">
                      <w:marLeft w:val="0"/>
                      <w:marRight w:val="0"/>
                      <w:marTop w:val="0"/>
                      <w:marBottom w:val="0"/>
                      <w:divBdr>
                        <w:top w:val="single" w:sz="2" w:space="0" w:color="D9D9E3"/>
                        <w:left w:val="single" w:sz="2" w:space="0" w:color="D9D9E3"/>
                        <w:bottom w:val="single" w:sz="2" w:space="0" w:color="D9D9E3"/>
                        <w:right w:val="single" w:sz="2" w:space="0" w:color="D9D9E3"/>
                      </w:divBdr>
                      <w:divsChild>
                        <w:div w:id="569342778">
                          <w:marLeft w:val="0"/>
                          <w:marRight w:val="0"/>
                          <w:marTop w:val="0"/>
                          <w:marBottom w:val="0"/>
                          <w:divBdr>
                            <w:top w:val="single" w:sz="2" w:space="0" w:color="D9D9E3"/>
                            <w:left w:val="single" w:sz="2" w:space="0" w:color="D9D9E3"/>
                            <w:bottom w:val="single" w:sz="2" w:space="0" w:color="D9D9E3"/>
                            <w:right w:val="single" w:sz="2" w:space="0" w:color="D9D9E3"/>
                          </w:divBdr>
                          <w:divsChild>
                            <w:div w:id="1050615537">
                              <w:marLeft w:val="0"/>
                              <w:marRight w:val="0"/>
                              <w:marTop w:val="100"/>
                              <w:marBottom w:val="100"/>
                              <w:divBdr>
                                <w:top w:val="single" w:sz="2" w:space="0" w:color="D9D9E3"/>
                                <w:left w:val="single" w:sz="2" w:space="0" w:color="D9D9E3"/>
                                <w:bottom w:val="single" w:sz="2" w:space="0" w:color="D9D9E3"/>
                                <w:right w:val="single" w:sz="2" w:space="0" w:color="D9D9E3"/>
                              </w:divBdr>
                              <w:divsChild>
                                <w:div w:id="614871108">
                                  <w:marLeft w:val="0"/>
                                  <w:marRight w:val="0"/>
                                  <w:marTop w:val="0"/>
                                  <w:marBottom w:val="0"/>
                                  <w:divBdr>
                                    <w:top w:val="single" w:sz="2" w:space="0" w:color="D9D9E3"/>
                                    <w:left w:val="single" w:sz="2" w:space="0" w:color="D9D9E3"/>
                                    <w:bottom w:val="single" w:sz="2" w:space="0" w:color="D9D9E3"/>
                                    <w:right w:val="single" w:sz="2" w:space="0" w:color="D9D9E3"/>
                                  </w:divBdr>
                                  <w:divsChild>
                                    <w:div w:id="798887928">
                                      <w:marLeft w:val="0"/>
                                      <w:marRight w:val="0"/>
                                      <w:marTop w:val="0"/>
                                      <w:marBottom w:val="0"/>
                                      <w:divBdr>
                                        <w:top w:val="single" w:sz="2" w:space="0" w:color="D9D9E3"/>
                                        <w:left w:val="single" w:sz="2" w:space="0" w:color="D9D9E3"/>
                                        <w:bottom w:val="single" w:sz="2" w:space="0" w:color="D9D9E3"/>
                                        <w:right w:val="single" w:sz="2" w:space="0" w:color="D9D9E3"/>
                                      </w:divBdr>
                                      <w:divsChild>
                                        <w:div w:id="208492201">
                                          <w:marLeft w:val="0"/>
                                          <w:marRight w:val="0"/>
                                          <w:marTop w:val="0"/>
                                          <w:marBottom w:val="0"/>
                                          <w:divBdr>
                                            <w:top w:val="single" w:sz="2" w:space="0" w:color="D9D9E3"/>
                                            <w:left w:val="single" w:sz="2" w:space="0" w:color="D9D9E3"/>
                                            <w:bottom w:val="single" w:sz="2" w:space="0" w:color="D9D9E3"/>
                                            <w:right w:val="single" w:sz="2" w:space="0" w:color="D9D9E3"/>
                                          </w:divBdr>
                                          <w:divsChild>
                                            <w:div w:id="2056006469">
                                              <w:marLeft w:val="0"/>
                                              <w:marRight w:val="0"/>
                                              <w:marTop w:val="0"/>
                                              <w:marBottom w:val="0"/>
                                              <w:divBdr>
                                                <w:top w:val="single" w:sz="2" w:space="0" w:color="D9D9E3"/>
                                                <w:left w:val="single" w:sz="2" w:space="0" w:color="D9D9E3"/>
                                                <w:bottom w:val="single" w:sz="2" w:space="0" w:color="D9D9E3"/>
                                                <w:right w:val="single" w:sz="2" w:space="0" w:color="D9D9E3"/>
                                              </w:divBdr>
                                              <w:divsChild>
                                                <w:div w:id="1348287405">
                                                  <w:marLeft w:val="0"/>
                                                  <w:marRight w:val="0"/>
                                                  <w:marTop w:val="0"/>
                                                  <w:marBottom w:val="0"/>
                                                  <w:divBdr>
                                                    <w:top w:val="single" w:sz="2" w:space="0" w:color="D9D9E3"/>
                                                    <w:left w:val="single" w:sz="2" w:space="0" w:color="D9D9E3"/>
                                                    <w:bottom w:val="single" w:sz="2" w:space="0" w:color="D9D9E3"/>
                                                    <w:right w:val="single" w:sz="2" w:space="0" w:color="D9D9E3"/>
                                                  </w:divBdr>
                                                  <w:divsChild>
                                                    <w:div w:id="744648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36829188">
          <w:marLeft w:val="0"/>
          <w:marRight w:val="0"/>
          <w:marTop w:val="0"/>
          <w:marBottom w:val="0"/>
          <w:divBdr>
            <w:top w:val="none" w:sz="0" w:space="0" w:color="auto"/>
            <w:left w:val="none" w:sz="0" w:space="0" w:color="auto"/>
            <w:bottom w:val="none" w:sz="0" w:space="0" w:color="auto"/>
            <w:right w:val="none" w:sz="0" w:space="0" w:color="auto"/>
          </w:divBdr>
          <w:divsChild>
            <w:div w:id="1319075804">
              <w:marLeft w:val="0"/>
              <w:marRight w:val="0"/>
              <w:marTop w:val="0"/>
              <w:marBottom w:val="0"/>
              <w:divBdr>
                <w:top w:val="single" w:sz="2" w:space="0" w:color="D9D9E3"/>
                <w:left w:val="single" w:sz="2" w:space="0" w:color="D9D9E3"/>
                <w:bottom w:val="single" w:sz="2" w:space="0" w:color="D9D9E3"/>
                <w:right w:val="single" w:sz="2" w:space="0" w:color="D9D9E3"/>
              </w:divBdr>
              <w:divsChild>
                <w:div w:id="1090092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625963267">
      <w:bodyDiv w:val="1"/>
      <w:marLeft w:val="0"/>
      <w:marRight w:val="0"/>
      <w:marTop w:val="0"/>
      <w:marBottom w:val="0"/>
      <w:divBdr>
        <w:top w:val="none" w:sz="0" w:space="0" w:color="auto"/>
        <w:left w:val="none" w:sz="0" w:space="0" w:color="auto"/>
        <w:bottom w:val="none" w:sz="0" w:space="0" w:color="auto"/>
        <w:right w:val="none" w:sz="0" w:space="0" w:color="auto"/>
      </w:divBdr>
    </w:div>
    <w:div w:id="673338528">
      <w:bodyDiv w:val="1"/>
      <w:marLeft w:val="0"/>
      <w:marRight w:val="0"/>
      <w:marTop w:val="0"/>
      <w:marBottom w:val="0"/>
      <w:divBdr>
        <w:top w:val="none" w:sz="0" w:space="0" w:color="auto"/>
        <w:left w:val="none" w:sz="0" w:space="0" w:color="auto"/>
        <w:bottom w:val="none" w:sz="0" w:space="0" w:color="auto"/>
        <w:right w:val="none" w:sz="0" w:space="0" w:color="auto"/>
      </w:divBdr>
    </w:div>
    <w:div w:id="1282953745">
      <w:bodyDiv w:val="1"/>
      <w:marLeft w:val="0"/>
      <w:marRight w:val="0"/>
      <w:marTop w:val="0"/>
      <w:marBottom w:val="0"/>
      <w:divBdr>
        <w:top w:val="none" w:sz="0" w:space="0" w:color="auto"/>
        <w:left w:val="none" w:sz="0" w:space="0" w:color="auto"/>
        <w:bottom w:val="none" w:sz="0" w:space="0" w:color="auto"/>
        <w:right w:val="none" w:sz="0" w:space="0" w:color="auto"/>
      </w:divBdr>
    </w:div>
    <w:div w:id="1631325285">
      <w:bodyDiv w:val="1"/>
      <w:marLeft w:val="0"/>
      <w:marRight w:val="0"/>
      <w:marTop w:val="0"/>
      <w:marBottom w:val="0"/>
      <w:divBdr>
        <w:top w:val="none" w:sz="0" w:space="0" w:color="auto"/>
        <w:left w:val="none" w:sz="0" w:space="0" w:color="auto"/>
        <w:bottom w:val="none" w:sz="0" w:space="0" w:color="auto"/>
        <w:right w:val="none" w:sz="0" w:space="0" w:color="auto"/>
      </w:divBdr>
    </w:div>
    <w:div w:id="2105415006">
      <w:bodyDiv w:val="1"/>
      <w:marLeft w:val="0"/>
      <w:marRight w:val="0"/>
      <w:marTop w:val="0"/>
      <w:marBottom w:val="0"/>
      <w:divBdr>
        <w:top w:val="none" w:sz="0" w:space="0" w:color="auto"/>
        <w:left w:val="none" w:sz="0" w:space="0" w:color="auto"/>
        <w:bottom w:val="none" w:sz="0" w:space="0" w:color="auto"/>
        <w:right w:val="none" w:sz="0" w:space="0" w:color="auto"/>
      </w:divBdr>
      <w:divsChild>
        <w:div w:id="1615746538">
          <w:marLeft w:val="0"/>
          <w:marRight w:val="0"/>
          <w:marTop w:val="0"/>
          <w:marBottom w:val="0"/>
          <w:divBdr>
            <w:top w:val="single" w:sz="2" w:space="0" w:color="D9D9E3"/>
            <w:left w:val="single" w:sz="2" w:space="0" w:color="D9D9E3"/>
            <w:bottom w:val="single" w:sz="2" w:space="0" w:color="D9D9E3"/>
            <w:right w:val="single" w:sz="2" w:space="0" w:color="D9D9E3"/>
          </w:divBdr>
          <w:divsChild>
            <w:div w:id="2014843127">
              <w:marLeft w:val="0"/>
              <w:marRight w:val="0"/>
              <w:marTop w:val="0"/>
              <w:marBottom w:val="0"/>
              <w:divBdr>
                <w:top w:val="single" w:sz="2" w:space="0" w:color="D9D9E3"/>
                <w:left w:val="single" w:sz="2" w:space="0" w:color="D9D9E3"/>
                <w:bottom w:val="single" w:sz="2" w:space="0" w:color="D9D9E3"/>
                <w:right w:val="single" w:sz="2" w:space="0" w:color="D9D9E3"/>
              </w:divBdr>
              <w:divsChild>
                <w:div w:id="2025784240">
                  <w:marLeft w:val="0"/>
                  <w:marRight w:val="0"/>
                  <w:marTop w:val="0"/>
                  <w:marBottom w:val="0"/>
                  <w:divBdr>
                    <w:top w:val="single" w:sz="2" w:space="0" w:color="D9D9E3"/>
                    <w:left w:val="single" w:sz="2" w:space="0" w:color="D9D9E3"/>
                    <w:bottom w:val="single" w:sz="2" w:space="0" w:color="D9D9E3"/>
                    <w:right w:val="single" w:sz="2" w:space="0" w:color="D9D9E3"/>
                  </w:divBdr>
                  <w:divsChild>
                    <w:div w:id="1699814335">
                      <w:marLeft w:val="0"/>
                      <w:marRight w:val="0"/>
                      <w:marTop w:val="0"/>
                      <w:marBottom w:val="0"/>
                      <w:divBdr>
                        <w:top w:val="single" w:sz="2" w:space="0" w:color="D9D9E3"/>
                        <w:left w:val="single" w:sz="2" w:space="0" w:color="D9D9E3"/>
                        <w:bottom w:val="single" w:sz="2" w:space="0" w:color="D9D9E3"/>
                        <w:right w:val="single" w:sz="2" w:space="0" w:color="D9D9E3"/>
                      </w:divBdr>
                      <w:divsChild>
                        <w:div w:id="523324364">
                          <w:marLeft w:val="0"/>
                          <w:marRight w:val="0"/>
                          <w:marTop w:val="0"/>
                          <w:marBottom w:val="0"/>
                          <w:divBdr>
                            <w:top w:val="single" w:sz="2" w:space="0" w:color="D9D9E3"/>
                            <w:left w:val="single" w:sz="2" w:space="0" w:color="D9D9E3"/>
                            <w:bottom w:val="single" w:sz="2" w:space="0" w:color="D9D9E3"/>
                            <w:right w:val="single" w:sz="2" w:space="0" w:color="D9D9E3"/>
                          </w:divBdr>
                          <w:divsChild>
                            <w:div w:id="1331714705">
                              <w:marLeft w:val="0"/>
                              <w:marRight w:val="0"/>
                              <w:marTop w:val="100"/>
                              <w:marBottom w:val="100"/>
                              <w:divBdr>
                                <w:top w:val="single" w:sz="2" w:space="0" w:color="D9D9E3"/>
                                <w:left w:val="single" w:sz="2" w:space="0" w:color="D9D9E3"/>
                                <w:bottom w:val="single" w:sz="2" w:space="0" w:color="D9D9E3"/>
                                <w:right w:val="single" w:sz="2" w:space="0" w:color="D9D9E3"/>
                              </w:divBdr>
                              <w:divsChild>
                                <w:div w:id="1163666667">
                                  <w:marLeft w:val="0"/>
                                  <w:marRight w:val="0"/>
                                  <w:marTop w:val="0"/>
                                  <w:marBottom w:val="0"/>
                                  <w:divBdr>
                                    <w:top w:val="single" w:sz="2" w:space="0" w:color="D9D9E3"/>
                                    <w:left w:val="single" w:sz="2" w:space="0" w:color="D9D9E3"/>
                                    <w:bottom w:val="single" w:sz="2" w:space="0" w:color="D9D9E3"/>
                                    <w:right w:val="single" w:sz="2" w:space="0" w:color="D9D9E3"/>
                                  </w:divBdr>
                                  <w:divsChild>
                                    <w:div w:id="858471363">
                                      <w:marLeft w:val="0"/>
                                      <w:marRight w:val="0"/>
                                      <w:marTop w:val="0"/>
                                      <w:marBottom w:val="0"/>
                                      <w:divBdr>
                                        <w:top w:val="single" w:sz="2" w:space="0" w:color="D9D9E3"/>
                                        <w:left w:val="single" w:sz="2" w:space="0" w:color="D9D9E3"/>
                                        <w:bottom w:val="single" w:sz="2" w:space="0" w:color="D9D9E3"/>
                                        <w:right w:val="single" w:sz="2" w:space="0" w:color="D9D9E3"/>
                                      </w:divBdr>
                                      <w:divsChild>
                                        <w:div w:id="1876429292">
                                          <w:marLeft w:val="0"/>
                                          <w:marRight w:val="0"/>
                                          <w:marTop w:val="0"/>
                                          <w:marBottom w:val="0"/>
                                          <w:divBdr>
                                            <w:top w:val="single" w:sz="2" w:space="0" w:color="D9D9E3"/>
                                            <w:left w:val="single" w:sz="2" w:space="0" w:color="D9D9E3"/>
                                            <w:bottom w:val="single" w:sz="2" w:space="0" w:color="D9D9E3"/>
                                            <w:right w:val="single" w:sz="2" w:space="0" w:color="D9D9E3"/>
                                          </w:divBdr>
                                          <w:divsChild>
                                            <w:div w:id="1053580911">
                                              <w:marLeft w:val="0"/>
                                              <w:marRight w:val="0"/>
                                              <w:marTop w:val="0"/>
                                              <w:marBottom w:val="0"/>
                                              <w:divBdr>
                                                <w:top w:val="single" w:sz="2" w:space="0" w:color="D9D9E3"/>
                                                <w:left w:val="single" w:sz="2" w:space="0" w:color="D9D9E3"/>
                                                <w:bottom w:val="single" w:sz="2" w:space="0" w:color="D9D9E3"/>
                                                <w:right w:val="single" w:sz="2" w:space="0" w:color="D9D9E3"/>
                                              </w:divBdr>
                                              <w:divsChild>
                                                <w:div w:id="763650717">
                                                  <w:marLeft w:val="0"/>
                                                  <w:marRight w:val="0"/>
                                                  <w:marTop w:val="0"/>
                                                  <w:marBottom w:val="0"/>
                                                  <w:divBdr>
                                                    <w:top w:val="single" w:sz="2" w:space="0" w:color="D9D9E3"/>
                                                    <w:left w:val="single" w:sz="2" w:space="0" w:color="D9D9E3"/>
                                                    <w:bottom w:val="single" w:sz="2" w:space="0" w:color="D9D9E3"/>
                                                    <w:right w:val="single" w:sz="2" w:space="0" w:color="D9D9E3"/>
                                                  </w:divBdr>
                                                  <w:divsChild>
                                                    <w:div w:id="1180780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66368008">
          <w:marLeft w:val="0"/>
          <w:marRight w:val="0"/>
          <w:marTop w:val="0"/>
          <w:marBottom w:val="0"/>
          <w:divBdr>
            <w:top w:val="none" w:sz="0" w:space="0" w:color="auto"/>
            <w:left w:val="none" w:sz="0" w:space="0" w:color="auto"/>
            <w:bottom w:val="none" w:sz="0" w:space="0" w:color="auto"/>
            <w:right w:val="none" w:sz="0" w:space="0" w:color="auto"/>
          </w:divBdr>
          <w:divsChild>
            <w:div w:id="1428378909">
              <w:marLeft w:val="0"/>
              <w:marRight w:val="0"/>
              <w:marTop w:val="0"/>
              <w:marBottom w:val="0"/>
              <w:divBdr>
                <w:top w:val="single" w:sz="2" w:space="0" w:color="D9D9E3"/>
                <w:left w:val="single" w:sz="2" w:space="0" w:color="D9D9E3"/>
                <w:bottom w:val="single" w:sz="2" w:space="0" w:color="D9D9E3"/>
                <w:right w:val="single" w:sz="2" w:space="0" w:color="D9D9E3"/>
              </w:divBdr>
              <w:divsChild>
                <w:div w:id="372315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4342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0C3D-52FE-6A45-8807-F2612553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17</Pages>
  <Words>11584</Words>
  <Characters>66029</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Editor-23</cp:lastModifiedBy>
  <cp:revision>31</cp:revision>
  <dcterms:created xsi:type="dcterms:W3CDTF">2024-10-06T09:29:00Z</dcterms:created>
  <dcterms:modified xsi:type="dcterms:W3CDTF">2024-12-26T06:26:00Z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zotero-version="7.0.7"&gt;&lt;session id="LY1acSoA"/&gt;&lt;style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