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D29A" w14:textId="37D5B21F" w:rsidR="00E7741E" w:rsidRPr="00E7741E" w:rsidRDefault="002A1295" w:rsidP="00E7741E">
      <w:pPr>
        <w:rPr>
          <w:rFonts w:ascii="Arial" w:hAnsi="Arial" w:cs="Arial"/>
          <w:b/>
          <w:sz w:val="24"/>
          <w:szCs w:val="24"/>
        </w:rPr>
      </w:pPr>
      <w:r>
        <w:rPr>
          <w:rFonts w:ascii="Arial" w:hAnsi="Arial" w:cs="Arial"/>
          <w:b/>
          <w:sz w:val="24"/>
          <w:szCs w:val="24"/>
        </w:rPr>
        <w:t xml:space="preserve">       </w:t>
      </w:r>
    </w:p>
    <w:p w14:paraId="4A396963" w14:textId="77777777" w:rsidR="004326B5" w:rsidRDefault="004326B5" w:rsidP="00E7741E">
      <w:pPr>
        <w:pStyle w:val="Author"/>
        <w:spacing w:line="240" w:lineRule="auto"/>
        <w:jc w:val="center"/>
        <w:rPr>
          <w:rFonts w:ascii="Arial" w:hAnsi="Arial" w:cs="Arial"/>
          <w:sz w:val="36"/>
          <w:u w:val="single"/>
        </w:rPr>
      </w:pPr>
    </w:p>
    <w:p w14:paraId="178CD628" w14:textId="77777777" w:rsidR="00E7741E" w:rsidRPr="00E7741E" w:rsidRDefault="00E7741E" w:rsidP="00E7741E">
      <w:pPr>
        <w:pStyle w:val="Author"/>
        <w:spacing w:line="240" w:lineRule="auto"/>
        <w:jc w:val="center"/>
        <w:rPr>
          <w:rFonts w:ascii="Arial" w:hAnsi="Arial" w:cs="Arial"/>
          <w:sz w:val="36"/>
          <w:u w:val="single"/>
        </w:rPr>
      </w:pPr>
      <w:r w:rsidRPr="00E7741E">
        <w:rPr>
          <w:rFonts w:ascii="Arial" w:hAnsi="Arial" w:cs="Arial"/>
          <w:sz w:val="36"/>
          <w:u w:val="single"/>
        </w:rPr>
        <w:t>Original Research Article</w:t>
      </w:r>
    </w:p>
    <w:p w14:paraId="1100722F" w14:textId="77777777" w:rsidR="00E7741E" w:rsidRDefault="00E7741E" w:rsidP="00441B6F">
      <w:pPr>
        <w:pStyle w:val="Author"/>
        <w:spacing w:line="240" w:lineRule="auto"/>
        <w:jc w:val="both"/>
        <w:rPr>
          <w:rFonts w:ascii="Arial" w:hAnsi="Arial" w:cs="Arial"/>
          <w:sz w:val="36"/>
        </w:rPr>
      </w:pPr>
    </w:p>
    <w:p w14:paraId="59292AA6" w14:textId="77777777" w:rsidR="00A258C3" w:rsidRPr="00790ADA" w:rsidRDefault="00FA29FC" w:rsidP="00441B6F">
      <w:pPr>
        <w:pStyle w:val="Author"/>
        <w:spacing w:line="240" w:lineRule="auto"/>
        <w:jc w:val="both"/>
        <w:rPr>
          <w:rFonts w:ascii="Arial" w:hAnsi="Arial" w:cs="Arial"/>
          <w:sz w:val="36"/>
        </w:rPr>
      </w:pPr>
      <w:r w:rsidRPr="00FA29FC">
        <w:rPr>
          <w:rFonts w:ascii="Arial" w:hAnsi="Arial" w:cs="Arial"/>
          <w:sz w:val="36"/>
        </w:rPr>
        <w:t>MODELLING TIME TO RECOVERY FROM MULTIDRUG RESISTANT TUBERCULOSIS IN SOUTHERN ETHIOPIA</w:t>
      </w:r>
    </w:p>
    <w:p w14:paraId="1B55F747" w14:textId="77777777" w:rsidR="00DE0008" w:rsidRDefault="00DE0008" w:rsidP="00DE0008">
      <w:pPr>
        <w:pStyle w:val="Default"/>
      </w:pPr>
    </w:p>
    <w:p w14:paraId="743046C0" w14:textId="77777777" w:rsidR="005538CF" w:rsidRDefault="005538CF" w:rsidP="005538CF">
      <w:pPr>
        <w:pStyle w:val="AbstHead"/>
        <w:spacing w:after="0"/>
        <w:rPr>
          <w:rFonts w:ascii="Arial" w:hAnsi="Arial" w:cs="Arial"/>
        </w:rPr>
      </w:pPr>
    </w:p>
    <w:p w14:paraId="73A11E47" w14:textId="7B173539" w:rsidR="00B01FCD" w:rsidRDefault="00B01FCD" w:rsidP="005538CF">
      <w:pPr>
        <w:pStyle w:val="AbstHead"/>
        <w:spacing w:after="0"/>
        <w:rPr>
          <w:rFonts w:ascii="Arial" w:hAnsi="Arial" w:cs="Arial"/>
        </w:rPr>
      </w:pPr>
      <w:r w:rsidRPr="00FB3A86">
        <w:rPr>
          <w:rFonts w:ascii="Arial" w:hAnsi="Arial" w:cs="Arial"/>
        </w:rPr>
        <w:t>ABSTRACT</w:t>
      </w:r>
      <w:r w:rsidR="004E12BD">
        <w:rPr>
          <w:rFonts w:ascii="Arial" w:hAnsi="Arial" w:cs="Arial"/>
        </w:rPr>
        <w:t xml:space="preserve">  </w:t>
      </w:r>
    </w:p>
    <w:p w14:paraId="0713708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6E346A0" w14:textId="77777777" w:rsidTr="001E44FE">
        <w:tc>
          <w:tcPr>
            <w:tcW w:w="9576" w:type="dxa"/>
            <w:shd w:val="clear" w:color="auto" w:fill="F2F2F2"/>
          </w:tcPr>
          <w:p w14:paraId="0FD0795C" w14:textId="77777777" w:rsidR="00F67CB0" w:rsidRPr="008B509B" w:rsidRDefault="00F67CB0" w:rsidP="00F67CB0">
            <w:pPr>
              <w:pStyle w:val="CommentText"/>
              <w:spacing w:line="360" w:lineRule="auto"/>
              <w:rPr>
                <w:rFonts w:ascii="Arial" w:hAnsi="Arial" w:cs="Arial"/>
                <w:sz w:val="22"/>
                <w:szCs w:val="22"/>
              </w:rPr>
            </w:pPr>
            <w:r w:rsidRPr="008B509B">
              <w:rPr>
                <w:rFonts w:ascii="Arial" w:hAnsi="Arial" w:cs="Arial"/>
                <w:b/>
                <w:sz w:val="22"/>
                <w:szCs w:val="22"/>
              </w:rPr>
              <w:t>Introduction:</w:t>
            </w:r>
            <w:r w:rsidRPr="008B509B">
              <w:rPr>
                <w:rFonts w:ascii="Arial" w:hAnsi="Arial" w:cs="Arial"/>
                <w:sz w:val="22"/>
                <w:szCs w:val="22"/>
              </w:rPr>
              <w:t xml:space="preserve"> Multidrug resistant tuberculosis (MDR-TB) is a type of tuberculosis caused by Mycobacterium tuberculosis that is resistant at least to isonized and rifampicin first-line anti-TB drugs. It is ranked among the top 10 causes of death worldwide and has increasing global burden and the recovery time differ from patient to patient. Therefore, the current study investigated time to recovery from MDR-TB in southern Ethiopia. </w:t>
            </w:r>
          </w:p>
          <w:p w14:paraId="4BCC6622" w14:textId="77777777" w:rsidR="00F67CB0" w:rsidRPr="008B509B" w:rsidRDefault="00F67CB0" w:rsidP="00F67CB0">
            <w:pPr>
              <w:pStyle w:val="CommentText"/>
              <w:spacing w:line="360" w:lineRule="auto"/>
              <w:rPr>
                <w:rFonts w:ascii="Arial" w:hAnsi="Arial" w:cs="Arial"/>
                <w:sz w:val="22"/>
                <w:szCs w:val="22"/>
              </w:rPr>
            </w:pPr>
            <w:r w:rsidRPr="008B509B">
              <w:rPr>
                <w:rFonts w:ascii="Arial" w:hAnsi="Arial" w:cs="Arial"/>
                <w:b/>
                <w:color w:val="000000" w:themeColor="text1"/>
                <w:sz w:val="22"/>
                <w:szCs w:val="22"/>
              </w:rPr>
              <w:t>Data,</w:t>
            </w:r>
            <w:r w:rsidRPr="008B509B">
              <w:rPr>
                <w:rFonts w:ascii="Arial" w:hAnsi="Arial" w:cs="Arial"/>
                <w:b/>
                <w:sz w:val="22"/>
                <w:szCs w:val="22"/>
              </w:rPr>
              <w:t xml:space="preserve"> materials and Methods</w:t>
            </w:r>
            <w:r w:rsidRPr="008B509B">
              <w:rPr>
                <w:rFonts w:ascii="Arial" w:hAnsi="Arial" w:cs="Arial"/>
                <w:sz w:val="22"/>
                <w:szCs w:val="22"/>
              </w:rPr>
              <w:t xml:space="preserve">: we obtained data from selected Hospitals in the SNNPR retrospectively for the period between January 2016 to December 2021. Cluster random samples of 301 MDR-TB patients information were considered (131 from NEMMCH, 121 from BH and 49 from AGH). </w:t>
            </w:r>
          </w:p>
          <w:p w14:paraId="7B770A87" w14:textId="77777777" w:rsidR="00F67CB0" w:rsidRPr="008B509B" w:rsidRDefault="00F67CB0" w:rsidP="00F67CB0">
            <w:pPr>
              <w:pStyle w:val="CommentText"/>
              <w:spacing w:line="360" w:lineRule="auto"/>
              <w:rPr>
                <w:rFonts w:ascii="Arial" w:hAnsi="Arial" w:cs="Arial"/>
                <w:sz w:val="22"/>
                <w:szCs w:val="22"/>
              </w:rPr>
            </w:pPr>
            <w:r w:rsidRPr="008B509B">
              <w:rPr>
                <w:rFonts w:ascii="Arial" w:hAnsi="Arial" w:cs="Arial"/>
                <w:b/>
                <w:sz w:val="22"/>
                <w:szCs w:val="22"/>
              </w:rPr>
              <w:t>Results:</w:t>
            </w:r>
            <w:r w:rsidRPr="008B509B">
              <w:rPr>
                <w:rFonts w:ascii="Arial" w:hAnsi="Arial" w:cs="Arial"/>
                <w:sz w:val="22"/>
                <w:szCs w:val="22"/>
              </w:rPr>
              <w:t xml:space="preserve"> Among the 301 MDR-TB cases, 116 (38.5%) were censored. While the remaining 185 (61.5%) were recovered. Parametric shared frailty models were employed in order to account unobserved heterogeneity among the Hospitals and patients. Moreover, accelerated failure time models were employed to analyze the data. The exploratory data analysis prevailed; the median recovery time of MDR-TB is 22 months. The clustering effect of frailty model was hospitals (treatment centers). Weibull-gamma shared frailty model was found to be appropriate for this data among others. </w:t>
            </w:r>
          </w:p>
          <w:p w14:paraId="20DBD7A1" w14:textId="77777777" w:rsidR="00F67CB0" w:rsidRPr="008B509B" w:rsidRDefault="00F67CB0" w:rsidP="00F67CB0">
            <w:pPr>
              <w:pStyle w:val="CommentText"/>
              <w:spacing w:line="360" w:lineRule="auto"/>
              <w:rPr>
                <w:rFonts w:ascii="Arial" w:hAnsi="Arial" w:cs="Arial"/>
                <w:sz w:val="22"/>
                <w:szCs w:val="22"/>
              </w:rPr>
            </w:pPr>
            <w:r w:rsidRPr="008B509B">
              <w:rPr>
                <w:rFonts w:ascii="Arial" w:hAnsi="Arial" w:cs="Arial"/>
                <w:b/>
                <w:sz w:val="22"/>
                <w:szCs w:val="22"/>
              </w:rPr>
              <w:t>Conclusion:</w:t>
            </w:r>
            <w:r w:rsidRPr="008B509B">
              <w:rPr>
                <w:rFonts w:ascii="Arial" w:hAnsi="Arial" w:cs="Arial"/>
                <w:sz w:val="22"/>
                <w:szCs w:val="22"/>
              </w:rPr>
              <w:t xml:space="preserve"> The result from the final fitted model indicated, males are more likely to recover than females. Patients with extra pulmonary MDR-TB had longer recovery time than pulmonary MDR-TB and also patients who live in urban areas have a longer recovery time than those who live in rural areas. The recovery rate of patients increases with increasing baseline weight, education level, and occupation. But, the recovery rate decreases with smoking, co-morbidities, previous drug history, history of TB, and alcohol use. </w:t>
            </w:r>
          </w:p>
          <w:p w14:paraId="2CEBF542" w14:textId="77777777" w:rsidR="00F67CB0" w:rsidRPr="00F67CB0" w:rsidRDefault="00F67CB0" w:rsidP="00F67CB0">
            <w:pPr>
              <w:pStyle w:val="CommentText"/>
              <w:spacing w:line="360" w:lineRule="auto"/>
              <w:rPr>
                <w:rFonts w:ascii="Arial" w:hAnsi="Arial" w:cs="Arial"/>
                <w:b/>
                <w:color w:val="131413"/>
                <w:sz w:val="22"/>
                <w:szCs w:val="22"/>
              </w:rPr>
            </w:pPr>
            <w:r w:rsidRPr="008B509B">
              <w:rPr>
                <w:rFonts w:ascii="Arial" w:hAnsi="Arial" w:cs="Arial"/>
                <w:b/>
                <w:sz w:val="22"/>
                <w:szCs w:val="22"/>
              </w:rPr>
              <w:t>Recommendation:</w:t>
            </w:r>
            <w:r w:rsidRPr="008B509B">
              <w:rPr>
                <w:rFonts w:ascii="Arial" w:hAnsi="Arial" w:cs="Arial"/>
                <w:sz w:val="22"/>
                <w:szCs w:val="22"/>
              </w:rPr>
              <w:t xml:space="preserve"> All concerned bodies should be cognizant on the risk factors of MDR-TB. In addition, </w:t>
            </w:r>
            <w:r w:rsidRPr="008B509B">
              <w:rPr>
                <w:rFonts w:ascii="Arial" w:hAnsi="Arial" w:cs="Arial"/>
                <w:caps/>
                <w:sz w:val="22"/>
                <w:szCs w:val="22"/>
              </w:rPr>
              <w:t>improvement</w:t>
            </w:r>
            <w:r w:rsidRPr="008B509B">
              <w:rPr>
                <w:rFonts w:ascii="Arial" w:hAnsi="Arial" w:cs="Arial"/>
                <w:sz w:val="22"/>
                <w:szCs w:val="22"/>
              </w:rPr>
              <w:t xml:space="preserve"> and strengthening of comprehensive and targeted MDR TB–Addiction control program are recommended.</w:t>
            </w:r>
          </w:p>
          <w:p w14:paraId="732CC089" w14:textId="77777777" w:rsidR="00505F06" w:rsidRPr="00BA1B01" w:rsidRDefault="00505F06" w:rsidP="00441B6F">
            <w:pPr>
              <w:pStyle w:val="Body"/>
              <w:spacing w:after="0"/>
              <w:rPr>
                <w:rFonts w:ascii="Arial" w:eastAsia="Calibri" w:hAnsi="Arial" w:cs="Arial"/>
                <w:szCs w:val="22"/>
              </w:rPr>
            </w:pPr>
          </w:p>
        </w:tc>
      </w:tr>
    </w:tbl>
    <w:p w14:paraId="28192F89" w14:textId="77777777" w:rsidR="00636EB2" w:rsidRDefault="00636EB2" w:rsidP="00441B6F">
      <w:pPr>
        <w:pStyle w:val="Body"/>
        <w:spacing w:after="0"/>
        <w:rPr>
          <w:rFonts w:ascii="Arial" w:hAnsi="Arial" w:cs="Arial"/>
          <w:i/>
        </w:rPr>
      </w:pPr>
    </w:p>
    <w:p w14:paraId="69415237" w14:textId="77777777" w:rsidR="0024282C" w:rsidRPr="004E12BD" w:rsidRDefault="00F67CB0" w:rsidP="004E12BD">
      <w:pPr>
        <w:spacing w:line="360" w:lineRule="auto"/>
        <w:jc w:val="both"/>
        <w:rPr>
          <w:rFonts w:ascii="Arial" w:hAnsi="Arial" w:cs="Arial"/>
          <w:color w:val="131413"/>
        </w:rPr>
      </w:pPr>
      <w:r w:rsidRPr="00F67CB0">
        <w:rPr>
          <w:rFonts w:ascii="Arial" w:hAnsi="Arial" w:cs="Arial"/>
          <w:b/>
        </w:rPr>
        <w:t xml:space="preserve">Keywords: </w:t>
      </w:r>
      <w:r w:rsidRPr="00F67CB0">
        <w:rPr>
          <w:rFonts w:ascii="Arial" w:hAnsi="Arial" w:cs="Arial"/>
        </w:rPr>
        <w:t>Multidrug resistance tuberculosis, Time to recovery, parametric shared frailty, Treatment centers, accelerated failure time.</w:t>
      </w:r>
    </w:p>
    <w:p w14:paraId="09FBF1B5" w14:textId="77777777" w:rsidR="00505F06" w:rsidRPr="00A24E7E" w:rsidRDefault="00505F06" w:rsidP="00441B6F">
      <w:pPr>
        <w:pStyle w:val="Body"/>
        <w:spacing w:after="0"/>
        <w:rPr>
          <w:rFonts w:ascii="Arial" w:hAnsi="Arial" w:cs="Arial"/>
          <w:i/>
        </w:rPr>
      </w:pPr>
    </w:p>
    <w:p w14:paraId="21746B8C" w14:textId="77777777" w:rsidR="007F7B32" w:rsidRDefault="00902823" w:rsidP="001D272A">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1D272A">
        <w:rPr>
          <w:rFonts w:ascii="Arial" w:hAnsi="Arial" w:cs="Arial"/>
        </w:rPr>
        <w:t xml:space="preserve"> </w:t>
      </w:r>
    </w:p>
    <w:p w14:paraId="0A4E9595" w14:textId="77777777" w:rsidR="00790ADA" w:rsidRPr="00FB3A86" w:rsidRDefault="00790ADA" w:rsidP="00441B6F">
      <w:pPr>
        <w:pStyle w:val="AbstHead"/>
        <w:spacing w:after="0"/>
        <w:jc w:val="both"/>
        <w:rPr>
          <w:rFonts w:ascii="Arial" w:hAnsi="Arial" w:cs="Arial"/>
        </w:rPr>
      </w:pPr>
    </w:p>
    <w:p w14:paraId="03CD1FB1" w14:textId="77777777" w:rsidR="001D272A" w:rsidRPr="001D272A" w:rsidRDefault="001D272A" w:rsidP="001D272A">
      <w:pPr>
        <w:pStyle w:val="Body"/>
        <w:rPr>
          <w:rFonts w:ascii="Arial" w:hAnsi="Arial" w:cs="Arial"/>
        </w:rPr>
      </w:pPr>
      <w:r w:rsidRPr="001D272A">
        <w:rPr>
          <w:rFonts w:ascii="Arial" w:hAnsi="Arial" w:cs="Arial"/>
        </w:rPr>
        <w:t xml:space="preserve">Tuberculosis (TB) is an infectious disease caused by the bacterium mycobacterium tuberculosis. Typically, it affects the lungs and other organs as well as it is transmitted from person to person via droplets, and over 90% of people infected with the tubercle bacillus will not develop TB disease. And it remains a major public-health problem in the world, despite several efforts to improve case identification and treatment compliance. It is also the single highest curable infectious disease today in the world [1].  </w:t>
      </w:r>
    </w:p>
    <w:p w14:paraId="6F45835E" w14:textId="77777777" w:rsidR="001D272A" w:rsidRPr="001D272A" w:rsidRDefault="001D272A" w:rsidP="001D272A">
      <w:pPr>
        <w:pStyle w:val="Body"/>
        <w:rPr>
          <w:rFonts w:ascii="Arial" w:hAnsi="Arial" w:cs="Arial"/>
        </w:rPr>
      </w:pPr>
      <w:r w:rsidRPr="001D272A">
        <w:rPr>
          <w:rFonts w:ascii="Arial" w:hAnsi="Arial" w:cs="Arial"/>
        </w:rPr>
        <w:t>Tuberculosis can be effectively treated with first line drugs (isoniazid, rifampicin, ethambutol and pyrazinamide) for six months. But when this first line drugs are not properly used (erratically used, poor quality of drugs, poor clinical practice and low completion rate) this leads to Multidrug-resistant Tuberculosis [1, 3].</w:t>
      </w:r>
    </w:p>
    <w:p w14:paraId="58CDA495" w14:textId="77777777" w:rsidR="001D272A" w:rsidRPr="001D272A" w:rsidRDefault="001D272A" w:rsidP="001D272A">
      <w:pPr>
        <w:pStyle w:val="Body"/>
        <w:rPr>
          <w:rFonts w:ascii="Arial" w:hAnsi="Arial" w:cs="Arial"/>
        </w:rPr>
      </w:pPr>
      <w:r w:rsidRPr="001D272A">
        <w:rPr>
          <w:rFonts w:ascii="Arial" w:hAnsi="Arial" w:cs="Arial"/>
        </w:rPr>
        <w:t xml:space="preserve">Globally TB incidence is falling at about 2% per year by 2020; </w:t>
      </w:r>
      <w:proofErr w:type="gramStart"/>
      <w:r w:rsidRPr="001D272A">
        <w:rPr>
          <w:rFonts w:ascii="Arial" w:hAnsi="Arial" w:cs="Arial"/>
        </w:rPr>
        <w:t>these figure</w:t>
      </w:r>
      <w:proofErr w:type="gramEnd"/>
      <w:r w:rsidRPr="001D272A">
        <w:rPr>
          <w:rFonts w:ascii="Arial" w:hAnsi="Arial" w:cs="Arial"/>
        </w:rPr>
        <w:t xml:space="preserve"> need to improve to 4–5% per year, to reach the first 2020 milestones to end TB Strategy [4].  In </w:t>
      </w:r>
      <w:proofErr w:type="spellStart"/>
      <w:r w:rsidRPr="001D272A">
        <w:rPr>
          <w:rFonts w:ascii="Arial" w:hAnsi="Arial" w:cs="Arial"/>
        </w:rPr>
        <w:t>china</w:t>
      </w:r>
      <w:proofErr w:type="spellEnd"/>
      <w:r w:rsidRPr="001D272A">
        <w:rPr>
          <w:rFonts w:ascii="Arial" w:hAnsi="Arial" w:cs="Arial"/>
        </w:rPr>
        <w:t>, 98% of bacteriologically confirmed patients were diagnosed with MDR-TB. Additionally, the continent of Africa has reported a notably high incidence rate of MDR-TB.  Africa accounts for 46% of all TB cases in the world and the highest reported incidence rate of 475 cases per 100,000 people. Research suggests that MDR-TB is widespread in numerous regions across Africa. For instance, recent investigations have shown that the prevalence rates of MDR-TB in Nigeria, Zambia, Rwanda1, and South Africa4 are 54%, 9.5%, 9.4%, and 73%, respectively. [7, 9]. Multidrug-resistant tuberculosis (MDR-TB) continues to be a public health problem. Globally in 2019, a total of 465,000 people developed rifampicin-resistant TB (RR-TB), of which 78% had MDR-TB.</w:t>
      </w:r>
    </w:p>
    <w:p w14:paraId="642FD6A5" w14:textId="77777777" w:rsidR="001D272A" w:rsidRPr="001D272A" w:rsidRDefault="001D272A" w:rsidP="001D272A">
      <w:pPr>
        <w:pStyle w:val="Body"/>
        <w:rPr>
          <w:rFonts w:ascii="Arial" w:hAnsi="Arial" w:cs="Arial"/>
        </w:rPr>
      </w:pPr>
      <w:r w:rsidRPr="001D272A">
        <w:rPr>
          <w:rFonts w:ascii="Arial" w:hAnsi="Arial" w:cs="Arial"/>
        </w:rPr>
        <w:t xml:space="preserve">MDR TB is treated with second line drugs which need longer treatment (18-24 months), toxic and complication prone, high cost. Currently, the majority of MDR-TB cases are due to one strain of TB bacteria called the Beijing lineage [1]. It is well known cause of ill-health among millions of people each year. Latest estimate, 10.4 million people fell ill with TB in 2016 and 1.6 million died from the disease [4]. By rising trend of TB, affecting mainly developing countries, there is a need to re-examine the characteristics of the patients and understanding the contributing factors, in order to adjust and adapt TB control policies. In an effort to intensify the battle against tuberculosis, the government has devoted significant resources to ensure that essential drugs are readily available and that healthcare staff are properly trained in all government and selected mission hospitals. Nonetheless, the current endeavor to </w:t>
      </w:r>
      <w:r w:rsidR="002F3C18" w:rsidRPr="001D272A">
        <w:rPr>
          <w:rFonts w:ascii="Arial" w:hAnsi="Arial" w:cs="Arial"/>
        </w:rPr>
        <w:t>identify, treat</w:t>
      </w:r>
      <w:r w:rsidRPr="001D272A">
        <w:rPr>
          <w:rFonts w:ascii="Arial" w:hAnsi="Arial" w:cs="Arial"/>
        </w:rPr>
        <w:t xml:space="preserve"> and care all individuals affected by the disease falls short of sufficiency. </w:t>
      </w:r>
    </w:p>
    <w:p w14:paraId="1A4A7513" w14:textId="77777777" w:rsidR="00B01FCD" w:rsidRDefault="001D272A" w:rsidP="001D272A">
      <w:pPr>
        <w:pStyle w:val="Body"/>
        <w:spacing w:after="0"/>
        <w:rPr>
          <w:rFonts w:ascii="Arial" w:hAnsi="Arial" w:cs="Arial"/>
        </w:rPr>
      </w:pPr>
      <w:r w:rsidRPr="001D272A">
        <w:rPr>
          <w:rFonts w:ascii="Arial" w:hAnsi="Arial" w:cs="Arial"/>
        </w:rPr>
        <w:t xml:space="preserve">Ethiopia is one of the 20 high burdens MDR-TB country and MDR-TB has been a major health problem of the society in the Southern region of Ethiopia, a strategy to provide culture and drug susceptibility testing services has been designed [5,10]. Even though various studies done on the prevention and control of the cross-transmission of healthcare-acquired infections between hospitalized patients have been carried out, the prevalence is still increasing [16, 17].  Moreover, the emerging and rapid transmission of XDR-TB is also another challenge for TB control program [63], XDR-TB is defined as MDR-TB with additional resistance to any fluoroquinolone (FQ) and at least one of the three second-line injectable drugs: Consequently, controlling and preventing the emergence and overflow of MDR-TB organisms is of vital importance. The Ethiopia National TB program has backed a continuous public awareness initiative via the media. this campaign aims to educate the public about TB symptoms, transmission methods, the significance of seeking medical care, the risks associated with MDR-TB, and the fact that TB is curable.  Thus, the aim of this study is to investigate the recovery time of MDR-TB patients in three selected Hospitals of southern Ethiopia (NEMMCH, </w:t>
      </w:r>
      <w:proofErr w:type="spellStart"/>
      <w:r w:rsidRPr="001D272A">
        <w:rPr>
          <w:rFonts w:ascii="Arial" w:hAnsi="Arial" w:cs="Arial"/>
        </w:rPr>
        <w:t>Arbamich</w:t>
      </w:r>
      <w:proofErr w:type="spellEnd"/>
      <w:r w:rsidRPr="001D272A">
        <w:rPr>
          <w:rFonts w:ascii="Arial" w:hAnsi="Arial" w:cs="Arial"/>
        </w:rPr>
        <w:t xml:space="preserve"> General Hospital, </w:t>
      </w:r>
      <w:proofErr w:type="spellStart"/>
      <w:r w:rsidRPr="001D272A">
        <w:rPr>
          <w:rFonts w:ascii="Arial" w:hAnsi="Arial" w:cs="Arial"/>
        </w:rPr>
        <w:t>Butajira</w:t>
      </w:r>
      <w:proofErr w:type="spellEnd"/>
      <w:r w:rsidRPr="001D272A">
        <w:rPr>
          <w:rFonts w:ascii="Arial" w:hAnsi="Arial" w:cs="Arial"/>
        </w:rPr>
        <w:t xml:space="preserve"> Hospital), using accelerated failure time and parametric shared frailty models.</w:t>
      </w:r>
    </w:p>
    <w:p w14:paraId="357A1A6B" w14:textId="77777777" w:rsidR="00790ADA" w:rsidRPr="00FB3A86" w:rsidRDefault="00790ADA" w:rsidP="00441B6F">
      <w:pPr>
        <w:pStyle w:val="Body"/>
        <w:spacing w:after="0"/>
        <w:rPr>
          <w:rFonts w:ascii="Arial" w:hAnsi="Arial" w:cs="Arial"/>
        </w:rPr>
      </w:pPr>
    </w:p>
    <w:p w14:paraId="28543D69" w14:textId="77777777" w:rsidR="007F7B32" w:rsidRDefault="00902823" w:rsidP="001D272A">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42C4A402" w14:textId="77777777" w:rsidR="00790ADA" w:rsidRPr="00FB3A86" w:rsidRDefault="00790ADA" w:rsidP="00441B6F">
      <w:pPr>
        <w:pStyle w:val="AbstHead"/>
        <w:spacing w:after="0"/>
        <w:jc w:val="both"/>
        <w:rPr>
          <w:rFonts w:ascii="Arial" w:hAnsi="Arial" w:cs="Arial"/>
        </w:rPr>
      </w:pPr>
    </w:p>
    <w:p w14:paraId="0CD4C9C8" w14:textId="77777777" w:rsidR="007B70D3" w:rsidRDefault="007B70D3" w:rsidP="007B70D3">
      <w:pPr>
        <w:pStyle w:val="Body"/>
        <w:jc w:val="left"/>
        <w:rPr>
          <w:rFonts w:ascii="Arial" w:hAnsi="Arial" w:cs="Arial"/>
        </w:rPr>
      </w:pPr>
      <w:r>
        <w:rPr>
          <w:rFonts w:ascii="Arial" w:hAnsi="Arial" w:cs="Arial"/>
          <w:b/>
          <w:caps/>
          <w:sz w:val="22"/>
        </w:rPr>
        <w:t>2.1.</w:t>
      </w:r>
      <w:r w:rsidRPr="00C30A0F">
        <w:rPr>
          <w:rFonts w:ascii="Arial" w:hAnsi="Arial" w:cs="Arial"/>
          <w:b/>
          <w:caps/>
          <w:sz w:val="22"/>
        </w:rPr>
        <w:t xml:space="preserve"> </w:t>
      </w:r>
      <w:r>
        <w:rPr>
          <w:rFonts w:ascii="Arial" w:hAnsi="Arial" w:cs="Arial"/>
          <w:b/>
          <w:sz w:val="22"/>
        </w:rPr>
        <w:t>Study Area, population and Design</w:t>
      </w:r>
      <w:r w:rsidRPr="00C30A0F">
        <w:rPr>
          <w:rFonts w:ascii="Arial" w:hAnsi="Arial" w:cs="Arial"/>
          <w:b/>
          <w:sz w:val="22"/>
        </w:rPr>
        <w:t xml:space="preserve"> </w:t>
      </w:r>
    </w:p>
    <w:p w14:paraId="5A4DA418" w14:textId="77777777" w:rsidR="007B70D3" w:rsidRPr="007B70D3" w:rsidRDefault="007B70D3" w:rsidP="007B70D3">
      <w:pPr>
        <w:pStyle w:val="Body"/>
        <w:rPr>
          <w:rFonts w:ascii="Arial" w:hAnsi="Arial" w:cs="Arial"/>
        </w:rPr>
      </w:pPr>
      <w:r>
        <w:rPr>
          <w:rFonts w:ascii="Arial" w:hAnsi="Arial" w:cs="Arial"/>
          <w:b/>
        </w:rPr>
        <w:t xml:space="preserve">2.1.1. </w:t>
      </w:r>
      <w:r w:rsidRPr="007B70D3">
        <w:rPr>
          <w:rFonts w:ascii="Arial" w:hAnsi="Arial" w:cs="Arial"/>
          <w:b/>
        </w:rPr>
        <w:t xml:space="preserve">Study area: </w:t>
      </w:r>
      <w:r w:rsidRPr="007B70D3">
        <w:rPr>
          <w:rFonts w:ascii="Arial" w:hAnsi="Arial" w:cs="Arial"/>
        </w:rPr>
        <w:t xml:space="preserve">This research was carried out on MDR-TB treatment centers of SNNPR, Ethiopia. Southern Nations Nationalities and Peoples Region is the country’s third-largest administrative region and the most diversified in terms of language, culture, and ethnic origin, covering more than 10% of the country’s land area. More than 56 ethnic groups live in the region. The capital city of SNNPR is Hawassa. It is 273 kilometers south of Addis Ababa. The SNNPR is bordered from the south by Kenya, from the west by South Sudan, from the northwest by </w:t>
      </w:r>
      <w:proofErr w:type="spellStart"/>
      <w:r w:rsidRPr="007B70D3">
        <w:rPr>
          <w:rFonts w:ascii="Arial" w:hAnsi="Arial" w:cs="Arial"/>
        </w:rPr>
        <w:t>Gambela</w:t>
      </w:r>
      <w:proofErr w:type="spellEnd"/>
      <w:r w:rsidRPr="007B70D3">
        <w:rPr>
          <w:rFonts w:ascii="Arial" w:hAnsi="Arial" w:cs="Arial"/>
        </w:rPr>
        <w:t>, and from the north and east by Oromia. The data for this research took place between January 2017 to December 2022. The region is divided into 17 administrative zones and additionally, there are 6 special woredas.  In the region, there are six MDR-TB treatment centers. In the SNNPR, there are over 45 indigenous ethnic groups, each with their own cultural heritage and identity. In 2018, the population was estimated to be 20,768,000. [64, 65]</w:t>
      </w:r>
    </w:p>
    <w:p w14:paraId="6F9D0D86" w14:textId="77777777" w:rsidR="007B70D3" w:rsidRPr="007B70D3" w:rsidRDefault="007B70D3" w:rsidP="007B70D3">
      <w:pPr>
        <w:pStyle w:val="Body"/>
        <w:rPr>
          <w:rFonts w:ascii="Arial" w:hAnsi="Arial" w:cs="Arial"/>
        </w:rPr>
      </w:pPr>
      <w:r>
        <w:rPr>
          <w:rFonts w:ascii="Arial" w:hAnsi="Arial" w:cs="Arial"/>
          <w:b/>
        </w:rPr>
        <w:lastRenderedPageBreak/>
        <w:t xml:space="preserve">2.1.2. </w:t>
      </w:r>
      <w:r w:rsidRPr="007B70D3">
        <w:rPr>
          <w:rFonts w:ascii="Arial" w:hAnsi="Arial" w:cs="Arial"/>
          <w:b/>
        </w:rPr>
        <w:t>Study population:</w:t>
      </w:r>
      <w:r w:rsidRPr="007B70D3">
        <w:rPr>
          <w:rFonts w:ascii="Arial" w:hAnsi="Arial" w:cs="Arial"/>
        </w:rPr>
        <w:t xml:space="preserve"> The study population was all MDR-TB patients who had been registered in the Hospitals. The totals of 301 patients with MDR-TB from the Hospital were included in the study. The total population was proportionally allocated to the three Hospitals: </w:t>
      </w:r>
      <w:proofErr w:type="spellStart"/>
      <w:r w:rsidRPr="007B70D3">
        <w:rPr>
          <w:rFonts w:ascii="Arial" w:hAnsi="Arial" w:cs="Arial"/>
        </w:rPr>
        <w:t>Nigist</w:t>
      </w:r>
      <w:proofErr w:type="spellEnd"/>
      <w:r w:rsidRPr="007B70D3">
        <w:rPr>
          <w:rFonts w:ascii="Arial" w:hAnsi="Arial" w:cs="Arial"/>
        </w:rPr>
        <w:t xml:space="preserve"> Ellen Mohammed memorial Comprehensive Hospital (211), </w:t>
      </w:r>
      <w:proofErr w:type="spellStart"/>
      <w:r w:rsidRPr="007B70D3">
        <w:rPr>
          <w:rFonts w:ascii="Arial" w:hAnsi="Arial" w:cs="Arial"/>
        </w:rPr>
        <w:t>Butjira</w:t>
      </w:r>
      <w:proofErr w:type="spellEnd"/>
      <w:r w:rsidRPr="007B70D3">
        <w:rPr>
          <w:rFonts w:ascii="Arial" w:hAnsi="Arial" w:cs="Arial"/>
        </w:rPr>
        <w:t xml:space="preserve"> Hospital (199) and </w:t>
      </w:r>
      <w:proofErr w:type="spellStart"/>
      <w:r w:rsidRPr="007B70D3">
        <w:rPr>
          <w:rFonts w:ascii="Arial" w:hAnsi="Arial" w:cs="Arial"/>
        </w:rPr>
        <w:t>Arbamich</w:t>
      </w:r>
      <w:proofErr w:type="spellEnd"/>
      <w:r w:rsidRPr="007B70D3">
        <w:rPr>
          <w:rFonts w:ascii="Arial" w:hAnsi="Arial" w:cs="Arial"/>
        </w:rPr>
        <w:t xml:space="preserve"> General Hospital (89).</w:t>
      </w:r>
    </w:p>
    <w:p w14:paraId="771CC197" w14:textId="77777777" w:rsidR="007B70D3" w:rsidRPr="007B70D3" w:rsidRDefault="007B70D3" w:rsidP="007B70D3">
      <w:pPr>
        <w:pStyle w:val="Body"/>
        <w:jc w:val="left"/>
        <w:rPr>
          <w:rFonts w:ascii="Arial" w:hAnsi="Arial" w:cs="Arial"/>
        </w:rPr>
      </w:pPr>
      <w:r>
        <w:rPr>
          <w:rFonts w:ascii="Arial" w:hAnsi="Arial" w:cs="Arial"/>
          <w:b/>
        </w:rPr>
        <w:t xml:space="preserve">2.1.3. </w:t>
      </w:r>
      <w:r w:rsidRPr="007B70D3">
        <w:rPr>
          <w:rFonts w:ascii="Arial" w:hAnsi="Arial" w:cs="Arial"/>
          <w:b/>
        </w:rPr>
        <w:t>Study design:</w:t>
      </w:r>
      <w:r>
        <w:rPr>
          <w:rFonts w:ascii="Arial" w:hAnsi="Arial" w:cs="Arial"/>
        </w:rPr>
        <w:t xml:space="preserve"> </w:t>
      </w:r>
      <w:r w:rsidRPr="007B70D3">
        <w:rPr>
          <w:rFonts w:ascii="Arial" w:hAnsi="Arial" w:cs="Arial"/>
        </w:rPr>
        <w:t>A retrospective study design was employed and the data were obtained from MDR-TB patients admitted to the hospitals and also it was carried out in three selected hospitals of SNNP region which have MDR-TB treatment center. Which is a 72-months follow-up period. The time was measured by months in this study.</w:t>
      </w:r>
    </w:p>
    <w:p w14:paraId="253BBE0F" w14:textId="77777777" w:rsidR="007B70D3" w:rsidRPr="007B70D3" w:rsidRDefault="007B70D3" w:rsidP="007B70D3">
      <w:pPr>
        <w:pStyle w:val="Body"/>
        <w:jc w:val="left"/>
        <w:rPr>
          <w:rFonts w:ascii="Arial" w:hAnsi="Arial" w:cs="Arial"/>
          <w:b/>
        </w:rPr>
      </w:pPr>
      <w:r w:rsidRPr="007B70D3">
        <w:rPr>
          <w:rFonts w:ascii="Arial" w:hAnsi="Arial" w:cs="Arial"/>
          <w:b/>
        </w:rPr>
        <w:t xml:space="preserve">2.2. Data source and data collection </w:t>
      </w:r>
    </w:p>
    <w:p w14:paraId="7FF71731" w14:textId="77777777" w:rsidR="007B70D3" w:rsidRPr="007B70D3" w:rsidRDefault="007B70D3" w:rsidP="007B70D3">
      <w:pPr>
        <w:pStyle w:val="Body"/>
        <w:rPr>
          <w:rFonts w:ascii="Arial" w:hAnsi="Arial" w:cs="Arial"/>
        </w:rPr>
      </w:pPr>
      <w:r w:rsidRPr="007B70D3">
        <w:rPr>
          <w:rFonts w:ascii="Arial" w:hAnsi="Arial" w:cs="Arial"/>
        </w:rPr>
        <w:t>The required data were extracted from follow-up charts and cards of MDR-TB patients admitted to the selected hospitals from January 2016 to December 2021. The data collectors of our study were trained healthcare professionals (nurses) under the supervision of investigators and the data quality had been checked for their completeness, consistency, and accuracy by investigators every day.</w:t>
      </w:r>
    </w:p>
    <w:p w14:paraId="4541B986" w14:textId="77777777" w:rsidR="007B70D3" w:rsidRPr="007B70D3" w:rsidRDefault="007B70D3" w:rsidP="007B70D3">
      <w:pPr>
        <w:pStyle w:val="Body"/>
        <w:jc w:val="left"/>
        <w:rPr>
          <w:rFonts w:ascii="Arial" w:hAnsi="Arial" w:cs="Arial"/>
          <w:b/>
        </w:rPr>
      </w:pPr>
      <w:r w:rsidRPr="007B70D3">
        <w:rPr>
          <w:rFonts w:ascii="Arial" w:hAnsi="Arial" w:cs="Arial"/>
          <w:b/>
        </w:rPr>
        <w:t>2.3. Sampling techniques and Sample size Determination</w:t>
      </w:r>
    </w:p>
    <w:p w14:paraId="057713F0" w14:textId="77777777" w:rsidR="007B70D3" w:rsidRPr="007B70D3" w:rsidRDefault="007B70D3" w:rsidP="007B70D3">
      <w:pPr>
        <w:pStyle w:val="Body"/>
        <w:rPr>
          <w:rFonts w:ascii="Arial" w:hAnsi="Arial" w:cs="Arial"/>
        </w:rPr>
      </w:pPr>
      <w:r w:rsidRPr="007B70D3">
        <w:rPr>
          <w:rFonts w:ascii="Arial" w:hAnsi="Arial" w:cs="Arial"/>
        </w:rPr>
        <w:t xml:space="preserve">Cluster sampling technique was used. Currently, a total of six MDR-TB treatments centers are available, of which </w:t>
      </w:r>
      <w:proofErr w:type="spellStart"/>
      <w:r w:rsidRPr="007B70D3">
        <w:rPr>
          <w:rFonts w:ascii="Arial" w:hAnsi="Arial" w:cs="Arial"/>
        </w:rPr>
        <w:t>Nigist</w:t>
      </w:r>
      <w:proofErr w:type="spellEnd"/>
      <w:r w:rsidRPr="007B70D3">
        <w:rPr>
          <w:rFonts w:ascii="Arial" w:hAnsi="Arial" w:cs="Arial"/>
        </w:rPr>
        <w:t xml:space="preserve"> Ellen Mohammed Memorial Comprehensive </w:t>
      </w:r>
      <w:proofErr w:type="gramStart"/>
      <w:r w:rsidRPr="007B70D3">
        <w:rPr>
          <w:rFonts w:ascii="Arial" w:hAnsi="Arial" w:cs="Arial"/>
        </w:rPr>
        <w:t>specialized</w:t>
      </w:r>
      <w:proofErr w:type="gramEnd"/>
      <w:r w:rsidRPr="007B70D3">
        <w:rPr>
          <w:rFonts w:ascii="Arial" w:hAnsi="Arial" w:cs="Arial"/>
        </w:rPr>
        <w:t xml:space="preserve"> Hospital, </w:t>
      </w:r>
      <w:proofErr w:type="spellStart"/>
      <w:r w:rsidRPr="007B70D3">
        <w:rPr>
          <w:rFonts w:ascii="Arial" w:hAnsi="Arial" w:cs="Arial"/>
        </w:rPr>
        <w:t>Butajira</w:t>
      </w:r>
      <w:proofErr w:type="spellEnd"/>
      <w:r w:rsidRPr="007B70D3">
        <w:rPr>
          <w:rFonts w:ascii="Arial" w:hAnsi="Arial" w:cs="Arial"/>
        </w:rPr>
        <w:t xml:space="preserve"> Hospital and </w:t>
      </w:r>
      <w:proofErr w:type="spellStart"/>
      <w:r w:rsidRPr="007B70D3">
        <w:rPr>
          <w:rFonts w:ascii="Arial" w:hAnsi="Arial" w:cs="Arial"/>
        </w:rPr>
        <w:t>Arbamich</w:t>
      </w:r>
      <w:proofErr w:type="spellEnd"/>
      <w:r w:rsidRPr="007B70D3">
        <w:rPr>
          <w:rFonts w:ascii="Arial" w:hAnsi="Arial" w:cs="Arial"/>
        </w:rPr>
        <w:t xml:space="preserve"> General Hospital were selected randomly. We included all patients under follow up in these selected treatment centers consecutively.</w:t>
      </w:r>
    </w:p>
    <w:p w14:paraId="444491E3" w14:textId="77777777" w:rsidR="007B70D3" w:rsidRPr="00DF6344" w:rsidRDefault="00DF6344" w:rsidP="00DF6344">
      <w:pPr>
        <w:pStyle w:val="Body"/>
        <w:jc w:val="left"/>
        <w:rPr>
          <w:rFonts w:ascii="Arial" w:hAnsi="Arial" w:cs="Arial"/>
          <w:b/>
        </w:rPr>
      </w:pPr>
      <w:r w:rsidRPr="00DF6344">
        <w:rPr>
          <w:rFonts w:ascii="Arial" w:hAnsi="Arial" w:cs="Arial"/>
          <w:b/>
        </w:rPr>
        <w:t xml:space="preserve">2.3.1. </w:t>
      </w:r>
      <w:r w:rsidR="007B70D3" w:rsidRPr="00DF6344">
        <w:rPr>
          <w:rFonts w:ascii="Arial" w:hAnsi="Arial" w:cs="Arial"/>
          <w:b/>
        </w:rPr>
        <w:t xml:space="preserve">Sample size determination: </w:t>
      </w:r>
    </w:p>
    <w:p w14:paraId="159D980B" w14:textId="77777777" w:rsidR="007B70D3" w:rsidRPr="007B70D3" w:rsidRDefault="007B70D3" w:rsidP="007B70D3">
      <w:pPr>
        <w:pStyle w:val="Body"/>
        <w:rPr>
          <w:rFonts w:ascii="Arial" w:hAnsi="Arial" w:cs="Arial"/>
        </w:rPr>
      </w:pPr>
      <w:r w:rsidRPr="007B70D3">
        <w:rPr>
          <w:rFonts w:ascii="Arial" w:hAnsi="Arial" w:cs="Arial"/>
        </w:rPr>
        <w:t xml:space="preserve">The sample size was determined using at 95% CI with a prevalence of MDR-TB rate of 15% [21] and a margin error of 0.036. Then a total sample of 499 MDR-TB patients was considered using cluster random sampling methods. Further discussions on sampling are available at Cochran [22]. Thus, from a total sample of 301 MDR-TB patients that fulfill the inclusion-exclusion criteria was considered by applying cluster random sampling methods. Subsequently, all individuals within the designated clusters are included within the sample. Following this protocol, samples were collected from specified hospitals in the southern region. </w:t>
      </w:r>
    </w:p>
    <w:p w14:paraId="59DEAB05" w14:textId="77777777" w:rsidR="007B70D3" w:rsidRPr="00DF6344" w:rsidRDefault="007B70D3" w:rsidP="007B70D3">
      <w:pPr>
        <w:pStyle w:val="Body"/>
        <w:rPr>
          <w:rFonts w:ascii="Arial" w:hAnsi="Arial" w:cs="Arial"/>
          <w:b/>
        </w:rPr>
      </w:pPr>
      <w:r w:rsidRPr="00DF6344">
        <w:rPr>
          <w:rFonts w:ascii="Arial" w:hAnsi="Arial" w:cs="Arial"/>
          <w:b/>
        </w:rPr>
        <w:t>Inclusion and exclusion criteria</w:t>
      </w:r>
    </w:p>
    <w:p w14:paraId="4E53D487" w14:textId="77777777" w:rsidR="00AA74E0" w:rsidRDefault="007B70D3" w:rsidP="00441B6F">
      <w:pPr>
        <w:pStyle w:val="Body"/>
        <w:spacing w:after="0"/>
        <w:rPr>
          <w:rFonts w:ascii="Arial" w:hAnsi="Arial" w:cs="Arial"/>
        </w:rPr>
      </w:pPr>
      <w:r w:rsidRPr="007B70D3">
        <w:rPr>
          <w:rFonts w:ascii="Arial" w:hAnsi="Arial" w:cs="Arial"/>
        </w:rPr>
        <w:t>Patients with insufficient recorded information in either the registration book or their card were excluded from the study. Additionally, those who had not initiated second-line MDR-TB treatments and XDR-TB patients were also excluded.</w:t>
      </w:r>
      <w:r w:rsidR="00AA74E0" w:rsidRPr="00FB3A86">
        <w:rPr>
          <w:rFonts w:ascii="Arial" w:hAnsi="Arial" w:cs="Arial"/>
        </w:rPr>
        <w:t xml:space="preserve">  </w:t>
      </w:r>
    </w:p>
    <w:p w14:paraId="010D2699" w14:textId="77777777" w:rsidR="00505F06" w:rsidRDefault="00505F06" w:rsidP="00441B6F">
      <w:pPr>
        <w:pStyle w:val="Body"/>
        <w:spacing w:after="0"/>
        <w:rPr>
          <w:rFonts w:ascii="Arial" w:hAnsi="Arial" w:cs="Arial"/>
        </w:rPr>
      </w:pPr>
    </w:p>
    <w:p w14:paraId="708E701B" w14:textId="77777777" w:rsidR="00DF6344" w:rsidRPr="00DF6344" w:rsidRDefault="00DF6344" w:rsidP="00DF6344">
      <w:pPr>
        <w:pStyle w:val="Body"/>
        <w:rPr>
          <w:rFonts w:ascii="Arial" w:hAnsi="Arial" w:cs="Arial"/>
          <w:b/>
        </w:rPr>
      </w:pPr>
      <w:r>
        <w:rPr>
          <w:rFonts w:ascii="Arial" w:hAnsi="Arial" w:cs="Arial"/>
          <w:b/>
        </w:rPr>
        <w:t xml:space="preserve">2.4. </w:t>
      </w:r>
      <w:r w:rsidRPr="00DF6344">
        <w:rPr>
          <w:rFonts w:ascii="Arial" w:hAnsi="Arial" w:cs="Arial"/>
          <w:b/>
        </w:rPr>
        <w:t>Study Variables</w:t>
      </w:r>
    </w:p>
    <w:p w14:paraId="236FA250" w14:textId="77777777" w:rsidR="00505F06" w:rsidRDefault="00DF6344" w:rsidP="00DF6344">
      <w:pPr>
        <w:pStyle w:val="Body"/>
        <w:spacing w:after="0"/>
        <w:rPr>
          <w:rFonts w:ascii="Arial" w:hAnsi="Arial" w:cs="Arial"/>
        </w:rPr>
      </w:pPr>
      <w:r w:rsidRPr="00DF6344">
        <w:rPr>
          <w:rFonts w:ascii="Arial" w:hAnsi="Arial" w:cs="Arial"/>
          <w:b/>
        </w:rPr>
        <w:t>Outcome variables:</w:t>
      </w:r>
      <w:r w:rsidRPr="00DF6344">
        <w:rPr>
          <w:rFonts w:ascii="Arial" w:hAnsi="Arial" w:cs="Arial"/>
        </w:rPr>
        <w:t xml:space="preserve"> Time to Recovery from MDR-TB, defined as duration from the starting of MDR-TB treatment until the patient achieves recovery. Time was measured </w:t>
      </w:r>
      <w:proofErr w:type="spellStart"/>
      <w:r w:rsidRPr="00DF6344">
        <w:rPr>
          <w:rFonts w:ascii="Arial" w:hAnsi="Arial" w:cs="Arial"/>
        </w:rPr>
        <w:t>interms</w:t>
      </w:r>
      <w:proofErr w:type="spellEnd"/>
      <w:r w:rsidRPr="00DF6344">
        <w:rPr>
          <w:rFonts w:ascii="Arial" w:hAnsi="Arial" w:cs="Arial"/>
        </w:rPr>
        <w:t xml:space="preserve"> of months.  The event of interest was recovery from MDR-TB (1= recovered and 0 =Not recovered or censored). Data was entered by using SPSS-23 and it was cleaned and analyzed by using stata-15 software.</w:t>
      </w:r>
    </w:p>
    <w:p w14:paraId="0CB2A8AA" w14:textId="4346446C" w:rsidR="00DF6344" w:rsidRDefault="005006CF" w:rsidP="00DF6344">
      <w:pPr>
        <w:pStyle w:val="Body"/>
        <w:spacing w:before="240" w:after="0" w:line="276" w:lineRule="auto"/>
        <w:rPr>
          <w:rFonts w:ascii="Arial" w:hAnsi="Arial" w:cs="Arial"/>
        </w:rPr>
      </w:pPr>
      <w:r w:rsidRPr="00DF6344">
        <w:rPr>
          <w:rFonts w:ascii="Arial" w:hAnsi="Arial" w:cs="Arial"/>
        </w:rPr>
        <w:t xml:space="preserve">table </w:t>
      </w:r>
      <w:proofErr w:type="gramStart"/>
      <w:r w:rsidRPr="00DF6344">
        <w:rPr>
          <w:rFonts w:ascii="Arial" w:hAnsi="Arial" w:cs="Arial"/>
        </w:rPr>
        <w:t>1</w:t>
      </w:r>
      <w:r>
        <w:rPr>
          <w:rFonts w:ascii="Arial" w:hAnsi="Arial" w:cs="Arial"/>
        </w:rPr>
        <w:t xml:space="preserve"> :</w:t>
      </w:r>
      <w:proofErr w:type="gramEnd"/>
      <w:r>
        <w:rPr>
          <w:rFonts w:ascii="Arial" w:hAnsi="Arial" w:cs="Arial"/>
        </w:rPr>
        <w:t xml:space="preserve"> </w:t>
      </w:r>
      <w:r w:rsidR="00DF6344" w:rsidRPr="00DF6344">
        <w:rPr>
          <w:rFonts w:ascii="Arial" w:hAnsi="Arial" w:cs="Arial"/>
          <w:b/>
        </w:rPr>
        <w:t>Predictor variables</w:t>
      </w:r>
      <w:r w:rsidR="00DF6344" w:rsidRPr="00DF6344">
        <w:rPr>
          <w:rFonts w:ascii="Arial" w:hAnsi="Arial" w:cs="Arial"/>
        </w:rPr>
        <w:t xml:space="preserve">  </w:t>
      </w:r>
    </w:p>
    <w:tbl>
      <w:tblPr>
        <w:tblStyle w:val="TableGrid"/>
        <w:tblW w:w="0" w:type="auto"/>
        <w:jc w:val="center"/>
        <w:tblLook w:val="04A0" w:firstRow="1" w:lastRow="0" w:firstColumn="1" w:lastColumn="0" w:noHBand="0" w:noVBand="1"/>
      </w:tblPr>
      <w:tblGrid>
        <w:gridCol w:w="3897"/>
        <w:gridCol w:w="2880"/>
      </w:tblGrid>
      <w:tr w:rsidR="00DF6344" w:rsidRPr="00DF6344" w14:paraId="6779B1CE" w14:textId="77777777" w:rsidTr="00693799">
        <w:trPr>
          <w:jc w:val="center"/>
        </w:trPr>
        <w:tc>
          <w:tcPr>
            <w:tcW w:w="3897" w:type="dxa"/>
          </w:tcPr>
          <w:p w14:paraId="3CFD2DD1" w14:textId="77777777" w:rsidR="00DF6344" w:rsidRPr="00DF6344" w:rsidRDefault="00DF6344" w:rsidP="00DF6344">
            <w:pPr>
              <w:autoSpaceDE w:val="0"/>
              <w:autoSpaceDN w:val="0"/>
              <w:adjustRightInd w:val="0"/>
              <w:spacing w:before="240" w:line="20" w:lineRule="atLeast"/>
              <w:jc w:val="both"/>
              <w:rPr>
                <w:rFonts w:ascii="Arial" w:hAnsi="Arial" w:cs="Arial"/>
                <w:b/>
                <w:color w:val="131413"/>
                <w:sz w:val="20"/>
                <w:szCs w:val="20"/>
              </w:rPr>
            </w:pPr>
            <w:r w:rsidRPr="00DF6344">
              <w:rPr>
                <w:rFonts w:ascii="Arial" w:hAnsi="Arial" w:cs="Arial"/>
                <w:b/>
                <w:color w:val="131413"/>
                <w:sz w:val="20"/>
                <w:szCs w:val="20"/>
              </w:rPr>
              <w:t xml:space="preserve">Predictor variables </w:t>
            </w:r>
          </w:p>
        </w:tc>
        <w:tc>
          <w:tcPr>
            <w:tcW w:w="2880" w:type="dxa"/>
          </w:tcPr>
          <w:p w14:paraId="57D37D45" w14:textId="77777777" w:rsidR="00DF6344" w:rsidRPr="00DF6344" w:rsidRDefault="00DF6344" w:rsidP="00DF6344">
            <w:pPr>
              <w:autoSpaceDE w:val="0"/>
              <w:autoSpaceDN w:val="0"/>
              <w:adjustRightInd w:val="0"/>
              <w:spacing w:line="20" w:lineRule="atLeast"/>
              <w:jc w:val="both"/>
              <w:rPr>
                <w:rFonts w:ascii="Arial" w:hAnsi="Arial" w:cs="Arial"/>
                <w:b/>
                <w:color w:val="131413"/>
                <w:sz w:val="20"/>
                <w:szCs w:val="20"/>
              </w:rPr>
            </w:pPr>
            <w:r w:rsidRPr="00DF6344">
              <w:rPr>
                <w:rFonts w:ascii="Arial" w:hAnsi="Arial" w:cs="Arial"/>
                <w:b/>
                <w:color w:val="131413"/>
                <w:sz w:val="20"/>
                <w:szCs w:val="20"/>
              </w:rPr>
              <w:t xml:space="preserve">Categories </w:t>
            </w:r>
          </w:p>
        </w:tc>
      </w:tr>
      <w:tr w:rsidR="00DF6344" w:rsidRPr="00DF6344" w14:paraId="3AF3ABD0" w14:textId="77777777" w:rsidTr="00693799">
        <w:trPr>
          <w:jc w:val="center"/>
        </w:trPr>
        <w:tc>
          <w:tcPr>
            <w:tcW w:w="3897" w:type="dxa"/>
          </w:tcPr>
          <w:p w14:paraId="42A721B3"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Sex</w:t>
            </w:r>
          </w:p>
        </w:tc>
        <w:tc>
          <w:tcPr>
            <w:tcW w:w="2880" w:type="dxa"/>
          </w:tcPr>
          <w:p w14:paraId="20C49F27"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1 = Male</w:t>
            </w:r>
          </w:p>
          <w:p w14:paraId="321A6DD1"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0 = Female</w:t>
            </w:r>
          </w:p>
        </w:tc>
      </w:tr>
      <w:tr w:rsidR="00DF6344" w:rsidRPr="00DF6344" w14:paraId="49BC069D" w14:textId="77777777" w:rsidTr="00693799">
        <w:trPr>
          <w:jc w:val="center"/>
        </w:trPr>
        <w:tc>
          <w:tcPr>
            <w:tcW w:w="3897" w:type="dxa"/>
          </w:tcPr>
          <w:p w14:paraId="31132FF1"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Age (in year)</w:t>
            </w:r>
          </w:p>
        </w:tc>
        <w:tc>
          <w:tcPr>
            <w:tcW w:w="2880" w:type="dxa"/>
          </w:tcPr>
          <w:p w14:paraId="4823012C"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0 = 0-17 years</w:t>
            </w:r>
          </w:p>
          <w:p w14:paraId="01F0DFE9"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1= 18- 64 years</w:t>
            </w:r>
          </w:p>
          <w:p w14:paraId="10CAA8D7"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2= above 65 years</w:t>
            </w:r>
          </w:p>
        </w:tc>
      </w:tr>
      <w:tr w:rsidR="00DF6344" w:rsidRPr="00DF6344" w14:paraId="2F00FC51" w14:textId="77777777" w:rsidTr="00693799">
        <w:trPr>
          <w:jc w:val="center"/>
        </w:trPr>
        <w:tc>
          <w:tcPr>
            <w:tcW w:w="3897" w:type="dxa"/>
          </w:tcPr>
          <w:p w14:paraId="4D56A2F4"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 xml:space="preserve">Residence </w:t>
            </w:r>
          </w:p>
        </w:tc>
        <w:tc>
          <w:tcPr>
            <w:tcW w:w="2880" w:type="dxa"/>
          </w:tcPr>
          <w:p w14:paraId="0FB65664"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1 = Urban</w:t>
            </w:r>
          </w:p>
          <w:p w14:paraId="611CF572"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0 = Rural</w:t>
            </w:r>
          </w:p>
        </w:tc>
      </w:tr>
      <w:tr w:rsidR="00DF6344" w:rsidRPr="00DF6344" w14:paraId="0BF12777" w14:textId="77777777" w:rsidTr="00693799">
        <w:trPr>
          <w:jc w:val="center"/>
        </w:trPr>
        <w:tc>
          <w:tcPr>
            <w:tcW w:w="3897" w:type="dxa"/>
          </w:tcPr>
          <w:p w14:paraId="53DC8A76"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 xml:space="preserve">Marital status </w:t>
            </w:r>
          </w:p>
        </w:tc>
        <w:tc>
          <w:tcPr>
            <w:tcW w:w="2880" w:type="dxa"/>
          </w:tcPr>
          <w:p w14:paraId="4EB8C54E"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0 = Married</w:t>
            </w:r>
          </w:p>
          <w:p w14:paraId="21762584"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1 = Single</w:t>
            </w:r>
          </w:p>
          <w:p w14:paraId="4C8A0D2C"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 xml:space="preserve">2 = Divorced </w:t>
            </w:r>
          </w:p>
          <w:p w14:paraId="6728311E" w14:textId="77777777" w:rsidR="00DF6344" w:rsidRPr="00DF6344" w:rsidRDefault="00DF6344" w:rsidP="00DF6344">
            <w:pPr>
              <w:autoSpaceDE w:val="0"/>
              <w:autoSpaceDN w:val="0"/>
              <w:adjustRightInd w:val="0"/>
              <w:spacing w:line="20" w:lineRule="atLeast"/>
              <w:jc w:val="both"/>
              <w:rPr>
                <w:rFonts w:ascii="Arial" w:hAnsi="Arial" w:cs="Arial"/>
                <w:b/>
                <w:color w:val="131413"/>
                <w:sz w:val="20"/>
                <w:szCs w:val="20"/>
              </w:rPr>
            </w:pPr>
            <w:r w:rsidRPr="00DF6344">
              <w:rPr>
                <w:rFonts w:ascii="Arial" w:hAnsi="Arial" w:cs="Arial"/>
                <w:color w:val="131413"/>
                <w:sz w:val="20"/>
                <w:szCs w:val="20"/>
              </w:rPr>
              <w:t>3 = Widowed</w:t>
            </w:r>
            <w:r w:rsidRPr="00DF6344">
              <w:rPr>
                <w:rFonts w:ascii="Arial" w:hAnsi="Arial" w:cs="Arial"/>
                <w:b/>
                <w:color w:val="131413"/>
                <w:sz w:val="20"/>
                <w:szCs w:val="20"/>
              </w:rPr>
              <w:t xml:space="preserve"> </w:t>
            </w:r>
          </w:p>
        </w:tc>
      </w:tr>
      <w:tr w:rsidR="00DF6344" w:rsidRPr="00DF6344" w14:paraId="4CF6827D" w14:textId="77777777" w:rsidTr="00693799">
        <w:trPr>
          <w:jc w:val="center"/>
        </w:trPr>
        <w:tc>
          <w:tcPr>
            <w:tcW w:w="3897" w:type="dxa"/>
          </w:tcPr>
          <w:p w14:paraId="3D83B25C"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color w:val="131413"/>
                <w:sz w:val="20"/>
                <w:szCs w:val="20"/>
              </w:rPr>
              <w:t>HIV status</w:t>
            </w:r>
          </w:p>
        </w:tc>
        <w:tc>
          <w:tcPr>
            <w:tcW w:w="2880" w:type="dxa"/>
          </w:tcPr>
          <w:p w14:paraId="005E3AC2"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color w:val="131413"/>
                <w:sz w:val="20"/>
                <w:szCs w:val="20"/>
              </w:rPr>
              <w:t>0</w:t>
            </w:r>
            <w:r w:rsidRPr="00DF6344">
              <w:rPr>
                <w:rFonts w:ascii="Arial" w:hAnsi="Arial" w:cs="Arial"/>
                <w:b/>
                <w:color w:val="131413"/>
                <w:sz w:val="20"/>
                <w:szCs w:val="20"/>
              </w:rPr>
              <w:t xml:space="preserve"> = </w:t>
            </w:r>
            <w:r w:rsidRPr="00DF6344">
              <w:rPr>
                <w:rFonts w:ascii="Arial" w:hAnsi="Arial" w:cs="Arial"/>
                <w:sz w:val="20"/>
                <w:szCs w:val="20"/>
              </w:rPr>
              <w:t>HIV Negative</w:t>
            </w:r>
          </w:p>
          <w:p w14:paraId="3A00D4F5" w14:textId="77777777" w:rsidR="00DF6344" w:rsidRPr="00DF6344" w:rsidRDefault="00DF6344" w:rsidP="00DF6344">
            <w:pPr>
              <w:autoSpaceDE w:val="0"/>
              <w:autoSpaceDN w:val="0"/>
              <w:adjustRightInd w:val="0"/>
              <w:spacing w:line="20" w:lineRule="atLeast"/>
              <w:jc w:val="both"/>
              <w:rPr>
                <w:rFonts w:ascii="Arial" w:hAnsi="Arial" w:cs="Arial"/>
                <w:b/>
                <w:color w:val="131413"/>
                <w:sz w:val="20"/>
                <w:szCs w:val="20"/>
              </w:rPr>
            </w:pPr>
            <w:r w:rsidRPr="00DF6344">
              <w:rPr>
                <w:rFonts w:ascii="Arial" w:hAnsi="Arial" w:cs="Arial"/>
                <w:sz w:val="20"/>
                <w:szCs w:val="20"/>
              </w:rPr>
              <w:t>1 = HIV Positive</w:t>
            </w:r>
          </w:p>
        </w:tc>
      </w:tr>
      <w:tr w:rsidR="00DF6344" w:rsidRPr="00DF6344" w14:paraId="13D4C492" w14:textId="77777777" w:rsidTr="00693799">
        <w:trPr>
          <w:jc w:val="center"/>
        </w:trPr>
        <w:tc>
          <w:tcPr>
            <w:tcW w:w="3897" w:type="dxa"/>
          </w:tcPr>
          <w:p w14:paraId="27F8C237"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sz w:val="20"/>
                <w:szCs w:val="20"/>
              </w:rPr>
              <w:lastRenderedPageBreak/>
              <w:t>Smoking history</w:t>
            </w:r>
          </w:p>
        </w:tc>
        <w:tc>
          <w:tcPr>
            <w:tcW w:w="2880" w:type="dxa"/>
          </w:tcPr>
          <w:p w14:paraId="0D3F726E"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 xml:space="preserve">1 = Smokers, </w:t>
            </w:r>
          </w:p>
          <w:p w14:paraId="56158D26" w14:textId="77777777" w:rsidR="00DF6344" w:rsidRPr="00DF6344" w:rsidRDefault="00DF6344" w:rsidP="00DF6344">
            <w:pPr>
              <w:autoSpaceDE w:val="0"/>
              <w:autoSpaceDN w:val="0"/>
              <w:adjustRightInd w:val="0"/>
              <w:spacing w:line="20" w:lineRule="atLeast"/>
              <w:jc w:val="both"/>
              <w:rPr>
                <w:rFonts w:ascii="Arial" w:hAnsi="Arial" w:cs="Arial"/>
                <w:b/>
                <w:color w:val="131413"/>
                <w:sz w:val="20"/>
                <w:szCs w:val="20"/>
              </w:rPr>
            </w:pPr>
            <w:r w:rsidRPr="00DF6344">
              <w:rPr>
                <w:rFonts w:ascii="Arial" w:hAnsi="Arial" w:cs="Arial"/>
                <w:sz w:val="20"/>
                <w:szCs w:val="20"/>
              </w:rPr>
              <w:t>0 = Non-smokers</w:t>
            </w:r>
          </w:p>
        </w:tc>
      </w:tr>
      <w:tr w:rsidR="00DF6344" w:rsidRPr="00DF6344" w14:paraId="3E81CAB9" w14:textId="77777777" w:rsidTr="00693799">
        <w:trPr>
          <w:trHeight w:val="719"/>
          <w:jc w:val="center"/>
        </w:trPr>
        <w:tc>
          <w:tcPr>
            <w:tcW w:w="3897" w:type="dxa"/>
          </w:tcPr>
          <w:p w14:paraId="6485DFBE" w14:textId="77777777" w:rsidR="00DF6344" w:rsidRPr="00DF6344" w:rsidRDefault="00DF6344" w:rsidP="00DF6344">
            <w:pPr>
              <w:autoSpaceDE w:val="0"/>
              <w:autoSpaceDN w:val="0"/>
              <w:adjustRightInd w:val="0"/>
              <w:spacing w:line="20" w:lineRule="atLeast"/>
              <w:jc w:val="both"/>
              <w:rPr>
                <w:rFonts w:ascii="Arial" w:hAnsi="Arial" w:cs="Arial"/>
                <w:color w:val="131413"/>
                <w:sz w:val="20"/>
                <w:szCs w:val="20"/>
              </w:rPr>
            </w:pPr>
            <w:r w:rsidRPr="00DF6344">
              <w:rPr>
                <w:rFonts w:ascii="Arial" w:hAnsi="Arial" w:cs="Arial"/>
                <w:sz w:val="20"/>
                <w:szCs w:val="20"/>
              </w:rPr>
              <w:t>Adherence based on Pill count</w:t>
            </w:r>
          </w:p>
        </w:tc>
        <w:tc>
          <w:tcPr>
            <w:tcW w:w="2880" w:type="dxa"/>
          </w:tcPr>
          <w:p w14:paraId="7EE55988"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 xml:space="preserve">0 = Poor </w:t>
            </w:r>
          </w:p>
          <w:p w14:paraId="3FA8AA9F" w14:textId="77777777" w:rsidR="00DF6344" w:rsidRPr="00DF6344" w:rsidRDefault="00DF6344" w:rsidP="00DF6344">
            <w:pPr>
              <w:autoSpaceDE w:val="0"/>
              <w:autoSpaceDN w:val="0"/>
              <w:adjustRightInd w:val="0"/>
              <w:spacing w:line="20" w:lineRule="atLeast"/>
              <w:jc w:val="both"/>
              <w:rPr>
                <w:rFonts w:ascii="Arial" w:hAnsi="Arial" w:cs="Arial"/>
                <w:b/>
                <w:color w:val="131413"/>
                <w:sz w:val="20"/>
                <w:szCs w:val="20"/>
              </w:rPr>
            </w:pPr>
            <w:r w:rsidRPr="00DF6344">
              <w:rPr>
                <w:rFonts w:ascii="Arial" w:hAnsi="Arial" w:cs="Arial"/>
                <w:sz w:val="20"/>
                <w:szCs w:val="20"/>
              </w:rPr>
              <w:t xml:space="preserve">1 = Fair </w:t>
            </w:r>
          </w:p>
          <w:p w14:paraId="44A6651C" w14:textId="77777777" w:rsidR="00DF6344" w:rsidRPr="00DF6344" w:rsidRDefault="00DF6344" w:rsidP="00DF6344">
            <w:pPr>
              <w:autoSpaceDE w:val="0"/>
              <w:autoSpaceDN w:val="0"/>
              <w:adjustRightInd w:val="0"/>
              <w:spacing w:line="20" w:lineRule="atLeast"/>
              <w:jc w:val="both"/>
              <w:rPr>
                <w:rFonts w:ascii="Arial" w:hAnsi="Arial" w:cs="Arial"/>
                <w:b/>
                <w:color w:val="131413"/>
                <w:sz w:val="20"/>
                <w:szCs w:val="20"/>
              </w:rPr>
            </w:pPr>
            <w:r w:rsidRPr="00DF6344">
              <w:rPr>
                <w:rFonts w:ascii="Arial" w:hAnsi="Arial" w:cs="Arial"/>
                <w:sz w:val="20"/>
                <w:szCs w:val="20"/>
              </w:rPr>
              <w:t xml:space="preserve">2 = Good </w:t>
            </w:r>
          </w:p>
        </w:tc>
      </w:tr>
      <w:tr w:rsidR="00DF6344" w:rsidRPr="00DF6344" w14:paraId="0225C7AD" w14:textId="77777777" w:rsidTr="00693799">
        <w:trPr>
          <w:trHeight w:val="195"/>
          <w:jc w:val="center"/>
        </w:trPr>
        <w:tc>
          <w:tcPr>
            <w:tcW w:w="3897" w:type="dxa"/>
          </w:tcPr>
          <w:p w14:paraId="144AF619"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Co-morbidities</w:t>
            </w:r>
          </w:p>
        </w:tc>
        <w:tc>
          <w:tcPr>
            <w:tcW w:w="2880" w:type="dxa"/>
          </w:tcPr>
          <w:p w14:paraId="1ACFDD39"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 xml:space="preserve">1 = Yes </w:t>
            </w:r>
          </w:p>
          <w:p w14:paraId="336699C4"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0 = No</w:t>
            </w:r>
          </w:p>
        </w:tc>
      </w:tr>
      <w:tr w:rsidR="00DF6344" w:rsidRPr="00DF6344" w14:paraId="3605C87B" w14:textId="77777777" w:rsidTr="00693799">
        <w:trPr>
          <w:trHeight w:val="204"/>
          <w:jc w:val="center"/>
        </w:trPr>
        <w:tc>
          <w:tcPr>
            <w:tcW w:w="3897" w:type="dxa"/>
          </w:tcPr>
          <w:p w14:paraId="7E69F8A8"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Previous drug use history</w:t>
            </w:r>
          </w:p>
        </w:tc>
        <w:tc>
          <w:tcPr>
            <w:tcW w:w="2880" w:type="dxa"/>
          </w:tcPr>
          <w:p w14:paraId="427549CF"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 xml:space="preserve">1 = yes </w:t>
            </w:r>
          </w:p>
          <w:p w14:paraId="289D4FA9"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0 =No</w:t>
            </w:r>
          </w:p>
        </w:tc>
      </w:tr>
      <w:tr w:rsidR="00DF6344" w:rsidRPr="00DF6344" w14:paraId="28ADD3B7" w14:textId="77777777" w:rsidTr="00693799">
        <w:trPr>
          <w:trHeight w:val="210"/>
          <w:jc w:val="center"/>
        </w:trPr>
        <w:tc>
          <w:tcPr>
            <w:tcW w:w="3897" w:type="dxa"/>
          </w:tcPr>
          <w:p w14:paraId="16E8F878"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MDR-TB type</w:t>
            </w:r>
          </w:p>
        </w:tc>
        <w:tc>
          <w:tcPr>
            <w:tcW w:w="2880" w:type="dxa"/>
          </w:tcPr>
          <w:p w14:paraId="0290C8A6"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0 = pulmonary</w:t>
            </w:r>
          </w:p>
          <w:p w14:paraId="076E2C80"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1 = Extra pulmonary</w:t>
            </w:r>
          </w:p>
        </w:tc>
      </w:tr>
      <w:tr w:rsidR="00DF6344" w:rsidRPr="00DF6344" w14:paraId="10DD80E3" w14:textId="77777777" w:rsidTr="00693799">
        <w:trPr>
          <w:trHeight w:val="189"/>
          <w:jc w:val="center"/>
        </w:trPr>
        <w:tc>
          <w:tcPr>
            <w:tcW w:w="3897" w:type="dxa"/>
          </w:tcPr>
          <w:p w14:paraId="2F9FDA34"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Baseline weight</w:t>
            </w:r>
          </w:p>
        </w:tc>
        <w:tc>
          <w:tcPr>
            <w:tcW w:w="2880" w:type="dxa"/>
          </w:tcPr>
          <w:p w14:paraId="2282D977"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Continuous (kg)</w:t>
            </w:r>
          </w:p>
        </w:tc>
      </w:tr>
      <w:tr w:rsidR="00DF6344" w:rsidRPr="00DF6344" w14:paraId="78AE5624" w14:textId="77777777" w:rsidTr="00693799">
        <w:trPr>
          <w:trHeight w:val="755"/>
          <w:jc w:val="center"/>
        </w:trPr>
        <w:tc>
          <w:tcPr>
            <w:tcW w:w="3897" w:type="dxa"/>
          </w:tcPr>
          <w:p w14:paraId="1CA64DB6"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Occupation</w:t>
            </w:r>
          </w:p>
        </w:tc>
        <w:tc>
          <w:tcPr>
            <w:tcW w:w="2880" w:type="dxa"/>
          </w:tcPr>
          <w:p w14:paraId="32FFF4A8"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0 = Employee,</w:t>
            </w:r>
          </w:p>
          <w:p w14:paraId="20598F56"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 xml:space="preserve"> 1 = Farmer, </w:t>
            </w:r>
          </w:p>
          <w:p w14:paraId="26DC9E36"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2 = Merchant</w:t>
            </w:r>
          </w:p>
        </w:tc>
      </w:tr>
      <w:tr w:rsidR="00DF6344" w:rsidRPr="00DF6344" w14:paraId="1777BDD7" w14:textId="77777777" w:rsidTr="00693799">
        <w:trPr>
          <w:trHeight w:val="315"/>
          <w:jc w:val="center"/>
        </w:trPr>
        <w:tc>
          <w:tcPr>
            <w:tcW w:w="3897" w:type="dxa"/>
          </w:tcPr>
          <w:p w14:paraId="532BA770"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 xml:space="preserve">Family size </w:t>
            </w:r>
          </w:p>
        </w:tc>
        <w:tc>
          <w:tcPr>
            <w:tcW w:w="2880" w:type="dxa"/>
          </w:tcPr>
          <w:p w14:paraId="4CC35BC3" w14:textId="77777777" w:rsidR="00DF6344" w:rsidRPr="00DF6344" w:rsidRDefault="00DF6344" w:rsidP="00DF6344">
            <w:pPr>
              <w:spacing w:line="20" w:lineRule="atLeast"/>
              <w:jc w:val="both"/>
              <w:rPr>
                <w:rFonts w:ascii="Arial" w:hAnsi="Arial" w:cs="Arial"/>
                <w:sz w:val="20"/>
                <w:szCs w:val="20"/>
              </w:rPr>
            </w:pPr>
            <w:r w:rsidRPr="00DF6344">
              <w:rPr>
                <w:rFonts w:ascii="Arial" w:hAnsi="Arial" w:cs="Arial"/>
                <w:b/>
                <w:sz w:val="20"/>
                <w:szCs w:val="20"/>
              </w:rPr>
              <w:t>0</w:t>
            </w:r>
            <w:r w:rsidRPr="00DF6344">
              <w:rPr>
                <w:rFonts w:ascii="Arial" w:hAnsi="Arial" w:cs="Arial"/>
                <w:sz w:val="20"/>
                <w:szCs w:val="20"/>
              </w:rPr>
              <w:t>= Less than 4</w:t>
            </w:r>
          </w:p>
          <w:p w14:paraId="7DA42D24" w14:textId="77777777" w:rsidR="00DF6344" w:rsidRPr="00DF6344" w:rsidRDefault="00DF6344" w:rsidP="00DF6344">
            <w:pPr>
              <w:spacing w:line="20" w:lineRule="atLeast"/>
              <w:jc w:val="both"/>
              <w:rPr>
                <w:rFonts w:ascii="Arial" w:hAnsi="Arial" w:cs="Arial"/>
                <w:sz w:val="20"/>
                <w:szCs w:val="20"/>
              </w:rPr>
            </w:pPr>
            <w:r w:rsidRPr="00DF6344">
              <w:rPr>
                <w:rFonts w:ascii="Arial" w:hAnsi="Arial" w:cs="Arial"/>
                <w:sz w:val="20"/>
                <w:szCs w:val="20"/>
              </w:rPr>
              <w:t>1= between 4 to 6</w:t>
            </w:r>
          </w:p>
          <w:p w14:paraId="1E64AE19"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2= greater than 6</w:t>
            </w:r>
          </w:p>
        </w:tc>
      </w:tr>
      <w:tr w:rsidR="00DF6344" w:rsidRPr="00DF6344" w14:paraId="09A5613E" w14:textId="77777777" w:rsidTr="00693799">
        <w:trPr>
          <w:trHeight w:val="270"/>
          <w:jc w:val="center"/>
        </w:trPr>
        <w:tc>
          <w:tcPr>
            <w:tcW w:w="3897" w:type="dxa"/>
          </w:tcPr>
          <w:p w14:paraId="67BAA2E4" w14:textId="77777777" w:rsidR="00DF6344" w:rsidRPr="00DF6344" w:rsidRDefault="00DF6344" w:rsidP="00DF6344">
            <w:pPr>
              <w:spacing w:line="20" w:lineRule="atLeast"/>
              <w:jc w:val="both"/>
              <w:rPr>
                <w:rFonts w:ascii="Arial" w:hAnsi="Arial" w:cs="Arial"/>
                <w:sz w:val="20"/>
                <w:szCs w:val="20"/>
              </w:rPr>
            </w:pPr>
            <w:r w:rsidRPr="00DF6344">
              <w:rPr>
                <w:rFonts w:ascii="Arial" w:hAnsi="Arial" w:cs="Arial"/>
                <w:sz w:val="20"/>
                <w:szCs w:val="20"/>
              </w:rPr>
              <w:t>History of TB in Family</w:t>
            </w:r>
          </w:p>
        </w:tc>
        <w:tc>
          <w:tcPr>
            <w:tcW w:w="2880" w:type="dxa"/>
          </w:tcPr>
          <w:p w14:paraId="7E07F119"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 xml:space="preserve">1 = Yes </w:t>
            </w:r>
          </w:p>
          <w:p w14:paraId="11B937FB"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0 =No</w:t>
            </w:r>
          </w:p>
        </w:tc>
      </w:tr>
      <w:tr w:rsidR="00DF6344" w:rsidRPr="00DF6344" w14:paraId="77DC6183" w14:textId="77777777" w:rsidTr="00693799">
        <w:trPr>
          <w:trHeight w:val="129"/>
          <w:jc w:val="center"/>
        </w:trPr>
        <w:tc>
          <w:tcPr>
            <w:tcW w:w="3897" w:type="dxa"/>
          </w:tcPr>
          <w:p w14:paraId="28903ED3" w14:textId="77777777" w:rsidR="00DF6344" w:rsidRPr="00DF6344" w:rsidRDefault="00DF6344" w:rsidP="00DF6344">
            <w:pPr>
              <w:spacing w:line="20" w:lineRule="atLeast"/>
              <w:jc w:val="both"/>
              <w:rPr>
                <w:rFonts w:ascii="Arial" w:hAnsi="Arial" w:cs="Arial"/>
                <w:sz w:val="20"/>
                <w:szCs w:val="20"/>
              </w:rPr>
            </w:pPr>
            <w:r w:rsidRPr="00DF6344">
              <w:rPr>
                <w:rFonts w:ascii="Arial" w:hAnsi="Arial" w:cs="Arial"/>
                <w:sz w:val="20"/>
                <w:szCs w:val="20"/>
              </w:rPr>
              <w:t>Status</w:t>
            </w:r>
          </w:p>
          <w:p w14:paraId="40C6DA14"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p>
        </w:tc>
        <w:tc>
          <w:tcPr>
            <w:tcW w:w="2880" w:type="dxa"/>
          </w:tcPr>
          <w:p w14:paraId="27A8F84D" w14:textId="77777777" w:rsidR="00DF6344" w:rsidRPr="00DF6344" w:rsidRDefault="00DF6344" w:rsidP="00DF6344">
            <w:pPr>
              <w:spacing w:line="20" w:lineRule="atLeast"/>
              <w:jc w:val="both"/>
              <w:rPr>
                <w:rFonts w:ascii="Arial" w:hAnsi="Arial" w:cs="Arial"/>
                <w:sz w:val="20"/>
                <w:szCs w:val="20"/>
              </w:rPr>
            </w:pPr>
            <w:r w:rsidRPr="00DF6344">
              <w:rPr>
                <w:rFonts w:ascii="Arial" w:hAnsi="Arial" w:cs="Arial"/>
                <w:sz w:val="20"/>
                <w:szCs w:val="20"/>
              </w:rPr>
              <w:t>1= Recovered</w:t>
            </w:r>
          </w:p>
          <w:p w14:paraId="184A5CF2"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0 = Censored</w:t>
            </w:r>
          </w:p>
        </w:tc>
      </w:tr>
      <w:tr w:rsidR="00DF6344" w:rsidRPr="00DF6344" w14:paraId="45A810AB" w14:textId="77777777" w:rsidTr="00693799">
        <w:trPr>
          <w:trHeight w:val="255"/>
          <w:jc w:val="center"/>
        </w:trPr>
        <w:tc>
          <w:tcPr>
            <w:tcW w:w="3897" w:type="dxa"/>
          </w:tcPr>
          <w:p w14:paraId="5C95E83B"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 xml:space="preserve">Education status </w:t>
            </w:r>
          </w:p>
        </w:tc>
        <w:tc>
          <w:tcPr>
            <w:tcW w:w="2880" w:type="dxa"/>
          </w:tcPr>
          <w:p w14:paraId="7DFB1332" w14:textId="77777777" w:rsidR="00DF6344" w:rsidRPr="00DF6344" w:rsidRDefault="00DF6344" w:rsidP="00DF6344">
            <w:pPr>
              <w:spacing w:line="20" w:lineRule="atLeast"/>
              <w:jc w:val="both"/>
              <w:rPr>
                <w:rFonts w:ascii="Arial" w:hAnsi="Arial" w:cs="Arial"/>
                <w:sz w:val="20"/>
                <w:szCs w:val="20"/>
              </w:rPr>
            </w:pPr>
            <w:r w:rsidRPr="00DF6344">
              <w:rPr>
                <w:rFonts w:ascii="Arial" w:hAnsi="Arial" w:cs="Arial"/>
                <w:sz w:val="20"/>
                <w:szCs w:val="20"/>
              </w:rPr>
              <w:t>0= Not educated</w:t>
            </w:r>
          </w:p>
          <w:p w14:paraId="241C575B" w14:textId="77777777" w:rsidR="00DF6344" w:rsidRPr="00DF6344" w:rsidRDefault="00DF6344" w:rsidP="00DF6344">
            <w:pPr>
              <w:spacing w:line="20" w:lineRule="atLeast"/>
              <w:jc w:val="both"/>
              <w:rPr>
                <w:rFonts w:ascii="Arial" w:hAnsi="Arial" w:cs="Arial"/>
                <w:sz w:val="20"/>
                <w:szCs w:val="20"/>
              </w:rPr>
            </w:pPr>
            <w:r w:rsidRPr="00DF6344">
              <w:rPr>
                <w:rFonts w:ascii="Arial" w:hAnsi="Arial" w:cs="Arial"/>
                <w:sz w:val="20"/>
                <w:szCs w:val="20"/>
              </w:rPr>
              <w:t>1= Primary</w:t>
            </w:r>
          </w:p>
          <w:p w14:paraId="6E501100"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2=Secondary</w:t>
            </w:r>
          </w:p>
          <w:p w14:paraId="10A93021"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4= Higher level educated</w:t>
            </w:r>
          </w:p>
        </w:tc>
      </w:tr>
      <w:tr w:rsidR="00DF6344" w:rsidRPr="00DF6344" w14:paraId="753B91F2" w14:textId="77777777" w:rsidTr="00693799">
        <w:trPr>
          <w:trHeight w:val="285"/>
          <w:jc w:val="center"/>
        </w:trPr>
        <w:tc>
          <w:tcPr>
            <w:tcW w:w="3897" w:type="dxa"/>
          </w:tcPr>
          <w:p w14:paraId="5B94502E"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Alcohol use</w:t>
            </w:r>
          </w:p>
        </w:tc>
        <w:tc>
          <w:tcPr>
            <w:tcW w:w="2880" w:type="dxa"/>
          </w:tcPr>
          <w:p w14:paraId="63D4C94E" w14:textId="77777777" w:rsidR="00DF6344" w:rsidRPr="00DF6344" w:rsidRDefault="00DF6344" w:rsidP="00DF6344">
            <w:pPr>
              <w:autoSpaceDE w:val="0"/>
              <w:autoSpaceDN w:val="0"/>
              <w:adjustRightInd w:val="0"/>
              <w:spacing w:line="20" w:lineRule="atLeast"/>
              <w:jc w:val="both"/>
              <w:rPr>
                <w:rFonts w:ascii="Arial" w:hAnsi="Arial" w:cs="Arial"/>
                <w:sz w:val="20"/>
                <w:szCs w:val="20"/>
              </w:rPr>
            </w:pPr>
            <w:r w:rsidRPr="00DF6344">
              <w:rPr>
                <w:rFonts w:ascii="Arial" w:hAnsi="Arial" w:cs="Arial"/>
                <w:sz w:val="20"/>
                <w:szCs w:val="20"/>
              </w:rPr>
              <w:t>1=Yes, 0= No</w:t>
            </w:r>
          </w:p>
        </w:tc>
      </w:tr>
    </w:tbl>
    <w:p w14:paraId="095ADE3D" w14:textId="77777777" w:rsidR="00DF6344" w:rsidRDefault="00DF6344" w:rsidP="00DF6344">
      <w:pPr>
        <w:pStyle w:val="Body"/>
        <w:spacing w:after="0"/>
        <w:rPr>
          <w:rFonts w:ascii="Arial" w:hAnsi="Arial" w:cs="Arial"/>
        </w:rPr>
      </w:pPr>
    </w:p>
    <w:p w14:paraId="7E0C7E3B" w14:textId="77777777" w:rsidR="00DF6344" w:rsidRPr="00DF6344" w:rsidRDefault="00DF6344" w:rsidP="00DF6344">
      <w:pPr>
        <w:pStyle w:val="Body"/>
        <w:spacing w:after="0"/>
        <w:rPr>
          <w:rFonts w:ascii="Arial" w:hAnsi="Arial" w:cs="Arial"/>
        </w:rPr>
      </w:pPr>
    </w:p>
    <w:p w14:paraId="4053A6DA" w14:textId="77777777" w:rsidR="002F3C18" w:rsidRPr="001D1490" w:rsidRDefault="001D1490" w:rsidP="001D1490">
      <w:pPr>
        <w:pStyle w:val="Heading2"/>
        <w:spacing w:before="0" w:line="240" w:lineRule="auto"/>
        <w:rPr>
          <w:rFonts w:ascii="Arial" w:hAnsi="Arial" w:cs="Arial"/>
          <w:color w:val="auto"/>
          <w:sz w:val="20"/>
          <w:szCs w:val="20"/>
        </w:rPr>
      </w:pPr>
      <w:bookmarkStart w:id="0" w:name="_Toc108265632"/>
      <w:r>
        <w:rPr>
          <w:rFonts w:ascii="Arial" w:hAnsi="Arial" w:cs="Arial"/>
          <w:color w:val="auto"/>
          <w:sz w:val="20"/>
          <w:szCs w:val="20"/>
        </w:rPr>
        <w:t xml:space="preserve">2.5. </w:t>
      </w:r>
      <w:r w:rsidR="002F3C18" w:rsidRPr="001D1490">
        <w:rPr>
          <w:rFonts w:ascii="Arial" w:hAnsi="Arial" w:cs="Arial"/>
          <w:color w:val="auto"/>
          <w:sz w:val="20"/>
          <w:szCs w:val="20"/>
        </w:rPr>
        <w:t>Statistical Models</w:t>
      </w:r>
      <w:bookmarkEnd w:id="0"/>
    </w:p>
    <w:p w14:paraId="6434D821" w14:textId="77777777" w:rsidR="002F3C18" w:rsidRPr="001D1490" w:rsidRDefault="001D1490" w:rsidP="001D1490">
      <w:pPr>
        <w:pStyle w:val="Heading3"/>
        <w:spacing w:before="0" w:line="240" w:lineRule="auto"/>
        <w:rPr>
          <w:rFonts w:ascii="Arial" w:hAnsi="Arial" w:cs="Arial"/>
          <w:color w:val="auto"/>
          <w:sz w:val="20"/>
          <w:szCs w:val="20"/>
        </w:rPr>
      </w:pPr>
      <w:bookmarkStart w:id="1" w:name="_Toc108265633"/>
      <w:r>
        <w:rPr>
          <w:rFonts w:ascii="Arial" w:hAnsi="Arial" w:cs="Arial"/>
          <w:color w:val="auto"/>
          <w:sz w:val="20"/>
          <w:szCs w:val="20"/>
        </w:rPr>
        <w:t xml:space="preserve">2.5.1. </w:t>
      </w:r>
      <w:r w:rsidR="002F3C18" w:rsidRPr="001D1490">
        <w:rPr>
          <w:rFonts w:ascii="Arial" w:hAnsi="Arial" w:cs="Arial"/>
          <w:color w:val="auto"/>
          <w:sz w:val="20"/>
          <w:szCs w:val="20"/>
        </w:rPr>
        <w:t>Survival Analysis</w:t>
      </w:r>
      <w:bookmarkEnd w:id="1"/>
    </w:p>
    <w:p w14:paraId="5A544925" w14:textId="77777777" w:rsidR="002F3C18" w:rsidRPr="001D1490" w:rsidRDefault="002F3C18" w:rsidP="002509AC">
      <w:pPr>
        <w:autoSpaceDE w:val="0"/>
        <w:autoSpaceDN w:val="0"/>
        <w:adjustRightInd w:val="0"/>
        <w:jc w:val="both"/>
        <w:rPr>
          <w:rFonts w:ascii="Arial" w:hAnsi="Arial" w:cs="Arial"/>
          <w:color w:val="131413"/>
        </w:rPr>
      </w:pPr>
      <w:r w:rsidRPr="001D1490">
        <w:rPr>
          <w:rFonts w:ascii="Arial" w:hAnsi="Arial" w:cs="Arial"/>
        </w:rPr>
        <w:t xml:space="preserve">Survival analysis is a statistical methodology used to analyze time-to-event data, where the focus on understands the time until a specific event of interest happens. When </w:t>
      </w:r>
      <w:r w:rsidR="001D1490" w:rsidRPr="001D1490">
        <w:rPr>
          <w:rFonts w:ascii="Arial" w:hAnsi="Arial" w:cs="Arial"/>
        </w:rPr>
        <w:t>we refer</w:t>
      </w:r>
      <w:r w:rsidRPr="001D1490">
        <w:rPr>
          <w:rFonts w:ascii="Arial" w:hAnsi="Arial" w:cs="Arial"/>
        </w:rPr>
        <w:t xml:space="preserve"> to time, we are considering years, months, weeks, or </w:t>
      </w:r>
      <w:r w:rsidR="001D1490" w:rsidRPr="001D1490">
        <w:rPr>
          <w:rFonts w:ascii="Arial" w:hAnsi="Arial" w:cs="Arial"/>
        </w:rPr>
        <w:t>a day starting from the commencement of follow up for an individual until a specific event takes</w:t>
      </w:r>
      <w:r w:rsidRPr="001D1490">
        <w:rPr>
          <w:rFonts w:ascii="Arial" w:hAnsi="Arial" w:cs="Arial"/>
        </w:rPr>
        <w:t xml:space="preserve"> place. Survival analysis is a significant statistical method utilized to depict and analyze time to event data. </w:t>
      </w:r>
      <w:r w:rsidRPr="001D1490">
        <w:rPr>
          <w:rFonts w:ascii="Arial" w:hAnsi="Arial" w:cs="Arial"/>
          <w:color w:val="131413"/>
        </w:rPr>
        <w:t>In any applied set, a survival data can summarize through life tables [</w:t>
      </w:r>
      <w:r w:rsidRPr="001D1490">
        <w:rPr>
          <w:rFonts w:ascii="Arial" w:hAnsi="Arial" w:cs="Arial"/>
          <w:color w:val="0000FF"/>
        </w:rPr>
        <w:t>23</w:t>
      </w:r>
      <w:r w:rsidRPr="001D1490">
        <w:rPr>
          <w:rFonts w:ascii="Arial" w:hAnsi="Arial" w:cs="Arial"/>
          <w:color w:val="131413"/>
        </w:rPr>
        <w:t>], Kaplan-Meier Survival functions [</w:t>
      </w:r>
      <w:r w:rsidRPr="001D1490">
        <w:rPr>
          <w:rFonts w:ascii="Arial" w:hAnsi="Arial" w:cs="Arial"/>
          <w:color w:val="0000FF"/>
        </w:rPr>
        <w:t>24</w:t>
      </w:r>
      <w:r w:rsidRPr="001D1490">
        <w:rPr>
          <w:rFonts w:ascii="Arial" w:hAnsi="Arial" w:cs="Arial"/>
          <w:color w:val="131413"/>
        </w:rPr>
        <w:t>] and median survival time [</w:t>
      </w:r>
      <w:r w:rsidRPr="001D1490">
        <w:rPr>
          <w:rFonts w:ascii="Arial" w:hAnsi="Arial" w:cs="Arial"/>
          <w:color w:val="0000FF"/>
        </w:rPr>
        <w:t>25</w:t>
      </w:r>
      <w:r w:rsidRPr="001D1490">
        <w:rPr>
          <w:rFonts w:ascii="Arial" w:hAnsi="Arial" w:cs="Arial"/>
          <w:color w:val="131413"/>
        </w:rPr>
        <w:t>,</w:t>
      </w:r>
      <w:r w:rsidRPr="001D1490">
        <w:rPr>
          <w:rFonts w:ascii="Arial" w:hAnsi="Arial" w:cs="Arial"/>
          <w:color w:val="0000FF"/>
        </w:rPr>
        <w:t xml:space="preserve"> 26</w:t>
      </w:r>
      <w:r w:rsidRPr="001D1490">
        <w:rPr>
          <w:rFonts w:ascii="Arial" w:hAnsi="Arial" w:cs="Arial"/>
          <w:color w:val="131413"/>
        </w:rPr>
        <w:t>]. Besides estimating the survival functions, comparing two or more estimated survival curves is the most frequently used statistical tool of recent clinical research [</w:t>
      </w:r>
      <w:r w:rsidRPr="001D1490">
        <w:rPr>
          <w:rFonts w:ascii="Arial" w:hAnsi="Arial" w:cs="Arial"/>
          <w:color w:val="0000FF"/>
        </w:rPr>
        <w:t>27</w:t>
      </w:r>
      <w:r w:rsidRPr="001D1490">
        <w:rPr>
          <w:rFonts w:ascii="Arial" w:hAnsi="Arial" w:cs="Arial"/>
          <w:color w:val="131413"/>
        </w:rPr>
        <w:t>].</w:t>
      </w:r>
    </w:p>
    <w:p w14:paraId="6E870481" w14:textId="77777777" w:rsidR="002F3C18" w:rsidRPr="001D1490" w:rsidRDefault="002F3C18" w:rsidP="002509AC">
      <w:pPr>
        <w:autoSpaceDE w:val="0"/>
        <w:autoSpaceDN w:val="0"/>
        <w:adjustRightInd w:val="0"/>
        <w:jc w:val="both"/>
        <w:rPr>
          <w:rFonts w:ascii="Arial" w:hAnsi="Arial" w:cs="Arial"/>
          <w:color w:val="131413"/>
        </w:rPr>
      </w:pPr>
      <w:r w:rsidRPr="001D1490">
        <w:rPr>
          <w:rFonts w:ascii="Arial" w:hAnsi="Arial" w:cs="Arial"/>
          <w:color w:val="131413"/>
        </w:rPr>
        <w:t>The simplest way of comparing the survival times obtained from two or more groups are the Kaplan-Meier curves and log-rank test [</w:t>
      </w:r>
      <w:r w:rsidRPr="001D1490">
        <w:rPr>
          <w:rFonts w:ascii="Arial" w:hAnsi="Arial" w:cs="Arial"/>
          <w:color w:val="0000FF"/>
        </w:rPr>
        <w:t>29</w:t>
      </w:r>
      <w:r w:rsidRPr="001D1490">
        <w:rPr>
          <w:rFonts w:ascii="Arial" w:eastAsia="NklnlvAdvTT86d47313+20" w:hAnsi="Arial" w:cs="Arial"/>
          <w:color w:val="131413"/>
        </w:rPr>
        <w:t>–</w:t>
      </w:r>
      <w:r w:rsidRPr="001D1490">
        <w:rPr>
          <w:rFonts w:ascii="Arial" w:hAnsi="Arial" w:cs="Arial"/>
          <w:color w:val="0000FF"/>
        </w:rPr>
        <w:t>31</w:t>
      </w:r>
      <w:r w:rsidRPr="001D1490">
        <w:rPr>
          <w:rFonts w:ascii="Arial" w:hAnsi="Arial" w:cs="Arial"/>
          <w:color w:val="131413"/>
        </w:rPr>
        <w:t>]. However, to explore the relationship between the survival experience of individual and explanatory variables, an approach based on statistical modeling has been used [</w:t>
      </w:r>
      <w:r w:rsidRPr="001D1490">
        <w:rPr>
          <w:rFonts w:ascii="Arial" w:hAnsi="Arial" w:cs="Arial"/>
          <w:color w:val="0000FF"/>
        </w:rPr>
        <w:t>32</w:t>
      </w:r>
      <w:r w:rsidRPr="001D1490">
        <w:rPr>
          <w:rFonts w:ascii="Arial" w:hAnsi="Arial" w:cs="Arial"/>
          <w:color w:val="131413"/>
        </w:rPr>
        <w:t>]. Also used with a modeling approach to the analysis of survival data are the Cox Proportional Hazard [</w:t>
      </w:r>
      <w:r w:rsidRPr="001D1490">
        <w:rPr>
          <w:rFonts w:ascii="Arial" w:hAnsi="Arial" w:cs="Arial"/>
          <w:color w:val="0000FF"/>
        </w:rPr>
        <w:t>33</w:t>
      </w:r>
      <w:r w:rsidRPr="001D1490">
        <w:rPr>
          <w:rFonts w:ascii="Arial" w:hAnsi="Arial" w:cs="Arial"/>
          <w:color w:val="131413"/>
        </w:rPr>
        <w:t>], Accelerated Failure Time [</w:t>
      </w:r>
      <w:r w:rsidRPr="001D1490">
        <w:rPr>
          <w:rFonts w:ascii="Arial" w:hAnsi="Arial" w:cs="Arial"/>
          <w:color w:val="0000FF"/>
        </w:rPr>
        <w:t>33</w:t>
      </w:r>
      <w:r w:rsidRPr="001D1490">
        <w:rPr>
          <w:rFonts w:ascii="Arial" w:hAnsi="Arial" w:cs="Arial"/>
          <w:color w:val="131413"/>
        </w:rPr>
        <w:t>] and parametric shared frailty models [</w:t>
      </w:r>
      <w:r w:rsidRPr="001D1490">
        <w:rPr>
          <w:rFonts w:ascii="Arial" w:hAnsi="Arial" w:cs="Arial"/>
          <w:color w:val="0000FF"/>
        </w:rPr>
        <w:t>34</w:t>
      </w:r>
      <w:r w:rsidRPr="001D1490">
        <w:rPr>
          <w:rFonts w:ascii="Arial" w:hAnsi="Arial" w:cs="Arial"/>
          <w:color w:val="131413"/>
        </w:rPr>
        <w:t>].</w:t>
      </w:r>
    </w:p>
    <w:p w14:paraId="4CC4B090" w14:textId="77777777" w:rsidR="002F3C18" w:rsidRPr="001D1490" w:rsidRDefault="001D1490" w:rsidP="001D1490">
      <w:pPr>
        <w:pStyle w:val="Heading2"/>
        <w:spacing w:after="240" w:line="240" w:lineRule="auto"/>
        <w:rPr>
          <w:rFonts w:ascii="Arial" w:hAnsi="Arial" w:cs="Arial"/>
          <w:color w:val="auto"/>
          <w:sz w:val="20"/>
          <w:szCs w:val="20"/>
        </w:rPr>
      </w:pPr>
      <w:bookmarkStart w:id="2" w:name="_Toc108265637"/>
      <w:r>
        <w:rPr>
          <w:rFonts w:ascii="Arial" w:hAnsi="Arial" w:cs="Arial"/>
          <w:color w:val="auto"/>
          <w:sz w:val="20"/>
          <w:szCs w:val="20"/>
        </w:rPr>
        <w:t xml:space="preserve">2.5.2. </w:t>
      </w:r>
      <w:r w:rsidR="002F3C18" w:rsidRPr="001D1490">
        <w:rPr>
          <w:rFonts w:ascii="Arial" w:hAnsi="Arial" w:cs="Arial"/>
          <w:color w:val="auto"/>
          <w:sz w:val="20"/>
          <w:szCs w:val="20"/>
        </w:rPr>
        <w:t>Accelerated failure time model</w:t>
      </w:r>
      <w:bookmarkEnd w:id="2"/>
    </w:p>
    <w:p w14:paraId="30B66D23" w14:textId="77777777" w:rsidR="002F3C18" w:rsidRPr="001D1490" w:rsidRDefault="002F3C18" w:rsidP="002509AC">
      <w:pPr>
        <w:autoSpaceDE w:val="0"/>
        <w:autoSpaceDN w:val="0"/>
        <w:adjustRightInd w:val="0"/>
        <w:jc w:val="both"/>
        <w:rPr>
          <w:rFonts w:ascii="Arial" w:hAnsi="Arial" w:cs="Arial"/>
          <w:color w:val="131413"/>
        </w:rPr>
      </w:pPr>
      <w:r w:rsidRPr="001D1490">
        <w:rPr>
          <w:rFonts w:ascii="Arial" w:hAnsi="Arial" w:cs="Arial"/>
        </w:rPr>
        <w:t xml:space="preserve">The Accelerated Failure Time (AFT) model serves as a parametric alternative to the Proportional Hazards (PH) model. While the PH model assumes that covariates multiply the hazard by a constant, the AFT model posits that covariates either speed up or slow down the progression of an event by a constant factor. Parametric models, particularly AFT models, are well-suited for analyzing survival data, as there are limited probability distributions for survival time that can be employed in these models. In AFT models, the focus is on directly measuring the impact of explanatory variables on the survival time, rather than the hazard. </w:t>
      </w:r>
      <w:r w:rsidRPr="001D1490">
        <w:rPr>
          <w:rFonts w:ascii="Arial" w:hAnsi="Arial" w:cs="Arial"/>
          <w:color w:val="131413"/>
        </w:rPr>
        <w:t>For AFT models it is common to use the log-linear representation:</w:t>
      </w:r>
    </w:p>
    <w:p w14:paraId="6185B5F9" w14:textId="77777777" w:rsidR="002F3C18" w:rsidRPr="001D1490" w:rsidRDefault="00000000" w:rsidP="002509AC">
      <w:pPr>
        <w:autoSpaceDE w:val="0"/>
        <w:autoSpaceDN w:val="0"/>
        <w:adjustRightInd w:val="0"/>
        <w:spacing w:before="240"/>
        <w:rPr>
          <w:rFonts w:ascii="Arial" w:hAnsi="Arial" w:cs="Arial"/>
          <w:b/>
          <w:color w:val="131413"/>
        </w:rPr>
      </w:pPr>
      <m:oMathPara>
        <m:oMath>
          <m:sSub>
            <m:sSubPr>
              <m:ctrlPr>
                <w:rPr>
                  <w:rFonts w:ascii="Cambria Math" w:hAnsi="Arial" w:cs="Arial"/>
                  <w:i/>
                  <w:color w:val="131413"/>
                  <w:vertAlign w:val="subscript"/>
                </w:rPr>
              </m:ctrlPr>
            </m:sSubPr>
            <m:e>
              <m:r>
                <w:rPr>
                  <w:rFonts w:ascii="Cambria Math" w:hAnsi="Cambria Math" w:cs="Arial"/>
                  <w:color w:val="131413"/>
                  <w:vertAlign w:val="subscript"/>
                </w:rPr>
                <m:t>Y</m:t>
              </m:r>
            </m:e>
            <m:sub>
              <m:r>
                <w:rPr>
                  <w:rFonts w:ascii="Cambria Math" w:hAnsi="Cambria Math" w:cs="Arial"/>
                  <w:color w:val="131413"/>
                  <w:vertAlign w:val="subscript"/>
                </w:rPr>
                <m:t>i</m:t>
              </m:r>
            </m:sub>
          </m:sSub>
          <m:r>
            <m:rPr>
              <m:sty m:val="bi"/>
            </m:rPr>
            <w:rPr>
              <w:rFonts w:ascii="Cambria Math" w:hAnsi="Arial" w:cs="Arial"/>
              <w:color w:val="131413"/>
            </w:rPr>
            <m:t>=</m:t>
          </m:r>
          <m:r>
            <m:rPr>
              <m:sty m:val="bi"/>
            </m:rPr>
            <w:rPr>
              <w:rFonts w:ascii="Cambria Math" w:hAnsi="Cambria Math" w:cs="Arial"/>
              <w:color w:val="131413"/>
            </w:rPr>
            <m:t>log</m:t>
          </m:r>
          <m:sSub>
            <m:sSubPr>
              <m:ctrlPr>
                <w:rPr>
                  <w:rFonts w:ascii="Cambria Math" w:hAnsi="Arial" w:cs="Arial"/>
                  <w:b/>
                  <w:i/>
                  <w:color w:val="131413"/>
                </w:rPr>
              </m:ctrlPr>
            </m:sSubPr>
            <m:e>
              <m:r>
                <m:rPr>
                  <m:sty m:val="bi"/>
                </m:rPr>
                <w:rPr>
                  <w:rFonts w:ascii="Cambria Math" w:hAnsi="Cambria Math" w:cs="Arial"/>
                  <w:color w:val="131413"/>
                </w:rPr>
                <m:t>T</m:t>
              </m:r>
            </m:e>
            <m:sub>
              <m:r>
                <m:rPr>
                  <m:sty m:val="bi"/>
                </m:rPr>
                <w:rPr>
                  <w:rFonts w:ascii="Cambria Math" w:hAnsi="Cambria Math" w:cs="Arial"/>
                  <w:color w:val="131413"/>
                </w:rPr>
                <m:t>i</m:t>
              </m:r>
            </m:sub>
          </m:sSub>
          <m:r>
            <m:rPr>
              <m:sty m:val="bi"/>
            </m:rPr>
            <w:rPr>
              <w:rFonts w:ascii="Cambria Math" w:hAnsi="Arial" w:cs="Arial"/>
              <w:color w:val="131413"/>
            </w:rPr>
            <m:t>=</m:t>
          </m:r>
          <m:r>
            <m:rPr>
              <m:sty m:val="bi"/>
            </m:rPr>
            <w:rPr>
              <w:rFonts w:ascii="Cambria Math" w:hAnsi="Cambria Math" w:cs="Arial"/>
              <w:color w:val="131413"/>
            </w:rPr>
            <m:t>μ</m:t>
          </m:r>
          <m:r>
            <m:rPr>
              <m:sty m:val="bi"/>
            </m:rPr>
            <w:rPr>
              <w:rFonts w:ascii="Cambria Math" w:hAnsi="Arial" w:cs="Arial"/>
              <w:color w:val="131413"/>
            </w:rPr>
            <m:t>+</m:t>
          </m:r>
          <m:sSub>
            <m:sSubPr>
              <m:ctrlPr>
                <w:rPr>
                  <w:rFonts w:ascii="Cambria Math" w:hAnsi="Arial" w:cs="Arial"/>
                  <w:b/>
                  <w:i/>
                  <w:color w:val="131413"/>
                </w:rPr>
              </m:ctrlPr>
            </m:sSubPr>
            <m:e>
              <m:r>
                <m:rPr>
                  <m:sty m:val="bi"/>
                </m:rPr>
                <w:rPr>
                  <w:rFonts w:ascii="Cambria Math" w:hAnsi="Cambria Math" w:cs="Arial"/>
                  <w:color w:val="131413"/>
                </w:rPr>
                <m:t>β</m:t>
              </m:r>
            </m:e>
            <m:sub>
              <m:r>
                <m:rPr>
                  <m:sty m:val="bi"/>
                </m:rPr>
                <w:rPr>
                  <w:rFonts w:ascii="Cambria Math" w:hAnsi="Cambria Math" w:cs="Arial"/>
                  <w:color w:val="131413"/>
                </w:rPr>
                <m:t>1</m:t>
              </m:r>
            </m:sub>
          </m:sSub>
          <m:sSub>
            <m:sSubPr>
              <m:ctrlPr>
                <w:rPr>
                  <w:rFonts w:ascii="Cambria Math" w:hAnsi="Arial" w:cs="Arial"/>
                  <w:b/>
                  <w:i/>
                  <w:color w:val="131413"/>
                </w:rPr>
              </m:ctrlPr>
            </m:sSubPr>
            <m:e>
              <m:r>
                <m:rPr>
                  <m:sty m:val="bi"/>
                </m:rPr>
                <w:rPr>
                  <w:rFonts w:ascii="Cambria Math" w:hAnsi="Cambria Math" w:cs="Arial"/>
                  <w:color w:val="131413"/>
                </w:rPr>
                <m:t>X</m:t>
              </m:r>
            </m:e>
            <m:sub>
              <m:r>
                <m:rPr>
                  <m:sty m:val="bi"/>
                </m:rPr>
                <w:rPr>
                  <w:rFonts w:ascii="Cambria Math" w:hAnsi="Cambria Math" w:cs="Arial"/>
                  <w:color w:val="131413"/>
                </w:rPr>
                <m:t>1</m:t>
              </m:r>
              <m:r>
                <m:rPr>
                  <m:sty m:val="bi"/>
                </m:rPr>
                <w:rPr>
                  <w:rFonts w:ascii="Cambria Math" w:hAnsi="Cambria Math" w:cs="Arial"/>
                  <w:color w:val="131413"/>
                </w:rPr>
                <m:t>i</m:t>
              </m:r>
            </m:sub>
          </m:sSub>
          <m:r>
            <m:rPr>
              <m:sty m:val="bi"/>
            </m:rPr>
            <w:rPr>
              <w:rFonts w:ascii="Cambria Math" w:hAnsi="Arial" w:cs="Arial"/>
              <w:color w:val="131413"/>
            </w:rPr>
            <m:t>+</m:t>
          </m:r>
          <m:r>
            <m:rPr>
              <m:sty m:val="bi"/>
            </m:rPr>
            <w:rPr>
              <w:rFonts w:ascii="Arial" w:hAnsi="Arial" w:cs="Arial"/>
              <w:color w:val="131413"/>
            </w:rPr>
            <m:t>…</m:t>
          </m:r>
          <m:r>
            <m:rPr>
              <m:sty m:val="bi"/>
            </m:rPr>
            <w:rPr>
              <w:rFonts w:ascii="Cambria Math" w:hAnsi="Arial" w:cs="Arial"/>
              <w:color w:val="131413"/>
            </w:rPr>
            <m:t>+</m:t>
          </m:r>
          <m:sSub>
            <m:sSubPr>
              <m:ctrlPr>
                <w:rPr>
                  <w:rFonts w:ascii="Cambria Math" w:hAnsi="Arial" w:cs="Arial"/>
                  <w:b/>
                  <w:i/>
                  <w:color w:val="131413"/>
                </w:rPr>
              </m:ctrlPr>
            </m:sSubPr>
            <m:e>
              <m:r>
                <m:rPr>
                  <m:sty m:val="bi"/>
                </m:rPr>
                <w:rPr>
                  <w:rFonts w:ascii="Cambria Math" w:hAnsi="Cambria Math" w:cs="Arial"/>
                  <w:color w:val="131413"/>
                </w:rPr>
                <m:t>β</m:t>
              </m:r>
            </m:e>
            <m:sub>
              <m:r>
                <m:rPr>
                  <m:sty m:val="bi"/>
                </m:rPr>
                <w:rPr>
                  <w:rFonts w:ascii="Cambria Math" w:hAnsi="Cambria Math" w:cs="Arial"/>
                  <w:color w:val="131413"/>
                </w:rPr>
                <m:t>pi</m:t>
              </m:r>
            </m:sub>
          </m:sSub>
          <m:sSub>
            <m:sSubPr>
              <m:ctrlPr>
                <w:rPr>
                  <w:rFonts w:ascii="Cambria Math" w:hAnsi="Arial" w:cs="Arial"/>
                  <w:b/>
                  <w:i/>
                  <w:color w:val="131413"/>
                </w:rPr>
              </m:ctrlPr>
            </m:sSubPr>
            <m:e>
              <m:r>
                <m:rPr>
                  <m:sty m:val="bi"/>
                </m:rPr>
                <w:rPr>
                  <w:rFonts w:ascii="Cambria Math" w:hAnsi="Cambria Math" w:cs="Arial"/>
                  <w:color w:val="131413"/>
                </w:rPr>
                <m:t>Xp</m:t>
              </m:r>
            </m:e>
            <m:sub>
              <m:r>
                <m:rPr>
                  <m:sty m:val="bi"/>
                </m:rPr>
                <w:rPr>
                  <w:rFonts w:ascii="Cambria Math" w:hAnsi="Cambria Math" w:cs="Arial"/>
                  <w:color w:val="131413"/>
                </w:rPr>
                <m:t>i</m:t>
              </m:r>
            </m:sub>
          </m:sSub>
          <m:r>
            <m:rPr>
              <m:sty m:val="bi"/>
            </m:rPr>
            <w:rPr>
              <w:rFonts w:ascii="Cambria Math" w:hAnsi="Arial" w:cs="Arial"/>
              <w:color w:val="131413"/>
            </w:rPr>
            <m:t>+</m:t>
          </m:r>
          <m:sSub>
            <m:sSubPr>
              <m:ctrlPr>
                <w:rPr>
                  <w:rFonts w:ascii="Cambria Math" w:hAnsi="Arial" w:cs="Arial"/>
                  <w:b/>
                  <w:i/>
                  <w:color w:val="131413"/>
                </w:rPr>
              </m:ctrlPr>
            </m:sSubPr>
            <m:e>
              <m:r>
                <m:rPr>
                  <m:sty m:val="bi"/>
                </m:rPr>
                <w:rPr>
                  <w:rFonts w:ascii="Cambria Math" w:hAnsi="Cambria Math" w:cs="Arial"/>
                  <w:color w:val="131413"/>
                </w:rPr>
                <m:t>σε</m:t>
              </m:r>
            </m:e>
            <m:sub>
              <m:r>
                <m:rPr>
                  <m:sty m:val="bi"/>
                </m:rPr>
                <w:rPr>
                  <w:rFonts w:ascii="Cambria Math" w:hAnsi="Cambria Math" w:cs="Arial"/>
                  <w:color w:val="131413"/>
                </w:rPr>
                <m:t>i</m:t>
              </m:r>
            </m:sub>
          </m:sSub>
          <m:r>
            <m:rPr>
              <m:sty m:val="bi"/>
            </m:rPr>
            <w:rPr>
              <w:rFonts w:ascii="Cambria Math" w:hAnsi="Arial" w:cs="Arial"/>
              <w:color w:val="131413"/>
            </w:rPr>
            <m:t>………………………</m:t>
          </m:r>
          <m:r>
            <m:rPr>
              <m:sty m:val="bi"/>
            </m:rPr>
            <w:rPr>
              <w:rFonts w:ascii="Cambria Math" w:hAnsi="Arial" w:cs="Arial"/>
              <w:color w:val="131413"/>
            </w:rPr>
            <m:t>Eq(1)</m:t>
          </m:r>
        </m:oMath>
      </m:oMathPara>
    </w:p>
    <w:p w14:paraId="61A2FEA0" w14:textId="77777777" w:rsidR="002509AC" w:rsidRDefault="002509AC" w:rsidP="002509AC">
      <w:pPr>
        <w:autoSpaceDE w:val="0"/>
        <w:autoSpaceDN w:val="0"/>
        <w:adjustRightInd w:val="0"/>
        <w:jc w:val="both"/>
        <w:rPr>
          <w:rFonts w:ascii="Arial" w:hAnsi="Arial" w:cs="Arial"/>
          <w:color w:val="000000"/>
        </w:rPr>
      </w:pPr>
    </w:p>
    <w:p w14:paraId="450F32EA" w14:textId="77777777" w:rsidR="002F3C18" w:rsidRPr="002509AC" w:rsidRDefault="002F3C18" w:rsidP="002509AC">
      <w:pPr>
        <w:autoSpaceDE w:val="0"/>
        <w:autoSpaceDN w:val="0"/>
        <w:adjustRightInd w:val="0"/>
        <w:jc w:val="both"/>
        <w:rPr>
          <w:rFonts w:ascii="Arial" w:hAnsi="Arial" w:cs="Arial"/>
          <w:color w:val="000000"/>
        </w:rPr>
      </w:pPr>
      <w:r w:rsidRPr="002509AC">
        <w:rPr>
          <w:rFonts w:ascii="Arial" w:hAnsi="Arial" w:cs="Arial"/>
          <w:color w:val="000000"/>
        </w:rPr>
        <w:t xml:space="preserve">where, </w:t>
      </w:r>
      <m:oMath>
        <m:r>
          <w:rPr>
            <w:rFonts w:ascii="Cambria Math" w:hAnsi="Cambria Math" w:cs="Arial"/>
            <w:color w:val="131413"/>
          </w:rPr>
          <m:t>log</m:t>
        </m:r>
        <m:sSub>
          <m:sSubPr>
            <m:ctrlPr>
              <w:rPr>
                <w:rFonts w:ascii="Cambria Math" w:hAnsi="Arial" w:cs="Arial"/>
                <w:i/>
                <w:color w:val="131413"/>
              </w:rPr>
            </m:ctrlPr>
          </m:sSubPr>
          <m:e>
            <m:r>
              <w:rPr>
                <w:rFonts w:ascii="Cambria Math" w:hAnsi="Cambria Math" w:cs="Arial"/>
                <w:color w:val="131413"/>
              </w:rPr>
              <m:t>T</m:t>
            </m:r>
          </m:e>
          <m:sub>
            <m:r>
              <w:rPr>
                <w:rFonts w:ascii="Cambria Math" w:hAnsi="Cambria Math" w:cs="Arial"/>
                <w:color w:val="131413"/>
              </w:rPr>
              <m:t>i</m:t>
            </m:r>
          </m:sub>
        </m:sSub>
      </m:oMath>
      <w:r w:rsidRPr="002509AC">
        <w:rPr>
          <w:rFonts w:ascii="Arial" w:hAnsi="Arial" w:cs="Arial"/>
          <w:color w:val="000000"/>
        </w:rPr>
        <w:t xml:space="preserve"> represents the log-transformed survival time, </w:t>
      </w:r>
      <w:r w:rsidRPr="002509AC">
        <w:rPr>
          <w:rFonts w:ascii="Arial" w:hAnsi="Arial" w:cs="Arial"/>
          <w:b/>
          <w:color w:val="000000"/>
        </w:rPr>
        <w:t xml:space="preserve">μ </w:t>
      </w:r>
      <w:r w:rsidRPr="002509AC">
        <w:rPr>
          <w:rFonts w:ascii="Arial" w:hAnsi="Arial" w:cs="Arial"/>
          <w:color w:val="000000"/>
        </w:rPr>
        <w:t xml:space="preserve">is the intercept and </w:t>
      </w:r>
      <w:r w:rsidRPr="002509AC">
        <w:rPr>
          <w:rFonts w:ascii="Arial" w:hAnsi="Arial" w:cs="Arial"/>
          <w:b/>
          <w:color w:val="000000"/>
        </w:rPr>
        <w:t>σ</w:t>
      </w:r>
      <w:r w:rsidRPr="002509AC">
        <w:rPr>
          <w:rFonts w:ascii="Arial" w:hAnsi="Arial" w:cs="Arial"/>
          <w:color w:val="000000"/>
        </w:rPr>
        <w:t xml:space="preserve"> is the scale parameter, the x1,</w:t>
      </w:r>
      <w:r w:rsidRPr="002509AC">
        <w:rPr>
          <w:rFonts w:ascii="Arial" w:eastAsia="NklnlvAdvTT86d47313+20" w:hAnsi="Arial" w:cs="Arial"/>
          <w:color w:val="000000"/>
        </w:rPr>
        <w:t>…</w:t>
      </w:r>
      <w:r w:rsidRPr="002509AC">
        <w:rPr>
          <w:rFonts w:ascii="Arial" w:hAnsi="Arial" w:cs="Arial"/>
          <w:color w:val="000000"/>
        </w:rPr>
        <w:t xml:space="preserve">, </w:t>
      </w:r>
      <w:proofErr w:type="spellStart"/>
      <w:r w:rsidRPr="002509AC">
        <w:rPr>
          <w:rFonts w:ascii="Arial" w:hAnsi="Arial" w:cs="Arial"/>
          <w:color w:val="000000"/>
        </w:rPr>
        <w:t>xp</w:t>
      </w:r>
      <w:proofErr w:type="spellEnd"/>
      <w:r w:rsidRPr="002509AC">
        <w:rPr>
          <w:rFonts w:ascii="Arial" w:hAnsi="Arial" w:cs="Arial"/>
          <w:color w:val="000000"/>
        </w:rPr>
        <w:t xml:space="preserve"> are the explanatory variables with the coefficients β reflecting the effect that each explanatory variable have on the survival time and estimated by maximum likelihood method using a Newton-Raphson procedure and </w:t>
      </w:r>
      <w:proofErr w:type="spellStart"/>
      <w:r w:rsidRPr="002509AC">
        <w:rPr>
          <w:rFonts w:ascii="Arial" w:hAnsi="Arial" w:cs="Arial"/>
          <w:b/>
          <w:color w:val="000000"/>
        </w:rPr>
        <w:t>εi</w:t>
      </w:r>
      <w:proofErr w:type="spellEnd"/>
      <w:r w:rsidRPr="002509AC">
        <w:rPr>
          <w:rFonts w:ascii="Arial" w:hAnsi="Arial" w:cs="Arial"/>
          <w:color w:val="000000"/>
        </w:rPr>
        <w:t xml:space="preserve"> is the error term </w:t>
      </w:r>
      <w:r w:rsidRPr="002509AC">
        <w:rPr>
          <w:rFonts w:ascii="Arial" w:hAnsi="Arial" w:cs="Arial"/>
          <w:color w:val="000000"/>
        </w:rPr>
        <w:lastRenderedPageBreak/>
        <w:t>which is assumed to follow a specific distribution such as Weibull [</w:t>
      </w:r>
      <w:r w:rsidRPr="002509AC">
        <w:rPr>
          <w:rFonts w:ascii="Arial" w:hAnsi="Arial" w:cs="Arial"/>
          <w:color w:val="0000FF"/>
        </w:rPr>
        <w:t>35</w:t>
      </w:r>
      <w:r w:rsidRPr="002509AC">
        <w:rPr>
          <w:rFonts w:ascii="Arial" w:hAnsi="Arial" w:cs="Arial"/>
          <w:color w:val="000000"/>
        </w:rPr>
        <w:t>], log-normal [</w:t>
      </w:r>
      <w:r w:rsidRPr="002509AC">
        <w:rPr>
          <w:rFonts w:ascii="Arial" w:hAnsi="Arial" w:cs="Arial"/>
          <w:color w:val="0000FF"/>
        </w:rPr>
        <w:t>36</w:t>
      </w:r>
      <w:r w:rsidRPr="002509AC">
        <w:rPr>
          <w:rFonts w:ascii="Arial" w:hAnsi="Arial" w:cs="Arial"/>
          <w:color w:val="000000"/>
        </w:rPr>
        <w:t>], log-logistic [</w:t>
      </w:r>
      <w:r w:rsidRPr="002509AC">
        <w:rPr>
          <w:rFonts w:ascii="Arial" w:hAnsi="Arial" w:cs="Arial"/>
          <w:color w:val="0000FF"/>
        </w:rPr>
        <w:t>33</w:t>
      </w:r>
      <w:r w:rsidRPr="002509AC">
        <w:rPr>
          <w:rFonts w:ascii="Arial" w:hAnsi="Arial" w:cs="Arial"/>
          <w:color w:val="000000"/>
        </w:rPr>
        <w:t>] and gamma [</w:t>
      </w:r>
      <w:r w:rsidRPr="002509AC">
        <w:rPr>
          <w:rFonts w:ascii="Arial" w:hAnsi="Arial" w:cs="Arial"/>
          <w:color w:val="0000FF"/>
        </w:rPr>
        <w:t>37</w:t>
      </w:r>
      <w:r w:rsidRPr="002509AC">
        <w:rPr>
          <w:rFonts w:ascii="Arial" w:hAnsi="Arial" w:cs="Arial"/>
          <w:color w:val="000000"/>
        </w:rPr>
        <w:t>] among many.</w:t>
      </w:r>
    </w:p>
    <w:p w14:paraId="73211F56" w14:textId="77777777" w:rsidR="002F3C18" w:rsidRPr="001D1490" w:rsidRDefault="001D1490" w:rsidP="001D1490">
      <w:pPr>
        <w:pStyle w:val="Heading2"/>
        <w:spacing w:after="240" w:line="240" w:lineRule="auto"/>
        <w:rPr>
          <w:rFonts w:ascii="Arial" w:hAnsi="Arial" w:cs="Arial"/>
          <w:color w:val="auto"/>
          <w:sz w:val="20"/>
          <w:szCs w:val="20"/>
        </w:rPr>
      </w:pPr>
      <w:bookmarkStart w:id="3" w:name="_Toc108265638"/>
      <w:r>
        <w:rPr>
          <w:rFonts w:ascii="Arial" w:hAnsi="Arial" w:cs="Arial"/>
          <w:color w:val="auto"/>
          <w:sz w:val="20"/>
          <w:szCs w:val="20"/>
        </w:rPr>
        <w:t xml:space="preserve">2.5.3. </w:t>
      </w:r>
      <w:r w:rsidR="002F3C18" w:rsidRPr="001D1490">
        <w:rPr>
          <w:rFonts w:ascii="Arial" w:hAnsi="Arial" w:cs="Arial"/>
          <w:color w:val="auto"/>
          <w:sz w:val="20"/>
          <w:szCs w:val="20"/>
        </w:rPr>
        <w:t>Parametric shared frailty models</w:t>
      </w:r>
      <w:bookmarkEnd w:id="3"/>
    </w:p>
    <w:p w14:paraId="58BC0866" w14:textId="77777777" w:rsidR="002F3C18" w:rsidRPr="001D1490" w:rsidRDefault="002F3C18" w:rsidP="001D1490">
      <w:pPr>
        <w:autoSpaceDE w:val="0"/>
        <w:autoSpaceDN w:val="0"/>
        <w:adjustRightInd w:val="0"/>
        <w:rPr>
          <w:rFonts w:ascii="Arial" w:hAnsi="Arial" w:cs="Arial"/>
        </w:rPr>
      </w:pPr>
      <w:r w:rsidRPr="001D1490">
        <w:rPr>
          <w:rFonts w:ascii="Arial" w:hAnsi="Arial" w:cs="Arial"/>
        </w:rPr>
        <w:t>To address unobserved variations, the concept of frailty term was initially introduced by Hougaard in 1991 as an extension of proportional hazards. In a shared frailty model, observations within a cluster exhibit the same level of frailty, and the common frailty variance quantifies the interdependence among lifetimes within that cluster [38-39].</w:t>
      </w:r>
    </w:p>
    <w:p w14:paraId="409B0919" w14:textId="77777777" w:rsidR="002F3C18" w:rsidRPr="001D1490" w:rsidRDefault="002F3C18" w:rsidP="001D1490">
      <w:pPr>
        <w:autoSpaceDE w:val="0"/>
        <w:autoSpaceDN w:val="0"/>
        <w:adjustRightInd w:val="0"/>
        <w:rPr>
          <w:rFonts w:ascii="Arial" w:hAnsi="Arial" w:cs="Arial"/>
          <w:color w:val="131413"/>
        </w:rPr>
      </w:pPr>
      <w:r w:rsidRPr="001D1490">
        <w:rPr>
          <w:rFonts w:ascii="Arial" w:hAnsi="Arial" w:cs="Arial"/>
        </w:rPr>
        <w:t xml:space="preserve">Consider a scenario with </w:t>
      </w:r>
      <w:proofErr w:type="spellStart"/>
      <w:r w:rsidRPr="001D1490">
        <w:rPr>
          <w:rFonts w:ascii="Arial" w:hAnsi="Arial" w:cs="Arial"/>
        </w:rPr>
        <w:t>i</w:t>
      </w:r>
      <w:proofErr w:type="spellEnd"/>
      <w:r w:rsidRPr="001D1490">
        <w:rPr>
          <w:rFonts w:ascii="Arial" w:hAnsi="Arial" w:cs="Arial"/>
        </w:rPr>
        <w:t xml:space="preserve"> clusters, where each cluster </w:t>
      </w:r>
      <w:proofErr w:type="spellStart"/>
      <w:r w:rsidRPr="001D1490">
        <w:rPr>
          <w:rFonts w:ascii="Arial" w:hAnsi="Arial" w:cs="Arial"/>
        </w:rPr>
        <w:t>i</w:t>
      </w:r>
      <w:proofErr w:type="spellEnd"/>
      <w:r w:rsidRPr="001D1490">
        <w:rPr>
          <w:rFonts w:ascii="Arial" w:hAnsi="Arial" w:cs="Arial"/>
        </w:rPr>
        <w:t xml:space="preserve"> comprises </w:t>
      </w:r>
      <w:proofErr w:type="spellStart"/>
      <w:r w:rsidRPr="001D1490">
        <w:rPr>
          <w:rFonts w:ascii="Arial" w:hAnsi="Arial" w:cs="Arial"/>
        </w:rPr>
        <w:t>ni</w:t>
      </w:r>
      <w:proofErr w:type="spellEnd"/>
      <w:r w:rsidRPr="001D1490">
        <w:rPr>
          <w:rFonts w:ascii="Arial" w:hAnsi="Arial" w:cs="Arial"/>
        </w:rPr>
        <w:t xml:space="preserve"> observations, and the total sample size is given by </w:t>
      </w:r>
      <m:oMath>
        <m:nary>
          <m:naryPr>
            <m:chr m:val="∑"/>
            <m:limLoc m:val="undOvr"/>
            <m:ctrlPr>
              <w:rPr>
                <w:rFonts w:ascii="Cambria Math" w:hAnsi="Arial" w:cs="Arial"/>
                <w:i/>
                <w:color w:val="131413"/>
              </w:rPr>
            </m:ctrlPr>
          </m:naryPr>
          <m:sub>
            <m:r>
              <w:rPr>
                <w:rFonts w:ascii="Cambria Math" w:hAnsi="Arial" w:cs="Arial"/>
                <w:color w:val="131413"/>
              </w:rPr>
              <m:t>1</m:t>
            </m:r>
          </m:sub>
          <m:sup>
            <m:r>
              <w:rPr>
                <w:rFonts w:ascii="Cambria Math" w:hAnsi="Cambria Math" w:cs="Arial"/>
                <w:color w:val="131413"/>
              </w:rPr>
              <m:t>r</m:t>
            </m:r>
          </m:sup>
          <m:e>
            <m:r>
              <w:rPr>
                <w:rFonts w:ascii="Cambria Math" w:hAnsi="Cambria Math" w:cs="Arial"/>
                <w:color w:val="131413"/>
              </w:rPr>
              <m:t>ni</m:t>
            </m:r>
            <m:r>
              <w:rPr>
                <w:rFonts w:ascii="Cambria Math" w:hAnsi="Arial" w:cs="Arial"/>
                <w:color w:val="131413"/>
              </w:rPr>
              <m:t>=</m:t>
            </m:r>
            <m:r>
              <w:rPr>
                <w:rFonts w:ascii="Cambria Math" w:hAnsi="Cambria Math" w:cs="Arial"/>
                <w:color w:val="131413"/>
              </w:rPr>
              <m:t>n</m:t>
            </m:r>
          </m:e>
        </m:nary>
      </m:oMath>
      <w:r w:rsidRPr="001D1490">
        <w:rPr>
          <w:rFonts w:ascii="Arial" w:hAnsi="Arial" w:cs="Arial"/>
          <w:color w:val="131413"/>
        </w:rPr>
        <w:t xml:space="preserve">   is the total sample size and t</w:t>
      </w:r>
      <w:proofErr w:type="spellStart"/>
      <w:r w:rsidRPr="001D1490">
        <w:rPr>
          <w:rFonts w:ascii="Arial" w:hAnsi="Arial" w:cs="Arial"/>
          <w:color w:val="131413"/>
          <w:vertAlign w:val="subscript"/>
        </w:rPr>
        <w:t>ij</w:t>
      </w:r>
      <w:proofErr w:type="spellEnd"/>
      <w:r w:rsidRPr="001D1490">
        <w:rPr>
          <w:rFonts w:ascii="Arial" w:hAnsi="Arial" w:cs="Arial"/>
          <w:color w:val="131413"/>
        </w:rPr>
        <w:t>=</w:t>
      </w:r>
      <w:proofErr w:type="gramStart"/>
      <w:r w:rsidRPr="001D1490">
        <w:rPr>
          <w:rFonts w:ascii="Arial" w:hAnsi="Arial" w:cs="Arial"/>
          <w:color w:val="131413"/>
        </w:rPr>
        <w:t>min(</w:t>
      </w:r>
      <w:proofErr w:type="spellStart"/>
      <w:proofErr w:type="gramEnd"/>
      <w:r w:rsidRPr="001D1490">
        <w:rPr>
          <w:rFonts w:ascii="Arial" w:hAnsi="Arial" w:cs="Arial"/>
          <w:color w:val="131413"/>
        </w:rPr>
        <w:t>c</w:t>
      </w:r>
      <w:r w:rsidRPr="001D1490">
        <w:rPr>
          <w:rFonts w:ascii="Arial" w:hAnsi="Arial" w:cs="Arial"/>
          <w:color w:val="131413"/>
          <w:vertAlign w:val="subscript"/>
        </w:rPr>
        <w:t>ij</w:t>
      </w:r>
      <w:proofErr w:type="spellEnd"/>
      <w:r w:rsidRPr="001D1490">
        <w:rPr>
          <w:rFonts w:ascii="Arial" w:hAnsi="Arial" w:cs="Arial"/>
          <w:color w:val="131413"/>
        </w:rPr>
        <w:t>, t*</w:t>
      </w:r>
      <w:proofErr w:type="spellStart"/>
      <w:r w:rsidRPr="001D1490">
        <w:rPr>
          <w:rFonts w:ascii="Arial" w:hAnsi="Arial" w:cs="Arial"/>
          <w:color w:val="131413"/>
          <w:vertAlign w:val="subscript"/>
        </w:rPr>
        <w:t>ij</w:t>
      </w:r>
      <w:proofErr w:type="spellEnd"/>
      <w:r w:rsidRPr="001D1490">
        <w:rPr>
          <w:rFonts w:ascii="Arial" w:hAnsi="Arial" w:cs="Arial"/>
          <w:color w:val="131413"/>
        </w:rPr>
        <w:t>) is the observed failure time of a right censoring scheme for k</w:t>
      </w:r>
      <w:r w:rsidRPr="001D1490">
        <w:rPr>
          <w:rFonts w:ascii="Arial" w:hAnsi="Arial" w:cs="Arial"/>
          <w:color w:val="131413"/>
          <w:vertAlign w:val="superscript"/>
        </w:rPr>
        <w:t>th</w:t>
      </w:r>
      <w:r w:rsidRPr="001D1490">
        <w:rPr>
          <w:rFonts w:ascii="Arial" w:hAnsi="Arial" w:cs="Arial"/>
          <w:color w:val="131413"/>
        </w:rPr>
        <w:t xml:space="preserve"> (k = 1,... ,</w:t>
      </w:r>
      <w:proofErr w:type="spellStart"/>
      <w:r w:rsidRPr="001D1490">
        <w:rPr>
          <w:rFonts w:ascii="Arial" w:hAnsi="Arial" w:cs="Arial"/>
          <w:color w:val="131413"/>
        </w:rPr>
        <w:t>ni</w:t>
      </w:r>
      <w:proofErr w:type="spellEnd"/>
      <w:r w:rsidRPr="001D1490">
        <w:rPr>
          <w:rFonts w:ascii="Arial" w:hAnsi="Arial" w:cs="Arial"/>
          <w:color w:val="131413"/>
        </w:rPr>
        <w:t xml:space="preserve">) observation in </w:t>
      </w:r>
      <w:proofErr w:type="spellStart"/>
      <w:r w:rsidRPr="001D1490">
        <w:rPr>
          <w:rFonts w:ascii="Arial" w:hAnsi="Arial" w:cs="Arial"/>
          <w:color w:val="131413"/>
        </w:rPr>
        <w:t>i</w:t>
      </w:r>
      <w:r w:rsidRPr="001D1490">
        <w:rPr>
          <w:rFonts w:ascii="Arial" w:hAnsi="Arial" w:cs="Arial"/>
          <w:color w:val="131413"/>
          <w:vertAlign w:val="superscript"/>
        </w:rPr>
        <w:t>th</w:t>
      </w:r>
      <w:proofErr w:type="spellEnd"/>
      <w:r w:rsidRPr="001D1490">
        <w:rPr>
          <w:rFonts w:ascii="Arial" w:hAnsi="Arial" w:cs="Arial"/>
          <w:color w:val="131413"/>
        </w:rPr>
        <w:t xml:space="preserve"> cluster and </w:t>
      </w:r>
      <w:proofErr w:type="spellStart"/>
      <w:r w:rsidRPr="001D1490">
        <w:rPr>
          <w:rFonts w:ascii="Arial" w:hAnsi="Arial" w:cs="Arial"/>
          <w:color w:val="131413"/>
        </w:rPr>
        <w:t>c</w:t>
      </w:r>
      <w:r w:rsidRPr="001D1490">
        <w:rPr>
          <w:rFonts w:ascii="Arial" w:hAnsi="Arial" w:cs="Arial"/>
          <w:color w:val="131413"/>
          <w:vertAlign w:val="subscript"/>
        </w:rPr>
        <w:t>ij</w:t>
      </w:r>
      <w:proofErr w:type="spellEnd"/>
      <w:r w:rsidRPr="001D1490">
        <w:rPr>
          <w:rFonts w:ascii="Arial" w:hAnsi="Arial" w:cs="Arial"/>
          <w:color w:val="131413"/>
        </w:rPr>
        <w:t xml:space="preserve"> is the censoring time, where t</w:t>
      </w:r>
      <w:r w:rsidRPr="001D1490">
        <w:rPr>
          <w:rFonts w:ascii="Arial" w:eastAsia="NgwsdnAdvTT86d47313+22" w:hAnsi="Arial" w:cs="Arial"/>
          <w:color w:val="131413"/>
        </w:rPr>
        <w:t>*</w:t>
      </w:r>
      <w:proofErr w:type="spellStart"/>
      <w:r w:rsidRPr="001D1490">
        <w:rPr>
          <w:rFonts w:ascii="Arial" w:hAnsi="Arial" w:cs="Arial"/>
          <w:color w:val="131413"/>
          <w:vertAlign w:val="subscript"/>
        </w:rPr>
        <w:t>ij</w:t>
      </w:r>
      <w:proofErr w:type="spellEnd"/>
      <w:r w:rsidRPr="001D1490">
        <w:rPr>
          <w:rFonts w:ascii="Arial" w:hAnsi="Arial" w:cs="Arial"/>
          <w:color w:val="131413"/>
        </w:rPr>
        <w:t xml:space="preserve"> and </w:t>
      </w:r>
      <w:proofErr w:type="spellStart"/>
      <w:r w:rsidRPr="001D1490">
        <w:rPr>
          <w:rFonts w:ascii="Arial" w:hAnsi="Arial" w:cs="Arial"/>
          <w:color w:val="131413"/>
        </w:rPr>
        <w:t>c</w:t>
      </w:r>
      <w:r w:rsidRPr="001D1490">
        <w:rPr>
          <w:rFonts w:ascii="Arial" w:hAnsi="Arial" w:cs="Arial"/>
          <w:color w:val="131413"/>
          <w:vertAlign w:val="subscript"/>
        </w:rPr>
        <w:t>ij</w:t>
      </w:r>
      <w:proofErr w:type="spellEnd"/>
      <w:r w:rsidRPr="001D1490">
        <w:rPr>
          <w:rFonts w:ascii="Arial" w:hAnsi="Arial" w:cs="Arial"/>
          <w:color w:val="131413"/>
        </w:rPr>
        <w:t xml:space="preserve"> are independent random variables [</w:t>
      </w:r>
      <w:r w:rsidRPr="001D1490">
        <w:rPr>
          <w:rFonts w:ascii="Arial" w:hAnsi="Arial" w:cs="Arial"/>
          <w:color w:val="0000FF"/>
        </w:rPr>
        <w:t>34</w:t>
      </w:r>
      <w:r w:rsidRPr="001D1490">
        <w:rPr>
          <w:rFonts w:ascii="Arial" w:hAnsi="Arial" w:cs="Arial"/>
          <w:color w:val="131413"/>
        </w:rPr>
        <w:t xml:space="preserve">]. Then the observed censoring indicator </w:t>
      </w:r>
      <w:proofErr w:type="spellStart"/>
      <w:r w:rsidRPr="001D1490">
        <w:rPr>
          <w:rFonts w:ascii="Arial" w:hAnsi="Arial" w:cs="Arial"/>
          <w:b/>
          <w:color w:val="131413"/>
        </w:rPr>
        <w:t>δ</w:t>
      </w:r>
      <w:r w:rsidRPr="001D1490">
        <w:rPr>
          <w:rFonts w:ascii="Arial" w:hAnsi="Arial" w:cs="Arial"/>
          <w:b/>
          <w:color w:val="131413"/>
          <w:vertAlign w:val="subscript"/>
        </w:rPr>
        <w:t>ij</w:t>
      </w:r>
      <w:proofErr w:type="spellEnd"/>
      <w:r w:rsidRPr="001D1490">
        <w:rPr>
          <w:rFonts w:ascii="Arial" w:hAnsi="Arial" w:cs="Arial"/>
          <w:color w:val="131413"/>
        </w:rPr>
        <w:t xml:space="preserve"> is equal to 1 if t</w:t>
      </w:r>
      <w:r w:rsidRPr="001D1490">
        <w:rPr>
          <w:rFonts w:ascii="Arial" w:eastAsia="NgwsdnAdvTT86d47313+22" w:hAnsi="Arial" w:cs="Arial"/>
          <w:color w:val="131413"/>
        </w:rPr>
        <w:t>*</w:t>
      </w:r>
      <w:proofErr w:type="spellStart"/>
      <w:r w:rsidRPr="001D1490">
        <w:rPr>
          <w:rFonts w:ascii="Arial" w:hAnsi="Arial" w:cs="Arial"/>
          <w:color w:val="131413"/>
          <w:vertAlign w:val="subscript"/>
        </w:rPr>
        <w:t>ij</w:t>
      </w:r>
      <w:proofErr w:type="spellEnd"/>
      <w:r w:rsidRPr="001D1490">
        <w:rPr>
          <w:rFonts w:ascii="Arial" w:hAnsi="Arial" w:cs="Arial"/>
          <w:color w:val="131413"/>
        </w:rPr>
        <w:t xml:space="preserve"> &lt; </w:t>
      </w:r>
      <w:proofErr w:type="spellStart"/>
      <w:r w:rsidRPr="001D1490">
        <w:rPr>
          <w:rFonts w:ascii="Arial" w:hAnsi="Arial" w:cs="Arial"/>
          <w:color w:val="131413"/>
        </w:rPr>
        <w:t>c</w:t>
      </w:r>
      <w:r w:rsidRPr="001D1490">
        <w:rPr>
          <w:rFonts w:ascii="Arial" w:hAnsi="Arial" w:cs="Arial"/>
          <w:color w:val="131413"/>
          <w:vertAlign w:val="subscript"/>
        </w:rPr>
        <w:t>ij</w:t>
      </w:r>
      <w:proofErr w:type="spellEnd"/>
      <w:r w:rsidRPr="001D1490">
        <w:rPr>
          <w:rFonts w:ascii="Arial" w:hAnsi="Arial" w:cs="Arial"/>
          <w:color w:val="131413"/>
        </w:rPr>
        <w:t xml:space="preserve">, and 0 otherwise and conditional on frailty </w:t>
      </w:r>
      <w:proofErr w:type="spellStart"/>
      <w:r w:rsidRPr="001D1490">
        <w:rPr>
          <w:rFonts w:ascii="Arial" w:hAnsi="Arial" w:cs="Arial"/>
          <w:color w:val="131413"/>
        </w:rPr>
        <w:t>y</w:t>
      </w:r>
      <w:r w:rsidRPr="001D1490">
        <w:rPr>
          <w:rFonts w:ascii="Arial" w:hAnsi="Arial" w:cs="Arial"/>
          <w:color w:val="131413"/>
          <w:vertAlign w:val="subscript"/>
        </w:rPr>
        <w:t>i</w:t>
      </w:r>
      <w:proofErr w:type="spellEnd"/>
      <w:r w:rsidRPr="001D1490">
        <w:rPr>
          <w:rFonts w:ascii="Arial" w:hAnsi="Arial" w:cs="Arial"/>
          <w:color w:val="131413"/>
        </w:rPr>
        <w:t xml:space="preserve"> (&gt; 0) and </w:t>
      </w:r>
      <w:proofErr w:type="spellStart"/>
      <w:r w:rsidRPr="001D1490">
        <w:rPr>
          <w:rFonts w:ascii="Arial" w:hAnsi="Arial" w:cs="Arial"/>
          <w:color w:val="131413"/>
        </w:rPr>
        <w:t>X</w:t>
      </w:r>
      <w:r w:rsidRPr="001D1490">
        <w:rPr>
          <w:rFonts w:ascii="Arial" w:hAnsi="Arial" w:cs="Arial"/>
          <w:color w:val="131413"/>
          <w:vertAlign w:val="subscript"/>
        </w:rPr>
        <w:t>ij</w:t>
      </w:r>
      <w:proofErr w:type="spellEnd"/>
      <w:r w:rsidRPr="001D1490">
        <w:rPr>
          <w:rFonts w:ascii="Arial" w:hAnsi="Arial" w:cs="Arial"/>
          <w:color w:val="131413"/>
        </w:rPr>
        <w:t>, the hazard function of</w:t>
      </w:r>
      <w:r w:rsidRPr="001D1490">
        <w:rPr>
          <w:rFonts w:ascii="Arial" w:hAnsi="Arial" w:cs="Arial"/>
          <w:b/>
          <w:color w:val="131413"/>
        </w:rPr>
        <w:t xml:space="preserve"> </w:t>
      </w:r>
      <w:proofErr w:type="spellStart"/>
      <w:r w:rsidRPr="001D1490">
        <w:rPr>
          <w:rFonts w:ascii="Arial" w:hAnsi="Arial" w:cs="Arial"/>
          <w:b/>
          <w:color w:val="131413"/>
        </w:rPr>
        <w:t>i</w:t>
      </w:r>
      <w:r w:rsidRPr="001D1490">
        <w:rPr>
          <w:rFonts w:ascii="Arial" w:hAnsi="Arial" w:cs="Arial"/>
          <w:b/>
          <w:color w:val="131413"/>
          <w:vertAlign w:val="superscript"/>
        </w:rPr>
        <w:t>th</w:t>
      </w:r>
      <w:proofErr w:type="spellEnd"/>
      <w:r w:rsidRPr="001D1490">
        <w:rPr>
          <w:rFonts w:ascii="Arial" w:hAnsi="Arial" w:cs="Arial"/>
          <w:color w:val="131413"/>
        </w:rPr>
        <w:t xml:space="preserve"> cluster has the form:</w:t>
      </w:r>
    </w:p>
    <w:p w14:paraId="16B8C7F8" w14:textId="77777777" w:rsidR="002F3C18" w:rsidRPr="001D1490" w:rsidRDefault="001D1490" w:rsidP="002509AC">
      <w:pPr>
        <w:autoSpaceDE w:val="0"/>
        <w:autoSpaceDN w:val="0"/>
        <w:adjustRightInd w:val="0"/>
        <w:spacing w:before="240" w:after="240"/>
        <w:rPr>
          <w:rFonts w:ascii="Arial" w:hAnsi="Arial" w:cs="Arial"/>
          <w:color w:val="131413"/>
        </w:rPr>
      </w:pPr>
      <m:oMath>
        <m:r>
          <m:rPr>
            <m:sty m:val="bi"/>
          </m:rPr>
          <w:rPr>
            <w:rFonts w:ascii="Cambria Math" w:hAnsi="Cambria Math" w:cs="Arial"/>
            <w:color w:val="131413"/>
          </w:rPr>
          <m:t>h</m:t>
        </m:r>
        <m:d>
          <m:dPr>
            <m:ctrlPr>
              <w:rPr>
                <w:rFonts w:ascii="Cambria Math" w:hAnsi="Arial" w:cs="Arial"/>
                <w:b/>
                <w:i/>
                <w:color w:val="131413"/>
              </w:rPr>
            </m:ctrlPr>
          </m:dPr>
          <m:e>
            <m:sSub>
              <m:sSubPr>
                <m:ctrlPr>
                  <w:rPr>
                    <w:rFonts w:ascii="Cambria Math" w:hAnsi="Arial" w:cs="Arial"/>
                    <w:b/>
                    <w:i/>
                    <w:color w:val="131413"/>
                  </w:rPr>
                </m:ctrlPr>
              </m:sSubPr>
              <m:e>
                <m:r>
                  <m:rPr>
                    <m:sty m:val="bi"/>
                  </m:rPr>
                  <w:rPr>
                    <w:rFonts w:ascii="Cambria Math" w:hAnsi="Cambria Math" w:cs="Arial"/>
                    <w:color w:val="131413"/>
                  </w:rPr>
                  <m:t>t</m:t>
                </m:r>
              </m:e>
              <m:sub>
                <m:r>
                  <m:rPr>
                    <m:sty m:val="bi"/>
                  </m:rPr>
                  <w:rPr>
                    <w:rFonts w:ascii="Cambria Math" w:hAnsi="Cambria Math" w:cs="Arial"/>
                    <w:color w:val="131413"/>
                  </w:rPr>
                  <m:t>ij</m:t>
                </m:r>
              </m:sub>
            </m:sSub>
            <m:r>
              <m:rPr>
                <m:sty m:val="bi"/>
              </m:rPr>
              <w:rPr>
                <w:rFonts w:ascii="Cambria Math" w:hAnsi="Arial" w:cs="Arial"/>
                <w:color w:val="131413"/>
              </w:rPr>
              <m:t>,</m:t>
            </m:r>
            <m:sSub>
              <m:sSubPr>
                <m:ctrlPr>
                  <w:rPr>
                    <w:rFonts w:ascii="Cambria Math" w:hAnsi="Arial" w:cs="Arial"/>
                    <w:b/>
                    <w:i/>
                    <w:color w:val="131413"/>
                  </w:rPr>
                </m:ctrlPr>
              </m:sSubPr>
              <m:e>
                <m:r>
                  <m:rPr>
                    <m:sty m:val="bi"/>
                  </m:rPr>
                  <w:rPr>
                    <w:rFonts w:ascii="Cambria Math" w:hAnsi="Cambria Math" w:cs="Arial"/>
                    <w:color w:val="131413"/>
                  </w:rPr>
                  <m:t>x</m:t>
                </m:r>
              </m:e>
              <m:sub>
                <m:r>
                  <m:rPr>
                    <m:sty m:val="bi"/>
                  </m:rPr>
                  <w:rPr>
                    <w:rFonts w:ascii="Cambria Math" w:hAnsi="Cambria Math" w:cs="Arial"/>
                    <w:color w:val="131413"/>
                  </w:rPr>
                  <m:t>ip</m:t>
                </m:r>
              </m:sub>
            </m:sSub>
            <m:r>
              <m:rPr>
                <m:sty m:val="bi"/>
              </m:rPr>
              <w:rPr>
                <w:rFonts w:ascii="Cambria Math" w:hAnsi="Arial" w:cs="Arial"/>
                <w:color w:val="131413"/>
              </w:rPr>
              <m:t>,</m:t>
            </m:r>
            <m:sSub>
              <m:sSubPr>
                <m:ctrlPr>
                  <w:rPr>
                    <w:rFonts w:ascii="Cambria Math" w:hAnsi="Arial" w:cs="Arial"/>
                    <w:b/>
                    <w:i/>
                    <w:color w:val="131413"/>
                  </w:rPr>
                </m:ctrlPr>
              </m:sSubPr>
              <m:e>
                <m:r>
                  <m:rPr>
                    <m:sty m:val="bi"/>
                  </m:rPr>
                  <w:rPr>
                    <w:rFonts w:ascii="Cambria Math" w:hAnsi="Cambria Math" w:cs="Arial"/>
                    <w:color w:val="131413"/>
                  </w:rPr>
                  <m:t>y</m:t>
                </m:r>
              </m:e>
              <m:sub>
                <m:r>
                  <m:rPr>
                    <m:sty m:val="bi"/>
                  </m:rPr>
                  <w:rPr>
                    <w:rFonts w:ascii="Cambria Math" w:hAnsi="Cambria Math" w:cs="Arial"/>
                    <w:color w:val="131413"/>
                  </w:rPr>
                  <m:t>i</m:t>
                </m:r>
              </m:sub>
            </m:sSub>
          </m:e>
        </m:d>
        <m:r>
          <m:rPr>
            <m:sty m:val="bi"/>
          </m:rPr>
          <w:rPr>
            <w:rFonts w:ascii="Cambria Math" w:hAnsi="Arial" w:cs="Arial"/>
            <w:color w:val="131413"/>
          </w:rPr>
          <m:t>=</m:t>
        </m:r>
        <m:sSub>
          <m:sSubPr>
            <m:ctrlPr>
              <w:rPr>
                <w:rFonts w:ascii="Cambria Math" w:hAnsi="Arial" w:cs="Arial"/>
                <w:b/>
                <w:i/>
                <w:color w:val="131413"/>
              </w:rPr>
            </m:ctrlPr>
          </m:sSubPr>
          <m:e>
            <m:r>
              <m:rPr>
                <m:sty m:val="bi"/>
              </m:rPr>
              <w:rPr>
                <w:rFonts w:ascii="Cambria Math" w:hAnsi="Cambria Math" w:cs="Arial"/>
                <w:color w:val="131413"/>
              </w:rPr>
              <m:t>y</m:t>
            </m:r>
          </m:e>
          <m:sub>
            <m:r>
              <m:rPr>
                <m:sty m:val="bi"/>
              </m:rPr>
              <w:rPr>
                <w:rFonts w:ascii="Cambria Math" w:hAnsi="Cambria Math" w:cs="Arial"/>
                <w:color w:val="131413"/>
              </w:rPr>
              <m:t>i</m:t>
            </m:r>
          </m:sub>
        </m:sSub>
        <m:sSub>
          <m:sSubPr>
            <m:ctrlPr>
              <w:rPr>
                <w:rFonts w:ascii="Cambria Math" w:hAnsi="Arial" w:cs="Arial"/>
                <w:b/>
                <w:i/>
                <w:color w:val="131413"/>
              </w:rPr>
            </m:ctrlPr>
          </m:sSubPr>
          <m:e>
            <m:r>
              <m:rPr>
                <m:sty m:val="bi"/>
              </m:rPr>
              <w:rPr>
                <w:rFonts w:ascii="Cambria Math" w:hAnsi="Cambria Math" w:cs="Arial"/>
                <w:color w:val="131413"/>
              </w:rPr>
              <m:t>h</m:t>
            </m:r>
          </m:e>
          <m:sub>
            <m:r>
              <m:rPr>
                <m:sty m:val="bi"/>
              </m:rPr>
              <w:rPr>
                <w:rFonts w:ascii="Cambria Math" w:hAnsi="Cambria Math" w:cs="Arial"/>
                <w:color w:val="131413"/>
              </w:rPr>
              <m:t>o</m:t>
            </m:r>
          </m:sub>
        </m:sSub>
        <m:d>
          <m:dPr>
            <m:ctrlPr>
              <w:rPr>
                <w:rFonts w:ascii="Cambria Math" w:hAnsi="Arial" w:cs="Arial"/>
                <w:b/>
                <w:i/>
                <w:color w:val="131413"/>
              </w:rPr>
            </m:ctrlPr>
          </m:dPr>
          <m:e>
            <m:sSub>
              <m:sSubPr>
                <m:ctrlPr>
                  <w:rPr>
                    <w:rFonts w:ascii="Cambria Math" w:hAnsi="Arial" w:cs="Arial"/>
                    <w:b/>
                    <w:i/>
                    <w:color w:val="131413"/>
                  </w:rPr>
                </m:ctrlPr>
              </m:sSubPr>
              <m:e>
                <m:r>
                  <m:rPr>
                    <m:sty m:val="bi"/>
                  </m:rPr>
                  <w:rPr>
                    <w:rFonts w:ascii="Cambria Math" w:hAnsi="Cambria Math" w:cs="Arial"/>
                    <w:color w:val="131413"/>
                  </w:rPr>
                  <m:t>t</m:t>
                </m:r>
              </m:e>
              <m:sub>
                <m:r>
                  <m:rPr>
                    <m:sty m:val="bi"/>
                  </m:rPr>
                  <w:rPr>
                    <w:rFonts w:ascii="Cambria Math" w:hAnsi="Cambria Math" w:cs="Arial"/>
                    <w:color w:val="131413"/>
                  </w:rPr>
                  <m:t>ij</m:t>
                </m:r>
              </m:sub>
            </m:sSub>
          </m:e>
        </m:d>
        <m:r>
          <m:rPr>
            <m:sty m:val="b"/>
          </m:rPr>
          <w:rPr>
            <w:rFonts w:ascii="Cambria Math" w:hAnsi="Cambria Math" w:cs="Arial"/>
            <w:color w:val="131413"/>
          </w:rPr>
          <m:t>ex</m:t>
        </m:r>
        <m:func>
          <m:funcPr>
            <m:ctrlPr>
              <w:rPr>
                <w:rFonts w:ascii="Cambria Math" w:hAnsi="Cambria Math" w:cs="Arial"/>
                <w:b/>
                <w:color w:val="131413"/>
              </w:rPr>
            </m:ctrlPr>
          </m:funcPr>
          <m:fName>
            <m:r>
              <m:rPr>
                <m:sty m:val="b"/>
              </m:rPr>
              <w:rPr>
                <w:rFonts w:ascii="Cambria Math" w:hAnsi="Cambria Math" w:cs="Arial"/>
                <w:color w:val="131413"/>
              </w:rPr>
              <m:t>p</m:t>
            </m:r>
          </m:fName>
          <m:e>
            <m:d>
              <m:dPr>
                <m:ctrlPr>
                  <w:rPr>
                    <w:rFonts w:ascii="Cambria Math" w:hAnsi="Arial" w:cs="Arial"/>
                    <w:b/>
                    <w:i/>
                    <w:color w:val="131413"/>
                  </w:rPr>
                </m:ctrlPr>
              </m:dPr>
              <m:e>
                <m:sSup>
                  <m:sSupPr>
                    <m:ctrlPr>
                      <w:rPr>
                        <w:rFonts w:ascii="Cambria Math" w:hAnsi="Cambria Math" w:cs="Arial"/>
                        <w:b/>
                        <w:i/>
                        <w:color w:val="131413"/>
                      </w:rPr>
                    </m:ctrlPr>
                  </m:sSupPr>
                  <m:e>
                    <m:r>
                      <m:rPr>
                        <m:sty m:val="bi"/>
                      </m:rPr>
                      <w:rPr>
                        <w:rFonts w:ascii="Cambria Math" w:hAnsi="Cambria Math" w:cs="Arial"/>
                        <w:color w:val="131413"/>
                      </w:rPr>
                      <m:t>β</m:t>
                    </m:r>
                  </m:e>
                  <m:sup>
                    <m:r>
                      <m:rPr>
                        <m:sty m:val="bi"/>
                      </m:rPr>
                      <w:rPr>
                        <w:rFonts w:ascii="Arial" w:hAnsi="Arial" w:cs="Arial"/>
                        <w:color w:val="131413"/>
                      </w:rPr>
                      <m:t>'</m:t>
                    </m:r>
                    <m:sSub>
                      <m:sSubPr>
                        <m:ctrlPr>
                          <w:rPr>
                            <w:rFonts w:ascii="Cambria Math" w:hAnsi="Arial" w:cs="Arial"/>
                            <w:b/>
                            <w:i/>
                            <w:color w:val="131413"/>
                          </w:rPr>
                        </m:ctrlPr>
                      </m:sSubPr>
                      <m:e>
                        <m:r>
                          <m:rPr>
                            <m:sty m:val="bi"/>
                          </m:rPr>
                          <w:rPr>
                            <w:rFonts w:ascii="Cambria Math" w:hAnsi="Cambria Math" w:cs="Arial"/>
                            <w:color w:val="131413"/>
                          </w:rPr>
                          <m:t>x</m:t>
                        </m:r>
                      </m:e>
                      <m:sub>
                        <m:r>
                          <m:rPr>
                            <m:sty m:val="bi"/>
                          </m:rPr>
                          <w:rPr>
                            <w:rFonts w:ascii="Cambria Math" w:hAnsi="Cambria Math" w:cs="Arial"/>
                            <w:color w:val="131413"/>
                          </w:rPr>
                          <m:t>ij</m:t>
                        </m:r>
                      </m:sub>
                    </m:sSub>
                    <m:ctrlPr>
                      <w:rPr>
                        <w:rFonts w:ascii="Cambria Math" w:hAnsi="Cambria Math" w:cs="Arial"/>
                        <w:i/>
                        <w:color w:val="131413"/>
                      </w:rPr>
                    </m:ctrlPr>
                  </m:sup>
                </m:sSup>
              </m:e>
            </m:d>
            <m:ctrlPr>
              <w:rPr>
                <w:rFonts w:ascii="Cambria Math" w:hAnsi="Cambria Math" w:cs="Arial"/>
                <w:i/>
                <w:color w:val="131413"/>
              </w:rPr>
            </m:ctrlPr>
          </m:e>
        </m:func>
        <m:r>
          <m:rPr>
            <m:sty m:val="bi"/>
          </m:rPr>
          <w:rPr>
            <w:rFonts w:ascii="Cambria Math" w:hAnsi="Arial" w:cs="Arial"/>
            <w:color w:val="131413"/>
          </w:rPr>
          <m:t>……………………</m:t>
        </m:r>
        <m:r>
          <m:rPr>
            <m:sty m:val="bi"/>
          </m:rPr>
          <w:rPr>
            <w:rFonts w:ascii="Cambria Math" w:hAnsi="Arial" w:cs="Arial"/>
            <w:color w:val="131413"/>
          </w:rPr>
          <m:t>..Eq (2)</m:t>
        </m:r>
      </m:oMath>
      <w:r w:rsidR="002F3C18" w:rsidRPr="001D1490">
        <w:rPr>
          <w:rFonts w:ascii="Arial" w:hAnsi="Arial" w:cs="Arial"/>
          <w:color w:val="131413"/>
        </w:rPr>
        <w:t xml:space="preserve"> </w:t>
      </w:r>
    </w:p>
    <w:p w14:paraId="49DC3E4C" w14:textId="77777777" w:rsidR="002F3C18" w:rsidRPr="001D1490" w:rsidRDefault="002F3C18" w:rsidP="001D1490">
      <w:pPr>
        <w:autoSpaceDE w:val="0"/>
        <w:autoSpaceDN w:val="0"/>
        <w:adjustRightInd w:val="0"/>
        <w:rPr>
          <w:rFonts w:ascii="Arial" w:hAnsi="Arial" w:cs="Arial"/>
          <w:color w:val="131413"/>
        </w:rPr>
      </w:pPr>
      <w:proofErr w:type="gramStart"/>
      <w:r w:rsidRPr="001D1490">
        <w:rPr>
          <w:rFonts w:ascii="Arial" w:hAnsi="Arial" w:cs="Arial"/>
          <w:color w:val="131413"/>
        </w:rPr>
        <w:t>Where</w:t>
      </w:r>
      <w:proofErr w:type="gramEnd"/>
    </w:p>
    <w:p w14:paraId="214ED535" w14:textId="77777777" w:rsidR="002F3C18" w:rsidRPr="001D1490" w:rsidRDefault="00000000" w:rsidP="001D1490">
      <w:pPr>
        <w:pStyle w:val="ListParagraph"/>
        <w:numPr>
          <w:ilvl w:val="0"/>
          <w:numId w:val="32"/>
        </w:numPr>
        <w:autoSpaceDE w:val="0"/>
        <w:autoSpaceDN w:val="0"/>
        <w:adjustRightInd w:val="0"/>
        <w:jc w:val="both"/>
        <w:rPr>
          <w:rFonts w:ascii="Arial" w:hAnsi="Arial" w:cs="Arial"/>
          <w:color w:val="131413"/>
        </w:rPr>
      </w:pPr>
      <m:oMath>
        <m:sSub>
          <m:sSubPr>
            <m:ctrlPr>
              <w:rPr>
                <w:rFonts w:ascii="Cambria Math" w:hAnsi="Arial" w:cs="Arial"/>
                <w:i/>
                <w:color w:val="131413"/>
              </w:rPr>
            </m:ctrlPr>
          </m:sSubPr>
          <m:e>
            <m:r>
              <w:rPr>
                <w:rFonts w:ascii="Cambria Math" w:hAnsi="Cambria Math" w:cs="Arial"/>
                <w:color w:val="131413"/>
              </w:rPr>
              <m:t>h</m:t>
            </m:r>
          </m:e>
          <m:sub>
            <m:r>
              <w:rPr>
                <w:rFonts w:ascii="Cambria Math" w:hAnsi="Cambria Math" w:cs="Arial"/>
                <w:color w:val="131413"/>
              </w:rPr>
              <m:t>o</m:t>
            </m:r>
          </m:sub>
        </m:sSub>
        <m:r>
          <w:rPr>
            <w:rFonts w:ascii="Cambria Math" w:hAnsi="Arial" w:cs="Arial"/>
            <w:color w:val="131413"/>
          </w:rPr>
          <m:t>(.)</m:t>
        </m:r>
      </m:oMath>
      <w:r w:rsidR="002F3C18" w:rsidRPr="001D1490">
        <w:rPr>
          <w:rFonts w:ascii="Arial" w:hAnsi="Arial" w:cs="Arial"/>
          <w:color w:val="131413"/>
        </w:rPr>
        <w:t xml:space="preserve"> is the baseline hazard function</w:t>
      </w:r>
    </w:p>
    <w:p w14:paraId="685625CC" w14:textId="77777777" w:rsidR="002F3C18" w:rsidRPr="001D1490" w:rsidRDefault="00000000" w:rsidP="001D1490">
      <w:pPr>
        <w:pStyle w:val="ListParagraph"/>
        <w:numPr>
          <w:ilvl w:val="0"/>
          <w:numId w:val="32"/>
        </w:numPr>
        <w:autoSpaceDE w:val="0"/>
        <w:autoSpaceDN w:val="0"/>
        <w:adjustRightInd w:val="0"/>
        <w:spacing w:after="0" w:line="240" w:lineRule="auto"/>
        <w:contextualSpacing w:val="0"/>
        <w:jc w:val="both"/>
        <w:rPr>
          <w:rFonts w:ascii="Arial" w:hAnsi="Arial" w:cs="Arial"/>
          <w:color w:val="131413"/>
          <w:sz w:val="20"/>
          <w:szCs w:val="20"/>
        </w:rPr>
      </w:pPr>
      <m:oMath>
        <m:sSub>
          <m:sSubPr>
            <m:ctrlPr>
              <w:rPr>
                <w:rFonts w:ascii="Cambria Math" w:hAnsi="Arial" w:cs="Arial"/>
                <w:i/>
                <w:color w:val="131413"/>
                <w:sz w:val="20"/>
                <w:szCs w:val="20"/>
              </w:rPr>
            </m:ctrlPr>
          </m:sSubPr>
          <m:e>
            <m:r>
              <w:rPr>
                <w:rFonts w:ascii="Cambria Math" w:hAnsi="Cambria Math" w:cs="Arial"/>
                <w:color w:val="131413"/>
                <w:sz w:val="20"/>
                <w:szCs w:val="20"/>
              </w:rPr>
              <m:t>x</m:t>
            </m:r>
          </m:e>
          <m:sub>
            <m:r>
              <w:rPr>
                <w:rFonts w:ascii="Cambria Math" w:hAnsi="Cambria Math" w:cs="Arial"/>
                <w:color w:val="131413"/>
                <w:sz w:val="20"/>
                <w:szCs w:val="20"/>
              </w:rPr>
              <m:t>ij</m:t>
            </m:r>
          </m:sub>
        </m:sSub>
      </m:oMath>
      <w:r w:rsidR="002F3C18" w:rsidRPr="001D1490">
        <w:rPr>
          <w:rFonts w:ascii="Arial" w:hAnsi="Arial" w:cs="Arial"/>
          <w:color w:val="131413"/>
          <w:sz w:val="20"/>
          <w:szCs w:val="20"/>
        </w:rPr>
        <w:t xml:space="preserve"> is a vector of observed predictors for the </w:t>
      </w:r>
      <w:r w:rsidR="002F3C18" w:rsidRPr="001D1490">
        <w:rPr>
          <w:rFonts w:ascii="Arial" w:hAnsi="Arial" w:cs="Arial"/>
          <w:b/>
          <w:color w:val="131413"/>
          <w:sz w:val="20"/>
          <w:szCs w:val="20"/>
        </w:rPr>
        <w:t>k</w:t>
      </w:r>
      <w:r w:rsidR="002F3C18" w:rsidRPr="001D1490">
        <w:rPr>
          <w:rFonts w:ascii="Arial" w:hAnsi="Arial" w:cs="Arial"/>
          <w:b/>
          <w:color w:val="131413"/>
          <w:sz w:val="20"/>
          <w:szCs w:val="20"/>
          <w:vertAlign w:val="superscript"/>
        </w:rPr>
        <w:t>th</w:t>
      </w:r>
      <w:r w:rsidR="002F3C18" w:rsidRPr="001D1490">
        <w:rPr>
          <w:rFonts w:ascii="Arial" w:hAnsi="Arial" w:cs="Arial"/>
          <w:color w:val="131413"/>
          <w:sz w:val="20"/>
          <w:szCs w:val="20"/>
        </w:rPr>
        <w:t xml:space="preserve"> observation and</w:t>
      </w:r>
    </w:p>
    <w:p w14:paraId="4BF4F141" w14:textId="77777777" w:rsidR="002F3C18" w:rsidRPr="001D1490" w:rsidRDefault="002F3C18" w:rsidP="001D1490">
      <w:pPr>
        <w:pStyle w:val="ListParagraph"/>
        <w:numPr>
          <w:ilvl w:val="0"/>
          <w:numId w:val="32"/>
        </w:numPr>
        <w:autoSpaceDE w:val="0"/>
        <w:autoSpaceDN w:val="0"/>
        <w:adjustRightInd w:val="0"/>
        <w:jc w:val="both"/>
        <w:rPr>
          <w:rFonts w:ascii="Arial" w:hAnsi="Arial" w:cs="Arial"/>
          <w:color w:val="131413"/>
        </w:rPr>
      </w:pPr>
      <m:oMath>
        <m:r>
          <w:rPr>
            <w:rFonts w:ascii="Cambria Math" w:hAnsi="Cambria Math" w:cs="Arial"/>
            <w:color w:val="131413"/>
          </w:rPr>
          <m:t>β</m:t>
        </m:r>
      </m:oMath>
      <w:r w:rsidRPr="001D1490">
        <w:rPr>
          <w:rFonts w:ascii="Arial" w:hAnsi="Arial" w:cs="Arial"/>
          <w:color w:val="131413"/>
        </w:rPr>
        <w:t xml:space="preserve"> is a vector of regression parameters.</w:t>
      </w:r>
    </w:p>
    <w:p w14:paraId="0ED824E8" w14:textId="77777777" w:rsidR="002F3C18" w:rsidRPr="001D1490" w:rsidRDefault="002F3C18" w:rsidP="001D1490">
      <w:pPr>
        <w:autoSpaceDE w:val="0"/>
        <w:autoSpaceDN w:val="0"/>
        <w:adjustRightInd w:val="0"/>
        <w:rPr>
          <w:rFonts w:ascii="Arial" w:hAnsi="Arial" w:cs="Arial"/>
          <w:color w:val="131413"/>
        </w:rPr>
      </w:pPr>
      <w:r w:rsidRPr="001D1490">
        <w:rPr>
          <w:rFonts w:ascii="Arial" w:hAnsi="Arial" w:cs="Arial"/>
        </w:rPr>
        <w:t xml:space="preserve">The frailties, represented by </w:t>
      </w:r>
      <w:proofErr w:type="spellStart"/>
      <w:r w:rsidRPr="001D1490">
        <w:rPr>
          <w:rFonts w:ascii="Arial" w:hAnsi="Arial" w:cs="Arial"/>
        </w:rPr>
        <w:t>yi</w:t>
      </w:r>
      <w:proofErr w:type="spellEnd"/>
      <w:r w:rsidRPr="001D1490">
        <w:rPr>
          <w:rFonts w:ascii="Arial" w:hAnsi="Arial" w:cs="Arial"/>
        </w:rPr>
        <w:t>, are independent and identically distributed (</w:t>
      </w:r>
      <w:proofErr w:type="spellStart"/>
      <w:r w:rsidRPr="001D1490">
        <w:rPr>
          <w:rFonts w:ascii="Arial" w:hAnsi="Arial" w:cs="Arial"/>
          <w:b/>
        </w:rPr>
        <w:t>i.i.d.</w:t>
      </w:r>
      <w:proofErr w:type="spellEnd"/>
      <w:r w:rsidRPr="001D1490">
        <w:rPr>
          <w:rFonts w:ascii="Arial" w:hAnsi="Arial" w:cs="Arial"/>
          <w:b/>
        </w:rPr>
        <w:t>)</w:t>
      </w:r>
      <w:r w:rsidRPr="001D1490">
        <w:rPr>
          <w:rFonts w:ascii="Arial" w:hAnsi="Arial" w:cs="Arial"/>
        </w:rPr>
        <w:t xml:space="preserve"> variables with a shared probability density function g(</w:t>
      </w:r>
      <w:proofErr w:type="spellStart"/>
      <w:r w:rsidRPr="001D1490">
        <w:rPr>
          <w:rFonts w:ascii="Arial" w:hAnsi="Arial" w:cs="Arial"/>
        </w:rPr>
        <w:t>yi</w:t>
      </w:r>
      <w:proofErr w:type="spellEnd"/>
      <w:r w:rsidRPr="001D1490">
        <w:rPr>
          <w:rFonts w:ascii="Arial" w:hAnsi="Arial" w:cs="Arial"/>
        </w:rPr>
        <w:t>). Numerous investigations have explored the selection of continuous distributions for frailty random variables, including Gamma [37], inverse Gaussian [39], log-normal [36], and positive stable [40]. And a limited number of studies have explored discrete distributions [41].</w:t>
      </w:r>
    </w:p>
    <w:p w14:paraId="150C870A" w14:textId="77777777" w:rsidR="002F3C18" w:rsidRPr="001D1490" w:rsidRDefault="001D1490" w:rsidP="001D1490">
      <w:pPr>
        <w:pStyle w:val="Heading2"/>
        <w:numPr>
          <w:ilvl w:val="1"/>
          <w:numId w:val="31"/>
        </w:numPr>
        <w:spacing w:before="0" w:after="240" w:line="240" w:lineRule="auto"/>
        <w:ind w:left="0"/>
        <w:rPr>
          <w:rFonts w:ascii="Arial" w:hAnsi="Arial" w:cs="Arial"/>
          <w:color w:val="auto"/>
          <w:sz w:val="20"/>
          <w:szCs w:val="20"/>
        </w:rPr>
      </w:pPr>
      <w:bookmarkStart w:id="4" w:name="_Toc108265640"/>
      <w:r>
        <w:rPr>
          <w:rFonts w:ascii="Arial" w:hAnsi="Arial" w:cs="Arial"/>
          <w:color w:val="auto"/>
          <w:sz w:val="20"/>
          <w:szCs w:val="20"/>
        </w:rPr>
        <w:t xml:space="preserve">2.5.4. </w:t>
      </w:r>
      <w:proofErr w:type="gramStart"/>
      <w:r w:rsidR="002F3C18" w:rsidRPr="001D1490">
        <w:rPr>
          <w:rFonts w:ascii="Arial" w:hAnsi="Arial" w:cs="Arial"/>
          <w:color w:val="auto"/>
          <w:sz w:val="20"/>
          <w:szCs w:val="20"/>
        </w:rPr>
        <w:t>Models</w:t>
      </w:r>
      <w:proofErr w:type="gramEnd"/>
      <w:r w:rsidR="002F3C18" w:rsidRPr="001D1490">
        <w:rPr>
          <w:rFonts w:ascii="Arial" w:hAnsi="Arial" w:cs="Arial"/>
          <w:color w:val="auto"/>
          <w:sz w:val="20"/>
          <w:szCs w:val="20"/>
        </w:rPr>
        <w:t xml:space="preserve"> comparison and diagnostics</w:t>
      </w:r>
      <w:bookmarkEnd w:id="4"/>
    </w:p>
    <w:p w14:paraId="1CA54B4C" w14:textId="77777777" w:rsidR="002F3C18" w:rsidRPr="001D1490" w:rsidRDefault="002F3C18" w:rsidP="001D1490">
      <w:pPr>
        <w:autoSpaceDE w:val="0"/>
        <w:autoSpaceDN w:val="0"/>
        <w:adjustRightInd w:val="0"/>
        <w:rPr>
          <w:rFonts w:ascii="Arial" w:hAnsi="Arial" w:cs="Arial"/>
        </w:rPr>
      </w:pPr>
      <w:r w:rsidRPr="001D1490">
        <w:rPr>
          <w:rFonts w:ascii="Arial" w:hAnsi="Arial" w:cs="Arial"/>
        </w:rPr>
        <w:t>Model comparison and selection are among the most common problems of statistical practice, with numerous procedures for choosing among a set of models.</w:t>
      </w:r>
      <w:r w:rsidRPr="001D1490">
        <w:rPr>
          <w:rFonts w:ascii="Arial" w:hAnsi="Arial" w:cs="Arial"/>
          <w:color w:val="131413"/>
        </w:rPr>
        <w:t xml:space="preserve"> There are several methods of model selection. </w:t>
      </w:r>
      <w:r w:rsidRPr="001D1490">
        <w:rPr>
          <w:rFonts w:ascii="Arial" w:hAnsi="Arial" w:cs="Arial"/>
        </w:rPr>
        <w:t xml:space="preserve">One of the most commonly used model selection criteria is Akaike Information Criterion (AIC). </w:t>
      </w:r>
      <w:r w:rsidRPr="001D1490">
        <w:rPr>
          <w:rFonts w:ascii="Arial" w:hAnsi="Arial" w:cs="Arial"/>
          <w:color w:val="131413"/>
        </w:rPr>
        <w:t xml:space="preserve">we were compare the models study by </w:t>
      </w:r>
      <w:proofErr w:type="gramStart"/>
      <w:r w:rsidRPr="001D1490">
        <w:rPr>
          <w:rFonts w:ascii="Arial" w:hAnsi="Arial" w:cs="Arial"/>
          <w:color w:val="131413"/>
        </w:rPr>
        <w:t>using  AIC</w:t>
      </w:r>
      <w:proofErr w:type="gramEnd"/>
      <w:r w:rsidRPr="001D1490">
        <w:rPr>
          <w:rFonts w:ascii="Arial" w:hAnsi="Arial" w:cs="Arial"/>
          <w:color w:val="131413"/>
        </w:rPr>
        <w:t>, BIC, Likelihood ratio test  [</w:t>
      </w:r>
      <w:r w:rsidRPr="001D1490">
        <w:rPr>
          <w:rFonts w:ascii="Arial" w:hAnsi="Arial" w:cs="Arial"/>
          <w:color w:val="0000FF"/>
        </w:rPr>
        <w:t>44</w:t>
      </w:r>
      <w:r w:rsidRPr="001D1490">
        <w:rPr>
          <w:rFonts w:ascii="Arial" w:hAnsi="Arial" w:cs="Arial"/>
          <w:color w:val="131413"/>
        </w:rPr>
        <w:t>] criteria’s was used to compare various candidate models and the model with the smallest AIC and BIC value is considered as a better fit [</w:t>
      </w:r>
      <w:r w:rsidRPr="001D1490">
        <w:rPr>
          <w:rFonts w:ascii="Arial" w:hAnsi="Arial" w:cs="Arial"/>
          <w:color w:val="0000FF"/>
        </w:rPr>
        <w:t>45</w:t>
      </w:r>
      <w:r w:rsidRPr="001D1490">
        <w:rPr>
          <w:rFonts w:ascii="Arial" w:hAnsi="Arial" w:cs="Arial"/>
          <w:color w:val="131413"/>
        </w:rPr>
        <w:t xml:space="preserve">]. </w:t>
      </w:r>
      <w:r w:rsidRPr="001D1490">
        <w:rPr>
          <w:rFonts w:ascii="Arial" w:hAnsi="Arial" w:cs="Arial"/>
        </w:rPr>
        <w:t>This is defined as:</w:t>
      </w:r>
    </w:p>
    <w:p w14:paraId="0C467316" w14:textId="77777777" w:rsidR="002F3C18" w:rsidRPr="001D1490" w:rsidRDefault="002F3C18" w:rsidP="00647C5F">
      <w:pPr>
        <w:autoSpaceDE w:val="0"/>
        <w:autoSpaceDN w:val="0"/>
        <w:adjustRightInd w:val="0"/>
        <w:jc w:val="center"/>
        <w:rPr>
          <w:rFonts w:ascii="Arial" w:hAnsi="Arial" w:cs="Arial"/>
          <w:i/>
        </w:rPr>
      </w:pPr>
      <w:r w:rsidRPr="001D1490">
        <w:rPr>
          <w:rFonts w:ascii="Arial" w:hAnsi="Arial" w:cs="Arial"/>
        </w:rPr>
        <w:t>AIC = -2logL + 2(</w:t>
      </w:r>
      <w:proofErr w:type="spellStart"/>
      <w:r w:rsidRPr="001D1490">
        <w:rPr>
          <w:rFonts w:ascii="Arial" w:hAnsi="Arial" w:cs="Arial"/>
        </w:rPr>
        <w:t>p+</w:t>
      </w:r>
      <w:proofErr w:type="gramStart"/>
      <w:r w:rsidRPr="001D1490">
        <w:rPr>
          <w:rFonts w:ascii="Arial" w:hAnsi="Arial" w:cs="Arial"/>
        </w:rPr>
        <w:t>k</w:t>
      </w:r>
      <w:proofErr w:type="spellEnd"/>
      <w:r w:rsidRPr="001D1490">
        <w:rPr>
          <w:rFonts w:ascii="Arial" w:hAnsi="Arial" w:cs="Arial"/>
          <w:i/>
        </w:rPr>
        <w:t>)…</w:t>
      </w:r>
      <w:proofErr w:type="gramEnd"/>
      <w:r w:rsidRPr="001D1490">
        <w:rPr>
          <w:rFonts w:ascii="Arial" w:hAnsi="Arial" w:cs="Arial"/>
          <w:i/>
        </w:rPr>
        <w:t>………….Eq(3)</w:t>
      </w:r>
    </w:p>
    <w:p w14:paraId="05B9C99E" w14:textId="77777777" w:rsidR="002F3C18" w:rsidRPr="001D1490" w:rsidRDefault="002F3C18" w:rsidP="001D1490">
      <w:pPr>
        <w:autoSpaceDE w:val="0"/>
        <w:autoSpaceDN w:val="0"/>
        <w:adjustRightInd w:val="0"/>
        <w:rPr>
          <w:rFonts w:ascii="Arial" w:hAnsi="Arial" w:cs="Arial"/>
        </w:rPr>
      </w:pPr>
      <w:r w:rsidRPr="001D1490">
        <w:rPr>
          <w:rFonts w:ascii="Arial" w:hAnsi="Arial" w:cs="Arial"/>
        </w:rPr>
        <w:t xml:space="preserve">Where, k is the number of covariates and </w:t>
      </w:r>
      <w:r w:rsidRPr="001D1490">
        <w:rPr>
          <w:rFonts w:ascii="Cambria Math" w:hAnsi="Cambria Math" w:cs="Arial"/>
        </w:rPr>
        <w:t>𝑝</w:t>
      </w:r>
      <w:r w:rsidRPr="001D1490">
        <w:rPr>
          <w:rFonts w:ascii="Arial" w:hAnsi="Arial" w:cs="Arial"/>
        </w:rPr>
        <w:t xml:space="preserve"> the number of model specific distributional parameters. This thesis used the AIC to compare various candidates of non- nested parametric models. The preferred model is the one with the lowest value of the AIC.</w:t>
      </w:r>
    </w:p>
    <w:p w14:paraId="437875D6" w14:textId="77777777" w:rsidR="002F3C18" w:rsidRPr="001D1490" w:rsidRDefault="002F3C18" w:rsidP="001D1490">
      <w:pPr>
        <w:autoSpaceDE w:val="0"/>
        <w:autoSpaceDN w:val="0"/>
        <w:adjustRightInd w:val="0"/>
        <w:rPr>
          <w:rFonts w:ascii="Arial" w:hAnsi="Arial" w:cs="Arial"/>
          <w:color w:val="131413"/>
        </w:rPr>
      </w:pPr>
      <w:r w:rsidRPr="001D1490">
        <w:rPr>
          <w:rFonts w:ascii="Arial" w:hAnsi="Arial" w:cs="Arial"/>
          <w:color w:val="131413"/>
        </w:rPr>
        <w:t>After a model fitted, the adequacy of the fitted model needs to be assessed. The methods that involved the model checking for this study used evaluation of the Parametric Baselines, log rank test and the Cox-Snell Residuals [</w:t>
      </w:r>
      <w:r w:rsidRPr="001D1490">
        <w:rPr>
          <w:rFonts w:ascii="Arial" w:hAnsi="Arial" w:cs="Arial"/>
          <w:color w:val="548DD4" w:themeColor="text2" w:themeTint="99"/>
        </w:rPr>
        <w:t>46</w:t>
      </w:r>
      <w:r w:rsidRPr="001D1490">
        <w:rPr>
          <w:rFonts w:ascii="Arial" w:hAnsi="Arial" w:cs="Arial"/>
          <w:color w:val="131413"/>
        </w:rPr>
        <w:t>].</w:t>
      </w:r>
    </w:p>
    <w:p w14:paraId="7F4D587F" w14:textId="77777777" w:rsidR="002F3C18" w:rsidRPr="001D1490" w:rsidRDefault="002F3C18" w:rsidP="00647C5F">
      <w:pPr>
        <w:pStyle w:val="Default"/>
        <w:spacing w:before="240" w:after="240"/>
        <w:rPr>
          <w:sz w:val="20"/>
          <w:szCs w:val="20"/>
        </w:rPr>
      </w:pPr>
      <w:r w:rsidRPr="001D1490">
        <w:rPr>
          <w:b/>
          <w:bCs/>
          <w:sz w:val="20"/>
          <w:szCs w:val="20"/>
        </w:rPr>
        <w:t xml:space="preserve">Cox-Snell Residuals </w:t>
      </w:r>
    </w:p>
    <w:p w14:paraId="55490476" w14:textId="77777777" w:rsidR="00790ADA" w:rsidRPr="001D1490" w:rsidRDefault="002F3C18" w:rsidP="001D1490">
      <w:pPr>
        <w:pStyle w:val="Body"/>
        <w:spacing w:after="0"/>
        <w:jc w:val="left"/>
        <w:rPr>
          <w:rFonts w:ascii="Arial" w:hAnsi="Arial" w:cs="Arial"/>
          <w:color w:val="000000" w:themeColor="text1"/>
        </w:rPr>
      </w:pPr>
      <w:r w:rsidRPr="001D1490">
        <w:rPr>
          <w:rFonts w:ascii="Arial" w:hAnsi="Arial" w:cs="Arial"/>
        </w:rPr>
        <w:t>The Cox-Snell residuals method can be applied to any parametric model and the residual plots can be used to check the goodness of fit of the model. For the parametric regression problem, analogs of the semi-parametric residual plots can be made with a redefinition of the various residuals to incorporate the parametric form of the baseline hazard rates [</w:t>
      </w:r>
      <w:r w:rsidRPr="001D1490">
        <w:rPr>
          <w:rFonts w:ascii="Arial" w:hAnsi="Arial" w:cs="Arial"/>
          <w:color w:val="0070C0"/>
        </w:rPr>
        <w:t>46</w:t>
      </w:r>
      <w:r w:rsidRPr="001D1490">
        <w:rPr>
          <w:rFonts w:ascii="Arial" w:hAnsi="Arial" w:cs="Arial"/>
          <w:color w:val="000000" w:themeColor="text1"/>
        </w:rPr>
        <w:t>].</w:t>
      </w:r>
    </w:p>
    <w:p w14:paraId="6D3CF450" w14:textId="77777777" w:rsidR="002F3C18" w:rsidRPr="00FB3A86" w:rsidRDefault="002F3C18" w:rsidP="002F3C18">
      <w:pPr>
        <w:pStyle w:val="Body"/>
        <w:spacing w:after="0"/>
        <w:rPr>
          <w:rFonts w:ascii="Arial" w:hAnsi="Arial" w:cs="Arial"/>
        </w:rPr>
      </w:pPr>
    </w:p>
    <w:p w14:paraId="56758BE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854461" w14:textId="77777777" w:rsidR="00790ADA" w:rsidRPr="00FB3A86" w:rsidRDefault="00790ADA" w:rsidP="00441B6F">
      <w:pPr>
        <w:pStyle w:val="Head1"/>
        <w:spacing w:after="0"/>
        <w:jc w:val="both"/>
        <w:rPr>
          <w:rFonts w:ascii="Arial" w:hAnsi="Arial" w:cs="Arial"/>
        </w:rPr>
      </w:pPr>
    </w:p>
    <w:p w14:paraId="719D3C2A" w14:textId="77777777" w:rsidR="00E566BF" w:rsidRPr="00E566BF" w:rsidRDefault="00E566BF" w:rsidP="00E566BF">
      <w:pPr>
        <w:pStyle w:val="Body"/>
        <w:rPr>
          <w:rFonts w:ascii="Arial" w:hAnsi="Arial" w:cs="Arial"/>
          <w:b/>
        </w:rPr>
      </w:pPr>
      <w:r>
        <w:rPr>
          <w:rFonts w:ascii="Arial" w:hAnsi="Arial" w:cs="Arial"/>
          <w:b/>
        </w:rPr>
        <w:t xml:space="preserve">3.1. </w:t>
      </w:r>
      <w:r w:rsidRPr="00E566BF">
        <w:rPr>
          <w:rFonts w:ascii="Arial" w:hAnsi="Arial" w:cs="Arial"/>
          <w:b/>
        </w:rPr>
        <w:t xml:space="preserve">Exploratory data analysis </w:t>
      </w:r>
    </w:p>
    <w:p w14:paraId="381A0C12" w14:textId="77777777" w:rsidR="00E566BF" w:rsidRPr="00E566BF" w:rsidRDefault="00E566BF" w:rsidP="00E566BF">
      <w:pPr>
        <w:pStyle w:val="Body"/>
        <w:rPr>
          <w:rFonts w:ascii="Arial" w:hAnsi="Arial" w:cs="Arial"/>
        </w:rPr>
      </w:pPr>
      <w:r w:rsidRPr="00E566BF">
        <w:rPr>
          <w:rFonts w:ascii="Arial" w:hAnsi="Arial" w:cs="Arial"/>
        </w:rPr>
        <w:t xml:space="preserve">In the event that the study's primary goal of determining how long MDR-TB patients in southern Ethiopia take to recover is accomplished. A total of 301 MDR-TB patients from NEMMCSH (131), BH (121) and AGH (49) were included in the study during the data collecting period. Of the total sample, 116 (38.5%) were censored, and 185 (61.5%) MDR-TB patients were recovered. </w:t>
      </w:r>
    </w:p>
    <w:p w14:paraId="5A4DEF45" w14:textId="77777777" w:rsidR="00E566BF" w:rsidRDefault="00E566BF" w:rsidP="00E566BF">
      <w:pPr>
        <w:pStyle w:val="Body"/>
        <w:rPr>
          <w:rFonts w:ascii="Arial" w:hAnsi="Arial" w:cs="Arial"/>
        </w:rPr>
      </w:pPr>
      <w:r w:rsidRPr="00E566BF">
        <w:rPr>
          <w:rFonts w:ascii="Arial" w:hAnsi="Arial" w:cs="Arial"/>
        </w:rPr>
        <w:t>According to the study, the average recovery time or overall median time for MDR-TB patients in each hospital was 22 months, with the minimum and maximum recovery times being 18 and 24 months, respectively.</w:t>
      </w:r>
    </w:p>
    <w:p w14:paraId="7AE11702" w14:textId="470D8230" w:rsidR="00E566BF" w:rsidRDefault="00E566BF" w:rsidP="00E566BF">
      <w:pPr>
        <w:pStyle w:val="Body"/>
        <w:rPr>
          <w:rFonts w:ascii="Arial" w:hAnsi="Arial" w:cs="Arial"/>
        </w:rPr>
      </w:pPr>
      <w:r>
        <w:rPr>
          <w:rFonts w:ascii="Arial" w:hAnsi="Arial" w:cs="Arial"/>
        </w:rPr>
        <w:t xml:space="preserve">table 2. Status of the patients </w:t>
      </w:r>
    </w:p>
    <w:tbl>
      <w:tblPr>
        <w:tblW w:w="457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83"/>
        <w:gridCol w:w="1687"/>
      </w:tblGrid>
      <w:tr w:rsidR="00E566BF" w:rsidRPr="00DC3180" w14:paraId="68DE52B5" w14:textId="77777777" w:rsidTr="00F5647B">
        <w:trPr>
          <w:trHeight w:val="110"/>
          <w:jc w:val="center"/>
        </w:trPr>
        <w:tc>
          <w:tcPr>
            <w:tcW w:w="2883" w:type="dxa"/>
            <w:tcBorders>
              <w:bottom w:val="single" w:sz="4" w:space="0" w:color="auto"/>
            </w:tcBorders>
          </w:tcPr>
          <w:p w14:paraId="283CABFA" w14:textId="77777777" w:rsidR="00E566BF" w:rsidRPr="00DC3180" w:rsidRDefault="00E566BF" w:rsidP="00693799">
            <w:pPr>
              <w:jc w:val="both"/>
              <w:rPr>
                <w:rFonts w:ascii="Arial" w:hAnsi="Arial"/>
                <w:b/>
                <w:bCs/>
              </w:rPr>
            </w:pPr>
            <w:r>
              <w:rPr>
                <w:rFonts w:ascii="Arial" w:hAnsi="Arial"/>
                <w:b/>
              </w:rPr>
              <w:lastRenderedPageBreak/>
              <w:t xml:space="preserve">Status of patients </w:t>
            </w:r>
          </w:p>
        </w:tc>
        <w:tc>
          <w:tcPr>
            <w:tcW w:w="1687" w:type="dxa"/>
            <w:tcBorders>
              <w:bottom w:val="single" w:sz="4" w:space="0" w:color="auto"/>
            </w:tcBorders>
          </w:tcPr>
          <w:p w14:paraId="3A9E603A" w14:textId="77777777" w:rsidR="00E566BF" w:rsidRPr="00DC3180" w:rsidRDefault="00E53CB6" w:rsidP="00693799">
            <w:pPr>
              <w:jc w:val="both"/>
              <w:rPr>
                <w:rFonts w:ascii="Arial" w:hAnsi="Arial"/>
                <w:b/>
                <w:bCs/>
              </w:rPr>
            </w:pPr>
            <w:r>
              <w:rPr>
                <w:rFonts w:ascii="Arial" w:hAnsi="Arial"/>
                <w:b/>
                <w:bCs/>
              </w:rPr>
              <w:t>Frequency (</w:t>
            </w:r>
            <w:r w:rsidR="00E566BF">
              <w:rPr>
                <w:rFonts w:ascii="Arial" w:hAnsi="Arial"/>
                <w:b/>
                <w:bCs/>
              </w:rPr>
              <w:t>%)</w:t>
            </w:r>
          </w:p>
        </w:tc>
      </w:tr>
      <w:tr w:rsidR="00E566BF" w:rsidRPr="00DC3180" w14:paraId="30EBA843" w14:textId="77777777" w:rsidTr="00F5647B">
        <w:trPr>
          <w:trHeight w:val="512"/>
          <w:jc w:val="center"/>
        </w:trPr>
        <w:tc>
          <w:tcPr>
            <w:tcW w:w="2883" w:type="dxa"/>
            <w:tcBorders>
              <w:bottom w:val="nil"/>
            </w:tcBorders>
          </w:tcPr>
          <w:p w14:paraId="3417C817" w14:textId="77777777" w:rsidR="00E566BF" w:rsidRPr="00DC3180" w:rsidRDefault="00E566BF" w:rsidP="00F5647B">
            <w:pPr>
              <w:spacing w:line="276" w:lineRule="auto"/>
              <w:jc w:val="both"/>
              <w:rPr>
                <w:rFonts w:ascii="Arial" w:hAnsi="Arial"/>
                <w:vanish/>
              </w:rPr>
            </w:pPr>
            <w:r w:rsidRPr="00E566BF">
              <w:rPr>
                <w:rFonts w:ascii="Arial" w:hAnsi="Arial" w:cs="Arial"/>
                <w:bCs/>
                <w:color w:val="000000"/>
              </w:rPr>
              <w:t>Censored</w:t>
            </w:r>
            <w:r w:rsidRPr="00DC3180">
              <w:rPr>
                <w:rFonts w:ascii="Arial" w:hAnsi="Arial"/>
                <w:vanish/>
              </w:rPr>
              <w:t xml:space="preserve"> </w:t>
            </w:r>
            <w:r>
              <w:rPr>
                <w:rFonts w:ascii="Arial" w:hAnsi="Arial"/>
              </w:rPr>
              <w:t xml:space="preserve"> </w:t>
            </w:r>
          </w:p>
          <w:p w14:paraId="0F63E822" w14:textId="77777777" w:rsidR="00E566BF" w:rsidRDefault="00E566BF" w:rsidP="00F5647B">
            <w:pPr>
              <w:spacing w:line="276" w:lineRule="auto"/>
              <w:jc w:val="both"/>
              <w:rPr>
                <w:rFonts w:ascii="Arial" w:hAnsi="Arial"/>
              </w:rPr>
            </w:pPr>
          </w:p>
          <w:p w14:paraId="06CD28A9" w14:textId="77777777" w:rsidR="00E566BF" w:rsidRDefault="00E566BF" w:rsidP="00F5647B">
            <w:pPr>
              <w:spacing w:line="276" w:lineRule="auto"/>
              <w:jc w:val="both"/>
              <w:rPr>
                <w:rFonts w:ascii="Arial" w:hAnsi="Arial" w:cs="Arial"/>
                <w:bCs/>
                <w:color w:val="000000"/>
              </w:rPr>
            </w:pPr>
            <w:r w:rsidRPr="00E566BF">
              <w:rPr>
                <w:rFonts w:ascii="Arial" w:hAnsi="Arial" w:cs="Arial"/>
                <w:bCs/>
                <w:color w:val="000000"/>
              </w:rPr>
              <w:t>Recovered</w:t>
            </w:r>
          </w:p>
          <w:p w14:paraId="079D99BD" w14:textId="77777777" w:rsidR="00F5647B" w:rsidRPr="00DC3180" w:rsidRDefault="00F5647B" w:rsidP="00F5647B">
            <w:pPr>
              <w:spacing w:line="276" w:lineRule="auto"/>
              <w:jc w:val="both"/>
              <w:rPr>
                <w:rFonts w:ascii="Arial" w:hAnsi="Arial"/>
                <w:b/>
                <w:bCs/>
              </w:rPr>
            </w:pPr>
          </w:p>
        </w:tc>
        <w:tc>
          <w:tcPr>
            <w:tcW w:w="1687" w:type="dxa"/>
            <w:tcBorders>
              <w:bottom w:val="nil"/>
            </w:tcBorders>
          </w:tcPr>
          <w:p w14:paraId="441F9FEE" w14:textId="77777777" w:rsidR="00E566BF" w:rsidRPr="00DC3180" w:rsidRDefault="00F5647B" w:rsidP="00F5647B">
            <w:pPr>
              <w:spacing w:line="276" w:lineRule="auto"/>
              <w:jc w:val="both"/>
              <w:rPr>
                <w:rFonts w:ascii="Arial" w:hAnsi="Arial"/>
              </w:rPr>
            </w:pPr>
            <w:r w:rsidRPr="00E566BF">
              <w:rPr>
                <w:rFonts w:ascii="Arial" w:hAnsi="Arial" w:cs="Arial"/>
                <w:bCs/>
                <w:color w:val="000000"/>
              </w:rPr>
              <w:t>116(38.5%)</w:t>
            </w:r>
            <w:r w:rsidR="00E566BF" w:rsidRPr="00DC3180">
              <w:rPr>
                <w:rFonts w:ascii="Arial" w:hAnsi="Arial"/>
              </w:rPr>
              <w:t>21.4</w:t>
            </w:r>
          </w:p>
          <w:p w14:paraId="0C47571D" w14:textId="77777777" w:rsidR="00E566BF" w:rsidRDefault="00F5647B" w:rsidP="00F5647B">
            <w:pPr>
              <w:spacing w:line="276" w:lineRule="auto"/>
              <w:jc w:val="both"/>
              <w:rPr>
                <w:rFonts w:ascii="Arial" w:hAnsi="Arial" w:cs="Arial"/>
                <w:bCs/>
                <w:color w:val="000000"/>
              </w:rPr>
            </w:pPr>
            <w:r w:rsidRPr="00E566BF">
              <w:rPr>
                <w:rFonts w:ascii="Arial" w:hAnsi="Arial" w:cs="Arial"/>
                <w:bCs/>
                <w:color w:val="000000"/>
              </w:rPr>
              <w:t>185(61.5%)</w:t>
            </w:r>
          </w:p>
          <w:p w14:paraId="27E5AB5C" w14:textId="77777777" w:rsidR="00F5647B" w:rsidRPr="00DC3180" w:rsidRDefault="00F5647B" w:rsidP="00F5647B">
            <w:pPr>
              <w:spacing w:line="276" w:lineRule="auto"/>
              <w:jc w:val="both"/>
              <w:rPr>
                <w:rFonts w:ascii="Arial" w:hAnsi="Arial"/>
                <w:b/>
                <w:bCs/>
              </w:rPr>
            </w:pPr>
          </w:p>
        </w:tc>
      </w:tr>
      <w:tr w:rsidR="00E566BF" w:rsidRPr="00DC3180" w14:paraId="4354A88D" w14:textId="77777777" w:rsidTr="00F5647B">
        <w:trPr>
          <w:trHeight w:val="31"/>
          <w:jc w:val="center"/>
        </w:trPr>
        <w:tc>
          <w:tcPr>
            <w:tcW w:w="2883" w:type="dxa"/>
            <w:tcBorders>
              <w:top w:val="nil"/>
              <w:bottom w:val="single" w:sz="4" w:space="0" w:color="auto"/>
            </w:tcBorders>
          </w:tcPr>
          <w:p w14:paraId="5BA2E2E3" w14:textId="77777777" w:rsidR="00E566BF" w:rsidRPr="00DC3180" w:rsidRDefault="00E566BF" w:rsidP="00693799">
            <w:pPr>
              <w:jc w:val="both"/>
              <w:rPr>
                <w:rFonts w:ascii="Arial" w:hAnsi="Arial"/>
              </w:rPr>
            </w:pPr>
            <w:r w:rsidRPr="00DC3180">
              <w:rPr>
                <w:rFonts w:ascii="Arial" w:hAnsi="Arial"/>
              </w:rPr>
              <w:t>Total N, %</w:t>
            </w:r>
          </w:p>
        </w:tc>
        <w:tc>
          <w:tcPr>
            <w:tcW w:w="1687" w:type="dxa"/>
            <w:tcBorders>
              <w:top w:val="nil"/>
              <w:bottom w:val="single" w:sz="4" w:space="0" w:color="auto"/>
            </w:tcBorders>
          </w:tcPr>
          <w:p w14:paraId="12E7026C" w14:textId="77777777" w:rsidR="00E566BF" w:rsidRPr="00DC3180" w:rsidRDefault="00F5647B" w:rsidP="00693799">
            <w:pPr>
              <w:jc w:val="both"/>
              <w:rPr>
                <w:rFonts w:ascii="Arial" w:hAnsi="Arial"/>
              </w:rPr>
            </w:pPr>
            <w:r w:rsidRPr="00E566BF">
              <w:rPr>
                <w:rFonts w:ascii="Arial" w:hAnsi="Arial" w:cs="Arial"/>
                <w:bCs/>
                <w:color w:val="000000"/>
              </w:rPr>
              <w:t>301(100%)</w:t>
            </w:r>
          </w:p>
        </w:tc>
      </w:tr>
    </w:tbl>
    <w:p w14:paraId="21D2EF5C" w14:textId="77777777" w:rsidR="00E566BF" w:rsidRPr="00E566BF" w:rsidRDefault="00E566BF" w:rsidP="00E566BF">
      <w:pPr>
        <w:pStyle w:val="Body"/>
        <w:rPr>
          <w:rFonts w:ascii="Arial" w:hAnsi="Arial" w:cs="Arial"/>
        </w:rPr>
      </w:pPr>
    </w:p>
    <w:p w14:paraId="34355080" w14:textId="77777777" w:rsidR="00790ADA" w:rsidRPr="00502516" w:rsidRDefault="00BF5367" w:rsidP="00441B6F">
      <w:pPr>
        <w:pStyle w:val="Body"/>
        <w:spacing w:after="0"/>
        <w:rPr>
          <w:rFonts w:ascii="Arial" w:hAnsi="Arial" w:cs="Arial"/>
        </w:rPr>
      </w:pPr>
      <w:r w:rsidRPr="00BF5367">
        <w:rPr>
          <w:rFonts w:ascii="Arial" w:hAnsi="Arial" w:cs="Arial"/>
        </w:rPr>
        <w:t>The Recovery rate of MDR-TB was higher in males (64.2%) than in females (58.08%) (Males are more likely to recover than females). According to a study, 31 patients are extrapulmonary among the 301 recorded MDR-TB patients, 270 of whom had pulmonary TB. Extra pulmonary MDR-TB (10.3%) had a lengthier recovery time than pulmonary MDR-TB (89.7%).  166 (61.5%) of the 270 patients with pulmonary tuberculosis recovered, while 19 of the 31 additional patients experienced extra pulmonary recovery. (Extra pulmonary MDR-TB had longer recovery time than pulmonary MDR-TB).</w:t>
      </w:r>
    </w:p>
    <w:p w14:paraId="7C5DFB30" w14:textId="77777777" w:rsidR="00BF5367" w:rsidRDefault="00BF5367" w:rsidP="00441B6F">
      <w:pPr>
        <w:pStyle w:val="Body"/>
        <w:spacing w:after="0"/>
        <w:rPr>
          <w:rFonts w:ascii="Arial" w:hAnsi="Arial" w:cs="Arial"/>
        </w:rPr>
      </w:pPr>
    </w:p>
    <w:p w14:paraId="3C7A6596" w14:textId="77777777" w:rsidR="00953645" w:rsidRPr="00953645" w:rsidRDefault="00953645" w:rsidP="00953645">
      <w:pPr>
        <w:pStyle w:val="Body"/>
        <w:rPr>
          <w:rFonts w:ascii="Arial" w:hAnsi="Arial" w:cs="Arial"/>
        </w:rPr>
      </w:pPr>
      <w:r w:rsidRPr="00953645">
        <w:rPr>
          <w:rFonts w:ascii="Arial" w:hAnsi="Arial" w:cs="Arial"/>
        </w:rPr>
        <w:t>Due to MDR-TB, patients who reside in urban areas (62.7%) have a higher likelihood of recovering than those who reside in rural areas (60.3%). recovery rates for MDR-TB among drinkers and smokers were 61.9% and 42.5%, respectively. Most of the patients (61.4%) were recovered at the age group between 18 to 64 years. HIV negative individuals recovered from MDR-TB at a higher incidence (61.1%) than HIV positive patients (36%). Patients with no prior drug history had a greater recovery rate (64.28%) than patients with a history of drug use (60.6%).</w:t>
      </w:r>
    </w:p>
    <w:p w14:paraId="3E97FCCA" w14:textId="77777777" w:rsidR="00790ADA" w:rsidRDefault="00953645" w:rsidP="00953645">
      <w:pPr>
        <w:pStyle w:val="Body"/>
        <w:spacing w:after="0"/>
        <w:rPr>
          <w:rFonts w:ascii="Arial" w:hAnsi="Arial" w:cs="Arial"/>
        </w:rPr>
      </w:pPr>
      <w:r w:rsidRPr="00953645">
        <w:rPr>
          <w:rFonts w:ascii="Arial" w:hAnsi="Arial" w:cs="Arial"/>
        </w:rPr>
        <w:t xml:space="preserve">The recovery rate of patients increases with increasing baseline weight, education level, and occupation. </w:t>
      </w:r>
      <w:proofErr w:type="gramStart"/>
      <w:r w:rsidRPr="00953645">
        <w:rPr>
          <w:rFonts w:ascii="Arial" w:hAnsi="Arial" w:cs="Arial"/>
        </w:rPr>
        <w:t>But,</w:t>
      </w:r>
      <w:proofErr w:type="gramEnd"/>
      <w:r w:rsidRPr="00953645">
        <w:rPr>
          <w:rFonts w:ascii="Arial" w:hAnsi="Arial" w:cs="Arial"/>
        </w:rPr>
        <w:t xml:space="preserve"> the recovery rate decreases with smoking, co-morbidities, previous drug history, history of TB, and alcohol use.</w:t>
      </w:r>
    </w:p>
    <w:p w14:paraId="67C9AE4B" w14:textId="77777777" w:rsidR="00953645" w:rsidRDefault="00953645" w:rsidP="00441B6F">
      <w:pPr>
        <w:jc w:val="both"/>
        <w:rPr>
          <w:rFonts w:ascii="Arial" w:hAnsi="Arial" w:cs="Arial"/>
          <w:u w:val="single"/>
          <w:lang w:val="en-GB" w:eastAsia="en-GB"/>
        </w:rPr>
      </w:pPr>
    </w:p>
    <w:p w14:paraId="3F305614" w14:textId="1208DBBF" w:rsidR="004B7ED4" w:rsidRDefault="004B7ED4" w:rsidP="00441B6F">
      <w:pPr>
        <w:jc w:val="both"/>
        <w:rPr>
          <w:rFonts w:ascii="Arial" w:hAnsi="Arial"/>
          <w:b/>
        </w:rPr>
      </w:pPr>
      <w:r>
        <w:rPr>
          <w:rFonts w:ascii="Arial" w:hAnsi="Arial"/>
          <w:b/>
        </w:rPr>
        <w:t xml:space="preserve">Table </w:t>
      </w:r>
      <w:r w:rsidRPr="004B7ED4">
        <w:rPr>
          <w:rFonts w:ascii="Arial" w:hAnsi="Arial"/>
          <w:b/>
        </w:rPr>
        <w:t>3. Descriptive results on demographic, clinical, and epidemiological characteristics of patients with MDR-TB from three selected Hospitals in southern Ethiopia.</w:t>
      </w:r>
    </w:p>
    <w:p w14:paraId="3C630725" w14:textId="77777777" w:rsidR="004B7ED4" w:rsidRDefault="004B7ED4" w:rsidP="00441B6F">
      <w:pPr>
        <w:jc w:val="both"/>
        <w:rPr>
          <w:rFonts w:ascii="Arial" w:hAnsi="Arial"/>
          <w:b/>
        </w:rPr>
      </w:pPr>
    </w:p>
    <w:tbl>
      <w:tblPr>
        <w:tblStyle w:val="TableGrid"/>
        <w:tblW w:w="0" w:type="auto"/>
        <w:tblBorders>
          <w:bottom w:val="none" w:sz="0" w:space="0" w:color="auto"/>
        </w:tblBorders>
        <w:tblLook w:val="04A0" w:firstRow="1" w:lastRow="0" w:firstColumn="1" w:lastColumn="0" w:noHBand="0" w:noVBand="1"/>
      </w:tblPr>
      <w:tblGrid>
        <w:gridCol w:w="1585"/>
        <w:gridCol w:w="1767"/>
        <w:gridCol w:w="2023"/>
        <w:gridCol w:w="1980"/>
        <w:gridCol w:w="1170"/>
        <w:gridCol w:w="1054"/>
      </w:tblGrid>
      <w:tr w:rsidR="004B7ED4" w:rsidRPr="004B7ED4" w14:paraId="403A4118" w14:textId="77777777" w:rsidTr="00093547">
        <w:trPr>
          <w:trHeight w:val="85"/>
        </w:trPr>
        <w:tc>
          <w:tcPr>
            <w:tcW w:w="1585" w:type="dxa"/>
          </w:tcPr>
          <w:p w14:paraId="3E15F407" w14:textId="77777777" w:rsidR="004B7ED4" w:rsidRPr="004B7ED4" w:rsidRDefault="004B7ED4" w:rsidP="004B7ED4">
            <w:pPr>
              <w:rPr>
                <w:rFonts w:ascii="Arial" w:hAnsi="Arial" w:cs="Arial"/>
                <w:b/>
                <w:sz w:val="20"/>
                <w:szCs w:val="20"/>
              </w:rPr>
            </w:pPr>
            <w:r w:rsidRPr="004B7ED4">
              <w:rPr>
                <w:rFonts w:ascii="Arial" w:hAnsi="Arial" w:cs="Arial"/>
                <w:b/>
                <w:sz w:val="20"/>
                <w:szCs w:val="20"/>
              </w:rPr>
              <w:t xml:space="preserve">Covariates </w:t>
            </w:r>
          </w:p>
        </w:tc>
        <w:tc>
          <w:tcPr>
            <w:tcW w:w="1767" w:type="dxa"/>
          </w:tcPr>
          <w:p w14:paraId="6B3F855C" w14:textId="77777777" w:rsidR="004B7ED4" w:rsidRPr="004B7ED4" w:rsidRDefault="004B7ED4" w:rsidP="004B7ED4">
            <w:pPr>
              <w:rPr>
                <w:rFonts w:ascii="Arial" w:hAnsi="Arial" w:cs="Arial"/>
                <w:b/>
                <w:sz w:val="20"/>
                <w:szCs w:val="20"/>
              </w:rPr>
            </w:pPr>
            <w:r w:rsidRPr="004B7ED4">
              <w:rPr>
                <w:rFonts w:ascii="Arial" w:hAnsi="Arial" w:cs="Arial"/>
                <w:b/>
                <w:sz w:val="20"/>
                <w:szCs w:val="20"/>
              </w:rPr>
              <w:t xml:space="preserve">Categories </w:t>
            </w:r>
          </w:p>
        </w:tc>
        <w:tc>
          <w:tcPr>
            <w:tcW w:w="2023" w:type="dxa"/>
          </w:tcPr>
          <w:p w14:paraId="7EEC0BEF" w14:textId="77777777" w:rsidR="004B7ED4" w:rsidRPr="004B7ED4" w:rsidRDefault="004B7ED4" w:rsidP="004B7ED4">
            <w:pPr>
              <w:rPr>
                <w:rFonts w:ascii="Arial" w:hAnsi="Arial" w:cs="Arial"/>
                <w:b/>
                <w:sz w:val="20"/>
                <w:szCs w:val="20"/>
              </w:rPr>
            </w:pPr>
            <w:r w:rsidRPr="004B7ED4">
              <w:rPr>
                <w:rFonts w:ascii="Arial" w:hAnsi="Arial" w:cs="Arial"/>
                <w:b/>
                <w:sz w:val="20"/>
                <w:szCs w:val="20"/>
              </w:rPr>
              <w:t>Total (%)</w:t>
            </w:r>
          </w:p>
        </w:tc>
        <w:tc>
          <w:tcPr>
            <w:tcW w:w="1980" w:type="dxa"/>
          </w:tcPr>
          <w:p w14:paraId="4092D738" w14:textId="77777777" w:rsidR="004B7ED4" w:rsidRPr="004B7ED4" w:rsidRDefault="004B7ED4" w:rsidP="004B7ED4">
            <w:pPr>
              <w:rPr>
                <w:rFonts w:ascii="Arial" w:hAnsi="Arial" w:cs="Arial"/>
                <w:b/>
                <w:sz w:val="20"/>
                <w:szCs w:val="20"/>
              </w:rPr>
            </w:pPr>
            <w:r w:rsidRPr="004B7ED4">
              <w:rPr>
                <w:rFonts w:ascii="Arial" w:hAnsi="Arial" w:cs="Arial"/>
                <w:b/>
                <w:sz w:val="20"/>
                <w:szCs w:val="20"/>
              </w:rPr>
              <w:t>Recovered (%)</w:t>
            </w:r>
          </w:p>
        </w:tc>
        <w:tc>
          <w:tcPr>
            <w:tcW w:w="1170" w:type="dxa"/>
          </w:tcPr>
          <w:p w14:paraId="5C5761E0" w14:textId="77777777" w:rsidR="004B7ED4" w:rsidRPr="004B7ED4" w:rsidRDefault="004B7ED4" w:rsidP="004B7ED4">
            <w:pPr>
              <w:rPr>
                <w:rFonts w:ascii="Arial" w:hAnsi="Arial" w:cs="Arial"/>
                <w:b/>
                <w:sz w:val="20"/>
                <w:szCs w:val="20"/>
              </w:rPr>
            </w:pPr>
            <w:r w:rsidRPr="004B7ED4">
              <w:rPr>
                <w:rFonts w:ascii="Arial" w:hAnsi="Arial" w:cs="Arial"/>
                <w:b/>
                <w:sz w:val="20"/>
                <w:szCs w:val="20"/>
              </w:rPr>
              <w:t>Censored</w:t>
            </w:r>
          </w:p>
        </w:tc>
        <w:tc>
          <w:tcPr>
            <w:tcW w:w="1054" w:type="dxa"/>
          </w:tcPr>
          <w:p w14:paraId="1F52A2BF" w14:textId="77777777" w:rsidR="004B7ED4" w:rsidRPr="004B7ED4" w:rsidRDefault="004B7ED4" w:rsidP="004B7ED4">
            <w:pPr>
              <w:rPr>
                <w:rFonts w:ascii="Arial" w:hAnsi="Arial" w:cs="Arial"/>
                <w:b/>
                <w:sz w:val="20"/>
                <w:szCs w:val="20"/>
              </w:rPr>
            </w:pPr>
            <w:r w:rsidRPr="004B7ED4">
              <w:rPr>
                <w:rFonts w:ascii="Arial" w:hAnsi="Arial" w:cs="Arial"/>
                <w:b/>
                <w:sz w:val="20"/>
                <w:szCs w:val="20"/>
              </w:rPr>
              <w:t xml:space="preserve">Median </w:t>
            </w:r>
          </w:p>
        </w:tc>
      </w:tr>
      <w:tr w:rsidR="004B7ED4" w:rsidRPr="004B7ED4" w14:paraId="10966FC7" w14:textId="77777777" w:rsidTr="00093547">
        <w:trPr>
          <w:trHeight w:val="150"/>
        </w:trPr>
        <w:tc>
          <w:tcPr>
            <w:tcW w:w="1585" w:type="dxa"/>
            <w:vMerge w:val="restart"/>
          </w:tcPr>
          <w:p w14:paraId="15E0090B" w14:textId="77777777" w:rsidR="004B7ED4" w:rsidRPr="004B7ED4" w:rsidRDefault="004B7ED4" w:rsidP="004B7ED4">
            <w:pPr>
              <w:rPr>
                <w:rFonts w:ascii="Arial" w:hAnsi="Arial" w:cs="Arial"/>
                <w:sz w:val="20"/>
                <w:szCs w:val="20"/>
              </w:rPr>
            </w:pPr>
            <w:r w:rsidRPr="004B7ED4">
              <w:rPr>
                <w:rFonts w:ascii="Arial" w:hAnsi="Arial" w:cs="Arial"/>
                <w:sz w:val="20"/>
                <w:szCs w:val="20"/>
              </w:rPr>
              <w:t>Sex</w:t>
            </w:r>
          </w:p>
        </w:tc>
        <w:tc>
          <w:tcPr>
            <w:tcW w:w="1767" w:type="dxa"/>
          </w:tcPr>
          <w:p w14:paraId="4EC79DDF"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Female </w:t>
            </w:r>
          </w:p>
        </w:tc>
        <w:tc>
          <w:tcPr>
            <w:tcW w:w="2023" w:type="dxa"/>
          </w:tcPr>
          <w:p w14:paraId="5B005AAA" w14:textId="77777777" w:rsidR="004B7ED4" w:rsidRPr="004B7ED4" w:rsidRDefault="004B7ED4" w:rsidP="004B7ED4">
            <w:pPr>
              <w:rPr>
                <w:rFonts w:ascii="Arial" w:hAnsi="Arial" w:cs="Arial"/>
                <w:sz w:val="20"/>
                <w:szCs w:val="20"/>
              </w:rPr>
            </w:pPr>
            <w:r w:rsidRPr="004B7ED4">
              <w:rPr>
                <w:rFonts w:ascii="Arial" w:hAnsi="Arial" w:cs="Arial"/>
                <w:sz w:val="20"/>
                <w:szCs w:val="20"/>
              </w:rPr>
              <w:t>136(43.51%)</w:t>
            </w:r>
          </w:p>
        </w:tc>
        <w:tc>
          <w:tcPr>
            <w:tcW w:w="1980" w:type="dxa"/>
          </w:tcPr>
          <w:p w14:paraId="37A2FFC1" w14:textId="77777777" w:rsidR="004B7ED4" w:rsidRPr="004B7ED4" w:rsidRDefault="004B7ED4" w:rsidP="004B7ED4">
            <w:pPr>
              <w:rPr>
                <w:rFonts w:ascii="Arial" w:hAnsi="Arial" w:cs="Arial"/>
                <w:sz w:val="20"/>
                <w:szCs w:val="20"/>
              </w:rPr>
            </w:pPr>
            <w:r w:rsidRPr="004B7ED4">
              <w:rPr>
                <w:rFonts w:ascii="Arial" w:hAnsi="Arial" w:cs="Arial"/>
                <w:sz w:val="20"/>
                <w:szCs w:val="20"/>
              </w:rPr>
              <w:t>79(58.08%)</w:t>
            </w:r>
          </w:p>
        </w:tc>
        <w:tc>
          <w:tcPr>
            <w:tcW w:w="1170" w:type="dxa"/>
          </w:tcPr>
          <w:p w14:paraId="033A5A58" w14:textId="77777777" w:rsidR="004B7ED4" w:rsidRPr="004B7ED4" w:rsidRDefault="004B7ED4" w:rsidP="004B7ED4">
            <w:pPr>
              <w:rPr>
                <w:rFonts w:ascii="Arial" w:hAnsi="Arial" w:cs="Arial"/>
                <w:sz w:val="20"/>
                <w:szCs w:val="20"/>
              </w:rPr>
            </w:pPr>
            <w:r w:rsidRPr="004B7ED4">
              <w:rPr>
                <w:rFonts w:ascii="Arial" w:hAnsi="Arial" w:cs="Arial"/>
                <w:sz w:val="20"/>
                <w:szCs w:val="20"/>
              </w:rPr>
              <w:t>45</w:t>
            </w:r>
          </w:p>
        </w:tc>
        <w:tc>
          <w:tcPr>
            <w:tcW w:w="1054" w:type="dxa"/>
          </w:tcPr>
          <w:p w14:paraId="70A8A387"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41FAE2AF" w14:textId="77777777" w:rsidTr="00093547">
        <w:trPr>
          <w:trHeight w:val="120"/>
        </w:trPr>
        <w:tc>
          <w:tcPr>
            <w:tcW w:w="1585" w:type="dxa"/>
            <w:vMerge/>
          </w:tcPr>
          <w:p w14:paraId="764AE7E7" w14:textId="77777777" w:rsidR="004B7ED4" w:rsidRPr="004B7ED4" w:rsidRDefault="004B7ED4" w:rsidP="004B7ED4">
            <w:pPr>
              <w:rPr>
                <w:rFonts w:ascii="Arial" w:hAnsi="Arial" w:cs="Arial"/>
                <w:sz w:val="20"/>
                <w:szCs w:val="20"/>
              </w:rPr>
            </w:pPr>
          </w:p>
        </w:tc>
        <w:tc>
          <w:tcPr>
            <w:tcW w:w="1767" w:type="dxa"/>
          </w:tcPr>
          <w:p w14:paraId="32AF751E"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Male </w:t>
            </w:r>
          </w:p>
        </w:tc>
        <w:tc>
          <w:tcPr>
            <w:tcW w:w="2023" w:type="dxa"/>
          </w:tcPr>
          <w:p w14:paraId="102CBE78" w14:textId="77777777" w:rsidR="004B7ED4" w:rsidRPr="004B7ED4" w:rsidRDefault="004B7ED4" w:rsidP="004B7ED4">
            <w:pPr>
              <w:rPr>
                <w:rFonts w:ascii="Arial" w:hAnsi="Arial" w:cs="Arial"/>
                <w:sz w:val="20"/>
                <w:szCs w:val="20"/>
              </w:rPr>
            </w:pPr>
            <w:r w:rsidRPr="004B7ED4">
              <w:rPr>
                <w:rFonts w:ascii="Arial" w:hAnsi="Arial" w:cs="Arial"/>
                <w:sz w:val="20"/>
                <w:szCs w:val="20"/>
              </w:rPr>
              <w:t>165(54.8%)</w:t>
            </w:r>
          </w:p>
        </w:tc>
        <w:tc>
          <w:tcPr>
            <w:tcW w:w="1980" w:type="dxa"/>
          </w:tcPr>
          <w:p w14:paraId="1F93A869" w14:textId="77777777" w:rsidR="004B7ED4" w:rsidRPr="004B7ED4" w:rsidRDefault="004B7ED4" w:rsidP="004B7ED4">
            <w:pPr>
              <w:rPr>
                <w:rFonts w:ascii="Arial" w:hAnsi="Arial" w:cs="Arial"/>
                <w:sz w:val="20"/>
                <w:szCs w:val="20"/>
              </w:rPr>
            </w:pPr>
            <w:r w:rsidRPr="004B7ED4">
              <w:rPr>
                <w:rFonts w:ascii="Arial" w:hAnsi="Arial" w:cs="Arial"/>
                <w:sz w:val="20"/>
                <w:szCs w:val="20"/>
              </w:rPr>
              <w:t>106(64.2%)</w:t>
            </w:r>
          </w:p>
        </w:tc>
        <w:tc>
          <w:tcPr>
            <w:tcW w:w="1170" w:type="dxa"/>
          </w:tcPr>
          <w:p w14:paraId="7EB07B10" w14:textId="77777777" w:rsidR="004B7ED4" w:rsidRPr="004B7ED4" w:rsidRDefault="004B7ED4" w:rsidP="004B7ED4">
            <w:pPr>
              <w:rPr>
                <w:rFonts w:ascii="Arial" w:hAnsi="Arial" w:cs="Arial"/>
                <w:sz w:val="20"/>
                <w:szCs w:val="20"/>
              </w:rPr>
            </w:pPr>
            <w:r w:rsidRPr="004B7ED4">
              <w:rPr>
                <w:rFonts w:ascii="Arial" w:hAnsi="Arial" w:cs="Arial"/>
                <w:sz w:val="20"/>
                <w:szCs w:val="20"/>
              </w:rPr>
              <w:t>59</w:t>
            </w:r>
          </w:p>
        </w:tc>
        <w:tc>
          <w:tcPr>
            <w:tcW w:w="1054" w:type="dxa"/>
          </w:tcPr>
          <w:p w14:paraId="536E1A7C" w14:textId="77777777" w:rsidR="004B7ED4" w:rsidRPr="004B7ED4" w:rsidRDefault="004B7ED4" w:rsidP="004B7ED4">
            <w:pPr>
              <w:rPr>
                <w:rFonts w:ascii="Arial" w:hAnsi="Arial" w:cs="Arial"/>
                <w:sz w:val="20"/>
                <w:szCs w:val="20"/>
              </w:rPr>
            </w:pPr>
            <w:r w:rsidRPr="004B7ED4">
              <w:rPr>
                <w:rFonts w:ascii="Arial" w:hAnsi="Arial" w:cs="Arial"/>
                <w:sz w:val="20"/>
                <w:szCs w:val="20"/>
              </w:rPr>
              <w:t>21</w:t>
            </w:r>
          </w:p>
        </w:tc>
      </w:tr>
      <w:tr w:rsidR="004B7ED4" w:rsidRPr="004B7ED4" w14:paraId="73294D38" w14:textId="77777777" w:rsidTr="00093547">
        <w:trPr>
          <w:trHeight w:val="240"/>
        </w:trPr>
        <w:tc>
          <w:tcPr>
            <w:tcW w:w="1585" w:type="dxa"/>
            <w:vMerge w:val="restart"/>
          </w:tcPr>
          <w:p w14:paraId="50D73308" w14:textId="77777777" w:rsidR="004B7ED4" w:rsidRPr="004B7ED4" w:rsidRDefault="004B7ED4" w:rsidP="004B7ED4">
            <w:pPr>
              <w:rPr>
                <w:rFonts w:ascii="Arial" w:hAnsi="Arial" w:cs="Arial"/>
                <w:sz w:val="20"/>
                <w:szCs w:val="20"/>
              </w:rPr>
            </w:pPr>
            <w:r w:rsidRPr="004B7ED4">
              <w:rPr>
                <w:rFonts w:ascii="Arial" w:hAnsi="Arial" w:cs="Arial"/>
                <w:sz w:val="20"/>
                <w:szCs w:val="20"/>
              </w:rPr>
              <w:t>Treatment center</w:t>
            </w:r>
          </w:p>
        </w:tc>
        <w:tc>
          <w:tcPr>
            <w:tcW w:w="1767" w:type="dxa"/>
          </w:tcPr>
          <w:p w14:paraId="6ACDA37A" w14:textId="77777777" w:rsidR="004B7ED4" w:rsidRPr="004B7ED4" w:rsidRDefault="004B7ED4" w:rsidP="004B7ED4">
            <w:pPr>
              <w:rPr>
                <w:rFonts w:ascii="Arial" w:hAnsi="Arial" w:cs="Arial"/>
                <w:sz w:val="20"/>
                <w:szCs w:val="20"/>
              </w:rPr>
            </w:pPr>
            <w:r w:rsidRPr="004B7ED4">
              <w:rPr>
                <w:rFonts w:ascii="Arial" w:hAnsi="Arial" w:cs="Arial"/>
                <w:sz w:val="20"/>
                <w:szCs w:val="20"/>
              </w:rPr>
              <w:t>NEMMCSH</w:t>
            </w:r>
          </w:p>
        </w:tc>
        <w:tc>
          <w:tcPr>
            <w:tcW w:w="2023" w:type="dxa"/>
          </w:tcPr>
          <w:p w14:paraId="6E057CE6" w14:textId="77777777" w:rsidR="004B7ED4" w:rsidRPr="004B7ED4" w:rsidRDefault="004B7ED4" w:rsidP="004B7ED4">
            <w:pPr>
              <w:rPr>
                <w:rFonts w:ascii="Arial" w:hAnsi="Arial" w:cs="Arial"/>
                <w:sz w:val="20"/>
                <w:szCs w:val="20"/>
              </w:rPr>
            </w:pPr>
            <w:r w:rsidRPr="004B7ED4">
              <w:rPr>
                <w:rFonts w:ascii="Arial" w:hAnsi="Arial" w:cs="Arial"/>
                <w:sz w:val="20"/>
                <w:szCs w:val="20"/>
              </w:rPr>
              <w:t>131(43.5%)</w:t>
            </w:r>
          </w:p>
        </w:tc>
        <w:tc>
          <w:tcPr>
            <w:tcW w:w="1980" w:type="dxa"/>
          </w:tcPr>
          <w:p w14:paraId="63956DE0" w14:textId="77777777" w:rsidR="004B7ED4" w:rsidRPr="004B7ED4" w:rsidRDefault="004B7ED4" w:rsidP="004B7ED4">
            <w:pPr>
              <w:rPr>
                <w:rFonts w:ascii="Arial" w:hAnsi="Arial" w:cs="Arial"/>
                <w:sz w:val="20"/>
                <w:szCs w:val="20"/>
              </w:rPr>
            </w:pPr>
            <w:r w:rsidRPr="004B7ED4">
              <w:rPr>
                <w:rFonts w:ascii="Arial" w:hAnsi="Arial" w:cs="Arial"/>
                <w:sz w:val="20"/>
                <w:szCs w:val="20"/>
              </w:rPr>
              <w:t>86(65.6%)</w:t>
            </w:r>
          </w:p>
        </w:tc>
        <w:tc>
          <w:tcPr>
            <w:tcW w:w="1170" w:type="dxa"/>
          </w:tcPr>
          <w:p w14:paraId="76A520FC" w14:textId="77777777" w:rsidR="004B7ED4" w:rsidRPr="004B7ED4" w:rsidRDefault="004B7ED4" w:rsidP="004B7ED4">
            <w:pPr>
              <w:rPr>
                <w:rFonts w:ascii="Arial" w:hAnsi="Arial" w:cs="Arial"/>
                <w:sz w:val="20"/>
                <w:szCs w:val="20"/>
              </w:rPr>
            </w:pPr>
            <w:r w:rsidRPr="004B7ED4">
              <w:rPr>
                <w:rFonts w:ascii="Arial" w:hAnsi="Arial" w:cs="Arial"/>
                <w:sz w:val="20"/>
                <w:szCs w:val="20"/>
              </w:rPr>
              <w:t>59</w:t>
            </w:r>
          </w:p>
        </w:tc>
        <w:tc>
          <w:tcPr>
            <w:tcW w:w="1054" w:type="dxa"/>
          </w:tcPr>
          <w:p w14:paraId="37EF51FE"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25064228" w14:textId="77777777" w:rsidTr="00093547">
        <w:trPr>
          <w:trHeight w:val="165"/>
        </w:trPr>
        <w:tc>
          <w:tcPr>
            <w:tcW w:w="1585" w:type="dxa"/>
            <w:vMerge/>
          </w:tcPr>
          <w:p w14:paraId="12845648" w14:textId="77777777" w:rsidR="004B7ED4" w:rsidRPr="004B7ED4" w:rsidRDefault="004B7ED4" w:rsidP="004B7ED4">
            <w:pPr>
              <w:rPr>
                <w:rFonts w:ascii="Arial" w:hAnsi="Arial" w:cs="Arial"/>
                <w:sz w:val="20"/>
                <w:szCs w:val="20"/>
              </w:rPr>
            </w:pPr>
          </w:p>
        </w:tc>
        <w:tc>
          <w:tcPr>
            <w:tcW w:w="1767" w:type="dxa"/>
          </w:tcPr>
          <w:p w14:paraId="79EEC239" w14:textId="77777777" w:rsidR="004B7ED4" w:rsidRPr="004B7ED4" w:rsidRDefault="004B7ED4" w:rsidP="004B7ED4">
            <w:pPr>
              <w:rPr>
                <w:rFonts w:ascii="Arial" w:hAnsi="Arial" w:cs="Arial"/>
                <w:sz w:val="20"/>
                <w:szCs w:val="20"/>
              </w:rPr>
            </w:pPr>
            <w:proofErr w:type="spellStart"/>
            <w:r w:rsidRPr="004B7ED4">
              <w:rPr>
                <w:rFonts w:ascii="Arial" w:hAnsi="Arial" w:cs="Arial"/>
                <w:sz w:val="20"/>
                <w:szCs w:val="20"/>
              </w:rPr>
              <w:t>Butjira</w:t>
            </w:r>
            <w:proofErr w:type="spellEnd"/>
          </w:p>
        </w:tc>
        <w:tc>
          <w:tcPr>
            <w:tcW w:w="2023" w:type="dxa"/>
          </w:tcPr>
          <w:p w14:paraId="579DFC24" w14:textId="77777777" w:rsidR="004B7ED4" w:rsidRPr="004B7ED4" w:rsidRDefault="004B7ED4" w:rsidP="004B7ED4">
            <w:pPr>
              <w:rPr>
                <w:rFonts w:ascii="Arial" w:hAnsi="Arial" w:cs="Arial"/>
                <w:sz w:val="20"/>
                <w:szCs w:val="20"/>
              </w:rPr>
            </w:pPr>
            <w:r w:rsidRPr="004B7ED4">
              <w:rPr>
                <w:rFonts w:ascii="Arial" w:hAnsi="Arial" w:cs="Arial"/>
                <w:sz w:val="20"/>
                <w:szCs w:val="20"/>
              </w:rPr>
              <w:t>121(40.51%)</w:t>
            </w:r>
          </w:p>
        </w:tc>
        <w:tc>
          <w:tcPr>
            <w:tcW w:w="1980" w:type="dxa"/>
          </w:tcPr>
          <w:p w14:paraId="62DEDF98" w14:textId="77777777" w:rsidR="004B7ED4" w:rsidRPr="004B7ED4" w:rsidRDefault="004B7ED4" w:rsidP="004B7ED4">
            <w:pPr>
              <w:rPr>
                <w:rFonts w:ascii="Arial" w:hAnsi="Arial" w:cs="Arial"/>
                <w:sz w:val="20"/>
                <w:szCs w:val="20"/>
              </w:rPr>
            </w:pPr>
            <w:r w:rsidRPr="004B7ED4">
              <w:rPr>
                <w:rFonts w:ascii="Arial" w:hAnsi="Arial" w:cs="Arial"/>
                <w:sz w:val="20"/>
                <w:szCs w:val="20"/>
              </w:rPr>
              <w:t>72(59.5%)</w:t>
            </w:r>
          </w:p>
        </w:tc>
        <w:tc>
          <w:tcPr>
            <w:tcW w:w="1170" w:type="dxa"/>
          </w:tcPr>
          <w:p w14:paraId="1B34C75A" w14:textId="77777777" w:rsidR="004B7ED4" w:rsidRPr="004B7ED4" w:rsidRDefault="004B7ED4" w:rsidP="004B7ED4">
            <w:pPr>
              <w:rPr>
                <w:rFonts w:ascii="Arial" w:hAnsi="Arial" w:cs="Arial"/>
                <w:sz w:val="20"/>
                <w:szCs w:val="20"/>
              </w:rPr>
            </w:pPr>
            <w:r w:rsidRPr="004B7ED4">
              <w:rPr>
                <w:rFonts w:ascii="Arial" w:hAnsi="Arial" w:cs="Arial"/>
                <w:sz w:val="20"/>
                <w:szCs w:val="20"/>
              </w:rPr>
              <w:t>49</w:t>
            </w:r>
          </w:p>
        </w:tc>
        <w:tc>
          <w:tcPr>
            <w:tcW w:w="1054" w:type="dxa"/>
          </w:tcPr>
          <w:p w14:paraId="52D08835"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2DC73AA8" w14:textId="77777777" w:rsidTr="00093547">
        <w:trPr>
          <w:trHeight w:val="135"/>
        </w:trPr>
        <w:tc>
          <w:tcPr>
            <w:tcW w:w="1585" w:type="dxa"/>
            <w:vMerge/>
          </w:tcPr>
          <w:p w14:paraId="7C24B765" w14:textId="77777777" w:rsidR="004B7ED4" w:rsidRPr="004B7ED4" w:rsidRDefault="004B7ED4" w:rsidP="004B7ED4">
            <w:pPr>
              <w:rPr>
                <w:rFonts w:ascii="Arial" w:hAnsi="Arial" w:cs="Arial"/>
                <w:sz w:val="20"/>
                <w:szCs w:val="20"/>
              </w:rPr>
            </w:pPr>
          </w:p>
        </w:tc>
        <w:tc>
          <w:tcPr>
            <w:tcW w:w="1767" w:type="dxa"/>
          </w:tcPr>
          <w:p w14:paraId="279C86BE" w14:textId="77777777" w:rsidR="004B7ED4" w:rsidRPr="004B7ED4" w:rsidRDefault="004B7ED4" w:rsidP="004B7ED4">
            <w:pPr>
              <w:rPr>
                <w:rFonts w:ascii="Arial" w:hAnsi="Arial" w:cs="Arial"/>
                <w:sz w:val="20"/>
                <w:szCs w:val="20"/>
              </w:rPr>
            </w:pPr>
            <w:proofErr w:type="spellStart"/>
            <w:r w:rsidRPr="004B7ED4">
              <w:rPr>
                <w:rFonts w:ascii="Arial" w:hAnsi="Arial" w:cs="Arial"/>
                <w:sz w:val="20"/>
                <w:szCs w:val="20"/>
              </w:rPr>
              <w:t>Arbamich</w:t>
            </w:r>
            <w:proofErr w:type="spellEnd"/>
          </w:p>
        </w:tc>
        <w:tc>
          <w:tcPr>
            <w:tcW w:w="2023" w:type="dxa"/>
          </w:tcPr>
          <w:p w14:paraId="3AE9F3FA" w14:textId="77777777" w:rsidR="004B7ED4" w:rsidRPr="004B7ED4" w:rsidRDefault="004B7ED4" w:rsidP="004B7ED4">
            <w:pPr>
              <w:rPr>
                <w:rFonts w:ascii="Arial" w:hAnsi="Arial" w:cs="Arial"/>
                <w:sz w:val="20"/>
                <w:szCs w:val="20"/>
              </w:rPr>
            </w:pPr>
            <w:r w:rsidRPr="004B7ED4">
              <w:rPr>
                <w:rFonts w:ascii="Arial" w:hAnsi="Arial" w:cs="Arial"/>
                <w:sz w:val="20"/>
                <w:szCs w:val="20"/>
              </w:rPr>
              <w:t>49(16.3%)</w:t>
            </w:r>
          </w:p>
        </w:tc>
        <w:tc>
          <w:tcPr>
            <w:tcW w:w="1980" w:type="dxa"/>
          </w:tcPr>
          <w:p w14:paraId="3C418634" w14:textId="77777777" w:rsidR="004B7ED4" w:rsidRPr="004B7ED4" w:rsidRDefault="004B7ED4" w:rsidP="004B7ED4">
            <w:pPr>
              <w:rPr>
                <w:rFonts w:ascii="Arial" w:hAnsi="Arial" w:cs="Arial"/>
                <w:sz w:val="20"/>
                <w:szCs w:val="20"/>
              </w:rPr>
            </w:pPr>
            <w:r w:rsidRPr="004B7ED4">
              <w:rPr>
                <w:rFonts w:ascii="Arial" w:hAnsi="Arial" w:cs="Arial"/>
                <w:sz w:val="20"/>
                <w:szCs w:val="20"/>
              </w:rPr>
              <w:t>27(55.1%)</w:t>
            </w:r>
          </w:p>
        </w:tc>
        <w:tc>
          <w:tcPr>
            <w:tcW w:w="1170" w:type="dxa"/>
          </w:tcPr>
          <w:p w14:paraId="38C63E33"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c>
          <w:tcPr>
            <w:tcW w:w="1054" w:type="dxa"/>
          </w:tcPr>
          <w:p w14:paraId="284D050B" w14:textId="77777777" w:rsidR="004B7ED4" w:rsidRPr="004B7ED4" w:rsidRDefault="004B7ED4" w:rsidP="004B7ED4">
            <w:pPr>
              <w:rPr>
                <w:rFonts w:ascii="Arial" w:hAnsi="Arial" w:cs="Arial"/>
                <w:sz w:val="20"/>
                <w:szCs w:val="20"/>
              </w:rPr>
            </w:pPr>
            <w:r w:rsidRPr="004B7ED4">
              <w:rPr>
                <w:rFonts w:ascii="Arial" w:hAnsi="Arial" w:cs="Arial"/>
                <w:sz w:val="20"/>
                <w:szCs w:val="20"/>
              </w:rPr>
              <w:t>21</w:t>
            </w:r>
          </w:p>
        </w:tc>
      </w:tr>
      <w:tr w:rsidR="004B7ED4" w:rsidRPr="004B7ED4" w14:paraId="041BE7BA" w14:textId="77777777" w:rsidTr="00093547">
        <w:trPr>
          <w:trHeight w:val="135"/>
        </w:trPr>
        <w:tc>
          <w:tcPr>
            <w:tcW w:w="1585" w:type="dxa"/>
            <w:vMerge w:val="restart"/>
          </w:tcPr>
          <w:p w14:paraId="4F2219B2"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Age </w:t>
            </w:r>
          </w:p>
        </w:tc>
        <w:tc>
          <w:tcPr>
            <w:tcW w:w="1767" w:type="dxa"/>
          </w:tcPr>
          <w:p w14:paraId="6A409342"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0-17 years </w:t>
            </w:r>
          </w:p>
        </w:tc>
        <w:tc>
          <w:tcPr>
            <w:tcW w:w="2023" w:type="dxa"/>
          </w:tcPr>
          <w:p w14:paraId="4A5E43C3"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31(10.3</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1D5A6230"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17(54.84</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2F7596D1" w14:textId="77777777" w:rsidR="004B7ED4" w:rsidRPr="004B7ED4" w:rsidRDefault="004B7ED4" w:rsidP="004B7ED4">
            <w:pPr>
              <w:rPr>
                <w:rFonts w:ascii="Arial" w:hAnsi="Arial" w:cs="Arial"/>
                <w:sz w:val="20"/>
                <w:szCs w:val="20"/>
              </w:rPr>
            </w:pPr>
            <w:r w:rsidRPr="004B7ED4">
              <w:rPr>
                <w:rFonts w:ascii="Arial" w:hAnsi="Arial" w:cs="Arial"/>
                <w:sz w:val="20"/>
                <w:szCs w:val="20"/>
              </w:rPr>
              <w:t>14</w:t>
            </w:r>
          </w:p>
        </w:tc>
        <w:tc>
          <w:tcPr>
            <w:tcW w:w="1054" w:type="dxa"/>
          </w:tcPr>
          <w:p w14:paraId="4D279F6D" w14:textId="77777777" w:rsidR="004B7ED4" w:rsidRPr="004B7ED4" w:rsidRDefault="004B7ED4" w:rsidP="004B7ED4">
            <w:pPr>
              <w:rPr>
                <w:rFonts w:ascii="Arial" w:hAnsi="Arial" w:cs="Arial"/>
                <w:sz w:val="20"/>
                <w:szCs w:val="20"/>
              </w:rPr>
            </w:pPr>
            <w:r w:rsidRPr="004B7ED4">
              <w:rPr>
                <w:rFonts w:ascii="Arial" w:hAnsi="Arial" w:cs="Arial"/>
                <w:sz w:val="20"/>
                <w:szCs w:val="20"/>
              </w:rPr>
              <w:t>20</w:t>
            </w:r>
          </w:p>
        </w:tc>
      </w:tr>
      <w:tr w:rsidR="004B7ED4" w:rsidRPr="004B7ED4" w14:paraId="0A4A08BE" w14:textId="77777777" w:rsidTr="00093547">
        <w:trPr>
          <w:trHeight w:val="96"/>
        </w:trPr>
        <w:tc>
          <w:tcPr>
            <w:tcW w:w="1585" w:type="dxa"/>
            <w:vMerge/>
          </w:tcPr>
          <w:p w14:paraId="3D9576DA" w14:textId="77777777" w:rsidR="004B7ED4" w:rsidRPr="004B7ED4" w:rsidRDefault="004B7ED4" w:rsidP="004B7ED4">
            <w:pPr>
              <w:rPr>
                <w:rFonts w:ascii="Arial" w:hAnsi="Arial" w:cs="Arial"/>
                <w:sz w:val="20"/>
                <w:szCs w:val="20"/>
              </w:rPr>
            </w:pPr>
          </w:p>
        </w:tc>
        <w:tc>
          <w:tcPr>
            <w:tcW w:w="1767" w:type="dxa"/>
          </w:tcPr>
          <w:p w14:paraId="29FD7073"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18-64 years </w:t>
            </w:r>
          </w:p>
        </w:tc>
        <w:tc>
          <w:tcPr>
            <w:tcW w:w="2023" w:type="dxa"/>
          </w:tcPr>
          <w:p w14:paraId="7ACFAACA"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259 (86.4%)</w:t>
            </w:r>
          </w:p>
        </w:tc>
        <w:tc>
          <w:tcPr>
            <w:tcW w:w="1980" w:type="dxa"/>
          </w:tcPr>
          <w:p w14:paraId="0BD7FE5F"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159(61.4</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78464711" w14:textId="77777777" w:rsidR="004B7ED4" w:rsidRPr="004B7ED4" w:rsidRDefault="004B7ED4" w:rsidP="004B7ED4">
            <w:pPr>
              <w:rPr>
                <w:rFonts w:ascii="Arial" w:hAnsi="Arial" w:cs="Arial"/>
                <w:sz w:val="20"/>
                <w:szCs w:val="20"/>
              </w:rPr>
            </w:pPr>
            <w:r w:rsidRPr="004B7ED4">
              <w:rPr>
                <w:rFonts w:ascii="Arial" w:hAnsi="Arial" w:cs="Arial"/>
                <w:sz w:val="20"/>
                <w:szCs w:val="20"/>
              </w:rPr>
              <w:t>100</w:t>
            </w:r>
          </w:p>
        </w:tc>
        <w:tc>
          <w:tcPr>
            <w:tcW w:w="1054" w:type="dxa"/>
          </w:tcPr>
          <w:p w14:paraId="3B215F19" w14:textId="77777777" w:rsidR="004B7ED4" w:rsidRPr="004B7ED4" w:rsidRDefault="004B7ED4" w:rsidP="004B7ED4">
            <w:pPr>
              <w:rPr>
                <w:rFonts w:ascii="Arial" w:hAnsi="Arial" w:cs="Arial"/>
                <w:sz w:val="20"/>
                <w:szCs w:val="20"/>
              </w:rPr>
            </w:pPr>
            <w:r w:rsidRPr="004B7ED4">
              <w:rPr>
                <w:rFonts w:ascii="Arial" w:hAnsi="Arial" w:cs="Arial"/>
                <w:sz w:val="20"/>
                <w:szCs w:val="20"/>
              </w:rPr>
              <w:t>23</w:t>
            </w:r>
          </w:p>
        </w:tc>
      </w:tr>
      <w:tr w:rsidR="004B7ED4" w:rsidRPr="004B7ED4" w14:paraId="42F55F73" w14:textId="77777777" w:rsidTr="00093547">
        <w:trPr>
          <w:trHeight w:val="165"/>
        </w:trPr>
        <w:tc>
          <w:tcPr>
            <w:tcW w:w="1585" w:type="dxa"/>
            <w:vMerge/>
          </w:tcPr>
          <w:p w14:paraId="553E1F83" w14:textId="77777777" w:rsidR="004B7ED4" w:rsidRPr="004B7ED4" w:rsidRDefault="004B7ED4" w:rsidP="004B7ED4">
            <w:pPr>
              <w:rPr>
                <w:rFonts w:ascii="Arial" w:hAnsi="Arial" w:cs="Arial"/>
                <w:sz w:val="20"/>
                <w:szCs w:val="20"/>
              </w:rPr>
            </w:pPr>
          </w:p>
        </w:tc>
        <w:tc>
          <w:tcPr>
            <w:tcW w:w="1767" w:type="dxa"/>
          </w:tcPr>
          <w:p w14:paraId="4B4BD129"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Above 65 years </w:t>
            </w:r>
          </w:p>
        </w:tc>
        <w:tc>
          <w:tcPr>
            <w:tcW w:w="2023" w:type="dxa"/>
          </w:tcPr>
          <w:p w14:paraId="36A3F34D"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11(3.65</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4AB9AFE8"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9(81.81</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509E3671" w14:textId="77777777" w:rsidR="004B7ED4" w:rsidRPr="004B7ED4" w:rsidRDefault="004B7ED4" w:rsidP="004B7ED4">
            <w:pPr>
              <w:rPr>
                <w:rFonts w:ascii="Arial" w:hAnsi="Arial" w:cs="Arial"/>
                <w:sz w:val="20"/>
                <w:szCs w:val="20"/>
              </w:rPr>
            </w:pPr>
            <w:r w:rsidRPr="004B7ED4">
              <w:rPr>
                <w:rFonts w:ascii="Arial" w:hAnsi="Arial" w:cs="Arial"/>
                <w:sz w:val="20"/>
                <w:szCs w:val="20"/>
              </w:rPr>
              <w:t>2</w:t>
            </w:r>
          </w:p>
        </w:tc>
        <w:tc>
          <w:tcPr>
            <w:tcW w:w="1054" w:type="dxa"/>
          </w:tcPr>
          <w:p w14:paraId="609B5AC0" w14:textId="77777777" w:rsidR="004B7ED4" w:rsidRPr="004B7ED4" w:rsidRDefault="004B7ED4" w:rsidP="004B7ED4">
            <w:pPr>
              <w:rPr>
                <w:rFonts w:ascii="Arial" w:hAnsi="Arial" w:cs="Arial"/>
                <w:sz w:val="20"/>
                <w:szCs w:val="20"/>
              </w:rPr>
            </w:pPr>
            <w:r w:rsidRPr="004B7ED4">
              <w:rPr>
                <w:rFonts w:ascii="Arial" w:hAnsi="Arial" w:cs="Arial"/>
                <w:sz w:val="20"/>
                <w:szCs w:val="20"/>
              </w:rPr>
              <w:t>24</w:t>
            </w:r>
          </w:p>
        </w:tc>
      </w:tr>
      <w:tr w:rsidR="004B7ED4" w:rsidRPr="004B7ED4" w14:paraId="4883E6DD" w14:textId="77777777" w:rsidTr="00093547">
        <w:trPr>
          <w:trHeight w:val="278"/>
        </w:trPr>
        <w:tc>
          <w:tcPr>
            <w:tcW w:w="1585" w:type="dxa"/>
            <w:vMerge w:val="restart"/>
          </w:tcPr>
          <w:p w14:paraId="5A5BA79A"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Residence </w:t>
            </w:r>
          </w:p>
        </w:tc>
        <w:tc>
          <w:tcPr>
            <w:tcW w:w="1767" w:type="dxa"/>
          </w:tcPr>
          <w:p w14:paraId="09399D35" w14:textId="77777777" w:rsidR="004B7ED4" w:rsidRPr="004B7ED4" w:rsidRDefault="004B7ED4" w:rsidP="004B7ED4">
            <w:pPr>
              <w:rPr>
                <w:rFonts w:ascii="Arial" w:hAnsi="Arial" w:cs="Arial"/>
                <w:sz w:val="20"/>
                <w:szCs w:val="20"/>
              </w:rPr>
            </w:pPr>
            <w:r w:rsidRPr="004B7ED4">
              <w:rPr>
                <w:rFonts w:ascii="Arial" w:hAnsi="Arial" w:cs="Arial"/>
                <w:sz w:val="20"/>
                <w:szCs w:val="20"/>
              </w:rPr>
              <w:t>Rural</w:t>
            </w:r>
          </w:p>
        </w:tc>
        <w:tc>
          <w:tcPr>
            <w:tcW w:w="2023" w:type="dxa"/>
          </w:tcPr>
          <w:p w14:paraId="0250C111" w14:textId="77777777" w:rsidR="004B7ED4" w:rsidRPr="004B7ED4" w:rsidRDefault="004B7ED4" w:rsidP="004B7ED4">
            <w:pPr>
              <w:rPr>
                <w:rFonts w:ascii="Arial" w:hAnsi="Arial" w:cs="Arial"/>
                <w:sz w:val="20"/>
                <w:szCs w:val="20"/>
              </w:rPr>
            </w:pPr>
            <w:r w:rsidRPr="004B7ED4">
              <w:rPr>
                <w:rFonts w:ascii="Arial" w:eastAsia="Arial Unicode MS" w:hAnsi="Arial" w:cs="Arial"/>
                <w:color w:val="131413"/>
                <w:sz w:val="20"/>
                <w:szCs w:val="20"/>
              </w:rPr>
              <w:t>156(51.8%)</w:t>
            </w:r>
            <w:r w:rsidRPr="004B7ED4">
              <w:rPr>
                <w:rFonts w:ascii="Arial" w:eastAsia="Arial Unicode MS" w:hAnsi="Arial" w:cs="Arial"/>
                <w:color w:val="131413"/>
                <w:sz w:val="20"/>
                <w:szCs w:val="20"/>
              </w:rPr>
              <w:tab/>
            </w:r>
          </w:p>
        </w:tc>
        <w:tc>
          <w:tcPr>
            <w:tcW w:w="1980" w:type="dxa"/>
          </w:tcPr>
          <w:p w14:paraId="6F0B4F3D" w14:textId="77777777" w:rsidR="004B7ED4" w:rsidRPr="004B7ED4" w:rsidRDefault="004B7ED4" w:rsidP="004B7ED4">
            <w:pPr>
              <w:rPr>
                <w:rFonts w:ascii="Arial" w:hAnsi="Arial" w:cs="Arial"/>
                <w:sz w:val="20"/>
                <w:szCs w:val="20"/>
              </w:rPr>
            </w:pPr>
            <w:r w:rsidRPr="004B7ED4">
              <w:rPr>
                <w:rFonts w:ascii="Arial" w:eastAsia="Arial Unicode MS" w:hAnsi="Arial" w:cs="Arial"/>
                <w:color w:val="131413"/>
                <w:sz w:val="20"/>
                <w:szCs w:val="20"/>
              </w:rPr>
              <w:t>94(60.3</w:t>
            </w:r>
            <w:proofErr w:type="gramStart"/>
            <w:r w:rsidRPr="004B7ED4">
              <w:rPr>
                <w:rFonts w:ascii="Arial" w:eastAsia="Arial Unicode MS" w:hAnsi="Arial" w:cs="Arial"/>
                <w:color w:val="131413"/>
                <w:sz w:val="20"/>
                <w:szCs w:val="20"/>
              </w:rPr>
              <w:t xml:space="preserve">%)   </w:t>
            </w:r>
            <w:proofErr w:type="gramEnd"/>
            <w:r w:rsidRPr="004B7ED4">
              <w:rPr>
                <w:rFonts w:ascii="Arial" w:eastAsia="Arial Unicode MS" w:hAnsi="Arial" w:cs="Arial"/>
                <w:color w:val="131413"/>
                <w:sz w:val="20"/>
                <w:szCs w:val="20"/>
              </w:rPr>
              <w:t xml:space="preserve">      </w:t>
            </w:r>
          </w:p>
        </w:tc>
        <w:tc>
          <w:tcPr>
            <w:tcW w:w="1170" w:type="dxa"/>
          </w:tcPr>
          <w:p w14:paraId="1FEBBB7E" w14:textId="77777777" w:rsidR="004B7ED4" w:rsidRPr="004B7ED4" w:rsidRDefault="004B7ED4" w:rsidP="004B7ED4">
            <w:pPr>
              <w:rPr>
                <w:rFonts w:ascii="Arial" w:hAnsi="Arial" w:cs="Arial"/>
                <w:sz w:val="20"/>
                <w:szCs w:val="20"/>
              </w:rPr>
            </w:pPr>
            <w:r w:rsidRPr="004B7ED4">
              <w:rPr>
                <w:rFonts w:ascii="Arial" w:hAnsi="Arial" w:cs="Arial"/>
                <w:sz w:val="20"/>
                <w:szCs w:val="20"/>
              </w:rPr>
              <w:t>48</w:t>
            </w:r>
          </w:p>
        </w:tc>
        <w:tc>
          <w:tcPr>
            <w:tcW w:w="1054" w:type="dxa"/>
          </w:tcPr>
          <w:p w14:paraId="3184A392"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63E7282A" w14:textId="77777777" w:rsidTr="00093547">
        <w:trPr>
          <w:trHeight w:val="135"/>
        </w:trPr>
        <w:tc>
          <w:tcPr>
            <w:tcW w:w="1585" w:type="dxa"/>
            <w:vMerge/>
          </w:tcPr>
          <w:p w14:paraId="073C896D" w14:textId="77777777" w:rsidR="004B7ED4" w:rsidRPr="004B7ED4" w:rsidRDefault="004B7ED4" w:rsidP="004B7ED4">
            <w:pPr>
              <w:rPr>
                <w:rFonts w:ascii="Arial" w:hAnsi="Arial" w:cs="Arial"/>
                <w:sz w:val="20"/>
                <w:szCs w:val="20"/>
              </w:rPr>
            </w:pPr>
          </w:p>
        </w:tc>
        <w:tc>
          <w:tcPr>
            <w:tcW w:w="1767" w:type="dxa"/>
          </w:tcPr>
          <w:p w14:paraId="3870C59B"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Urban </w:t>
            </w:r>
          </w:p>
        </w:tc>
        <w:tc>
          <w:tcPr>
            <w:tcW w:w="2023" w:type="dxa"/>
          </w:tcPr>
          <w:p w14:paraId="5959AF30" w14:textId="77777777" w:rsidR="004B7ED4" w:rsidRPr="004B7ED4" w:rsidRDefault="004B7ED4" w:rsidP="004B7ED4">
            <w:pPr>
              <w:rPr>
                <w:rFonts w:ascii="Arial" w:hAnsi="Arial" w:cs="Arial"/>
                <w:sz w:val="20"/>
                <w:szCs w:val="20"/>
              </w:rPr>
            </w:pPr>
            <w:r w:rsidRPr="004B7ED4">
              <w:rPr>
                <w:rFonts w:ascii="Arial" w:eastAsia="Arial Unicode MS" w:hAnsi="Arial" w:cs="Arial"/>
                <w:color w:val="131413"/>
                <w:sz w:val="20"/>
                <w:szCs w:val="20"/>
              </w:rPr>
              <w:t>142(47.2</w:t>
            </w:r>
            <w:proofErr w:type="gramStart"/>
            <w:r w:rsidRPr="004B7ED4">
              <w:rPr>
                <w:rFonts w:ascii="Arial" w:eastAsia="Arial Unicode MS" w:hAnsi="Arial" w:cs="Arial"/>
                <w:color w:val="131413"/>
                <w:sz w:val="20"/>
                <w:szCs w:val="20"/>
              </w:rPr>
              <w:t xml:space="preserve">%)   </w:t>
            </w:r>
            <w:proofErr w:type="gramEnd"/>
            <w:r w:rsidRPr="004B7ED4">
              <w:rPr>
                <w:rFonts w:ascii="Arial" w:eastAsia="Arial Unicode MS" w:hAnsi="Arial" w:cs="Arial"/>
                <w:color w:val="131413"/>
                <w:sz w:val="20"/>
                <w:szCs w:val="20"/>
              </w:rPr>
              <w:t xml:space="preserve">                      </w:t>
            </w:r>
          </w:p>
        </w:tc>
        <w:tc>
          <w:tcPr>
            <w:tcW w:w="1980" w:type="dxa"/>
          </w:tcPr>
          <w:p w14:paraId="60A2A325" w14:textId="77777777" w:rsidR="004B7ED4" w:rsidRPr="004B7ED4" w:rsidRDefault="004B7ED4" w:rsidP="004B7ED4">
            <w:pPr>
              <w:rPr>
                <w:rFonts w:ascii="Arial" w:hAnsi="Arial" w:cs="Arial"/>
                <w:sz w:val="20"/>
                <w:szCs w:val="20"/>
              </w:rPr>
            </w:pPr>
            <w:r w:rsidRPr="004B7ED4">
              <w:rPr>
                <w:rFonts w:ascii="Arial" w:eastAsia="Arial Unicode MS" w:hAnsi="Arial" w:cs="Arial"/>
                <w:color w:val="131413"/>
                <w:sz w:val="20"/>
                <w:szCs w:val="20"/>
              </w:rPr>
              <w:t>89(62.7</w:t>
            </w:r>
            <w:proofErr w:type="gramStart"/>
            <w:r w:rsidRPr="004B7ED4">
              <w:rPr>
                <w:rFonts w:ascii="Arial" w:eastAsia="Arial Unicode MS" w:hAnsi="Arial" w:cs="Arial"/>
                <w:color w:val="131413"/>
                <w:sz w:val="20"/>
                <w:szCs w:val="20"/>
              </w:rPr>
              <w:t xml:space="preserve">%)   </w:t>
            </w:r>
            <w:proofErr w:type="gramEnd"/>
            <w:r w:rsidRPr="004B7ED4">
              <w:rPr>
                <w:rFonts w:ascii="Arial" w:eastAsia="Arial Unicode MS" w:hAnsi="Arial" w:cs="Arial"/>
                <w:color w:val="131413"/>
                <w:sz w:val="20"/>
                <w:szCs w:val="20"/>
              </w:rPr>
              <w:t xml:space="preserve">         </w:t>
            </w:r>
          </w:p>
        </w:tc>
        <w:tc>
          <w:tcPr>
            <w:tcW w:w="1170" w:type="dxa"/>
          </w:tcPr>
          <w:p w14:paraId="5A59B30F" w14:textId="77777777" w:rsidR="004B7ED4" w:rsidRPr="004B7ED4" w:rsidRDefault="004B7ED4" w:rsidP="004B7ED4">
            <w:pPr>
              <w:rPr>
                <w:rFonts w:ascii="Arial" w:hAnsi="Arial" w:cs="Arial"/>
                <w:sz w:val="20"/>
                <w:szCs w:val="20"/>
              </w:rPr>
            </w:pPr>
            <w:r w:rsidRPr="004B7ED4">
              <w:rPr>
                <w:rFonts w:ascii="Arial" w:hAnsi="Arial" w:cs="Arial"/>
                <w:sz w:val="20"/>
                <w:szCs w:val="20"/>
              </w:rPr>
              <w:t>67</w:t>
            </w:r>
          </w:p>
        </w:tc>
        <w:tc>
          <w:tcPr>
            <w:tcW w:w="1054" w:type="dxa"/>
          </w:tcPr>
          <w:p w14:paraId="3E372083" w14:textId="77777777" w:rsidR="004B7ED4" w:rsidRPr="004B7ED4" w:rsidRDefault="004B7ED4" w:rsidP="004B7ED4">
            <w:pPr>
              <w:rPr>
                <w:rFonts w:ascii="Arial" w:hAnsi="Arial" w:cs="Arial"/>
                <w:sz w:val="20"/>
                <w:szCs w:val="20"/>
              </w:rPr>
            </w:pPr>
            <w:r w:rsidRPr="004B7ED4">
              <w:rPr>
                <w:rFonts w:ascii="Arial" w:hAnsi="Arial" w:cs="Arial"/>
                <w:sz w:val="20"/>
                <w:szCs w:val="20"/>
              </w:rPr>
              <w:t>23</w:t>
            </w:r>
          </w:p>
        </w:tc>
      </w:tr>
      <w:tr w:rsidR="004B7ED4" w:rsidRPr="004B7ED4" w14:paraId="0AC5345C" w14:textId="77777777" w:rsidTr="00093547">
        <w:trPr>
          <w:trHeight w:val="135"/>
        </w:trPr>
        <w:tc>
          <w:tcPr>
            <w:tcW w:w="1585" w:type="dxa"/>
            <w:vMerge w:val="restart"/>
          </w:tcPr>
          <w:p w14:paraId="35FCC6A6" w14:textId="77777777" w:rsidR="004B7ED4" w:rsidRPr="004B7ED4" w:rsidRDefault="004B7ED4" w:rsidP="004B7ED4">
            <w:pPr>
              <w:rPr>
                <w:rFonts w:ascii="Arial" w:hAnsi="Arial" w:cs="Arial"/>
                <w:sz w:val="20"/>
                <w:szCs w:val="20"/>
              </w:rPr>
            </w:pPr>
            <w:r w:rsidRPr="004B7ED4">
              <w:rPr>
                <w:rFonts w:ascii="Arial" w:hAnsi="Arial" w:cs="Arial"/>
                <w:sz w:val="20"/>
                <w:szCs w:val="20"/>
              </w:rPr>
              <w:t>HIV status</w:t>
            </w:r>
          </w:p>
        </w:tc>
        <w:tc>
          <w:tcPr>
            <w:tcW w:w="1767" w:type="dxa"/>
          </w:tcPr>
          <w:p w14:paraId="3D5D9DA7"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Negative </w:t>
            </w:r>
          </w:p>
        </w:tc>
        <w:tc>
          <w:tcPr>
            <w:tcW w:w="2023" w:type="dxa"/>
          </w:tcPr>
          <w:p w14:paraId="4B75F738"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265(88.0%)</w:t>
            </w:r>
            <w:r w:rsidRPr="004B7ED4">
              <w:rPr>
                <w:rFonts w:ascii="Arial" w:eastAsia="Arial Unicode MS" w:hAnsi="Arial" w:cs="Arial"/>
                <w:sz w:val="20"/>
                <w:szCs w:val="20"/>
              </w:rPr>
              <w:tab/>
              <w:t xml:space="preserve">                       </w:t>
            </w:r>
          </w:p>
        </w:tc>
        <w:tc>
          <w:tcPr>
            <w:tcW w:w="1980" w:type="dxa"/>
          </w:tcPr>
          <w:p w14:paraId="0799FA3C"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162(61.1</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39218FF0" w14:textId="77777777" w:rsidR="004B7ED4" w:rsidRPr="004B7ED4" w:rsidRDefault="004B7ED4" w:rsidP="004B7ED4">
            <w:pPr>
              <w:rPr>
                <w:rFonts w:ascii="Arial" w:hAnsi="Arial" w:cs="Arial"/>
                <w:sz w:val="20"/>
                <w:szCs w:val="20"/>
              </w:rPr>
            </w:pPr>
            <w:r w:rsidRPr="004B7ED4">
              <w:rPr>
                <w:rFonts w:ascii="Arial" w:hAnsi="Arial" w:cs="Arial"/>
                <w:sz w:val="20"/>
                <w:szCs w:val="20"/>
              </w:rPr>
              <w:t>103</w:t>
            </w:r>
          </w:p>
        </w:tc>
        <w:tc>
          <w:tcPr>
            <w:tcW w:w="1054" w:type="dxa"/>
          </w:tcPr>
          <w:p w14:paraId="579BB03F"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5408FA33" w14:textId="77777777" w:rsidTr="00093547">
        <w:trPr>
          <w:trHeight w:val="135"/>
        </w:trPr>
        <w:tc>
          <w:tcPr>
            <w:tcW w:w="1585" w:type="dxa"/>
            <w:vMerge/>
          </w:tcPr>
          <w:p w14:paraId="4A766E3C" w14:textId="77777777" w:rsidR="004B7ED4" w:rsidRPr="004B7ED4" w:rsidRDefault="004B7ED4" w:rsidP="004B7ED4">
            <w:pPr>
              <w:rPr>
                <w:rFonts w:ascii="Arial" w:hAnsi="Arial" w:cs="Arial"/>
                <w:sz w:val="20"/>
                <w:szCs w:val="20"/>
              </w:rPr>
            </w:pPr>
          </w:p>
        </w:tc>
        <w:tc>
          <w:tcPr>
            <w:tcW w:w="1767" w:type="dxa"/>
          </w:tcPr>
          <w:p w14:paraId="3C6FD235"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Positive </w:t>
            </w:r>
          </w:p>
        </w:tc>
        <w:tc>
          <w:tcPr>
            <w:tcW w:w="2023" w:type="dxa"/>
          </w:tcPr>
          <w:p w14:paraId="28E01000"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36(12.01%)</w:t>
            </w:r>
          </w:p>
        </w:tc>
        <w:tc>
          <w:tcPr>
            <w:tcW w:w="1980" w:type="dxa"/>
          </w:tcPr>
          <w:p w14:paraId="36D29430" w14:textId="77777777" w:rsidR="004B7ED4" w:rsidRPr="004B7ED4" w:rsidRDefault="004B7ED4" w:rsidP="004B7ED4">
            <w:pPr>
              <w:rPr>
                <w:rFonts w:ascii="Arial" w:hAnsi="Arial" w:cs="Arial"/>
                <w:sz w:val="20"/>
                <w:szCs w:val="20"/>
                <w:vertAlign w:val="superscript"/>
              </w:rPr>
            </w:pPr>
            <w:r w:rsidRPr="004B7ED4">
              <w:rPr>
                <w:rFonts w:ascii="Arial" w:eastAsia="Arial Unicode MS" w:hAnsi="Arial" w:cs="Arial"/>
                <w:sz w:val="20"/>
                <w:szCs w:val="20"/>
              </w:rPr>
              <w:t>13(36</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478BB427" w14:textId="77777777" w:rsidR="004B7ED4" w:rsidRPr="004B7ED4" w:rsidRDefault="004B7ED4" w:rsidP="004B7ED4">
            <w:pPr>
              <w:rPr>
                <w:rFonts w:ascii="Arial" w:hAnsi="Arial" w:cs="Arial"/>
                <w:sz w:val="20"/>
                <w:szCs w:val="20"/>
              </w:rPr>
            </w:pPr>
            <w:r w:rsidRPr="004B7ED4">
              <w:rPr>
                <w:rFonts w:ascii="Arial" w:hAnsi="Arial" w:cs="Arial"/>
                <w:sz w:val="20"/>
                <w:szCs w:val="20"/>
              </w:rPr>
              <w:t>23</w:t>
            </w:r>
          </w:p>
        </w:tc>
        <w:tc>
          <w:tcPr>
            <w:tcW w:w="1054" w:type="dxa"/>
          </w:tcPr>
          <w:p w14:paraId="558B1748" w14:textId="77777777" w:rsidR="004B7ED4" w:rsidRPr="004B7ED4" w:rsidRDefault="004B7ED4" w:rsidP="004B7ED4">
            <w:pPr>
              <w:rPr>
                <w:rFonts w:ascii="Arial" w:hAnsi="Arial" w:cs="Arial"/>
                <w:sz w:val="20"/>
                <w:szCs w:val="20"/>
              </w:rPr>
            </w:pPr>
            <w:r w:rsidRPr="004B7ED4">
              <w:rPr>
                <w:rFonts w:ascii="Arial" w:hAnsi="Arial" w:cs="Arial"/>
                <w:sz w:val="20"/>
                <w:szCs w:val="20"/>
              </w:rPr>
              <w:t>24</w:t>
            </w:r>
          </w:p>
        </w:tc>
      </w:tr>
      <w:tr w:rsidR="004B7ED4" w:rsidRPr="004B7ED4" w14:paraId="1E96457D" w14:textId="77777777" w:rsidTr="00093547">
        <w:trPr>
          <w:trHeight w:val="252"/>
        </w:trPr>
        <w:tc>
          <w:tcPr>
            <w:tcW w:w="1585" w:type="dxa"/>
            <w:vMerge w:val="restart"/>
          </w:tcPr>
          <w:p w14:paraId="77735695" w14:textId="77777777" w:rsidR="004B7ED4" w:rsidRPr="004B7ED4" w:rsidRDefault="004B7ED4" w:rsidP="004B7ED4">
            <w:pPr>
              <w:rPr>
                <w:rFonts w:ascii="Arial" w:hAnsi="Arial" w:cs="Arial"/>
                <w:sz w:val="20"/>
                <w:szCs w:val="20"/>
              </w:rPr>
            </w:pPr>
            <w:r w:rsidRPr="004B7ED4">
              <w:rPr>
                <w:rFonts w:ascii="Arial" w:hAnsi="Arial" w:cs="Arial"/>
                <w:sz w:val="20"/>
                <w:szCs w:val="20"/>
              </w:rPr>
              <w:t>Smoking status</w:t>
            </w:r>
          </w:p>
        </w:tc>
        <w:tc>
          <w:tcPr>
            <w:tcW w:w="1767" w:type="dxa"/>
          </w:tcPr>
          <w:p w14:paraId="1ECD8D17"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Smoker </w:t>
            </w:r>
          </w:p>
        </w:tc>
        <w:tc>
          <w:tcPr>
            <w:tcW w:w="2023" w:type="dxa"/>
          </w:tcPr>
          <w:p w14:paraId="4EAA61AE"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64(21.3)                             </w:t>
            </w:r>
          </w:p>
        </w:tc>
        <w:tc>
          <w:tcPr>
            <w:tcW w:w="1980" w:type="dxa"/>
          </w:tcPr>
          <w:p w14:paraId="79721E22"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40(42.5</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29FAFAF6" w14:textId="77777777" w:rsidR="004B7ED4" w:rsidRPr="004B7ED4" w:rsidRDefault="004B7ED4" w:rsidP="004B7ED4">
            <w:pPr>
              <w:rPr>
                <w:rFonts w:ascii="Arial" w:hAnsi="Arial" w:cs="Arial"/>
                <w:sz w:val="20"/>
                <w:szCs w:val="20"/>
              </w:rPr>
            </w:pPr>
            <w:r w:rsidRPr="004B7ED4">
              <w:rPr>
                <w:rFonts w:ascii="Arial" w:hAnsi="Arial" w:cs="Arial"/>
                <w:sz w:val="20"/>
                <w:szCs w:val="20"/>
              </w:rPr>
              <w:t>24</w:t>
            </w:r>
          </w:p>
        </w:tc>
        <w:tc>
          <w:tcPr>
            <w:tcW w:w="1054" w:type="dxa"/>
          </w:tcPr>
          <w:p w14:paraId="1C7A658B"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0C917EFE" w14:textId="77777777" w:rsidTr="00093547">
        <w:trPr>
          <w:trHeight w:val="278"/>
        </w:trPr>
        <w:tc>
          <w:tcPr>
            <w:tcW w:w="1585" w:type="dxa"/>
            <w:vMerge/>
          </w:tcPr>
          <w:p w14:paraId="05F48489" w14:textId="77777777" w:rsidR="004B7ED4" w:rsidRPr="004B7ED4" w:rsidRDefault="004B7ED4" w:rsidP="004B7ED4">
            <w:pPr>
              <w:rPr>
                <w:rFonts w:ascii="Arial" w:hAnsi="Arial" w:cs="Arial"/>
                <w:sz w:val="20"/>
                <w:szCs w:val="20"/>
              </w:rPr>
            </w:pPr>
          </w:p>
        </w:tc>
        <w:tc>
          <w:tcPr>
            <w:tcW w:w="1767" w:type="dxa"/>
          </w:tcPr>
          <w:p w14:paraId="108D311F" w14:textId="77777777" w:rsidR="004B7ED4" w:rsidRPr="004B7ED4" w:rsidRDefault="004B7ED4" w:rsidP="004B7ED4">
            <w:pPr>
              <w:rPr>
                <w:rFonts w:ascii="Arial" w:hAnsi="Arial" w:cs="Arial"/>
                <w:sz w:val="20"/>
                <w:szCs w:val="20"/>
              </w:rPr>
            </w:pPr>
            <w:r w:rsidRPr="004B7ED4">
              <w:rPr>
                <w:rFonts w:ascii="Arial" w:hAnsi="Arial" w:cs="Arial"/>
                <w:sz w:val="20"/>
                <w:szCs w:val="20"/>
              </w:rPr>
              <w:t>Non smoker</w:t>
            </w:r>
          </w:p>
        </w:tc>
        <w:tc>
          <w:tcPr>
            <w:tcW w:w="2023" w:type="dxa"/>
          </w:tcPr>
          <w:p w14:paraId="13A23254"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237(78.7%)</w:t>
            </w:r>
          </w:p>
        </w:tc>
        <w:tc>
          <w:tcPr>
            <w:tcW w:w="1980" w:type="dxa"/>
          </w:tcPr>
          <w:p w14:paraId="50717F9B"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145(61)                   </w:t>
            </w:r>
          </w:p>
        </w:tc>
        <w:tc>
          <w:tcPr>
            <w:tcW w:w="1170" w:type="dxa"/>
          </w:tcPr>
          <w:p w14:paraId="2D3934E7" w14:textId="77777777" w:rsidR="004B7ED4" w:rsidRPr="004B7ED4" w:rsidRDefault="004B7ED4" w:rsidP="004B7ED4">
            <w:pPr>
              <w:rPr>
                <w:rFonts w:ascii="Arial" w:hAnsi="Arial" w:cs="Arial"/>
                <w:sz w:val="20"/>
                <w:szCs w:val="20"/>
              </w:rPr>
            </w:pPr>
            <w:r w:rsidRPr="004B7ED4">
              <w:rPr>
                <w:rFonts w:ascii="Arial" w:hAnsi="Arial" w:cs="Arial"/>
                <w:sz w:val="20"/>
                <w:szCs w:val="20"/>
              </w:rPr>
              <w:t>92</w:t>
            </w:r>
          </w:p>
        </w:tc>
        <w:tc>
          <w:tcPr>
            <w:tcW w:w="1054" w:type="dxa"/>
          </w:tcPr>
          <w:p w14:paraId="06AF425C" w14:textId="77777777" w:rsidR="004B7ED4" w:rsidRPr="004B7ED4" w:rsidRDefault="004B7ED4" w:rsidP="004B7ED4">
            <w:pPr>
              <w:rPr>
                <w:rFonts w:ascii="Arial" w:hAnsi="Arial" w:cs="Arial"/>
                <w:sz w:val="20"/>
                <w:szCs w:val="20"/>
              </w:rPr>
            </w:pPr>
            <w:r w:rsidRPr="004B7ED4">
              <w:rPr>
                <w:rFonts w:ascii="Arial" w:hAnsi="Arial" w:cs="Arial"/>
                <w:sz w:val="20"/>
                <w:szCs w:val="20"/>
              </w:rPr>
              <w:t>21</w:t>
            </w:r>
          </w:p>
        </w:tc>
      </w:tr>
      <w:tr w:rsidR="004B7ED4" w:rsidRPr="004B7ED4" w14:paraId="392CDBF8" w14:textId="77777777" w:rsidTr="00093547">
        <w:trPr>
          <w:trHeight w:val="150"/>
        </w:trPr>
        <w:tc>
          <w:tcPr>
            <w:tcW w:w="1585" w:type="dxa"/>
            <w:vMerge w:val="restart"/>
          </w:tcPr>
          <w:p w14:paraId="44C19942"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Adherence </w:t>
            </w:r>
          </w:p>
        </w:tc>
        <w:tc>
          <w:tcPr>
            <w:tcW w:w="1767" w:type="dxa"/>
          </w:tcPr>
          <w:p w14:paraId="522161A7"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Poor </w:t>
            </w:r>
          </w:p>
        </w:tc>
        <w:tc>
          <w:tcPr>
            <w:tcW w:w="2023" w:type="dxa"/>
          </w:tcPr>
          <w:p w14:paraId="65AC13FD"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62(20.6)                            </w:t>
            </w:r>
          </w:p>
        </w:tc>
        <w:tc>
          <w:tcPr>
            <w:tcW w:w="1980" w:type="dxa"/>
          </w:tcPr>
          <w:p w14:paraId="1587C653"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35(56.5</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14D029D5" w14:textId="77777777" w:rsidR="004B7ED4" w:rsidRPr="004B7ED4" w:rsidRDefault="004B7ED4" w:rsidP="004B7ED4">
            <w:pPr>
              <w:rPr>
                <w:rFonts w:ascii="Arial" w:hAnsi="Arial" w:cs="Arial"/>
                <w:sz w:val="20"/>
                <w:szCs w:val="20"/>
              </w:rPr>
            </w:pPr>
            <w:r w:rsidRPr="004B7ED4">
              <w:rPr>
                <w:rFonts w:ascii="Arial" w:hAnsi="Arial" w:cs="Arial"/>
                <w:sz w:val="20"/>
                <w:szCs w:val="20"/>
              </w:rPr>
              <w:t>27</w:t>
            </w:r>
          </w:p>
        </w:tc>
        <w:tc>
          <w:tcPr>
            <w:tcW w:w="1054" w:type="dxa"/>
          </w:tcPr>
          <w:p w14:paraId="10E19564" w14:textId="77777777" w:rsidR="004B7ED4" w:rsidRPr="004B7ED4" w:rsidRDefault="004B7ED4" w:rsidP="004B7ED4">
            <w:pPr>
              <w:rPr>
                <w:rFonts w:ascii="Arial" w:hAnsi="Arial" w:cs="Arial"/>
                <w:sz w:val="20"/>
                <w:szCs w:val="20"/>
              </w:rPr>
            </w:pPr>
            <w:r w:rsidRPr="004B7ED4">
              <w:rPr>
                <w:rFonts w:ascii="Arial" w:hAnsi="Arial" w:cs="Arial"/>
                <w:sz w:val="20"/>
                <w:szCs w:val="20"/>
              </w:rPr>
              <w:t>23</w:t>
            </w:r>
          </w:p>
        </w:tc>
      </w:tr>
      <w:tr w:rsidR="004B7ED4" w:rsidRPr="004B7ED4" w14:paraId="742C9CD9" w14:textId="77777777" w:rsidTr="00093547">
        <w:trPr>
          <w:trHeight w:val="165"/>
        </w:trPr>
        <w:tc>
          <w:tcPr>
            <w:tcW w:w="1585" w:type="dxa"/>
            <w:vMerge/>
          </w:tcPr>
          <w:p w14:paraId="08FF8D3E" w14:textId="77777777" w:rsidR="004B7ED4" w:rsidRPr="004B7ED4" w:rsidRDefault="004B7ED4" w:rsidP="004B7ED4">
            <w:pPr>
              <w:rPr>
                <w:rFonts w:ascii="Arial" w:hAnsi="Arial" w:cs="Arial"/>
                <w:sz w:val="20"/>
                <w:szCs w:val="20"/>
              </w:rPr>
            </w:pPr>
          </w:p>
        </w:tc>
        <w:tc>
          <w:tcPr>
            <w:tcW w:w="1767" w:type="dxa"/>
          </w:tcPr>
          <w:p w14:paraId="4EDA3653"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Fair </w:t>
            </w:r>
          </w:p>
        </w:tc>
        <w:tc>
          <w:tcPr>
            <w:tcW w:w="2023" w:type="dxa"/>
          </w:tcPr>
          <w:p w14:paraId="2462EDD6"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61(20.3%)</w:t>
            </w:r>
          </w:p>
        </w:tc>
        <w:tc>
          <w:tcPr>
            <w:tcW w:w="1980" w:type="dxa"/>
          </w:tcPr>
          <w:p w14:paraId="024B02DD"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41(67.2</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12B97CC7" w14:textId="77777777" w:rsidR="004B7ED4" w:rsidRPr="004B7ED4" w:rsidRDefault="004B7ED4" w:rsidP="004B7ED4">
            <w:pPr>
              <w:rPr>
                <w:rFonts w:ascii="Arial" w:hAnsi="Arial" w:cs="Arial"/>
                <w:sz w:val="20"/>
                <w:szCs w:val="20"/>
              </w:rPr>
            </w:pPr>
            <w:r w:rsidRPr="004B7ED4">
              <w:rPr>
                <w:rFonts w:ascii="Arial" w:hAnsi="Arial" w:cs="Arial"/>
                <w:sz w:val="20"/>
                <w:szCs w:val="20"/>
              </w:rPr>
              <w:t>20</w:t>
            </w:r>
          </w:p>
        </w:tc>
        <w:tc>
          <w:tcPr>
            <w:tcW w:w="1054" w:type="dxa"/>
          </w:tcPr>
          <w:p w14:paraId="70F4A360" w14:textId="77777777" w:rsidR="004B7ED4" w:rsidRPr="004B7ED4" w:rsidRDefault="004B7ED4" w:rsidP="004B7ED4">
            <w:pPr>
              <w:rPr>
                <w:rFonts w:ascii="Arial" w:hAnsi="Arial" w:cs="Arial"/>
                <w:sz w:val="20"/>
                <w:szCs w:val="20"/>
              </w:rPr>
            </w:pPr>
            <w:r w:rsidRPr="004B7ED4">
              <w:rPr>
                <w:rFonts w:ascii="Arial" w:hAnsi="Arial" w:cs="Arial"/>
                <w:sz w:val="20"/>
                <w:szCs w:val="20"/>
              </w:rPr>
              <w:t>21</w:t>
            </w:r>
          </w:p>
        </w:tc>
      </w:tr>
      <w:tr w:rsidR="004B7ED4" w:rsidRPr="004B7ED4" w14:paraId="0B72F55A" w14:textId="77777777" w:rsidTr="00093547">
        <w:trPr>
          <w:trHeight w:val="368"/>
        </w:trPr>
        <w:tc>
          <w:tcPr>
            <w:tcW w:w="1585" w:type="dxa"/>
            <w:vMerge/>
          </w:tcPr>
          <w:p w14:paraId="6E8A1E26" w14:textId="77777777" w:rsidR="004B7ED4" w:rsidRPr="004B7ED4" w:rsidRDefault="004B7ED4" w:rsidP="004B7ED4">
            <w:pPr>
              <w:rPr>
                <w:rFonts w:ascii="Arial" w:hAnsi="Arial" w:cs="Arial"/>
                <w:sz w:val="20"/>
                <w:szCs w:val="20"/>
              </w:rPr>
            </w:pPr>
          </w:p>
        </w:tc>
        <w:tc>
          <w:tcPr>
            <w:tcW w:w="1767" w:type="dxa"/>
          </w:tcPr>
          <w:p w14:paraId="43B3989B"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Good </w:t>
            </w:r>
          </w:p>
        </w:tc>
        <w:tc>
          <w:tcPr>
            <w:tcW w:w="2023" w:type="dxa"/>
          </w:tcPr>
          <w:p w14:paraId="5BF25570"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178(59.1%) </w:t>
            </w:r>
            <w:r w:rsidRPr="004B7ED4">
              <w:rPr>
                <w:rFonts w:ascii="Arial" w:eastAsia="Arial Unicode MS" w:hAnsi="Arial" w:cs="Arial"/>
                <w:sz w:val="20"/>
                <w:szCs w:val="20"/>
              </w:rPr>
              <w:tab/>
              <w:t xml:space="preserve">                        </w:t>
            </w:r>
          </w:p>
        </w:tc>
        <w:tc>
          <w:tcPr>
            <w:tcW w:w="1980" w:type="dxa"/>
          </w:tcPr>
          <w:p w14:paraId="7AC48F70"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109(61.2</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61BFAF26" w14:textId="77777777" w:rsidR="004B7ED4" w:rsidRPr="004B7ED4" w:rsidRDefault="004B7ED4" w:rsidP="004B7ED4">
            <w:pPr>
              <w:rPr>
                <w:rFonts w:ascii="Arial" w:hAnsi="Arial" w:cs="Arial"/>
                <w:sz w:val="20"/>
                <w:szCs w:val="20"/>
              </w:rPr>
            </w:pPr>
            <w:r w:rsidRPr="004B7ED4">
              <w:rPr>
                <w:rFonts w:ascii="Arial" w:hAnsi="Arial" w:cs="Arial"/>
                <w:sz w:val="20"/>
                <w:szCs w:val="20"/>
              </w:rPr>
              <w:t>69</w:t>
            </w:r>
          </w:p>
        </w:tc>
        <w:tc>
          <w:tcPr>
            <w:tcW w:w="1054" w:type="dxa"/>
          </w:tcPr>
          <w:p w14:paraId="11AF4190"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4DCBE02F" w14:textId="77777777" w:rsidTr="00093547">
        <w:trPr>
          <w:trHeight w:val="285"/>
        </w:trPr>
        <w:tc>
          <w:tcPr>
            <w:tcW w:w="1585" w:type="dxa"/>
            <w:vMerge w:val="restart"/>
          </w:tcPr>
          <w:p w14:paraId="543B2E79"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Co-morbidities </w:t>
            </w:r>
          </w:p>
        </w:tc>
        <w:tc>
          <w:tcPr>
            <w:tcW w:w="1767" w:type="dxa"/>
          </w:tcPr>
          <w:p w14:paraId="7D72BB4F"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Yes </w:t>
            </w:r>
          </w:p>
        </w:tc>
        <w:tc>
          <w:tcPr>
            <w:tcW w:w="2023" w:type="dxa"/>
          </w:tcPr>
          <w:p w14:paraId="3588C05C"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46(15.3%)</w:t>
            </w:r>
            <w:r w:rsidRPr="004B7ED4">
              <w:rPr>
                <w:rFonts w:ascii="Arial" w:eastAsia="Arial Unicode MS" w:hAnsi="Arial" w:cs="Arial"/>
                <w:sz w:val="20"/>
                <w:szCs w:val="20"/>
              </w:rPr>
              <w:tab/>
              <w:t xml:space="preserve">                          </w:t>
            </w:r>
          </w:p>
        </w:tc>
        <w:tc>
          <w:tcPr>
            <w:tcW w:w="1980" w:type="dxa"/>
          </w:tcPr>
          <w:p w14:paraId="5A484A3C"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24(52.2</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2254BE35"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c>
          <w:tcPr>
            <w:tcW w:w="1054" w:type="dxa"/>
          </w:tcPr>
          <w:p w14:paraId="2811CC00"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4A567A44" w14:textId="77777777" w:rsidTr="00093547">
        <w:trPr>
          <w:trHeight w:val="252"/>
        </w:trPr>
        <w:tc>
          <w:tcPr>
            <w:tcW w:w="1585" w:type="dxa"/>
            <w:vMerge/>
          </w:tcPr>
          <w:p w14:paraId="21645028" w14:textId="77777777" w:rsidR="004B7ED4" w:rsidRPr="004B7ED4" w:rsidRDefault="004B7ED4" w:rsidP="004B7ED4">
            <w:pPr>
              <w:rPr>
                <w:rFonts w:ascii="Arial" w:hAnsi="Arial" w:cs="Arial"/>
                <w:sz w:val="20"/>
                <w:szCs w:val="20"/>
              </w:rPr>
            </w:pPr>
          </w:p>
        </w:tc>
        <w:tc>
          <w:tcPr>
            <w:tcW w:w="1767" w:type="dxa"/>
          </w:tcPr>
          <w:p w14:paraId="2063C348" w14:textId="77777777" w:rsidR="004B7ED4" w:rsidRPr="004B7ED4" w:rsidRDefault="004B7ED4" w:rsidP="004B7ED4">
            <w:pPr>
              <w:rPr>
                <w:rFonts w:ascii="Arial" w:hAnsi="Arial" w:cs="Arial"/>
                <w:sz w:val="20"/>
                <w:szCs w:val="20"/>
              </w:rPr>
            </w:pPr>
            <w:r w:rsidRPr="004B7ED4">
              <w:rPr>
                <w:rFonts w:ascii="Arial" w:hAnsi="Arial" w:cs="Arial"/>
                <w:sz w:val="20"/>
                <w:szCs w:val="20"/>
              </w:rPr>
              <w:t>No</w:t>
            </w:r>
          </w:p>
        </w:tc>
        <w:tc>
          <w:tcPr>
            <w:tcW w:w="2023" w:type="dxa"/>
          </w:tcPr>
          <w:p w14:paraId="2E477634"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255(84.7</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068E6297"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161(63.1</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1F68E917" w14:textId="77777777" w:rsidR="004B7ED4" w:rsidRPr="004B7ED4" w:rsidRDefault="004B7ED4" w:rsidP="004B7ED4">
            <w:pPr>
              <w:rPr>
                <w:rFonts w:ascii="Arial" w:hAnsi="Arial" w:cs="Arial"/>
                <w:sz w:val="20"/>
                <w:szCs w:val="20"/>
              </w:rPr>
            </w:pPr>
            <w:r w:rsidRPr="004B7ED4">
              <w:rPr>
                <w:rFonts w:ascii="Arial" w:hAnsi="Arial" w:cs="Arial"/>
                <w:sz w:val="20"/>
                <w:szCs w:val="20"/>
              </w:rPr>
              <w:t>94</w:t>
            </w:r>
          </w:p>
        </w:tc>
        <w:tc>
          <w:tcPr>
            <w:tcW w:w="1054" w:type="dxa"/>
          </w:tcPr>
          <w:p w14:paraId="16C2CD9B"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74CB1A6B" w14:textId="77777777" w:rsidTr="00093547">
        <w:trPr>
          <w:trHeight w:val="285"/>
        </w:trPr>
        <w:tc>
          <w:tcPr>
            <w:tcW w:w="1585" w:type="dxa"/>
            <w:vMerge w:val="restart"/>
          </w:tcPr>
          <w:p w14:paraId="729D5D10"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Drug use history  </w:t>
            </w:r>
          </w:p>
        </w:tc>
        <w:tc>
          <w:tcPr>
            <w:tcW w:w="1767" w:type="dxa"/>
          </w:tcPr>
          <w:p w14:paraId="1A083144"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Yes </w:t>
            </w:r>
          </w:p>
        </w:tc>
        <w:tc>
          <w:tcPr>
            <w:tcW w:w="2023" w:type="dxa"/>
          </w:tcPr>
          <w:p w14:paraId="4756BA52"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231(76.7</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6536B39A"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140(60.6</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7E9516A6" w14:textId="77777777" w:rsidR="004B7ED4" w:rsidRPr="004B7ED4" w:rsidRDefault="004B7ED4" w:rsidP="004B7ED4">
            <w:pPr>
              <w:rPr>
                <w:rFonts w:ascii="Arial" w:hAnsi="Arial" w:cs="Arial"/>
                <w:sz w:val="20"/>
                <w:szCs w:val="20"/>
              </w:rPr>
            </w:pPr>
            <w:r w:rsidRPr="004B7ED4">
              <w:rPr>
                <w:rFonts w:ascii="Arial" w:hAnsi="Arial" w:cs="Arial"/>
                <w:sz w:val="20"/>
                <w:szCs w:val="20"/>
              </w:rPr>
              <w:t>91</w:t>
            </w:r>
          </w:p>
        </w:tc>
        <w:tc>
          <w:tcPr>
            <w:tcW w:w="1054" w:type="dxa"/>
          </w:tcPr>
          <w:p w14:paraId="3892DA3D"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4195195D" w14:textId="77777777" w:rsidTr="00093547">
        <w:trPr>
          <w:trHeight w:val="255"/>
        </w:trPr>
        <w:tc>
          <w:tcPr>
            <w:tcW w:w="1585" w:type="dxa"/>
            <w:vMerge/>
          </w:tcPr>
          <w:p w14:paraId="2EC166EB" w14:textId="77777777" w:rsidR="004B7ED4" w:rsidRPr="004B7ED4" w:rsidRDefault="004B7ED4" w:rsidP="004B7ED4">
            <w:pPr>
              <w:rPr>
                <w:rFonts w:ascii="Arial" w:hAnsi="Arial" w:cs="Arial"/>
                <w:sz w:val="20"/>
                <w:szCs w:val="20"/>
              </w:rPr>
            </w:pPr>
          </w:p>
        </w:tc>
        <w:tc>
          <w:tcPr>
            <w:tcW w:w="1767" w:type="dxa"/>
          </w:tcPr>
          <w:p w14:paraId="4C961C83"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No </w:t>
            </w:r>
          </w:p>
        </w:tc>
        <w:tc>
          <w:tcPr>
            <w:tcW w:w="2023" w:type="dxa"/>
          </w:tcPr>
          <w:p w14:paraId="35D0B0F2"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70(23.3</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22210836"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45(64.28</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6844C05A" w14:textId="77777777" w:rsidR="004B7ED4" w:rsidRPr="004B7ED4" w:rsidRDefault="004B7ED4" w:rsidP="004B7ED4">
            <w:pPr>
              <w:rPr>
                <w:rFonts w:ascii="Arial" w:hAnsi="Arial" w:cs="Arial"/>
                <w:sz w:val="20"/>
                <w:szCs w:val="20"/>
              </w:rPr>
            </w:pPr>
            <w:r w:rsidRPr="004B7ED4">
              <w:rPr>
                <w:rFonts w:ascii="Arial" w:hAnsi="Arial" w:cs="Arial"/>
                <w:sz w:val="20"/>
                <w:szCs w:val="20"/>
              </w:rPr>
              <w:t>25</w:t>
            </w:r>
          </w:p>
        </w:tc>
        <w:tc>
          <w:tcPr>
            <w:tcW w:w="1054" w:type="dxa"/>
          </w:tcPr>
          <w:p w14:paraId="30943A80"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0903476B" w14:textId="77777777" w:rsidTr="00093547">
        <w:trPr>
          <w:trHeight w:val="350"/>
        </w:trPr>
        <w:tc>
          <w:tcPr>
            <w:tcW w:w="1585" w:type="dxa"/>
            <w:vMerge w:val="restart"/>
          </w:tcPr>
          <w:p w14:paraId="0FFAEEF6" w14:textId="77777777" w:rsidR="004B7ED4" w:rsidRPr="004B7ED4" w:rsidRDefault="004B7ED4" w:rsidP="004B7ED4">
            <w:pPr>
              <w:rPr>
                <w:rFonts w:ascii="Arial" w:hAnsi="Arial" w:cs="Arial"/>
                <w:sz w:val="20"/>
                <w:szCs w:val="20"/>
              </w:rPr>
            </w:pPr>
            <w:r w:rsidRPr="004B7ED4">
              <w:rPr>
                <w:rFonts w:ascii="Arial" w:hAnsi="Arial" w:cs="Arial"/>
                <w:sz w:val="20"/>
                <w:szCs w:val="20"/>
              </w:rPr>
              <w:t>MDR TB type</w:t>
            </w:r>
          </w:p>
        </w:tc>
        <w:tc>
          <w:tcPr>
            <w:tcW w:w="1767" w:type="dxa"/>
          </w:tcPr>
          <w:p w14:paraId="28AE159B"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Pulmonary </w:t>
            </w:r>
          </w:p>
        </w:tc>
        <w:tc>
          <w:tcPr>
            <w:tcW w:w="2023" w:type="dxa"/>
          </w:tcPr>
          <w:p w14:paraId="397FA4AA"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270 (89.7</w:t>
            </w:r>
            <w:r w:rsidRPr="004B7ED4">
              <w:rPr>
                <w:rFonts w:ascii="Arial" w:eastAsia="Arial Unicode MS" w:hAnsi="Arial" w:cs="Arial"/>
                <w:sz w:val="20"/>
                <w:szCs w:val="20"/>
              </w:rPr>
              <w:tab/>
            </w:r>
          </w:p>
        </w:tc>
        <w:tc>
          <w:tcPr>
            <w:tcW w:w="1980" w:type="dxa"/>
          </w:tcPr>
          <w:p w14:paraId="70DCE0ED"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166(61.5</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64ADD5C3" w14:textId="77777777" w:rsidR="004B7ED4" w:rsidRPr="004B7ED4" w:rsidRDefault="004B7ED4" w:rsidP="004B7ED4">
            <w:pPr>
              <w:rPr>
                <w:rFonts w:ascii="Arial" w:hAnsi="Arial" w:cs="Arial"/>
                <w:sz w:val="20"/>
                <w:szCs w:val="20"/>
              </w:rPr>
            </w:pPr>
            <w:r w:rsidRPr="004B7ED4">
              <w:rPr>
                <w:rFonts w:ascii="Arial" w:hAnsi="Arial" w:cs="Arial"/>
                <w:sz w:val="20"/>
                <w:szCs w:val="20"/>
              </w:rPr>
              <w:t>104</w:t>
            </w:r>
          </w:p>
        </w:tc>
        <w:tc>
          <w:tcPr>
            <w:tcW w:w="1054" w:type="dxa"/>
          </w:tcPr>
          <w:p w14:paraId="7BEE88CE" w14:textId="77777777" w:rsidR="004B7ED4" w:rsidRPr="004B7ED4" w:rsidRDefault="004B7ED4" w:rsidP="004B7ED4">
            <w:pPr>
              <w:rPr>
                <w:rFonts w:ascii="Arial" w:hAnsi="Arial" w:cs="Arial"/>
                <w:sz w:val="20"/>
                <w:szCs w:val="20"/>
              </w:rPr>
            </w:pPr>
            <w:r w:rsidRPr="004B7ED4">
              <w:rPr>
                <w:rFonts w:ascii="Arial" w:hAnsi="Arial" w:cs="Arial"/>
                <w:sz w:val="20"/>
                <w:szCs w:val="20"/>
              </w:rPr>
              <w:t>21</w:t>
            </w:r>
          </w:p>
        </w:tc>
      </w:tr>
      <w:tr w:rsidR="004B7ED4" w:rsidRPr="004B7ED4" w14:paraId="306F77D8" w14:textId="77777777" w:rsidTr="00093547">
        <w:trPr>
          <w:trHeight w:val="225"/>
        </w:trPr>
        <w:tc>
          <w:tcPr>
            <w:tcW w:w="1585" w:type="dxa"/>
            <w:vMerge/>
          </w:tcPr>
          <w:p w14:paraId="5DD77BA8" w14:textId="77777777" w:rsidR="004B7ED4" w:rsidRPr="004B7ED4" w:rsidRDefault="004B7ED4" w:rsidP="004B7ED4">
            <w:pPr>
              <w:rPr>
                <w:rFonts w:ascii="Arial" w:hAnsi="Arial" w:cs="Arial"/>
                <w:sz w:val="20"/>
                <w:szCs w:val="20"/>
              </w:rPr>
            </w:pPr>
          </w:p>
        </w:tc>
        <w:tc>
          <w:tcPr>
            <w:tcW w:w="1767" w:type="dxa"/>
          </w:tcPr>
          <w:p w14:paraId="2EAFC72E"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Extra pulmonary </w:t>
            </w:r>
          </w:p>
        </w:tc>
        <w:tc>
          <w:tcPr>
            <w:tcW w:w="2023" w:type="dxa"/>
          </w:tcPr>
          <w:p w14:paraId="2878FFD0"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31(10.3%)</w:t>
            </w:r>
            <w:r w:rsidRPr="004B7ED4">
              <w:rPr>
                <w:rFonts w:ascii="Arial" w:eastAsia="Arial Unicode MS" w:hAnsi="Arial" w:cs="Arial"/>
                <w:sz w:val="20"/>
                <w:szCs w:val="20"/>
              </w:rPr>
              <w:tab/>
            </w:r>
          </w:p>
        </w:tc>
        <w:tc>
          <w:tcPr>
            <w:tcW w:w="1980" w:type="dxa"/>
          </w:tcPr>
          <w:p w14:paraId="44FA88B5"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19(61.3)                         </w:t>
            </w:r>
          </w:p>
        </w:tc>
        <w:tc>
          <w:tcPr>
            <w:tcW w:w="1170" w:type="dxa"/>
          </w:tcPr>
          <w:p w14:paraId="5A5B5FCB" w14:textId="77777777" w:rsidR="004B7ED4" w:rsidRPr="004B7ED4" w:rsidRDefault="004B7ED4" w:rsidP="004B7ED4">
            <w:pPr>
              <w:rPr>
                <w:rFonts w:ascii="Arial" w:hAnsi="Arial" w:cs="Arial"/>
                <w:sz w:val="20"/>
                <w:szCs w:val="20"/>
              </w:rPr>
            </w:pPr>
            <w:r w:rsidRPr="004B7ED4">
              <w:rPr>
                <w:rFonts w:ascii="Arial" w:hAnsi="Arial" w:cs="Arial"/>
                <w:sz w:val="20"/>
                <w:szCs w:val="20"/>
              </w:rPr>
              <w:t>12</w:t>
            </w:r>
          </w:p>
        </w:tc>
        <w:tc>
          <w:tcPr>
            <w:tcW w:w="1054" w:type="dxa"/>
          </w:tcPr>
          <w:p w14:paraId="7E76D8FE" w14:textId="77777777" w:rsidR="004B7ED4" w:rsidRPr="004B7ED4" w:rsidRDefault="004B7ED4" w:rsidP="004B7ED4">
            <w:pPr>
              <w:rPr>
                <w:rFonts w:ascii="Arial" w:hAnsi="Arial" w:cs="Arial"/>
                <w:sz w:val="20"/>
                <w:szCs w:val="20"/>
              </w:rPr>
            </w:pPr>
            <w:r w:rsidRPr="004B7ED4">
              <w:rPr>
                <w:rFonts w:ascii="Arial" w:hAnsi="Arial" w:cs="Arial"/>
                <w:sz w:val="20"/>
                <w:szCs w:val="20"/>
              </w:rPr>
              <w:t>23</w:t>
            </w:r>
          </w:p>
        </w:tc>
      </w:tr>
      <w:tr w:rsidR="004B7ED4" w:rsidRPr="004B7ED4" w14:paraId="68B0D0A3" w14:textId="77777777" w:rsidTr="00093547">
        <w:trPr>
          <w:trHeight w:val="150"/>
        </w:trPr>
        <w:tc>
          <w:tcPr>
            <w:tcW w:w="1585" w:type="dxa"/>
            <w:vMerge w:val="restart"/>
          </w:tcPr>
          <w:p w14:paraId="3F555EC7"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Occupations </w:t>
            </w:r>
          </w:p>
        </w:tc>
        <w:tc>
          <w:tcPr>
            <w:tcW w:w="1767" w:type="dxa"/>
          </w:tcPr>
          <w:p w14:paraId="4921D2CE"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Employed </w:t>
            </w:r>
          </w:p>
        </w:tc>
        <w:tc>
          <w:tcPr>
            <w:tcW w:w="2023" w:type="dxa"/>
          </w:tcPr>
          <w:p w14:paraId="31A112DC"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51(16.</w:t>
            </w:r>
            <w:r w:rsidRPr="004B7ED4">
              <w:rPr>
                <w:rFonts w:ascii="Arial" w:eastAsia="Arial Unicode MS" w:hAnsi="Arial" w:cs="Arial"/>
                <w:sz w:val="20"/>
                <w:szCs w:val="20"/>
              </w:rPr>
              <w:tab/>
              <w:t>5%)</w:t>
            </w:r>
          </w:p>
        </w:tc>
        <w:tc>
          <w:tcPr>
            <w:tcW w:w="1980" w:type="dxa"/>
          </w:tcPr>
          <w:p w14:paraId="0B5D5C97"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29(56.8</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17B5B818"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c>
          <w:tcPr>
            <w:tcW w:w="1054" w:type="dxa"/>
          </w:tcPr>
          <w:p w14:paraId="31641CC7"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224E23A6" w14:textId="77777777" w:rsidTr="00093547">
        <w:trPr>
          <w:trHeight w:val="126"/>
        </w:trPr>
        <w:tc>
          <w:tcPr>
            <w:tcW w:w="1585" w:type="dxa"/>
            <w:vMerge/>
          </w:tcPr>
          <w:p w14:paraId="6240EEF4" w14:textId="77777777" w:rsidR="004B7ED4" w:rsidRPr="004B7ED4" w:rsidRDefault="004B7ED4" w:rsidP="004B7ED4">
            <w:pPr>
              <w:rPr>
                <w:rFonts w:ascii="Arial" w:hAnsi="Arial" w:cs="Arial"/>
                <w:sz w:val="20"/>
                <w:szCs w:val="20"/>
              </w:rPr>
            </w:pPr>
          </w:p>
        </w:tc>
        <w:tc>
          <w:tcPr>
            <w:tcW w:w="1767" w:type="dxa"/>
          </w:tcPr>
          <w:p w14:paraId="701BFC80"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Farmer </w:t>
            </w:r>
          </w:p>
        </w:tc>
        <w:tc>
          <w:tcPr>
            <w:tcW w:w="2023" w:type="dxa"/>
          </w:tcPr>
          <w:p w14:paraId="7CB2AFFC"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153(50.8</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6E164F8E"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106(69.3</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68F6E1E9" w14:textId="77777777" w:rsidR="004B7ED4" w:rsidRPr="004B7ED4" w:rsidRDefault="004B7ED4" w:rsidP="004B7ED4">
            <w:pPr>
              <w:rPr>
                <w:rFonts w:ascii="Arial" w:hAnsi="Arial" w:cs="Arial"/>
                <w:sz w:val="20"/>
                <w:szCs w:val="20"/>
              </w:rPr>
            </w:pPr>
            <w:r w:rsidRPr="004B7ED4">
              <w:rPr>
                <w:rFonts w:ascii="Arial" w:hAnsi="Arial" w:cs="Arial"/>
                <w:sz w:val="20"/>
                <w:szCs w:val="20"/>
              </w:rPr>
              <w:t>47</w:t>
            </w:r>
          </w:p>
        </w:tc>
        <w:tc>
          <w:tcPr>
            <w:tcW w:w="1054" w:type="dxa"/>
          </w:tcPr>
          <w:p w14:paraId="62459410"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031C7146" w14:textId="77777777" w:rsidTr="00093547">
        <w:trPr>
          <w:trHeight w:val="165"/>
        </w:trPr>
        <w:tc>
          <w:tcPr>
            <w:tcW w:w="1585" w:type="dxa"/>
            <w:vMerge/>
          </w:tcPr>
          <w:p w14:paraId="2ABA581F" w14:textId="77777777" w:rsidR="004B7ED4" w:rsidRPr="004B7ED4" w:rsidRDefault="004B7ED4" w:rsidP="004B7ED4">
            <w:pPr>
              <w:rPr>
                <w:rFonts w:ascii="Arial" w:hAnsi="Arial" w:cs="Arial"/>
                <w:sz w:val="20"/>
                <w:szCs w:val="20"/>
              </w:rPr>
            </w:pPr>
          </w:p>
        </w:tc>
        <w:tc>
          <w:tcPr>
            <w:tcW w:w="1767" w:type="dxa"/>
          </w:tcPr>
          <w:p w14:paraId="49D3554F"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Merchant </w:t>
            </w:r>
          </w:p>
        </w:tc>
        <w:tc>
          <w:tcPr>
            <w:tcW w:w="2023" w:type="dxa"/>
          </w:tcPr>
          <w:p w14:paraId="4B7C8C71"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67(22.3</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0424B59A"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36(53.7</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0F5793AA" w14:textId="77777777" w:rsidR="004B7ED4" w:rsidRPr="004B7ED4" w:rsidRDefault="004B7ED4" w:rsidP="004B7ED4">
            <w:pPr>
              <w:rPr>
                <w:rFonts w:ascii="Arial" w:hAnsi="Arial" w:cs="Arial"/>
                <w:sz w:val="20"/>
                <w:szCs w:val="20"/>
              </w:rPr>
            </w:pPr>
            <w:r w:rsidRPr="004B7ED4">
              <w:rPr>
                <w:rFonts w:ascii="Arial" w:hAnsi="Arial" w:cs="Arial"/>
                <w:sz w:val="20"/>
                <w:szCs w:val="20"/>
              </w:rPr>
              <w:t>31</w:t>
            </w:r>
          </w:p>
        </w:tc>
        <w:tc>
          <w:tcPr>
            <w:tcW w:w="1054" w:type="dxa"/>
          </w:tcPr>
          <w:p w14:paraId="2DC89582" w14:textId="77777777" w:rsidR="004B7ED4" w:rsidRPr="004B7ED4" w:rsidRDefault="004B7ED4" w:rsidP="004B7ED4">
            <w:pPr>
              <w:rPr>
                <w:rFonts w:ascii="Arial" w:hAnsi="Arial" w:cs="Arial"/>
                <w:sz w:val="20"/>
                <w:szCs w:val="20"/>
              </w:rPr>
            </w:pPr>
            <w:r w:rsidRPr="004B7ED4">
              <w:rPr>
                <w:rFonts w:ascii="Arial" w:hAnsi="Arial" w:cs="Arial"/>
                <w:sz w:val="20"/>
                <w:szCs w:val="20"/>
              </w:rPr>
              <w:t>23</w:t>
            </w:r>
          </w:p>
        </w:tc>
      </w:tr>
      <w:tr w:rsidR="004B7ED4" w:rsidRPr="004B7ED4" w14:paraId="30B8FAC9" w14:textId="77777777" w:rsidTr="00093547">
        <w:trPr>
          <w:trHeight w:val="105"/>
        </w:trPr>
        <w:tc>
          <w:tcPr>
            <w:tcW w:w="1585" w:type="dxa"/>
            <w:vMerge/>
          </w:tcPr>
          <w:p w14:paraId="7532441F" w14:textId="77777777" w:rsidR="004B7ED4" w:rsidRPr="004B7ED4" w:rsidRDefault="004B7ED4" w:rsidP="004B7ED4">
            <w:pPr>
              <w:rPr>
                <w:rFonts w:ascii="Arial" w:hAnsi="Arial" w:cs="Arial"/>
                <w:sz w:val="20"/>
                <w:szCs w:val="20"/>
              </w:rPr>
            </w:pPr>
          </w:p>
        </w:tc>
        <w:tc>
          <w:tcPr>
            <w:tcW w:w="1767" w:type="dxa"/>
          </w:tcPr>
          <w:p w14:paraId="246C5439"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Other </w:t>
            </w:r>
          </w:p>
        </w:tc>
        <w:tc>
          <w:tcPr>
            <w:tcW w:w="2023" w:type="dxa"/>
          </w:tcPr>
          <w:p w14:paraId="6AE7DBF5"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30(10</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5BEE2A42"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14(46.6</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5AD80150" w14:textId="77777777" w:rsidR="004B7ED4" w:rsidRPr="004B7ED4" w:rsidRDefault="004B7ED4" w:rsidP="004B7ED4">
            <w:pPr>
              <w:rPr>
                <w:rFonts w:ascii="Arial" w:hAnsi="Arial" w:cs="Arial"/>
                <w:sz w:val="20"/>
                <w:szCs w:val="20"/>
              </w:rPr>
            </w:pPr>
            <w:r w:rsidRPr="004B7ED4">
              <w:rPr>
                <w:rFonts w:ascii="Arial" w:hAnsi="Arial" w:cs="Arial"/>
                <w:sz w:val="20"/>
                <w:szCs w:val="20"/>
              </w:rPr>
              <w:t>16</w:t>
            </w:r>
          </w:p>
        </w:tc>
        <w:tc>
          <w:tcPr>
            <w:tcW w:w="1054" w:type="dxa"/>
          </w:tcPr>
          <w:p w14:paraId="2BB74403" w14:textId="77777777" w:rsidR="004B7ED4" w:rsidRPr="004B7ED4" w:rsidRDefault="004B7ED4" w:rsidP="004B7ED4">
            <w:pPr>
              <w:rPr>
                <w:rFonts w:ascii="Arial" w:hAnsi="Arial" w:cs="Arial"/>
                <w:sz w:val="20"/>
                <w:szCs w:val="20"/>
              </w:rPr>
            </w:pPr>
            <w:r w:rsidRPr="004B7ED4">
              <w:rPr>
                <w:rFonts w:ascii="Arial" w:hAnsi="Arial" w:cs="Arial"/>
                <w:sz w:val="20"/>
                <w:szCs w:val="20"/>
              </w:rPr>
              <w:t>21</w:t>
            </w:r>
          </w:p>
        </w:tc>
      </w:tr>
      <w:tr w:rsidR="004B7ED4" w:rsidRPr="004B7ED4" w14:paraId="7A614F3B" w14:textId="77777777" w:rsidTr="00093547">
        <w:trPr>
          <w:trHeight w:val="150"/>
        </w:trPr>
        <w:tc>
          <w:tcPr>
            <w:tcW w:w="1585" w:type="dxa"/>
            <w:vMerge w:val="restart"/>
          </w:tcPr>
          <w:p w14:paraId="4379C6BD"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History of TB          </w:t>
            </w:r>
          </w:p>
        </w:tc>
        <w:tc>
          <w:tcPr>
            <w:tcW w:w="1767" w:type="dxa"/>
          </w:tcPr>
          <w:p w14:paraId="31CA12B5"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Yes </w:t>
            </w:r>
          </w:p>
        </w:tc>
        <w:tc>
          <w:tcPr>
            <w:tcW w:w="2023" w:type="dxa"/>
          </w:tcPr>
          <w:p w14:paraId="303C7F9F"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184(61.1</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1BF8D6BF"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113(61.4</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34532B03" w14:textId="77777777" w:rsidR="004B7ED4" w:rsidRPr="004B7ED4" w:rsidRDefault="004B7ED4" w:rsidP="004B7ED4">
            <w:pPr>
              <w:rPr>
                <w:rFonts w:ascii="Arial" w:hAnsi="Arial" w:cs="Arial"/>
                <w:sz w:val="20"/>
                <w:szCs w:val="20"/>
              </w:rPr>
            </w:pPr>
            <w:r w:rsidRPr="004B7ED4">
              <w:rPr>
                <w:rFonts w:ascii="Arial" w:hAnsi="Arial" w:cs="Arial"/>
                <w:sz w:val="20"/>
                <w:szCs w:val="20"/>
              </w:rPr>
              <w:t>71</w:t>
            </w:r>
          </w:p>
        </w:tc>
        <w:tc>
          <w:tcPr>
            <w:tcW w:w="1054" w:type="dxa"/>
          </w:tcPr>
          <w:p w14:paraId="75A5F2D2" w14:textId="77777777" w:rsidR="004B7ED4" w:rsidRPr="004B7ED4" w:rsidRDefault="004B7ED4" w:rsidP="004B7ED4">
            <w:pPr>
              <w:rPr>
                <w:rFonts w:ascii="Arial" w:hAnsi="Arial" w:cs="Arial"/>
                <w:sz w:val="20"/>
                <w:szCs w:val="20"/>
              </w:rPr>
            </w:pPr>
            <w:r w:rsidRPr="004B7ED4">
              <w:rPr>
                <w:rFonts w:ascii="Arial" w:hAnsi="Arial" w:cs="Arial"/>
                <w:sz w:val="20"/>
                <w:szCs w:val="20"/>
              </w:rPr>
              <w:t>23</w:t>
            </w:r>
          </w:p>
        </w:tc>
      </w:tr>
      <w:tr w:rsidR="004B7ED4" w:rsidRPr="004B7ED4" w14:paraId="36A97BF9" w14:textId="77777777" w:rsidTr="00093547">
        <w:trPr>
          <w:trHeight w:val="111"/>
        </w:trPr>
        <w:tc>
          <w:tcPr>
            <w:tcW w:w="1585" w:type="dxa"/>
            <w:vMerge/>
          </w:tcPr>
          <w:p w14:paraId="02298ED6" w14:textId="77777777" w:rsidR="004B7ED4" w:rsidRPr="004B7ED4" w:rsidRDefault="004B7ED4" w:rsidP="004B7ED4">
            <w:pPr>
              <w:rPr>
                <w:rFonts w:ascii="Arial" w:eastAsia="Arial Unicode MS" w:hAnsi="Arial" w:cs="Arial"/>
                <w:sz w:val="20"/>
                <w:szCs w:val="20"/>
              </w:rPr>
            </w:pPr>
          </w:p>
        </w:tc>
        <w:tc>
          <w:tcPr>
            <w:tcW w:w="1767" w:type="dxa"/>
          </w:tcPr>
          <w:p w14:paraId="0F5959B9"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No </w:t>
            </w:r>
          </w:p>
        </w:tc>
        <w:tc>
          <w:tcPr>
            <w:tcW w:w="2023" w:type="dxa"/>
          </w:tcPr>
          <w:p w14:paraId="71D3C79A"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117(38.9</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649D5508"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72(60.5</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02D3F7F1" w14:textId="77777777" w:rsidR="004B7ED4" w:rsidRPr="004B7ED4" w:rsidRDefault="004B7ED4" w:rsidP="004B7ED4">
            <w:pPr>
              <w:rPr>
                <w:rFonts w:ascii="Arial" w:hAnsi="Arial" w:cs="Arial"/>
                <w:sz w:val="20"/>
                <w:szCs w:val="20"/>
              </w:rPr>
            </w:pPr>
            <w:r w:rsidRPr="004B7ED4">
              <w:rPr>
                <w:rFonts w:ascii="Arial" w:hAnsi="Arial" w:cs="Arial"/>
                <w:sz w:val="20"/>
                <w:szCs w:val="20"/>
              </w:rPr>
              <w:t>45</w:t>
            </w:r>
          </w:p>
        </w:tc>
        <w:tc>
          <w:tcPr>
            <w:tcW w:w="1054" w:type="dxa"/>
          </w:tcPr>
          <w:p w14:paraId="18DB7879"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18DEE304" w14:textId="77777777" w:rsidTr="00093547">
        <w:trPr>
          <w:trHeight w:val="285"/>
        </w:trPr>
        <w:tc>
          <w:tcPr>
            <w:tcW w:w="1585" w:type="dxa"/>
            <w:vMerge w:val="restart"/>
          </w:tcPr>
          <w:p w14:paraId="1F05CAEA"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lastRenderedPageBreak/>
              <w:t xml:space="preserve">Education status   </w:t>
            </w:r>
          </w:p>
        </w:tc>
        <w:tc>
          <w:tcPr>
            <w:tcW w:w="1767" w:type="dxa"/>
          </w:tcPr>
          <w:p w14:paraId="3C46231D"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Not educated </w:t>
            </w:r>
          </w:p>
        </w:tc>
        <w:tc>
          <w:tcPr>
            <w:tcW w:w="2023" w:type="dxa"/>
          </w:tcPr>
          <w:p w14:paraId="69BDDA89"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41(13.6</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3375B328"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25(60.9</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4566C2E6" w14:textId="77777777" w:rsidR="004B7ED4" w:rsidRPr="004B7ED4" w:rsidRDefault="004B7ED4" w:rsidP="004B7ED4">
            <w:pPr>
              <w:rPr>
                <w:rFonts w:ascii="Arial" w:hAnsi="Arial" w:cs="Arial"/>
                <w:sz w:val="20"/>
                <w:szCs w:val="20"/>
              </w:rPr>
            </w:pPr>
            <w:r w:rsidRPr="004B7ED4">
              <w:rPr>
                <w:rFonts w:ascii="Arial" w:hAnsi="Arial" w:cs="Arial"/>
                <w:sz w:val="20"/>
                <w:szCs w:val="20"/>
              </w:rPr>
              <w:t>16</w:t>
            </w:r>
          </w:p>
        </w:tc>
        <w:tc>
          <w:tcPr>
            <w:tcW w:w="1054" w:type="dxa"/>
          </w:tcPr>
          <w:p w14:paraId="124FC255" w14:textId="77777777" w:rsidR="004B7ED4" w:rsidRPr="004B7ED4" w:rsidRDefault="004B7ED4" w:rsidP="004B7ED4">
            <w:pPr>
              <w:rPr>
                <w:rFonts w:ascii="Arial" w:hAnsi="Arial" w:cs="Arial"/>
                <w:sz w:val="20"/>
                <w:szCs w:val="20"/>
              </w:rPr>
            </w:pPr>
            <w:r w:rsidRPr="004B7ED4">
              <w:rPr>
                <w:rFonts w:ascii="Arial" w:hAnsi="Arial" w:cs="Arial"/>
                <w:sz w:val="20"/>
                <w:szCs w:val="20"/>
              </w:rPr>
              <w:t>23</w:t>
            </w:r>
          </w:p>
        </w:tc>
      </w:tr>
      <w:tr w:rsidR="004B7ED4" w:rsidRPr="004B7ED4" w14:paraId="330B4968" w14:textId="77777777" w:rsidTr="00093547">
        <w:trPr>
          <w:trHeight w:val="165"/>
        </w:trPr>
        <w:tc>
          <w:tcPr>
            <w:tcW w:w="1585" w:type="dxa"/>
            <w:vMerge/>
          </w:tcPr>
          <w:p w14:paraId="39B7C368" w14:textId="77777777" w:rsidR="004B7ED4" w:rsidRPr="004B7ED4" w:rsidRDefault="004B7ED4" w:rsidP="004B7ED4">
            <w:pPr>
              <w:rPr>
                <w:rFonts w:ascii="Arial" w:eastAsia="Arial Unicode MS" w:hAnsi="Arial" w:cs="Arial"/>
                <w:sz w:val="20"/>
                <w:szCs w:val="20"/>
              </w:rPr>
            </w:pPr>
          </w:p>
        </w:tc>
        <w:tc>
          <w:tcPr>
            <w:tcW w:w="1767" w:type="dxa"/>
          </w:tcPr>
          <w:p w14:paraId="59D03409"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Primary </w:t>
            </w:r>
          </w:p>
        </w:tc>
        <w:tc>
          <w:tcPr>
            <w:tcW w:w="2023" w:type="dxa"/>
          </w:tcPr>
          <w:p w14:paraId="23693382"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93(30.9</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15E9CDD5"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55(59.1</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458A226B" w14:textId="77777777" w:rsidR="004B7ED4" w:rsidRPr="004B7ED4" w:rsidRDefault="004B7ED4" w:rsidP="004B7ED4">
            <w:pPr>
              <w:rPr>
                <w:rFonts w:ascii="Arial" w:hAnsi="Arial" w:cs="Arial"/>
                <w:sz w:val="20"/>
                <w:szCs w:val="20"/>
              </w:rPr>
            </w:pPr>
            <w:r w:rsidRPr="004B7ED4">
              <w:rPr>
                <w:rFonts w:ascii="Arial" w:hAnsi="Arial" w:cs="Arial"/>
                <w:sz w:val="20"/>
                <w:szCs w:val="20"/>
              </w:rPr>
              <w:t>38</w:t>
            </w:r>
          </w:p>
        </w:tc>
        <w:tc>
          <w:tcPr>
            <w:tcW w:w="1054" w:type="dxa"/>
          </w:tcPr>
          <w:p w14:paraId="5F574BFE" w14:textId="77777777" w:rsidR="004B7ED4" w:rsidRPr="004B7ED4" w:rsidRDefault="004B7ED4" w:rsidP="004B7ED4">
            <w:pPr>
              <w:rPr>
                <w:rFonts w:ascii="Arial" w:hAnsi="Arial" w:cs="Arial"/>
                <w:sz w:val="20"/>
                <w:szCs w:val="20"/>
              </w:rPr>
            </w:pPr>
            <w:r w:rsidRPr="004B7ED4">
              <w:rPr>
                <w:rFonts w:ascii="Arial" w:hAnsi="Arial" w:cs="Arial"/>
                <w:sz w:val="20"/>
                <w:szCs w:val="20"/>
              </w:rPr>
              <w:t>23</w:t>
            </w:r>
          </w:p>
        </w:tc>
      </w:tr>
      <w:tr w:rsidR="004B7ED4" w:rsidRPr="004B7ED4" w14:paraId="0E6EA1A5" w14:textId="77777777" w:rsidTr="00093547">
        <w:trPr>
          <w:trHeight w:val="150"/>
        </w:trPr>
        <w:tc>
          <w:tcPr>
            <w:tcW w:w="1585" w:type="dxa"/>
            <w:vMerge/>
          </w:tcPr>
          <w:p w14:paraId="530BF777" w14:textId="77777777" w:rsidR="004B7ED4" w:rsidRPr="004B7ED4" w:rsidRDefault="004B7ED4" w:rsidP="004B7ED4">
            <w:pPr>
              <w:rPr>
                <w:rFonts w:ascii="Arial" w:eastAsia="Arial Unicode MS" w:hAnsi="Arial" w:cs="Arial"/>
                <w:sz w:val="20"/>
                <w:szCs w:val="20"/>
              </w:rPr>
            </w:pPr>
          </w:p>
        </w:tc>
        <w:tc>
          <w:tcPr>
            <w:tcW w:w="1767" w:type="dxa"/>
          </w:tcPr>
          <w:p w14:paraId="0D218486"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Secondary </w:t>
            </w:r>
          </w:p>
        </w:tc>
        <w:tc>
          <w:tcPr>
            <w:tcW w:w="2023" w:type="dxa"/>
          </w:tcPr>
          <w:p w14:paraId="59E5B88F"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100 (33.2)                  </w:t>
            </w:r>
          </w:p>
        </w:tc>
        <w:tc>
          <w:tcPr>
            <w:tcW w:w="1980" w:type="dxa"/>
          </w:tcPr>
          <w:p w14:paraId="5CE62269"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63(63</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03C2F588" w14:textId="77777777" w:rsidR="004B7ED4" w:rsidRPr="004B7ED4" w:rsidRDefault="004B7ED4" w:rsidP="004B7ED4">
            <w:pPr>
              <w:rPr>
                <w:rFonts w:ascii="Arial" w:hAnsi="Arial" w:cs="Arial"/>
                <w:sz w:val="20"/>
                <w:szCs w:val="20"/>
              </w:rPr>
            </w:pPr>
            <w:r w:rsidRPr="004B7ED4">
              <w:rPr>
                <w:rFonts w:ascii="Arial" w:hAnsi="Arial" w:cs="Arial"/>
                <w:sz w:val="20"/>
                <w:szCs w:val="20"/>
              </w:rPr>
              <w:t>37</w:t>
            </w:r>
          </w:p>
        </w:tc>
        <w:tc>
          <w:tcPr>
            <w:tcW w:w="1054" w:type="dxa"/>
          </w:tcPr>
          <w:p w14:paraId="69521EA5"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092DFDA6" w14:textId="77777777" w:rsidTr="00093547">
        <w:trPr>
          <w:trHeight w:val="332"/>
        </w:trPr>
        <w:tc>
          <w:tcPr>
            <w:tcW w:w="1585" w:type="dxa"/>
            <w:vMerge/>
          </w:tcPr>
          <w:p w14:paraId="453BFA87" w14:textId="77777777" w:rsidR="004B7ED4" w:rsidRPr="004B7ED4" w:rsidRDefault="004B7ED4" w:rsidP="004B7ED4">
            <w:pPr>
              <w:rPr>
                <w:rFonts w:ascii="Arial" w:eastAsia="Arial Unicode MS" w:hAnsi="Arial" w:cs="Arial"/>
                <w:sz w:val="20"/>
                <w:szCs w:val="20"/>
              </w:rPr>
            </w:pPr>
          </w:p>
        </w:tc>
        <w:tc>
          <w:tcPr>
            <w:tcW w:w="1767" w:type="dxa"/>
          </w:tcPr>
          <w:p w14:paraId="2906E0BD" w14:textId="77777777" w:rsidR="004B7ED4" w:rsidRPr="004B7ED4" w:rsidRDefault="004B7ED4" w:rsidP="004B7ED4">
            <w:pPr>
              <w:rPr>
                <w:rFonts w:ascii="Arial" w:hAnsi="Arial" w:cs="Arial"/>
                <w:sz w:val="20"/>
                <w:szCs w:val="20"/>
              </w:rPr>
            </w:pPr>
            <w:r w:rsidRPr="004B7ED4">
              <w:rPr>
                <w:rFonts w:ascii="Arial" w:hAnsi="Arial" w:cs="Arial"/>
                <w:sz w:val="20"/>
                <w:szCs w:val="20"/>
              </w:rPr>
              <w:t>Above all</w:t>
            </w:r>
          </w:p>
        </w:tc>
        <w:tc>
          <w:tcPr>
            <w:tcW w:w="2023" w:type="dxa"/>
          </w:tcPr>
          <w:p w14:paraId="07E88862"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  67(22.3)                          </w:t>
            </w:r>
          </w:p>
        </w:tc>
        <w:tc>
          <w:tcPr>
            <w:tcW w:w="1980" w:type="dxa"/>
          </w:tcPr>
          <w:p w14:paraId="7EC4C348"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42(62.7</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5D849D63" w14:textId="77777777" w:rsidR="004B7ED4" w:rsidRPr="004B7ED4" w:rsidRDefault="004B7ED4" w:rsidP="004B7ED4">
            <w:pPr>
              <w:rPr>
                <w:rFonts w:ascii="Arial" w:hAnsi="Arial" w:cs="Arial"/>
                <w:sz w:val="20"/>
                <w:szCs w:val="20"/>
              </w:rPr>
            </w:pPr>
            <w:r w:rsidRPr="004B7ED4">
              <w:rPr>
                <w:rFonts w:ascii="Arial" w:hAnsi="Arial" w:cs="Arial"/>
                <w:sz w:val="20"/>
                <w:szCs w:val="20"/>
              </w:rPr>
              <w:t>25</w:t>
            </w:r>
          </w:p>
        </w:tc>
        <w:tc>
          <w:tcPr>
            <w:tcW w:w="1054" w:type="dxa"/>
          </w:tcPr>
          <w:p w14:paraId="4396BF19" w14:textId="77777777" w:rsidR="004B7ED4" w:rsidRPr="004B7ED4" w:rsidRDefault="004B7ED4" w:rsidP="004B7ED4">
            <w:pPr>
              <w:rPr>
                <w:rFonts w:ascii="Arial" w:hAnsi="Arial" w:cs="Arial"/>
                <w:sz w:val="20"/>
                <w:szCs w:val="20"/>
              </w:rPr>
            </w:pPr>
            <w:r w:rsidRPr="004B7ED4">
              <w:rPr>
                <w:rFonts w:ascii="Arial" w:hAnsi="Arial" w:cs="Arial"/>
                <w:sz w:val="20"/>
                <w:szCs w:val="20"/>
              </w:rPr>
              <w:t>23</w:t>
            </w:r>
          </w:p>
        </w:tc>
      </w:tr>
      <w:tr w:rsidR="004B7ED4" w:rsidRPr="004B7ED4" w14:paraId="3D6EEF17" w14:textId="77777777" w:rsidTr="00093547">
        <w:trPr>
          <w:trHeight w:val="237"/>
        </w:trPr>
        <w:tc>
          <w:tcPr>
            <w:tcW w:w="1585" w:type="dxa"/>
            <w:vMerge w:val="restart"/>
          </w:tcPr>
          <w:p w14:paraId="44687B6F"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Using Alcohol       </w:t>
            </w:r>
          </w:p>
        </w:tc>
        <w:tc>
          <w:tcPr>
            <w:tcW w:w="1767" w:type="dxa"/>
          </w:tcPr>
          <w:p w14:paraId="775418A7"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Yes </w:t>
            </w:r>
          </w:p>
        </w:tc>
        <w:tc>
          <w:tcPr>
            <w:tcW w:w="2023" w:type="dxa"/>
          </w:tcPr>
          <w:p w14:paraId="7042BBDF"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181(60.1</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4B2E47EE"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112(61.9)              </w:t>
            </w:r>
          </w:p>
        </w:tc>
        <w:tc>
          <w:tcPr>
            <w:tcW w:w="1170" w:type="dxa"/>
          </w:tcPr>
          <w:p w14:paraId="498A6148" w14:textId="77777777" w:rsidR="004B7ED4" w:rsidRPr="004B7ED4" w:rsidRDefault="004B7ED4" w:rsidP="004B7ED4">
            <w:pPr>
              <w:rPr>
                <w:rFonts w:ascii="Arial" w:hAnsi="Arial" w:cs="Arial"/>
                <w:sz w:val="20"/>
                <w:szCs w:val="20"/>
              </w:rPr>
            </w:pPr>
            <w:r w:rsidRPr="004B7ED4">
              <w:rPr>
                <w:rFonts w:ascii="Arial" w:hAnsi="Arial" w:cs="Arial"/>
                <w:sz w:val="20"/>
                <w:szCs w:val="20"/>
              </w:rPr>
              <w:t>69</w:t>
            </w:r>
          </w:p>
        </w:tc>
        <w:tc>
          <w:tcPr>
            <w:tcW w:w="1054" w:type="dxa"/>
          </w:tcPr>
          <w:p w14:paraId="5CC2EF9B" w14:textId="77777777" w:rsidR="004B7ED4" w:rsidRPr="004B7ED4" w:rsidRDefault="004B7ED4" w:rsidP="004B7ED4">
            <w:pPr>
              <w:rPr>
                <w:rFonts w:ascii="Arial" w:hAnsi="Arial" w:cs="Arial"/>
                <w:sz w:val="20"/>
                <w:szCs w:val="20"/>
              </w:rPr>
            </w:pPr>
            <w:r w:rsidRPr="004B7ED4">
              <w:rPr>
                <w:rFonts w:ascii="Arial" w:hAnsi="Arial" w:cs="Arial"/>
                <w:sz w:val="20"/>
                <w:szCs w:val="20"/>
              </w:rPr>
              <w:t>23</w:t>
            </w:r>
          </w:p>
        </w:tc>
      </w:tr>
      <w:tr w:rsidR="004B7ED4" w:rsidRPr="004B7ED4" w14:paraId="5ADB7772" w14:textId="77777777" w:rsidTr="00093547">
        <w:trPr>
          <w:trHeight w:val="300"/>
        </w:trPr>
        <w:tc>
          <w:tcPr>
            <w:tcW w:w="1585" w:type="dxa"/>
            <w:vMerge/>
          </w:tcPr>
          <w:p w14:paraId="63D720C4" w14:textId="77777777" w:rsidR="004B7ED4" w:rsidRPr="004B7ED4" w:rsidRDefault="004B7ED4" w:rsidP="004B7ED4">
            <w:pPr>
              <w:rPr>
                <w:rFonts w:ascii="Arial" w:eastAsia="Arial Unicode MS" w:hAnsi="Arial" w:cs="Arial"/>
                <w:sz w:val="20"/>
                <w:szCs w:val="20"/>
              </w:rPr>
            </w:pPr>
          </w:p>
        </w:tc>
        <w:tc>
          <w:tcPr>
            <w:tcW w:w="1767" w:type="dxa"/>
          </w:tcPr>
          <w:p w14:paraId="4F10F01F"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No </w:t>
            </w:r>
          </w:p>
        </w:tc>
        <w:tc>
          <w:tcPr>
            <w:tcW w:w="2023" w:type="dxa"/>
          </w:tcPr>
          <w:p w14:paraId="57D8A4D6"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120(39.9</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2D387BD6"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73(60.8)                      </w:t>
            </w:r>
          </w:p>
        </w:tc>
        <w:tc>
          <w:tcPr>
            <w:tcW w:w="1170" w:type="dxa"/>
          </w:tcPr>
          <w:p w14:paraId="6AF38F44" w14:textId="77777777" w:rsidR="004B7ED4" w:rsidRPr="004B7ED4" w:rsidRDefault="004B7ED4" w:rsidP="004B7ED4">
            <w:pPr>
              <w:rPr>
                <w:rFonts w:ascii="Arial" w:hAnsi="Arial" w:cs="Arial"/>
                <w:sz w:val="20"/>
                <w:szCs w:val="20"/>
              </w:rPr>
            </w:pPr>
            <w:r w:rsidRPr="004B7ED4">
              <w:rPr>
                <w:rFonts w:ascii="Arial" w:hAnsi="Arial" w:cs="Arial"/>
                <w:sz w:val="20"/>
                <w:szCs w:val="20"/>
              </w:rPr>
              <w:t>47</w:t>
            </w:r>
          </w:p>
        </w:tc>
        <w:tc>
          <w:tcPr>
            <w:tcW w:w="1054" w:type="dxa"/>
          </w:tcPr>
          <w:p w14:paraId="1CCC0B55" w14:textId="77777777" w:rsidR="004B7ED4" w:rsidRPr="004B7ED4" w:rsidRDefault="004B7ED4" w:rsidP="004B7ED4">
            <w:pPr>
              <w:rPr>
                <w:rFonts w:ascii="Arial" w:hAnsi="Arial" w:cs="Arial"/>
                <w:sz w:val="20"/>
                <w:szCs w:val="20"/>
              </w:rPr>
            </w:pPr>
            <w:r w:rsidRPr="004B7ED4">
              <w:rPr>
                <w:rFonts w:ascii="Arial" w:hAnsi="Arial" w:cs="Arial"/>
                <w:sz w:val="20"/>
                <w:szCs w:val="20"/>
              </w:rPr>
              <w:t>22</w:t>
            </w:r>
          </w:p>
        </w:tc>
      </w:tr>
      <w:tr w:rsidR="004B7ED4" w:rsidRPr="004B7ED4" w14:paraId="5EB0C29B" w14:textId="77777777" w:rsidTr="00093547">
        <w:trPr>
          <w:trHeight w:val="255"/>
        </w:trPr>
        <w:tc>
          <w:tcPr>
            <w:tcW w:w="1585" w:type="dxa"/>
            <w:vMerge w:val="restart"/>
          </w:tcPr>
          <w:p w14:paraId="308239C4"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 xml:space="preserve">Clinical completion   </w:t>
            </w:r>
          </w:p>
        </w:tc>
        <w:tc>
          <w:tcPr>
            <w:tcW w:w="1767" w:type="dxa"/>
          </w:tcPr>
          <w:p w14:paraId="0EEED685" w14:textId="77777777" w:rsidR="004B7ED4" w:rsidRPr="004B7ED4" w:rsidRDefault="004B7ED4" w:rsidP="004B7ED4">
            <w:pPr>
              <w:rPr>
                <w:rFonts w:ascii="Arial" w:hAnsi="Arial" w:cs="Arial"/>
                <w:sz w:val="20"/>
                <w:szCs w:val="20"/>
              </w:rPr>
            </w:pPr>
            <w:r w:rsidRPr="004B7ED4">
              <w:rPr>
                <w:rFonts w:ascii="Arial" w:hAnsi="Arial" w:cs="Arial"/>
                <w:sz w:val="20"/>
                <w:szCs w:val="20"/>
              </w:rPr>
              <w:t xml:space="preserve">Completed </w:t>
            </w:r>
          </w:p>
        </w:tc>
        <w:tc>
          <w:tcPr>
            <w:tcW w:w="2023" w:type="dxa"/>
          </w:tcPr>
          <w:p w14:paraId="7BA85646"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109(36.2</w:t>
            </w:r>
            <w:r w:rsidRPr="004B7ED4">
              <w:rPr>
                <w:rFonts w:ascii="Arial" w:eastAsia="Arial Unicode MS" w:hAnsi="Arial" w:cs="Arial"/>
                <w:sz w:val="20"/>
                <w:szCs w:val="20"/>
              </w:rPr>
              <w:tab/>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0402B0D9"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42(38.5</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76471A38" w14:textId="77777777" w:rsidR="004B7ED4" w:rsidRPr="004B7ED4" w:rsidRDefault="004B7ED4" w:rsidP="004B7ED4">
            <w:pPr>
              <w:rPr>
                <w:rFonts w:ascii="Arial" w:hAnsi="Arial" w:cs="Arial"/>
                <w:sz w:val="20"/>
                <w:szCs w:val="20"/>
              </w:rPr>
            </w:pPr>
            <w:r w:rsidRPr="004B7ED4">
              <w:rPr>
                <w:rFonts w:ascii="Arial" w:hAnsi="Arial" w:cs="Arial"/>
                <w:sz w:val="20"/>
                <w:szCs w:val="20"/>
              </w:rPr>
              <w:t>67</w:t>
            </w:r>
          </w:p>
        </w:tc>
        <w:tc>
          <w:tcPr>
            <w:tcW w:w="1054" w:type="dxa"/>
          </w:tcPr>
          <w:p w14:paraId="20C5C8B0" w14:textId="77777777" w:rsidR="004B7ED4" w:rsidRPr="004B7ED4" w:rsidRDefault="004B7ED4" w:rsidP="004B7ED4">
            <w:pPr>
              <w:rPr>
                <w:rFonts w:ascii="Arial" w:hAnsi="Arial" w:cs="Arial"/>
                <w:sz w:val="20"/>
                <w:szCs w:val="20"/>
              </w:rPr>
            </w:pPr>
            <w:r w:rsidRPr="004B7ED4">
              <w:rPr>
                <w:rFonts w:ascii="Arial" w:hAnsi="Arial" w:cs="Arial"/>
                <w:sz w:val="20"/>
                <w:szCs w:val="20"/>
              </w:rPr>
              <w:t>17</w:t>
            </w:r>
          </w:p>
        </w:tc>
      </w:tr>
      <w:tr w:rsidR="004B7ED4" w:rsidRPr="004B7ED4" w14:paraId="6B6C859B" w14:textId="77777777" w:rsidTr="00093547">
        <w:trPr>
          <w:trHeight w:val="285"/>
        </w:trPr>
        <w:tc>
          <w:tcPr>
            <w:tcW w:w="1585" w:type="dxa"/>
            <w:vMerge/>
          </w:tcPr>
          <w:p w14:paraId="3E2696C4" w14:textId="77777777" w:rsidR="004B7ED4" w:rsidRPr="004B7ED4" w:rsidRDefault="004B7ED4" w:rsidP="004B7ED4">
            <w:pPr>
              <w:rPr>
                <w:rFonts w:ascii="Arial" w:eastAsia="Arial Unicode MS" w:hAnsi="Arial" w:cs="Arial"/>
                <w:sz w:val="20"/>
                <w:szCs w:val="20"/>
              </w:rPr>
            </w:pPr>
          </w:p>
        </w:tc>
        <w:tc>
          <w:tcPr>
            <w:tcW w:w="1767" w:type="dxa"/>
          </w:tcPr>
          <w:p w14:paraId="6972AA9A" w14:textId="77777777" w:rsidR="004B7ED4" w:rsidRPr="004B7ED4" w:rsidRDefault="004B7ED4" w:rsidP="004B7ED4">
            <w:pPr>
              <w:rPr>
                <w:rFonts w:ascii="Arial" w:hAnsi="Arial" w:cs="Arial"/>
                <w:sz w:val="20"/>
                <w:szCs w:val="20"/>
              </w:rPr>
            </w:pPr>
            <w:r w:rsidRPr="004B7ED4">
              <w:rPr>
                <w:rFonts w:ascii="Arial" w:hAnsi="Arial" w:cs="Arial"/>
                <w:sz w:val="20"/>
                <w:szCs w:val="20"/>
              </w:rPr>
              <w:t>Not complete</w:t>
            </w:r>
          </w:p>
        </w:tc>
        <w:tc>
          <w:tcPr>
            <w:tcW w:w="2023" w:type="dxa"/>
          </w:tcPr>
          <w:p w14:paraId="6F07C822"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191(63.5</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980" w:type="dxa"/>
          </w:tcPr>
          <w:p w14:paraId="1895B9AA" w14:textId="77777777" w:rsidR="004B7ED4" w:rsidRPr="004B7ED4" w:rsidRDefault="004B7ED4" w:rsidP="004B7ED4">
            <w:pPr>
              <w:rPr>
                <w:rFonts w:ascii="Arial" w:hAnsi="Arial" w:cs="Arial"/>
                <w:sz w:val="20"/>
                <w:szCs w:val="20"/>
              </w:rPr>
            </w:pPr>
            <w:r w:rsidRPr="004B7ED4">
              <w:rPr>
                <w:rFonts w:ascii="Arial" w:eastAsia="Arial Unicode MS" w:hAnsi="Arial" w:cs="Arial"/>
                <w:sz w:val="20"/>
                <w:szCs w:val="20"/>
              </w:rPr>
              <w:t>74(38.7</w:t>
            </w:r>
            <w:proofErr w:type="gramStart"/>
            <w:r w:rsidRPr="004B7ED4">
              <w:rPr>
                <w:rFonts w:ascii="Arial" w:eastAsia="Arial Unicode MS" w:hAnsi="Arial" w:cs="Arial"/>
                <w:sz w:val="20"/>
                <w:szCs w:val="20"/>
              </w:rPr>
              <w:t xml:space="preserve">%)   </w:t>
            </w:r>
            <w:proofErr w:type="gramEnd"/>
            <w:r w:rsidRPr="004B7ED4">
              <w:rPr>
                <w:rFonts w:ascii="Arial" w:eastAsia="Arial Unicode MS" w:hAnsi="Arial" w:cs="Arial"/>
                <w:sz w:val="20"/>
                <w:szCs w:val="20"/>
              </w:rPr>
              <w:t xml:space="preserve">                </w:t>
            </w:r>
          </w:p>
        </w:tc>
        <w:tc>
          <w:tcPr>
            <w:tcW w:w="1170" w:type="dxa"/>
          </w:tcPr>
          <w:p w14:paraId="4300653B" w14:textId="77777777" w:rsidR="004B7ED4" w:rsidRPr="004B7ED4" w:rsidRDefault="004B7ED4" w:rsidP="004B7ED4">
            <w:pPr>
              <w:rPr>
                <w:rFonts w:ascii="Arial" w:hAnsi="Arial" w:cs="Arial"/>
                <w:sz w:val="20"/>
                <w:szCs w:val="20"/>
              </w:rPr>
            </w:pPr>
            <w:r w:rsidRPr="004B7ED4">
              <w:rPr>
                <w:rFonts w:ascii="Arial" w:hAnsi="Arial" w:cs="Arial"/>
                <w:sz w:val="20"/>
                <w:szCs w:val="20"/>
              </w:rPr>
              <w:t>117</w:t>
            </w:r>
          </w:p>
        </w:tc>
        <w:tc>
          <w:tcPr>
            <w:tcW w:w="1054" w:type="dxa"/>
          </w:tcPr>
          <w:p w14:paraId="0138644D" w14:textId="77777777" w:rsidR="004B7ED4" w:rsidRPr="004B7ED4" w:rsidRDefault="004B7ED4" w:rsidP="004B7ED4">
            <w:pPr>
              <w:rPr>
                <w:rFonts w:ascii="Arial" w:hAnsi="Arial" w:cs="Arial"/>
                <w:sz w:val="20"/>
                <w:szCs w:val="20"/>
              </w:rPr>
            </w:pPr>
            <w:r w:rsidRPr="004B7ED4">
              <w:rPr>
                <w:rFonts w:ascii="Arial" w:hAnsi="Arial" w:cs="Arial"/>
                <w:sz w:val="20"/>
                <w:szCs w:val="20"/>
              </w:rPr>
              <w:t>20</w:t>
            </w:r>
          </w:p>
        </w:tc>
      </w:tr>
      <w:tr w:rsidR="004B7ED4" w:rsidRPr="004B7ED4" w14:paraId="09CC57FC" w14:textId="77777777" w:rsidTr="00093547">
        <w:trPr>
          <w:trHeight w:val="350"/>
        </w:trPr>
        <w:tc>
          <w:tcPr>
            <w:tcW w:w="9579" w:type="dxa"/>
            <w:gridSpan w:val="6"/>
          </w:tcPr>
          <w:p w14:paraId="3D4E8EE2" w14:textId="77777777" w:rsidR="004B7ED4" w:rsidRPr="004B7ED4" w:rsidRDefault="004B7ED4" w:rsidP="004B7ED4">
            <w:pPr>
              <w:rPr>
                <w:rFonts w:ascii="Arial" w:eastAsia="Arial Unicode MS" w:hAnsi="Arial" w:cs="Arial"/>
                <w:b/>
                <w:sz w:val="20"/>
                <w:szCs w:val="20"/>
              </w:rPr>
            </w:pPr>
            <w:r w:rsidRPr="004B7ED4">
              <w:rPr>
                <w:rFonts w:ascii="Arial" w:hAnsi="Arial" w:cs="Arial"/>
                <w:b/>
                <w:sz w:val="20"/>
                <w:szCs w:val="20"/>
              </w:rPr>
              <w:t>Summary statistics of baseline continuous variables</w:t>
            </w:r>
          </w:p>
        </w:tc>
      </w:tr>
      <w:tr w:rsidR="004B7ED4" w:rsidRPr="004B7ED4" w14:paraId="19619C85" w14:textId="77777777" w:rsidTr="00093547">
        <w:trPr>
          <w:trHeight w:val="512"/>
        </w:trPr>
        <w:tc>
          <w:tcPr>
            <w:tcW w:w="1585" w:type="dxa"/>
          </w:tcPr>
          <w:p w14:paraId="7F5816E4"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Continuous variables</w:t>
            </w:r>
          </w:p>
        </w:tc>
        <w:tc>
          <w:tcPr>
            <w:tcW w:w="1767" w:type="dxa"/>
          </w:tcPr>
          <w:p w14:paraId="71731971"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 xml:space="preserve">Mean </w:t>
            </w:r>
          </w:p>
        </w:tc>
        <w:tc>
          <w:tcPr>
            <w:tcW w:w="2023" w:type="dxa"/>
          </w:tcPr>
          <w:p w14:paraId="67A4048D"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 xml:space="preserve">Standard deviation </w:t>
            </w:r>
          </w:p>
        </w:tc>
        <w:tc>
          <w:tcPr>
            <w:tcW w:w="1980" w:type="dxa"/>
          </w:tcPr>
          <w:p w14:paraId="1A4F82D8"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Minimum</w:t>
            </w:r>
          </w:p>
        </w:tc>
        <w:tc>
          <w:tcPr>
            <w:tcW w:w="1170" w:type="dxa"/>
          </w:tcPr>
          <w:p w14:paraId="775B6857"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Maximum</w:t>
            </w:r>
          </w:p>
        </w:tc>
        <w:tc>
          <w:tcPr>
            <w:tcW w:w="1054" w:type="dxa"/>
          </w:tcPr>
          <w:p w14:paraId="08BEC393"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Median</w:t>
            </w:r>
          </w:p>
        </w:tc>
      </w:tr>
      <w:tr w:rsidR="004B7ED4" w:rsidRPr="004B7ED4" w14:paraId="27277F05" w14:textId="77777777" w:rsidTr="00093547">
        <w:tc>
          <w:tcPr>
            <w:tcW w:w="1585" w:type="dxa"/>
          </w:tcPr>
          <w:p w14:paraId="50BE640C"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 xml:space="preserve">Weight </w:t>
            </w:r>
          </w:p>
        </w:tc>
        <w:tc>
          <w:tcPr>
            <w:tcW w:w="1767" w:type="dxa"/>
          </w:tcPr>
          <w:p w14:paraId="3310F002"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46.52</w:t>
            </w:r>
          </w:p>
        </w:tc>
        <w:tc>
          <w:tcPr>
            <w:tcW w:w="2023" w:type="dxa"/>
          </w:tcPr>
          <w:p w14:paraId="2BD459CA"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13.20</w:t>
            </w:r>
          </w:p>
        </w:tc>
        <w:tc>
          <w:tcPr>
            <w:tcW w:w="1980" w:type="dxa"/>
          </w:tcPr>
          <w:p w14:paraId="0C8564CA"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6.50</w:t>
            </w:r>
          </w:p>
        </w:tc>
        <w:tc>
          <w:tcPr>
            <w:tcW w:w="1170" w:type="dxa"/>
          </w:tcPr>
          <w:p w14:paraId="74785B04"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85.50</w:t>
            </w:r>
          </w:p>
        </w:tc>
        <w:tc>
          <w:tcPr>
            <w:tcW w:w="1054" w:type="dxa"/>
          </w:tcPr>
          <w:p w14:paraId="4848AD27"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48.50</w:t>
            </w:r>
          </w:p>
        </w:tc>
      </w:tr>
      <w:tr w:rsidR="004B7ED4" w:rsidRPr="004B7ED4" w14:paraId="2D4DDE9E" w14:textId="77777777" w:rsidTr="00093547">
        <w:tc>
          <w:tcPr>
            <w:tcW w:w="1585" w:type="dxa"/>
          </w:tcPr>
          <w:p w14:paraId="3140B217"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Time</w:t>
            </w:r>
          </w:p>
        </w:tc>
        <w:tc>
          <w:tcPr>
            <w:tcW w:w="1767" w:type="dxa"/>
          </w:tcPr>
          <w:p w14:paraId="19FCFCF1"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20.16</w:t>
            </w:r>
          </w:p>
        </w:tc>
        <w:tc>
          <w:tcPr>
            <w:tcW w:w="2023" w:type="dxa"/>
          </w:tcPr>
          <w:p w14:paraId="19806233"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3.3</w:t>
            </w:r>
          </w:p>
        </w:tc>
        <w:tc>
          <w:tcPr>
            <w:tcW w:w="1980" w:type="dxa"/>
          </w:tcPr>
          <w:p w14:paraId="6D43FE4A"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8.50</w:t>
            </w:r>
          </w:p>
        </w:tc>
        <w:tc>
          <w:tcPr>
            <w:tcW w:w="1170" w:type="dxa"/>
          </w:tcPr>
          <w:p w14:paraId="647F4CD3"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24</w:t>
            </w:r>
          </w:p>
        </w:tc>
        <w:tc>
          <w:tcPr>
            <w:tcW w:w="1054" w:type="dxa"/>
          </w:tcPr>
          <w:p w14:paraId="02B322E2" w14:textId="77777777" w:rsidR="004B7ED4" w:rsidRPr="004B7ED4" w:rsidRDefault="004B7ED4" w:rsidP="004B7ED4">
            <w:pPr>
              <w:rPr>
                <w:rFonts w:ascii="Arial" w:eastAsia="Arial Unicode MS" w:hAnsi="Arial" w:cs="Arial"/>
                <w:sz w:val="20"/>
                <w:szCs w:val="20"/>
              </w:rPr>
            </w:pPr>
            <w:r w:rsidRPr="004B7ED4">
              <w:rPr>
                <w:rFonts w:ascii="Arial" w:eastAsia="Arial Unicode MS" w:hAnsi="Arial" w:cs="Arial"/>
                <w:sz w:val="20"/>
                <w:szCs w:val="20"/>
              </w:rPr>
              <w:t>22.01</w:t>
            </w:r>
          </w:p>
        </w:tc>
      </w:tr>
    </w:tbl>
    <w:p w14:paraId="1F6214D1" w14:textId="77777777" w:rsidR="004B7ED4" w:rsidRDefault="004B7ED4" w:rsidP="00441B6F">
      <w:pPr>
        <w:jc w:val="both"/>
        <w:rPr>
          <w:rFonts w:ascii="Arial" w:hAnsi="Arial"/>
          <w:b/>
        </w:rPr>
      </w:pPr>
    </w:p>
    <w:p w14:paraId="10C55000" w14:textId="77777777" w:rsidR="008F4A07" w:rsidRPr="008F4A07" w:rsidRDefault="0073593C" w:rsidP="008F4A07">
      <w:pPr>
        <w:spacing w:after="240"/>
        <w:jc w:val="both"/>
        <w:rPr>
          <w:rFonts w:ascii="Arial" w:hAnsi="Arial"/>
          <w:b/>
        </w:rPr>
      </w:pPr>
      <w:r>
        <w:rPr>
          <w:rFonts w:ascii="Arial" w:hAnsi="Arial"/>
          <w:b/>
        </w:rPr>
        <w:t>3.1.1</w:t>
      </w:r>
      <w:r w:rsidR="008F4A07">
        <w:rPr>
          <w:rFonts w:ascii="Arial" w:hAnsi="Arial"/>
          <w:b/>
        </w:rPr>
        <w:t xml:space="preserve">. </w:t>
      </w:r>
      <w:r w:rsidR="008F4A07" w:rsidRPr="008F4A07">
        <w:rPr>
          <w:rFonts w:ascii="Arial" w:hAnsi="Arial"/>
          <w:b/>
        </w:rPr>
        <w:t>Comparison of survivorship functions</w:t>
      </w:r>
    </w:p>
    <w:p w14:paraId="7C9ABAB5" w14:textId="77777777" w:rsidR="00093547" w:rsidRDefault="008F4A07" w:rsidP="008F4A07">
      <w:pPr>
        <w:jc w:val="both"/>
        <w:rPr>
          <w:rFonts w:ascii="Arial" w:hAnsi="Arial"/>
        </w:rPr>
      </w:pPr>
      <w:r w:rsidRPr="008F4A07">
        <w:rPr>
          <w:rFonts w:ascii="Arial" w:hAnsi="Arial"/>
        </w:rPr>
        <w:t>The main focus was on estimating the survival function for time to recovery across various covariate groups to compare their distributions. To obtain a more detailed estimate of the survival time, we employed the Kaplan-Meier estimation techniques. This method is crucial for analyzing censored data [34, 47]. The resulting Kaplan-Meier survival function curve illustrated both the overall estimated survivor function and distinct groups of predictors. Notably, the overall estimated survivor function indicated that patients with MDR-TB achieved recovery after a 22-month treatment period.</w:t>
      </w:r>
    </w:p>
    <w:p w14:paraId="1E6CE2AB" w14:textId="77777777" w:rsidR="005006CF" w:rsidRDefault="005006CF" w:rsidP="008F4A07">
      <w:pPr>
        <w:jc w:val="both"/>
        <w:rPr>
          <w:rFonts w:ascii="Arial" w:hAnsi="Arial"/>
        </w:rPr>
      </w:pPr>
    </w:p>
    <w:p w14:paraId="1F857575" w14:textId="77777777" w:rsidR="005006CF" w:rsidRDefault="005006CF" w:rsidP="008F4A07">
      <w:pPr>
        <w:jc w:val="both"/>
        <w:rPr>
          <w:rFonts w:ascii="Arial" w:hAnsi="Arial"/>
        </w:rPr>
      </w:pPr>
    </w:p>
    <w:p w14:paraId="174864E6" w14:textId="77777777" w:rsidR="005006CF" w:rsidRDefault="005006CF" w:rsidP="008F4A07">
      <w:pPr>
        <w:jc w:val="both"/>
        <w:rPr>
          <w:rFonts w:ascii="Arial" w:hAnsi="Arial"/>
        </w:rPr>
      </w:pPr>
    </w:p>
    <w:p w14:paraId="7977198C" w14:textId="77777777" w:rsidR="005006CF" w:rsidRDefault="005006CF" w:rsidP="008F4A07">
      <w:pPr>
        <w:jc w:val="both"/>
        <w:rPr>
          <w:rFonts w:ascii="Arial" w:hAnsi="Arial"/>
        </w:rPr>
      </w:pPr>
    </w:p>
    <w:p w14:paraId="58B022D9" w14:textId="77777777" w:rsidR="005006CF" w:rsidRDefault="005006CF" w:rsidP="008F4A07">
      <w:pPr>
        <w:jc w:val="both"/>
        <w:rPr>
          <w:rFonts w:ascii="Arial" w:hAnsi="Arial"/>
        </w:rPr>
      </w:pPr>
    </w:p>
    <w:p w14:paraId="0CCB4CED" w14:textId="77777777" w:rsidR="005006CF" w:rsidRDefault="005006CF" w:rsidP="008F4A07">
      <w:pPr>
        <w:jc w:val="both"/>
        <w:rPr>
          <w:rFonts w:ascii="Arial" w:hAnsi="Arial"/>
        </w:rPr>
      </w:pPr>
    </w:p>
    <w:p w14:paraId="027FCB08" w14:textId="77777777" w:rsidR="005006CF" w:rsidRDefault="005006CF" w:rsidP="008F4A07">
      <w:pPr>
        <w:jc w:val="both"/>
        <w:rPr>
          <w:rFonts w:ascii="Arial" w:hAnsi="Arial"/>
        </w:rPr>
      </w:pPr>
    </w:p>
    <w:p w14:paraId="42DE0FB6" w14:textId="77777777" w:rsidR="005006CF" w:rsidRDefault="005006CF" w:rsidP="008F4A07">
      <w:pPr>
        <w:jc w:val="both"/>
        <w:rPr>
          <w:rFonts w:ascii="Arial" w:hAnsi="Arial"/>
        </w:rPr>
      </w:pPr>
    </w:p>
    <w:p w14:paraId="65364865" w14:textId="77777777" w:rsidR="005006CF" w:rsidRDefault="005006CF" w:rsidP="008F4A07">
      <w:pPr>
        <w:jc w:val="both"/>
        <w:rPr>
          <w:rFonts w:ascii="Arial" w:hAnsi="Arial"/>
        </w:rPr>
      </w:pPr>
    </w:p>
    <w:p w14:paraId="2444781E" w14:textId="77777777" w:rsidR="005006CF" w:rsidRPr="008F4A07" w:rsidRDefault="005006CF" w:rsidP="008F4A07">
      <w:pPr>
        <w:jc w:val="both"/>
        <w:rPr>
          <w:rFonts w:ascii="Arial" w:hAnsi="Arial"/>
        </w:rPr>
      </w:pPr>
    </w:p>
    <w:p w14:paraId="56F9A01F" w14:textId="77777777" w:rsidR="008F4A07" w:rsidRDefault="008F4A07" w:rsidP="00441B6F">
      <w:pPr>
        <w:jc w:val="both"/>
        <w:rPr>
          <w:rFonts w:ascii="Arial" w:hAnsi="Arial" w:cs="Arial"/>
          <w:u w:val="single"/>
          <w:lang w:val="en-GB" w:eastAsia="en-GB"/>
        </w:rPr>
      </w:pPr>
    </w:p>
    <w:p w14:paraId="4180B488" w14:textId="77777777" w:rsidR="00693799" w:rsidRPr="00693799" w:rsidRDefault="00693799" w:rsidP="00693799">
      <w:pPr>
        <w:pStyle w:val="ListParagraph"/>
        <w:numPr>
          <w:ilvl w:val="0"/>
          <w:numId w:val="33"/>
        </w:numPr>
        <w:pBdr>
          <w:bottom w:val="single" w:sz="4" w:space="1" w:color="auto"/>
        </w:pBdr>
        <w:autoSpaceDE w:val="0"/>
        <w:autoSpaceDN w:val="0"/>
        <w:adjustRightInd w:val="0"/>
        <w:jc w:val="both"/>
        <w:rPr>
          <w:rFonts w:ascii="Arial" w:hAnsi="Arial" w:cs="Arial"/>
          <w:color w:val="000000"/>
        </w:rPr>
      </w:pPr>
      <w:r w:rsidRPr="00693799">
        <w:rPr>
          <w:rFonts w:ascii="Arial" w:hAnsi="Arial" w:cs="Arial"/>
          <w:color w:val="131413"/>
        </w:rPr>
        <w:t xml:space="preserve">Over all </w:t>
      </w:r>
      <w:proofErr w:type="spellStart"/>
      <w:r w:rsidRPr="00693799">
        <w:rPr>
          <w:rFonts w:ascii="Arial" w:hAnsi="Arial" w:cs="Arial"/>
          <w:color w:val="131413"/>
        </w:rPr>
        <w:t>kaplaian</w:t>
      </w:r>
      <w:proofErr w:type="spellEnd"/>
      <w:r w:rsidRPr="00693799">
        <w:rPr>
          <w:rFonts w:ascii="Arial" w:hAnsi="Arial" w:cs="Arial"/>
          <w:color w:val="131413"/>
        </w:rPr>
        <w:t xml:space="preserve"> </w:t>
      </w:r>
      <w:proofErr w:type="spellStart"/>
      <w:r w:rsidRPr="00693799">
        <w:rPr>
          <w:rFonts w:ascii="Arial" w:hAnsi="Arial" w:cs="Arial"/>
          <w:color w:val="131413"/>
        </w:rPr>
        <w:t>meier</w:t>
      </w:r>
      <w:proofErr w:type="spellEnd"/>
      <w:r w:rsidRPr="00693799">
        <w:rPr>
          <w:rFonts w:ascii="Arial" w:hAnsi="Arial" w:cs="Arial"/>
          <w:color w:val="131413"/>
        </w:rPr>
        <w:t xml:space="preserve"> survival estimate              </w:t>
      </w:r>
      <w:proofErr w:type="gramStart"/>
      <w:r w:rsidRPr="00693799">
        <w:rPr>
          <w:rFonts w:ascii="Arial" w:hAnsi="Arial" w:cs="Arial"/>
          <w:color w:val="131413"/>
        </w:rPr>
        <w:t>b)  MDR</w:t>
      </w:r>
      <w:proofErr w:type="gramEnd"/>
      <w:r w:rsidRPr="00693799">
        <w:rPr>
          <w:rFonts w:ascii="Arial" w:hAnsi="Arial" w:cs="Arial"/>
          <w:color w:val="131413"/>
        </w:rPr>
        <w:t xml:space="preserve"> TB by Residence</w:t>
      </w:r>
    </w:p>
    <w:p w14:paraId="019A9522" w14:textId="77777777" w:rsidR="00693799" w:rsidRPr="00693799" w:rsidRDefault="00693799" w:rsidP="00693799">
      <w:pPr>
        <w:jc w:val="both"/>
        <w:rPr>
          <w:rFonts w:ascii="Arial" w:hAnsi="Arial" w:cs="Arial"/>
          <w:u w:val="single"/>
          <w:lang w:val="en-GB" w:eastAsia="en-GB"/>
        </w:rPr>
      </w:pPr>
    </w:p>
    <w:p w14:paraId="2257F705" w14:textId="77777777" w:rsidR="00693799" w:rsidRDefault="00693799" w:rsidP="00441B6F">
      <w:pPr>
        <w:jc w:val="both"/>
        <w:rPr>
          <w:rFonts w:ascii="Arial" w:hAnsi="Arial" w:cs="Arial"/>
          <w:u w:val="single"/>
          <w:lang w:val="en-GB" w:eastAsia="en-GB"/>
        </w:rPr>
      </w:pPr>
      <w:r w:rsidRPr="00693799">
        <w:rPr>
          <w:rFonts w:ascii="Arial" w:hAnsi="Arial" w:cs="Arial"/>
          <w:noProof/>
          <w:u w:val="single"/>
        </w:rPr>
        <w:drawing>
          <wp:inline distT="0" distB="0" distL="0" distR="0" wp14:anchorId="453128D5" wp14:editId="122E485D">
            <wp:extent cx="2238375" cy="245745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375" cy="2457450"/>
                    </a:xfrm>
                    <a:prstGeom prst="rect">
                      <a:avLst/>
                    </a:prstGeom>
                    <a:noFill/>
                    <a:ln w="9525">
                      <a:noFill/>
                      <a:miter lim="800000"/>
                      <a:headEnd/>
                      <a:tailEnd/>
                    </a:ln>
                  </pic:spPr>
                </pic:pic>
              </a:graphicData>
            </a:graphic>
          </wp:inline>
        </w:drawing>
      </w:r>
    </w:p>
    <w:p w14:paraId="5F453ABB" w14:textId="43B09C2C" w:rsidR="005006CF" w:rsidRDefault="005006CF" w:rsidP="00441B6F">
      <w:pPr>
        <w:jc w:val="both"/>
        <w:rPr>
          <w:rFonts w:ascii="Arial" w:hAnsi="Arial" w:cs="Arial"/>
          <w:u w:val="single"/>
          <w:lang w:val="en-GB" w:eastAsia="en-GB"/>
        </w:rPr>
      </w:pPr>
      <w:r w:rsidRPr="00693799">
        <w:rPr>
          <w:rFonts w:ascii="Arial" w:hAnsi="Arial" w:cs="Arial"/>
          <w:noProof/>
          <w:u w:val="single"/>
        </w:rPr>
        <w:lastRenderedPageBreak/>
        <w:drawing>
          <wp:inline distT="0" distB="0" distL="0" distR="0" wp14:anchorId="69642C0F" wp14:editId="42FB20C1">
            <wp:extent cx="2457450" cy="255270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457450" cy="2552700"/>
                    </a:xfrm>
                    <a:prstGeom prst="rect">
                      <a:avLst/>
                    </a:prstGeom>
                    <a:noFill/>
                    <a:ln w="9525">
                      <a:noFill/>
                      <a:miter lim="800000"/>
                      <a:headEnd/>
                      <a:tailEnd/>
                    </a:ln>
                  </pic:spPr>
                </pic:pic>
              </a:graphicData>
            </a:graphic>
          </wp:inline>
        </w:drawing>
      </w:r>
    </w:p>
    <w:p w14:paraId="23AC411A" w14:textId="7E7B032F" w:rsidR="008F4A07" w:rsidRDefault="00693799" w:rsidP="00693799">
      <w:pPr>
        <w:ind w:firstLine="720"/>
        <w:jc w:val="both"/>
        <w:rPr>
          <w:rFonts w:ascii="Arial" w:hAnsi="Arial" w:cs="Arial"/>
          <w:u w:val="single"/>
          <w:lang w:val="en-GB" w:eastAsia="en-GB"/>
        </w:rPr>
      </w:pPr>
      <w:r>
        <w:rPr>
          <w:rFonts w:ascii="Arial" w:hAnsi="Arial" w:cs="Arial"/>
          <w:u w:val="single"/>
          <w:lang w:val="en-GB" w:eastAsia="en-GB"/>
        </w:rPr>
        <w:br w:type="textWrapping" w:clear="all"/>
      </w:r>
    </w:p>
    <w:p w14:paraId="224A4FF6" w14:textId="77777777" w:rsidR="00362F45" w:rsidRPr="00362F45" w:rsidRDefault="00362F45" w:rsidP="00362F45">
      <w:pPr>
        <w:pStyle w:val="ListParagraph"/>
        <w:jc w:val="both"/>
        <w:rPr>
          <w:rFonts w:ascii="Arial" w:hAnsi="Arial" w:cs="Arial"/>
          <w:u w:val="single"/>
          <w:lang w:val="en-GB" w:eastAsia="en-GB"/>
        </w:rPr>
      </w:pPr>
    </w:p>
    <w:p w14:paraId="17EA5378" w14:textId="77777777" w:rsidR="00362F45" w:rsidRPr="00362F45" w:rsidRDefault="00362F45" w:rsidP="00362F45">
      <w:pPr>
        <w:pStyle w:val="ListParagraph"/>
        <w:jc w:val="both"/>
        <w:rPr>
          <w:rFonts w:ascii="Arial" w:hAnsi="Arial" w:cs="Arial"/>
          <w:u w:val="single"/>
          <w:lang w:val="en-GB" w:eastAsia="en-GB"/>
        </w:rPr>
      </w:pPr>
    </w:p>
    <w:p w14:paraId="1390DC2E" w14:textId="77777777" w:rsidR="00362F45" w:rsidRPr="00362F45" w:rsidRDefault="00362F45" w:rsidP="00362F45">
      <w:pPr>
        <w:pStyle w:val="ListParagraph"/>
        <w:jc w:val="both"/>
        <w:rPr>
          <w:rFonts w:ascii="Arial" w:hAnsi="Arial" w:cs="Arial"/>
          <w:u w:val="single"/>
          <w:lang w:val="en-GB" w:eastAsia="en-GB"/>
        </w:rPr>
      </w:pPr>
    </w:p>
    <w:p w14:paraId="375B87AC" w14:textId="77777777" w:rsidR="00362F45" w:rsidRPr="00362F45" w:rsidRDefault="00362F45" w:rsidP="00362F45">
      <w:pPr>
        <w:pStyle w:val="ListParagraph"/>
        <w:jc w:val="both"/>
        <w:rPr>
          <w:rFonts w:ascii="Arial" w:hAnsi="Arial" w:cs="Arial"/>
          <w:u w:val="single"/>
          <w:lang w:val="en-GB" w:eastAsia="en-GB"/>
        </w:rPr>
      </w:pPr>
    </w:p>
    <w:p w14:paraId="4D70A118" w14:textId="77777777" w:rsidR="00362F45" w:rsidRPr="00362F45" w:rsidRDefault="00362F45" w:rsidP="00362F45">
      <w:pPr>
        <w:pStyle w:val="ListParagraph"/>
        <w:jc w:val="both"/>
        <w:rPr>
          <w:rFonts w:ascii="Arial" w:hAnsi="Arial" w:cs="Arial"/>
          <w:u w:val="single"/>
          <w:lang w:val="en-GB" w:eastAsia="en-GB"/>
        </w:rPr>
      </w:pPr>
    </w:p>
    <w:p w14:paraId="74E10283" w14:textId="77777777" w:rsidR="00693799" w:rsidRPr="006F696D" w:rsidRDefault="00693799" w:rsidP="006F696D">
      <w:pPr>
        <w:pStyle w:val="ListParagraph"/>
        <w:numPr>
          <w:ilvl w:val="0"/>
          <w:numId w:val="34"/>
        </w:numPr>
        <w:spacing w:line="240" w:lineRule="auto"/>
        <w:jc w:val="both"/>
        <w:rPr>
          <w:rFonts w:ascii="Arial" w:hAnsi="Arial" w:cs="Arial"/>
          <w:sz w:val="20"/>
          <w:szCs w:val="20"/>
          <w:u w:val="single"/>
          <w:lang w:val="en-GB" w:eastAsia="en-GB"/>
        </w:rPr>
      </w:pPr>
      <w:r w:rsidRPr="006F696D">
        <w:rPr>
          <w:rFonts w:ascii="Times New Roman" w:hAnsi="Times New Roman"/>
          <w:sz w:val="24"/>
          <w:szCs w:val="24"/>
        </w:rPr>
        <w:t xml:space="preserve"> </w:t>
      </w:r>
      <w:r w:rsidRPr="006F696D">
        <w:rPr>
          <w:rFonts w:ascii="Arial" w:hAnsi="Arial" w:cs="Arial"/>
          <w:sz w:val="20"/>
          <w:szCs w:val="20"/>
        </w:rPr>
        <w:t>MDR TB by drug use history</w:t>
      </w:r>
      <w:r w:rsidR="00362F45" w:rsidRPr="006F696D">
        <w:rPr>
          <w:rFonts w:ascii="Arial" w:hAnsi="Arial" w:cs="Arial"/>
          <w:sz w:val="20"/>
          <w:szCs w:val="20"/>
        </w:rPr>
        <w:t xml:space="preserve">                                     d) </w:t>
      </w:r>
      <w:r w:rsidR="006F696D" w:rsidRPr="006F696D">
        <w:rPr>
          <w:rFonts w:ascii="Arial" w:hAnsi="Arial" w:cs="Arial"/>
          <w:sz w:val="20"/>
          <w:szCs w:val="20"/>
        </w:rPr>
        <w:t>MDR TB by Sex</w:t>
      </w:r>
      <w:r w:rsidR="006F696D" w:rsidRPr="006F696D">
        <w:rPr>
          <w:rFonts w:ascii="Arial" w:hAnsi="Arial" w:cs="Arial"/>
          <w:sz w:val="20"/>
          <w:szCs w:val="20"/>
        </w:rPr>
        <w:tab/>
      </w:r>
    </w:p>
    <w:p w14:paraId="772A51E6" w14:textId="77777777" w:rsidR="00362F45" w:rsidRPr="00693799" w:rsidRDefault="00362F45" w:rsidP="00362F45">
      <w:pPr>
        <w:pStyle w:val="ListParagraph"/>
        <w:jc w:val="both"/>
        <w:rPr>
          <w:rFonts w:ascii="Arial" w:hAnsi="Arial" w:cs="Arial"/>
          <w:u w:val="single"/>
          <w:lang w:val="en-GB" w:eastAsia="en-GB"/>
        </w:rPr>
      </w:pPr>
    </w:p>
    <w:p w14:paraId="2D94DD91" w14:textId="77777777" w:rsidR="00693799" w:rsidRDefault="00362F45" w:rsidP="00693799">
      <w:pPr>
        <w:ind w:firstLine="720"/>
        <w:jc w:val="both"/>
        <w:rPr>
          <w:rFonts w:ascii="Arial" w:hAnsi="Arial" w:cs="Arial"/>
          <w:u w:val="single"/>
          <w:lang w:val="en-GB" w:eastAsia="en-GB"/>
        </w:rPr>
      </w:pPr>
      <w:r>
        <w:rPr>
          <w:rFonts w:ascii="Arial" w:hAnsi="Arial" w:cs="Arial"/>
          <w:noProof/>
          <w:u w:val="single"/>
        </w:rPr>
        <w:drawing>
          <wp:anchor distT="0" distB="0" distL="114300" distR="114300" simplePos="0" relativeHeight="251659264" behindDoc="0" locked="0" layoutInCell="1" allowOverlap="1" wp14:anchorId="2BA87335" wp14:editId="785884AD">
            <wp:simplePos x="0" y="0"/>
            <wp:positionH relativeFrom="column">
              <wp:align>left</wp:align>
            </wp:positionH>
            <wp:positionV relativeFrom="paragraph">
              <wp:align>top</wp:align>
            </wp:positionV>
            <wp:extent cx="2838450" cy="2819400"/>
            <wp:effectExtent l="19050" t="0" r="0" b="0"/>
            <wp:wrapSquare wrapText="bothSides"/>
            <wp:docPr id="7" name="Picture 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838450" cy="2819400"/>
                    </a:xfrm>
                    <a:prstGeom prst="rect">
                      <a:avLst/>
                    </a:prstGeom>
                    <a:noFill/>
                    <a:ln w="9525">
                      <a:noFill/>
                      <a:miter lim="800000"/>
                      <a:headEnd/>
                      <a:tailEnd/>
                    </a:ln>
                  </pic:spPr>
                </pic:pic>
              </a:graphicData>
            </a:graphic>
          </wp:anchor>
        </w:drawing>
      </w:r>
      <w:r w:rsidRPr="00362F45">
        <w:rPr>
          <w:rFonts w:ascii="Arial" w:hAnsi="Arial" w:cs="Arial"/>
          <w:noProof/>
          <w:u w:val="single"/>
        </w:rPr>
        <w:drawing>
          <wp:inline distT="0" distB="0" distL="0" distR="0" wp14:anchorId="76E6EB89" wp14:editId="13E6EF5E">
            <wp:extent cx="2828925" cy="2676525"/>
            <wp:effectExtent l="19050" t="0" r="9525"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2833606" cy="2680954"/>
                    </a:xfrm>
                    <a:prstGeom prst="rect">
                      <a:avLst/>
                    </a:prstGeom>
                    <a:noFill/>
                    <a:ln w="9525">
                      <a:noFill/>
                      <a:miter lim="800000"/>
                      <a:headEnd/>
                      <a:tailEnd/>
                    </a:ln>
                  </pic:spPr>
                </pic:pic>
              </a:graphicData>
            </a:graphic>
          </wp:inline>
        </w:drawing>
      </w:r>
      <w:r>
        <w:rPr>
          <w:rFonts w:ascii="Arial" w:hAnsi="Arial" w:cs="Arial"/>
          <w:u w:val="single"/>
          <w:lang w:val="en-GB" w:eastAsia="en-GB"/>
        </w:rPr>
        <w:br w:type="textWrapping" w:clear="all"/>
      </w:r>
    </w:p>
    <w:p w14:paraId="4304C4A4" w14:textId="473D423C" w:rsidR="006F696D" w:rsidRPr="005006CF" w:rsidRDefault="006F696D" w:rsidP="005006CF">
      <w:pPr>
        <w:pStyle w:val="ListParagraph"/>
        <w:numPr>
          <w:ilvl w:val="0"/>
          <w:numId w:val="36"/>
        </w:numPr>
        <w:autoSpaceDE w:val="0"/>
        <w:autoSpaceDN w:val="0"/>
        <w:adjustRightInd w:val="0"/>
        <w:spacing w:before="100" w:beforeAutospacing="1" w:after="100" w:afterAutospacing="1"/>
        <w:jc w:val="both"/>
        <w:rPr>
          <w:rFonts w:ascii="Arial" w:hAnsi="Arial" w:cs="Arial"/>
        </w:rPr>
      </w:pPr>
      <w:r w:rsidRPr="005006CF">
        <w:rPr>
          <w:rFonts w:ascii="Arial" w:hAnsi="Arial" w:cs="Arial"/>
        </w:rPr>
        <w:t>MDR TB by type of MDR TB</w:t>
      </w:r>
    </w:p>
    <w:p w14:paraId="28F88D90" w14:textId="77777777" w:rsidR="00693799" w:rsidRDefault="006F696D" w:rsidP="00693799">
      <w:pPr>
        <w:ind w:firstLine="720"/>
        <w:jc w:val="both"/>
        <w:rPr>
          <w:rFonts w:ascii="Arial" w:hAnsi="Arial" w:cs="Arial"/>
          <w:u w:val="single"/>
          <w:lang w:val="en-GB" w:eastAsia="en-GB"/>
        </w:rPr>
      </w:pPr>
      <w:r w:rsidRPr="006F696D">
        <w:rPr>
          <w:rFonts w:ascii="Arial" w:hAnsi="Arial" w:cs="Arial"/>
          <w:noProof/>
          <w:u w:val="single"/>
        </w:rPr>
        <w:lastRenderedPageBreak/>
        <w:drawing>
          <wp:inline distT="0" distB="0" distL="0" distR="0" wp14:anchorId="1D79A1B9" wp14:editId="5E3DEF00">
            <wp:extent cx="4038600" cy="2256045"/>
            <wp:effectExtent l="1905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038600" cy="2256045"/>
                    </a:xfrm>
                    <a:prstGeom prst="rect">
                      <a:avLst/>
                    </a:prstGeom>
                    <a:noFill/>
                    <a:ln w="9525">
                      <a:noFill/>
                      <a:miter lim="800000"/>
                      <a:headEnd/>
                      <a:tailEnd/>
                    </a:ln>
                  </pic:spPr>
                </pic:pic>
              </a:graphicData>
            </a:graphic>
          </wp:inline>
        </w:drawing>
      </w:r>
    </w:p>
    <w:p w14:paraId="625B99D0" w14:textId="77777777" w:rsidR="00FF550F" w:rsidRDefault="00FF550F" w:rsidP="00693799">
      <w:pPr>
        <w:ind w:firstLine="720"/>
        <w:jc w:val="both"/>
        <w:rPr>
          <w:rFonts w:ascii="Arial" w:hAnsi="Arial" w:cs="Arial"/>
          <w:u w:val="single"/>
          <w:lang w:val="en-GB" w:eastAsia="en-GB"/>
        </w:rPr>
      </w:pPr>
    </w:p>
    <w:p w14:paraId="6F28ABDB" w14:textId="77777777" w:rsidR="00693799" w:rsidRPr="00FF550F" w:rsidRDefault="00FF550F" w:rsidP="00FF550F">
      <w:pPr>
        <w:ind w:firstLine="720"/>
        <w:jc w:val="both"/>
        <w:rPr>
          <w:rFonts w:ascii="Arial" w:hAnsi="Arial" w:cs="Arial"/>
          <w:i/>
          <w:lang w:val="en-GB" w:eastAsia="en-GB"/>
        </w:rPr>
      </w:pPr>
      <w:r w:rsidRPr="00FF550F">
        <w:rPr>
          <w:rFonts w:ascii="Arial" w:hAnsi="Arial" w:cs="Arial"/>
          <w:i/>
          <w:lang w:val="en-GB" w:eastAsia="en-GB"/>
        </w:rPr>
        <w:t>Figure 1 Estimate of the KM Survival function for the recovery time of MDR-TB patients in SNNP among category of categorical variables by (a) overall (b) residence (c) drug use history (d) sex (e) type of MDR-TB.</w:t>
      </w:r>
    </w:p>
    <w:p w14:paraId="0655F4F6" w14:textId="77777777" w:rsidR="00693799" w:rsidRPr="00FF550F" w:rsidRDefault="00693799" w:rsidP="00693799">
      <w:pPr>
        <w:ind w:firstLine="720"/>
        <w:jc w:val="both"/>
        <w:rPr>
          <w:rFonts w:ascii="Arial" w:hAnsi="Arial" w:cs="Arial"/>
          <w:i/>
          <w:lang w:val="en-GB" w:eastAsia="en-GB"/>
        </w:rPr>
      </w:pPr>
    </w:p>
    <w:p w14:paraId="2AA33359" w14:textId="77777777" w:rsidR="00693799" w:rsidRDefault="00693799" w:rsidP="00693799">
      <w:pPr>
        <w:ind w:firstLine="720"/>
        <w:jc w:val="both"/>
        <w:rPr>
          <w:rFonts w:ascii="Arial" w:hAnsi="Arial" w:cs="Arial"/>
          <w:u w:val="single"/>
          <w:lang w:val="en-GB" w:eastAsia="en-GB"/>
        </w:rPr>
      </w:pPr>
    </w:p>
    <w:p w14:paraId="51F596BA" w14:textId="77777777" w:rsidR="00170F40" w:rsidRPr="00170F40" w:rsidRDefault="00170F40" w:rsidP="00170F40">
      <w:pPr>
        <w:jc w:val="both"/>
        <w:rPr>
          <w:rFonts w:ascii="Arial" w:hAnsi="Arial" w:cs="Arial"/>
          <w:lang w:val="en-GB" w:eastAsia="en-GB"/>
        </w:rPr>
      </w:pPr>
      <w:r w:rsidRPr="00170F40">
        <w:rPr>
          <w:rFonts w:ascii="Arial" w:hAnsi="Arial" w:cs="Arial"/>
          <w:lang w:val="en-GB" w:eastAsia="en-GB"/>
        </w:rPr>
        <w:t>The survival curve generated by the Kaplan-Meier estimator illustrated both the collective estimated survivor function and distinct predictor groups. Evidently, the overall estimated survivor function indicated that individuals with MDR-TB experienced recovery following 22-month treatment duration.</w:t>
      </w:r>
    </w:p>
    <w:p w14:paraId="55A43CA7" w14:textId="77777777" w:rsidR="00693799" w:rsidRPr="00170F40" w:rsidRDefault="00170F40" w:rsidP="00170F40">
      <w:pPr>
        <w:jc w:val="both"/>
        <w:rPr>
          <w:rFonts w:ascii="Arial" w:hAnsi="Arial" w:cs="Arial"/>
          <w:lang w:val="en-GB" w:eastAsia="en-GB"/>
        </w:rPr>
      </w:pPr>
      <w:r w:rsidRPr="00170F40">
        <w:rPr>
          <w:rFonts w:ascii="Arial" w:hAnsi="Arial" w:cs="Arial"/>
          <w:lang w:val="en-GB" w:eastAsia="en-GB"/>
        </w:rPr>
        <w:t>As we can see from above km estimated categorical variables the recovery time of patients was the difference between HIV status, smoking status, Residence, education level, Alcohol use and MDR-TB type, sex whereas, marital status, Adherence; history of TB and occupation did not show a clear difference in the figure above.</w:t>
      </w:r>
    </w:p>
    <w:p w14:paraId="18B7BFC4" w14:textId="77777777" w:rsidR="00170F40" w:rsidRDefault="00170F40" w:rsidP="00441B6F">
      <w:pPr>
        <w:jc w:val="both"/>
        <w:rPr>
          <w:rFonts w:ascii="Arial" w:hAnsi="Arial" w:cs="Arial"/>
          <w:u w:val="single"/>
          <w:lang w:val="en-GB" w:eastAsia="en-GB"/>
        </w:rPr>
      </w:pPr>
    </w:p>
    <w:p w14:paraId="5C4487A9" w14:textId="77777777" w:rsidR="00BA32AD" w:rsidRDefault="003C095D" w:rsidP="00441B6F">
      <w:pPr>
        <w:jc w:val="both"/>
        <w:rPr>
          <w:rFonts w:ascii="Arial" w:hAnsi="Arial" w:cs="Arial"/>
          <w:b/>
          <w:lang w:val="en-GB" w:eastAsia="en-GB"/>
        </w:rPr>
      </w:pPr>
      <w:r>
        <w:rPr>
          <w:rFonts w:ascii="Arial" w:hAnsi="Arial" w:cs="Arial"/>
          <w:b/>
          <w:lang w:val="en-GB" w:eastAsia="en-GB"/>
        </w:rPr>
        <w:t>3.</w:t>
      </w:r>
      <w:r w:rsidR="00CB6510">
        <w:rPr>
          <w:rFonts w:ascii="Arial" w:hAnsi="Arial" w:cs="Arial"/>
          <w:b/>
          <w:lang w:val="en-GB" w:eastAsia="en-GB"/>
        </w:rPr>
        <w:t>1.</w:t>
      </w:r>
      <w:r w:rsidR="00BA32AD">
        <w:rPr>
          <w:rFonts w:ascii="Arial" w:hAnsi="Arial" w:cs="Arial"/>
          <w:b/>
          <w:lang w:val="en-GB" w:eastAsia="en-GB"/>
        </w:rPr>
        <w:t xml:space="preserve">2. </w:t>
      </w:r>
      <w:r w:rsidRPr="00332A94">
        <w:rPr>
          <w:rFonts w:ascii="Arial" w:hAnsi="Arial" w:cs="Arial"/>
          <w:b/>
          <w:sz w:val="22"/>
          <w:szCs w:val="22"/>
          <w:lang w:val="en-GB" w:eastAsia="en-GB"/>
        </w:rPr>
        <w:t>Parametric shared frailty model Results</w:t>
      </w:r>
    </w:p>
    <w:p w14:paraId="4C1546D8" w14:textId="77777777" w:rsidR="00BA32AD" w:rsidRPr="003C095D" w:rsidRDefault="00BA32AD" w:rsidP="00441B6F">
      <w:pPr>
        <w:jc w:val="both"/>
        <w:rPr>
          <w:rFonts w:ascii="Arial" w:hAnsi="Arial" w:cs="Arial"/>
          <w:b/>
          <w:lang w:val="en-GB" w:eastAsia="en-GB"/>
        </w:rPr>
      </w:pPr>
    </w:p>
    <w:p w14:paraId="674BAE40" w14:textId="77777777" w:rsidR="00BA32AD" w:rsidRPr="00BA32AD" w:rsidRDefault="00BA32AD" w:rsidP="00BA32AD">
      <w:pPr>
        <w:jc w:val="both"/>
        <w:rPr>
          <w:rFonts w:ascii="Arial" w:hAnsi="Arial" w:cs="Arial"/>
          <w:lang w:val="en-GB" w:eastAsia="en-GB"/>
        </w:rPr>
      </w:pPr>
      <w:r w:rsidRPr="00BA32AD">
        <w:rPr>
          <w:rFonts w:ascii="Arial" w:hAnsi="Arial" w:cs="Arial"/>
          <w:lang w:val="en-GB" w:eastAsia="en-GB"/>
        </w:rPr>
        <w:t>Parametric-shared frailty models were applied, considering the Exponential, Weibull, and log-normal distributions for the baseline hazard function. The Gamma distribution, commonly employed in literature to assess frailty effects [43, 48], was specifically chosen. Consequently, the study involved fitting both the Gamma frailty model and the Weibull Gamma shared frailty model, with hospitals serving as the random (frailty) component, to determine the most suitable model.</w:t>
      </w:r>
    </w:p>
    <w:p w14:paraId="5D68A8A9" w14:textId="77777777" w:rsidR="00170F40" w:rsidRPr="00BA32AD" w:rsidRDefault="00BA32AD" w:rsidP="00BA32AD">
      <w:pPr>
        <w:jc w:val="both"/>
        <w:rPr>
          <w:rFonts w:ascii="Arial" w:hAnsi="Arial" w:cs="Arial"/>
          <w:lang w:val="en-GB" w:eastAsia="en-GB"/>
        </w:rPr>
      </w:pPr>
      <w:r w:rsidRPr="00BA32AD">
        <w:rPr>
          <w:rFonts w:ascii="Arial" w:hAnsi="Arial" w:cs="Arial"/>
          <w:lang w:val="en-GB" w:eastAsia="en-GB"/>
        </w:rPr>
        <w:t xml:space="preserve">The AIC for the Weibull gamma shared frailty (−2375.33) was smaller than the AIC for the Weibull AFT (− 222.56) models. The frailty for the selected model was estimated to be 1.467 (chi-square = 53.42, </w:t>
      </w:r>
      <w:proofErr w:type="spellStart"/>
      <w:r w:rsidRPr="00BA32AD">
        <w:rPr>
          <w:rFonts w:ascii="Arial" w:hAnsi="Arial" w:cs="Arial"/>
          <w:lang w:val="en-GB" w:eastAsia="en-GB"/>
        </w:rPr>
        <w:t>df</w:t>
      </w:r>
      <w:proofErr w:type="spellEnd"/>
      <w:r w:rsidRPr="00BA32AD">
        <w:rPr>
          <w:rFonts w:ascii="Arial" w:hAnsi="Arial" w:cs="Arial"/>
          <w:lang w:val="en-GB" w:eastAsia="en-GB"/>
        </w:rPr>
        <w:t xml:space="preserve"> = 1, p-value = 0.0000) which indicated existence of unobserved heterogeneity between the hospitals and it was observed that the inclusion of the frailty component in the model was significant. The result also showed that the value of the shared frailty (θ) is 1.467, 1.36, 0.527 and 0.157 for Weibull, Log-logistic, Exponential and Lognormal gamma shared frailty models respectively; the heterogeneity between clusters was high when estimated by Weibull gamma shared frailty model, which were 1.46. The Kendall’s tau (τ) is higher for higher values of theta (θ) which measure the association within region. The estimated τ = 0.424 shows that there is strong dependence within the cluster or region. This indicates Weibull-gamma shared frailty model is more efficient model to describe time-to-recovery from MDR-TB. And </w:t>
      </w:r>
      <w:proofErr w:type="gramStart"/>
      <w:r w:rsidRPr="00BA32AD">
        <w:rPr>
          <w:rFonts w:ascii="Arial" w:hAnsi="Arial" w:cs="Arial"/>
          <w:lang w:val="en-GB" w:eastAsia="en-GB"/>
        </w:rPr>
        <w:t>also</w:t>
      </w:r>
      <w:proofErr w:type="gramEnd"/>
      <w:r w:rsidRPr="00BA32AD">
        <w:rPr>
          <w:rFonts w:ascii="Arial" w:hAnsi="Arial" w:cs="Arial"/>
          <w:lang w:val="en-GB" w:eastAsia="en-GB"/>
        </w:rPr>
        <w:t xml:space="preserve"> it implied that the frailty component had significant contribution to the model.</w:t>
      </w:r>
    </w:p>
    <w:p w14:paraId="131B4C51" w14:textId="77777777" w:rsidR="00BA32AD" w:rsidRDefault="00BA32AD" w:rsidP="00441B6F">
      <w:pPr>
        <w:jc w:val="both"/>
        <w:rPr>
          <w:rFonts w:ascii="Arial" w:hAnsi="Arial" w:cs="Arial"/>
          <w:lang w:val="en-GB" w:eastAsia="en-GB"/>
        </w:rPr>
      </w:pPr>
    </w:p>
    <w:p w14:paraId="194B68A4" w14:textId="77777777" w:rsidR="00BA32AD" w:rsidRPr="00BA32AD" w:rsidRDefault="00CB6510" w:rsidP="00BA32AD">
      <w:pPr>
        <w:spacing w:after="240"/>
        <w:jc w:val="both"/>
        <w:rPr>
          <w:rFonts w:ascii="Arial" w:hAnsi="Arial" w:cs="Arial"/>
          <w:b/>
          <w:lang w:val="en-GB" w:eastAsia="en-GB"/>
        </w:rPr>
      </w:pPr>
      <w:r>
        <w:rPr>
          <w:rFonts w:ascii="Arial" w:hAnsi="Arial" w:cs="Arial"/>
          <w:b/>
          <w:lang w:val="en-GB" w:eastAsia="en-GB"/>
        </w:rPr>
        <w:t>3.1.3</w:t>
      </w:r>
      <w:r w:rsidR="00332A94">
        <w:rPr>
          <w:rFonts w:ascii="Arial" w:hAnsi="Arial" w:cs="Arial"/>
          <w:b/>
          <w:lang w:val="en-GB" w:eastAsia="en-GB"/>
        </w:rPr>
        <w:t xml:space="preserve">. </w:t>
      </w:r>
      <w:r w:rsidR="00BA32AD" w:rsidRPr="00BA32AD">
        <w:rPr>
          <w:rFonts w:ascii="Arial" w:hAnsi="Arial" w:cs="Arial"/>
          <w:b/>
          <w:lang w:val="en-GB" w:eastAsia="en-GB"/>
        </w:rPr>
        <w:t>The Cox Snell Residual Plots</w:t>
      </w:r>
    </w:p>
    <w:p w14:paraId="7CFA0B4E" w14:textId="77777777" w:rsidR="00BA32AD" w:rsidRDefault="00BA32AD" w:rsidP="00BA32AD">
      <w:pPr>
        <w:spacing w:after="240"/>
        <w:jc w:val="both"/>
        <w:rPr>
          <w:rFonts w:ascii="Arial" w:hAnsi="Arial" w:cs="Arial"/>
          <w:lang w:val="en-GB" w:eastAsia="en-GB"/>
        </w:rPr>
      </w:pPr>
      <w:r w:rsidRPr="00BA32AD">
        <w:rPr>
          <w:rFonts w:ascii="Arial" w:hAnsi="Arial" w:cs="Arial"/>
          <w:lang w:val="en-GB" w:eastAsia="en-GB"/>
        </w:rPr>
        <w:t xml:space="preserve">The Cox-Snell residuals offer a distinctive approach to assess the goodness of fit of the model to the data. It’s notable that the plot depicting the cumulative hazard function against Cox-Snell residuals closely aligns with the 45- degree straight lines originating from the origin for the Weibull model when compared to exponential, Log-normal and Log-logistic. </w:t>
      </w:r>
      <w:proofErr w:type="gramStart"/>
      <w:r w:rsidRPr="00BA32AD">
        <w:rPr>
          <w:rFonts w:ascii="Arial" w:hAnsi="Arial" w:cs="Arial"/>
          <w:lang w:val="en-GB" w:eastAsia="en-GB"/>
        </w:rPr>
        <w:t>Therefore</w:t>
      </w:r>
      <w:proofErr w:type="gramEnd"/>
      <w:r w:rsidRPr="00BA32AD">
        <w:rPr>
          <w:rFonts w:ascii="Arial" w:hAnsi="Arial" w:cs="Arial"/>
          <w:lang w:val="en-GB" w:eastAsia="en-GB"/>
        </w:rPr>
        <w:t xml:space="preserve"> overall goodness of fit for the AFT model was checked by these Cox-Snell residual plots [46]. This suggests that Weibull model provided the best fit for the recovery time of MDR-TB patients. The plots indicate that the Weibull model fits the data best and that the other model fits poorly.</w:t>
      </w:r>
    </w:p>
    <w:p w14:paraId="1F90A43A" w14:textId="77777777" w:rsidR="00BA32AD" w:rsidRDefault="00BA32AD" w:rsidP="00441B6F">
      <w:pPr>
        <w:jc w:val="both"/>
        <w:rPr>
          <w:rFonts w:ascii="Arial" w:hAnsi="Arial" w:cs="Arial"/>
          <w:lang w:val="en-GB" w:eastAsia="en-GB"/>
        </w:rPr>
      </w:pPr>
      <w:r w:rsidRPr="00BA32AD">
        <w:rPr>
          <w:rFonts w:ascii="Arial" w:hAnsi="Arial" w:cs="Arial"/>
          <w:noProof/>
        </w:rPr>
        <w:lastRenderedPageBreak/>
        <w:drawing>
          <wp:inline distT="0" distB="0" distL="0" distR="0" wp14:anchorId="0906C711" wp14:editId="640F9883">
            <wp:extent cx="4673720" cy="3295291"/>
            <wp:effectExtent l="19050" t="0" r="0" b="0"/>
            <wp:docPr id="10"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678303" cy="3298523"/>
                    </a:xfrm>
                    <a:prstGeom prst="rect">
                      <a:avLst/>
                    </a:prstGeom>
                    <a:noFill/>
                    <a:ln w="9525">
                      <a:noFill/>
                      <a:miter lim="800000"/>
                      <a:headEnd/>
                      <a:tailEnd/>
                    </a:ln>
                  </pic:spPr>
                </pic:pic>
              </a:graphicData>
            </a:graphic>
          </wp:inline>
        </w:drawing>
      </w:r>
    </w:p>
    <w:p w14:paraId="0AF90656" w14:textId="77777777" w:rsidR="00BA32AD" w:rsidRPr="00BA32AD" w:rsidRDefault="00BA32AD" w:rsidP="00441B6F">
      <w:pPr>
        <w:jc w:val="both"/>
        <w:rPr>
          <w:rFonts w:ascii="Arial" w:hAnsi="Arial" w:cs="Arial"/>
          <w:i/>
          <w:lang w:val="en-GB" w:eastAsia="en-GB"/>
        </w:rPr>
      </w:pPr>
      <w:r w:rsidRPr="00BA32AD">
        <w:rPr>
          <w:rFonts w:ascii="Arial" w:hAnsi="Arial" w:cs="Arial"/>
          <w:i/>
          <w:lang w:val="en-GB" w:eastAsia="en-GB"/>
        </w:rPr>
        <w:t>Figure</w:t>
      </w:r>
      <w:r>
        <w:rPr>
          <w:rFonts w:ascii="Arial" w:hAnsi="Arial" w:cs="Arial"/>
          <w:i/>
          <w:lang w:val="en-GB" w:eastAsia="en-GB"/>
        </w:rPr>
        <w:t xml:space="preserve"> 2</w:t>
      </w:r>
      <w:r w:rsidRPr="00BA32AD">
        <w:rPr>
          <w:rFonts w:ascii="Arial" w:hAnsi="Arial" w:cs="Arial"/>
          <w:i/>
          <w:lang w:val="en-GB" w:eastAsia="en-GB"/>
        </w:rPr>
        <w:t xml:space="preserve"> the Cox–Snell residual plots to evaluate model fit of four regression models Exponential, Weibull, log logistic and lognormal distributions.</w:t>
      </w:r>
    </w:p>
    <w:p w14:paraId="0E74CCBD" w14:textId="77777777" w:rsidR="00BA32AD" w:rsidRPr="00332A94" w:rsidRDefault="00BA32AD" w:rsidP="00332A94">
      <w:pPr>
        <w:spacing w:after="240"/>
        <w:jc w:val="both"/>
        <w:rPr>
          <w:rFonts w:ascii="Arial" w:hAnsi="Arial" w:cs="Arial"/>
          <w:b/>
          <w:sz w:val="22"/>
          <w:szCs w:val="22"/>
          <w:lang w:val="en-GB" w:eastAsia="en-GB"/>
        </w:rPr>
      </w:pPr>
    </w:p>
    <w:p w14:paraId="31DF2AAE" w14:textId="77777777" w:rsidR="00332A94" w:rsidRPr="00332A94" w:rsidRDefault="00CB6510" w:rsidP="00332A94">
      <w:pPr>
        <w:spacing w:after="240"/>
        <w:jc w:val="both"/>
        <w:rPr>
          <w:rFonts w:ascii="Arial" w:hAnsi="Arial" w:cs="Arial"/>
          <w:b/>
          <w:sz w:val="22"/>
          <w:szCs w:val="22"/>
          <w:lang w:val="en-GB" w:eastAsia="en-GB"/>
        </w:rPr>
      </w:pPr>
      <w:r>
        <w:rPr>
          <w:rFonts w:ascii="Arial" w:hAnsi="Arial" w:cs="Arial"/>
          <w:b/>
          <w:sz w:val="22"/>
          <w:szCs w:val="22"/>
          <w:lang w:val="en-GB" w:eastAsia="en-GB"/>
        </w:rPr>
        <w:t>3.1.4</w:t>
      </w:r>
      <w:r w:rsidR="00332A94" w:rsidRPr="00332A94">
        <w:rPr>
          <w:rFonts w:ascii="Arial" w:hAnsi="Arial" w:cs="Arial"/>
          <w:b/>
          <w:sz w:val="22"/>
          <w:szCs w:val="22"/>
          <w:lang w:val="en-GB" w:eastAsia="en-GB"/>
        </w:rPr>
        <w:t>. Multivariable Analysis and Model Comparison results</w:t>
      </w:r>
    </w:p>
    <w:p w14:paraId="59751BA4" w14:textId="77777777" w:rsidR="00332A94" w:rsidRDefault="00332A94" w:rsidP="00332A94">
      <w:pPr>
        <w:spacing w:after="240"/>
        <w:jc w:val="both"/>
        <w:rPr>
          <w:rFonts w:ascii="Arial" w:hAnsi="Arial" w:cs="Arial"/>
          <w:lang w:val="en-GB" w:eastAsia="en-GB"/>
        </w:rPr>
      </w:pPr>
      <w:r w:rsidRPr="00332A94">
        <w:rPr>
          <w:rFonts w:ascii="Arial" w:hAnsi="Arial" w:cs="Arial"/>
          <w:lang w:val="en-GB" w:eastAsia="en-GB"/>
        </w:rPr>
        <w:t xml:space="preserve">The multivariable survival analysis was performed supposing the Exponential, Log-logistic, Weibull, and log-normal for the baseline hazard function and the gamma frailty distributions. </w:t>
      </w:r>
      <w:r w:rsidR="003B0A4F">
        <w:rPr>
          <w:rFonts w:ascii="Arial" w:hAnsi="Arial" w:cs="Arial"/>
          <w:lang w:val="en-GB" w:eastAsia="en-GB"/>
        </w:rPr>
        <w:t xml:space="preserve"> </w:t>
      </w:r>
      <w:r w:rsidRPr="00332A94">
        <w:rPr>
          <w:rFonts w:ascii="Arial" w:hAnsi="Arial" w:cs="Arial"/>
          <w:lang w:val="en-GB" w:eastAsia="en-GB"/>
        </w:rPr>
        <w:t xml:space="preserve">Covariates that were not significant in the univariable analysis were not included in the multivariable analysis. It is done by using all significant covariates in Univariate analysis at 25% level of significance. Model comparison was done using the covariates that are significant in multivariable analysis. To compare the efficiency of different models. the AIC value of the Weibull-AFT model was -222.56 which was the minimum value, compared to all the other models and the largest value of log likelihood </w:t>
      </w:r>
      <w:proofErr w:type="gramStart"/>
      <w:r w:rsidRPr="00332A94">
        <w:rPr>
          <w:rFonts w:ascii="Arial" w:hAnsi="Arial" w:cs="Arial"/>
          <w:lang w:val="en-GB" w:eastAsia="en-GB"/>
        </w:rPr>
        <w:t>is  Weibull</w:t>
      </w:r>
      <w:proofErr w:type="gramEnd"/>
      <w:r w:rsidRPr="00332A94">
        <w:rPr>
          <w:rFonts w:ascii="Arial" w:hAnsi="Arial" w:cs="Arial"/>
          <w:lang w:val="en-GB" w:eastAsia="en-GB"/>
        </w:rPr>
        <w:t>-AFT model, compared to all others model.  Hence, the Weibull-AFT model was the most efficient model to describe the dataset of patients with MDR-TB.</w:t>
      </w:r>
    </w:p>
    <w:p w14:paraId="7CB258E3" w14:textId="2711BDFB" w:rsidR="003B0A4F" w:rsidRDefault="003B0A4F" w:rsidP="00332A94">
      <w:pPr>
        <w:spacing w:after="240"/>
        <w:jc w:val="both"/>
        <w:rPr>
          <w:rFonts w:ascii="Arial" w:hAnsi="Arial" w:cs="Arial"/>
          <w:lang w:val="en-GB" w:eastAsia="en-GB"/>
        </w:rPr>
      </w:pPr>
      <w:r>
        <w:rPr>
          <w:rFonts w:ascii="Arial" w:hAnsi="Arial" w:cs="Arial"/>
          <w:lang w:val="en-GB" w:eastAsia="en-GB"/>
        </w:rPr>
        <w:t>Table 4</w:t>
      </w:r>
      <w:r w:rsidRPr="003B0A4F">
        <w:rPr>
          <w:rFonts w:ascii="Arial" w:hAnsi="Arial" w:cs="Arial"/>
          <w:lang w:val="en-GB" w:eastAsia="en-GB"/>
        </w:rPr>
        <w:t>. Model selection based on information criteria from AFT</w:t>
      </w:r>
    </w:p>
    <w:tbl>
      <w:tblPr>
        <w:tblW w:w="0" w:type="auto"/>
        <w:tblInd w:w="-72" w:type="dxa"/>
        <w:tblBorders>
          <w:top w:val="single" w:sz="4" w:space="0" w:color="auto"/>
        </w:tblBorders>
        <w:tblLook w:val="0000" w:firstRow="0" w:lastRow="0" w:firstColumn="0" w:lastColumn="0" w:noHBand="0" w:noVBand="0"/>
      </w:tblPr>
      <w:tblGrid>
        <w:gridCol w:w="2712"/>
        <w:gridCol w:w="4487"/>
      </w:tblGrid>
      <w:tr w:rsidR="003B0A4F" w:rsidRPr="00295513" w14:paraId="3A59CE7C" w14:textId="77777777" w:rsidTr="005E70E4">
        <w:trPr>
          <w:trHeight w:val="382"/>
        </w:trPr>
        <w:tc>
          <w:tcPr>
            <w:tcW w:w="2712" w:type="dxa"/>
            <w:vMerge w:val="restart"/>
            <w:tcBorders>
              <w:right w:val="nil"/>
            </w:tcBorders>
          </w:tcPr>
          <w:p w14:paraId="6108F566" w14:textId="77777777" w:rsidR="003B0A4F" w:rsidRPr="00295513" w:rsidRDefault="003B0A4F" w:rsidP="00295513">
            <w:pPr>
              <w:autoSpaceDE w:val="0"/>
              <w:autoSpaceDN w:val="0"/>
              <w:adjustRightInd w:val="0"/>
              <w:spacing w:after="240"/>
              <w:ind w:left="-333" w:firstLine="333"/>
              <w:jc w:val="both"/>
              <w:rPr>
                <w:rFonts w:ascii="Arial" w:hAnsi="Arial" w:cs="Arial"/>
                <w:color w:val="131413"/>
              </w:rPr>
            </w:pPr>
            <w:r w:rsidRPr="00295513">
              <w:rPr>
                <w:rFonts w:ascii="Arial" w:hAnsi="Arial" w:cs="Arial"/>
                <w:color w:val="131413"/>
              </w:rPr>
              <w:t>AFT models</w:t>
            </w:r>
          </w:p>
        </w:tc>
        <w:tc>
          <w:tcPr>
            <w:tcW w:w="4487" w:type="dxa"/>
            <w:tcBorders>
              <w:left w:val="nil"/>
              <w:bottom w:val="single" w:sz="4" w:space="0" w:color="auto"/>
            </w:tcBorders>
          </w:tcPr>
          <w:p w14:paraId="2FBB2A7D" w14:textId="77777777" w:rsidR="003B0A4F" w:rsidRPr="00295513" w:rsidRDefault="003B0A4F" w:rsidP="00295513">
            <w:pPr>
              <w:autoSpaceDE w:val="0"/>
              <w:autoSpaceDN w:val="0"/>
              <w:adjustRightInd w:val="0"/>
              <w:jc w:val="both"/>
              <w:rPr>
                <w:rFonts w:ascii="Arial" w:hAnsi="Arial" w:cs="Arial"/>
                <w:color w:val="131413"/>
              </w:rPr>
            </w:pPr>
            <w:r w:rsidRPr="00295513">
              <w:rPr>
                <w:rFonts w:ascii="Arial" w:hAnsi="Arial" w:cs="Arial"/>
                <w:color w:val="131413"/>
              </w:rPr>
              <w:t>Information criteria (IC)</w:t>
            </w:r>
          </w:p>
        </w:tc>
      </w:tr>
      <w:tr w:rsidR="003B0A4F" w:rsidRPr="00295513" w14:paraId="11F7C821" w14:textId="77777777" w:rsidTr="005E70E4">
        <w:trPr>
          <w:trHeight w:val="473"/>
        </w:trPr>
        <w:tc>
          <w:tcPr>
            <w:tcW w:w="2712" w:type="dxa"/>
            <w:vMerge/>
            <w:tcBorders>
              <w:bottom w:val="single" w:sz="4" w:space="0" w:color="auto"/>
              <w:right w:val="nil"/>
            </w:tcBorders>
          </w:tcPr>
          <w:p w14:paraId="2253330E" w14:textId="77777777" w:rsidR="003B0A4F" w:rsidRPr="00295513" w:rsidRDefault="003B0A4F" w:rsidP="00295513">
            <w:pPr>
              <w:autoSpaceDE w:val="0"/>
              <w:autoSpaceDN w:val="0"/>
              <w:adjustRightInd w:val="0"/>
              <w:ind w:left="-333" w:firstLine="333"/>
              <w:jc w:val="both"/>
              <w:rPr>
                <w:rFonts w:ascii="Arial" w:hAnsi="Arial" w:cs="Arial"/>
                <w:color w:val="131413"/>
              </w:rPr>
            </w:pPr>
          </w:p>
        </w:tc>
        <w:tc>
          <w:tcPr>
            <w:tcW w:w="4487" w:type="dxa"/>
            <w:tcBorders>
              <w:top w:val="single" w:sz="4" w:space="0" w:color="auto"/>
              <w:left w:val="nil"/>
              <w:bottom w:val="single" w:sz="4" w:space="0" w:color="auto"/>
            </w:tcBorders>
          </w:tcPr>
          <w:p w14:paraId="6CDA68EA" w14:textId="77777777" w:rsidR="003B0A4F" w:rsidRPr="00295513" w:rsidRDefault="003B0A4F" w:rsidP="00295513">
            <w:pPr>
              <w:tabs>
                <w:tab w:val="left" w:pos="975"/>
                <w:tab w:val="left" w:pos="2955"/>
              </w:tabs>
              <w:autoSpaceDE w:val="0"/>
              <w:autoSpaceDN w:val="0"/>
              <w:adjustRightInd w:val="0"/>
              <w:jc w:val="both"/>
              <w:rPr>
                <w:rFonts w:ascii="Arial" w:hAnsi="Arial" w:cs="Arial"/>
                <w:color w:val="131413"/>
              </w:rPr>
            </w:pPr>
            <w:r w:rsidRPr="00295513">
              <w:rPr>
                <w:rFonts w:ascii="Arial" w:hAnsi="Arial" w:cs="Arial"/>
                <w:color w:val="131413"/>
              </w:rPr>
              <w:t xml:space="preserve">AIC </w:t>
            </w:r>
            <w:r w:rsidRPr="00295513">
              <w:rPr>
                <w:rFonts w:ascii="Arial" w:hAnsi="Arial" w:cs="Arial"/>
                <w:color w:val="131413"/>
              </w:rPr>
              <w:tab/>
              <w:t xml:space="preserve">      log-likelihood</w:t>
            </w:r>
            <w:r w:rsidRPr="00295513">
              <w:rPr>
                <w:rFonts w:ascii="Arial" w:hAnsi="Arial" w:cs="Arial"/>
                <w:color w:val="131413"/>
              </w:rPr>
              <w:tab/>
            </w:r>
            <w:proofErr w:type="gramStart"/>
            <w:r w:rsidRPr="00295513">
              <w:rPr>
                <w:rFonts w:ascii="Arial" w:hAnsi="Arial" w:cs="Arial"/>
                <w:color w:val="131413"/>
              </w:rPr>
              <w:t>Best</w:t>
            </w:r>
            <w:proofErr w:type="gramEnd"/>
            <w:r w:rsidRPr="00295513">
              <w:rPr>
                <w:rFonts w:ascii="Arial" w:hAnsi="Arial" w:cs="Arial"/>
                <w:color w:val="131413"/>
              </w:rPr>
              <w:t xml:space="preserve"> model</w:t>
            </w:r>
          </w:p>
        </w:tc>
      </w:tr>
    </w:tbl>
    <w:p w14:paraId="69C55BD9" w14:textId="77777777" w:rsidR="003B0A4F" w:rsidRPr="00295513" w:rsidRDefault="003B0A4F" w:rsidP="00295513">
      <w:pPr>
        <w:tabs>
          <w:tab w:val="left" w:pos="2910"/>
          <w:tab w:val="left" w:pos="3990"/>
        </w:tabs>
        <w:autoSpaceDE w:val="0"/>
        <w:autoSpaceDN w:val="0"/>
        <w:adjustRightInd w:val="0"/>
        <w:jc w:val="both"/>
        <w:rPr>
          <w:rFonts w:ascii="Arial" w:hAnsi="Arial" w:cs="Arial"/>
          <w:color w:val="131413"/>
        </w:rPr>
      </w:pPr>
      <w:r w:rsidRPr="00295513">
        <w:rPr>
          <w:rFonts w:ascii="Arial" w:hAnsi="Arial" w:cs="Arial"/>
          <w:color w:val="131413"/>
        </w:rPr>
        <w:t xml:space="preserve">Exponential                            554.86   </w:t>
      </w:r>
      <w:r w:rsidRPr="00295513">
        <w:rPr>
          <w:rFonts w:ascii="Arial" w:hAnsi="Arial" w:cs="Arial"/>
          <w:color w:val="131413"/>
        </w:rPr>
        <w:tab/>
        <w:t xml:space="preserve">    -264.43</w:t>
      </w:r>
    </w:p>
    <w:p w14:paraId="53618712" w14:textId="77777777" w:rsidR="003B0A4F" w:rsidRPr="00295513" w:rsidRDefault="003B0A4F" w:rsidP="00295513">
      <w:pPr>
        <w:tabs>
          <w:tab w:val="left" w:pos="2910"/>
          <w:tab w:val="left" w:pos="5955"/>
        </w:tabs>
        <w:autoSpaceDE w:val="0"/>
        <w:autoSpaceDN w:val="0"/>
        <w:adjustRightInd w:val="0"/>
        <w:jc w:val="both"/>
        <w:rPr>
          <w:rFonts w:ascii="Arial" w:hAnsi="Arial" w:cs="Arial"/>
          <w:color w:val="131413"/>
        </w:rPr>
      </w:pPr>
      <w:r w:rsidRPr="00295513">
        <w:rPr>
          <w:rFonts w:ascii="Arial" w:hAnsi="Arial" w:cs="Arial"/>
          <w:color w:val="131413"/>
        </w:rPr>
        <w:t>Log-normal                           -221.68                     123.5                      Weibull</w:t>
      </w:r>
    </w:p>
    <w:p w14:paraId="5F87A550" w14:textId="77777777" w:rsidR="003B0A4F" w:rsidRPr="00295513" w:rsidRDefault="003B0A4F" w:rsidP="00295513">
      <w:pPr>
        <w:tabs>
          <w:tab w:val="left" w:pos="4095"/>
        </w:tabs>
        <w:autoSpaceDE w:val="0"/>
        <w:autoSpaceDN w:val="0"/>
        <w:adjustRightInd w:val="0"/>
        <w:jc w:val="both"/>
        <w:rPr>
          <w:rFonts w:ascii="Arial" w:hAnsi="Arial" w:cs="Arial"/>
          <w:color w:val="131413"/>
        </w:rPr>
      </w:pPr>
      <w:r w:rsidRPr="00295513">
        <w:rPr>
          <w:rFonts w:ascii="Arial" w:hAnsi="Arial" w:cs="Arial"/>
          <w:color w:val="131413"/>
        </w:rPr>
        <w:t>Weibull                                  -222.56</w:t>
      </w:r>
      <w:r w:rsidRPr="00295513">
        <w:rPr>
          <w:rFonts w:ascii="Arial" w:hAnsi="Arial" w:cs="Arial"/>
          <w:color w:val="131413"/>
        </w:rPr>
        <w:tab/>
        <w:t xml:space="preserve">     124.28</w:t>
      </w:r>
    </w:p>
    <w:p w14:paraId="71DDDDDA" w14:textId="77777777" w:rsidR="003B0A4F" w:rsidRPr="00295513" w:rsidRDefault="003B0A4F" w:rsidP="00295513">
      <w:pPr>
        <w:tabs>
          <w:tab w:val="left" w:pos="2520"/>
          <w:tab w:val="left" w:pos="4095"/>
        </w:tabs>
        <w:autoSpaceDE w:val="0"/>
        <w:autoSpaceDN w:val="0"/>
        <w:adjustRightInd w:val="0"/>
        <w:jc w:val="both"/>
        <w:rPr>
          <w:rFonts w:ascii="Arial" w:hAnsi="Arial" w:cs="Arial"/>
          <w:color w:val="131413"/>
        </w:rPr>
      </w:pPr>
      <w:r w:rsidRPr="00295513">
        <w:rPr>
          <w:rFonts w:ascii="Arial" w:hAnsi="Arial" w:cs="Arial"/>
          <w:color w:val="131413"/>
        </w:rPr>
        <w:t>Log-logistic                           -211.256</w:t>
      </w:r>
      <w:r w:rsidRPr="00295513">
        <w:rPr>
          <w:rFonts w:ascii="Arial" w:hAnsi="Arial" w:cs="Arial"/>
          <w:color w:val="131413"/>
        </w:rPr>
        <w:tab/>
        <w:t xml:space="preserve">    118.628</w:t>
      </w:r>
    </w:p>
    <w:tbl>
      <w:tblPr>
        <w:tblW w:w="7250" w:type="dxa"/>
        <w:tblInd w:w="-83" w:type="dxa"/>
        <w:tblBorders>
          <w:top w:val="single" w:sz="4" w:space="0" w:color="auto"/>
        </w:tblBorders>
        <w:tblLook w:val="0000" w:firstRow="0" w:lastRow="0" w:firstColumn="0" w:lastColumn="0" w:noHBand="0" w:noVBand="0"/>
      </w:tblPr>
      <w:tblGrid>
        <w:gridCol w:w="7250"/>
      </w:tblGrid>
      <w:tr w:rsidR="003B0A4F" w:rsidRPr="00295513" w14:paraId="587C3E48" w14:textId="77777777" w:rsidTr="005E70E4">
        <w:trPr>
          <w:trHeight w:val="100"/>
        </w:trPr>
        <w:tc>
          <w:tcPr>
            <w:tcW w:w="7250" w:type="dxa"/>
          </w:tcPr>
          <w:p w14:paraId="6794F4B2" w14:textId="77777777" w:rsidR="003B0A4F" w:rsidRPr="00295513" w:rsidRDefault="003B0A4F" w:rsidP="00295513">
            <w:pPr>
              <w:autoSpaceDE w:val="0"/>
              <w:autoSpaceDN w:val="0"/>
              <w:adjustRightInd w:val="0"/>
              <w:rPr>
                <w:rFonts w:ascii="Arial" w:hAnsi="Arial" w:cs="Arial"/>
                <w:i/>
                <w:color w:val="131413"/>
              </w:rPr>
            </w:pPr>
            <w:r w:rsidRPr="00295513">
              <w:rPr>
                <w:rFonts w:ascii="Arial" w:hAnsi="Arial" w:cs="Arial"/>
                <w:i/>
                <w:color w:val="131413"/>
              </w:rPr>
              <w:t>AIC Akaike’s information criteria, AFT Accelerated failure time</w:t>
            </w:r>
          </w:p>
        </w:tc>
      </w:tr>
    </w:tbl>
    <w:p w14:paraId="316E4665" w14:textId="77777777" w:rsidR="003B0A4F" w:rsidRPr="00332A94" w:rsidRDefault="003B0A4F" w:rsidP="00332A94">
      <w:pPr>
        <w:spacing w:after="240"/>
        <w:jc w:val="both"/>
        <w:rPr>
          <w:rFonts w:ascii="Arial" w:hAnsi="Arial" w:cs="Arial"/>
          <w:lang w:val="en-GB" w:eastAsia="en-GB"/>
        </w:rPr>
      </w:pPr>
    </w:p>
    <w:p w14:paraId="6E8F5C4B" w14:textId="47CDE2E2" w:rsidR="00332A94" w:rsidRPr="003E4965" w:rsidRDefault="003E4965" w:rsidP="00332A94">
      <w:pPr>
        <w:spacing w:after="240"/>
        <w:jc w:val="both"/>
        <w:rPr>
          <w:rFonts w:ascii="Arial" w:hAnsi="Arial" w:cs="Arial"/>
          <w:lang w:val="en-GB" w:eastAsia="en-GB"/>
        </w:rPr>
      </w:pPr>
      <w:r>
        <w:rPr>
          <w:rFonts w:ascii="Arial" w:hAnsi="Arial" w:cs="Arial"/>
          <w:lang w:val="en-GB" w:eastAsia="en-GB"/>
        </w:rPr>
        <w:t>Table 5</w:t>
      </w:r>
      <w:r w:rsidRPr="003E4965">
        <w:rPr>
          <w:rFonts w:ascii="Arial" w:hAnsi="Arial" w:cs="Arial"/>
          <w:lang w:val="en-GB" w:eastAsia="en-GB"/>
        </w:rPr>
        <w:t>. Multivariable analysis using Weibull shared Gamma frailty model for the recovery time of MDR-TB patients in SNNP region, Ethiopia</w:t>
      </w:r>
    </w:p>
    <w:tbl>
      <w:tblPr>
        <w:tblStyle w:val="TableClassic1"/>
        <w:tblW w:w="9624" w:type="dxa"/>
        <w:tblLook w:val="04A0" w:firstRow="1" w:lastRow="0" w:firstColumn="1" w:lastColumn="0" w:noHBand="0" w:noVBand="1"/>
      </w:tblPr>
      <w:tblGrid>
        <w:gridCol w:w="1412"/>
        <w:gridCol w:w="1275"/>
        <w:gridCol w:w="1174"/>
        <w:gridCol w:w="1100"/>
        <w:gridCol w:w="1005"/>
        <w:gridCol w:w="1101"/>
        <w:gridCol w:w="1032"/>
        <w:gridCol w:w="1525"/>
      </w:tblGrid>
      <w:tr w:rsidR="005E70E4" w:rsidRPr="005E70E4" w14:paraId="5E31A006" w14:textId="77777777" w:rsidTr="00C11237">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412" w:type="dxa"/>
          </w:tcPr>
          <w:p w14:paraId="0CD48DA7" w14:textId="77777777" w:rsidR="005E70E4" w:rsidRPr="005E70E4" w:rsidRDefault="005E70E4" w:rsidP="005E70E4">
            <w:pPr>
              <w:autoSpaceDE w:val="0"/>
              <w:autoSpaceDN w:val="0"/>
              <w:adjustRightInd w:val="0"/>
              <w:jc w:val="both"/>
              <w:rPr>
                <w:rFonts w:ascii="Arial" w:hAnsi="Arial" w:cs="Arial"/>
                <w:b/>
                <w:color w:val="131413"/>
              </w:rPr>
            </w:pPr>
            <w:r w:rsidRPr="005E70E4">
              <w:rPr>
                <w:rFonts w:ascii="Arial" w:hAnsi="Arial" w:cs="Arial"/>
                <w:b/>
                <w:color w:val="131413"/>
              </w:rPr>
              <w:t xml:space="preserve">Variables </w:t>
            </w:r>
          </w:p>
        </w:tc>
        <w:tc>
          <w:tcPr>
            <w:tcW w:w="1275" w:type="dxa"/>
          </w:tcPr>
          <w:p w14:paraId="514B026E" w14:textId="77777777" w:rsidR="005E70E4" w:rsidRPr="005E70E4" w:rsidRDefault="005E70E4" w:rsidP="005E70E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color w:val="131413"/>
              </w:rPr>
            </w:pPr>
            <w:r w:rsidRPr="005E70E4">
              <w:rPr>
                <w:rFonts w:ascii="Arial" w:hAnsi="Arial" w:cs="Arial"/>
                <w:b/>
                <w:color w:val="131413"/>
              </w:rPr>
              <w:t xml:space="preserve">Categories </w:t>
            </w:r>
          </w:p>
        </w:tc>
        <w:tc>
          <w:tcPr>
            <w:tcW w:w="1174" w:type="dxa"/>
          </w:tcPr>
          <w:p w14:paraId="45A909BB" w14:textId="77777777" w:rsidR="005E70E4" w:rsidRPr="005E70E4" w:rsidRDefault="005E70E4" w:rsidP="005E70E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color w:val="131413"/>
              </w:rPr>
            </w:pPr>
            <w:r w:rsidRPr="005E70E4">
              <w:rPr>
                <w:rFonts w:ascii="Arial" w:hAnsi="Arial" w:cs="Arial"/>
                <w:b/>
                <w:color w:val="131413"/>
              </w:rPr>
              <w:t xml:space="preserve">Estimates </w:t>
            </w:r>
          </w:p>
        </w:tc>
        <w:tc>
          <w:tcPr>
            <w:tcW w:w="1100" w:type="dxa"/>
          </w:tcPr>
          <w:p w14:paraId="00E727A0" w14:textId="77777777" w:rsidR="005E70E4" w:rsidRPr="005E70E4" w:rsidRDefault="005E70E4" w:rsidP="005E70E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color w:val="131413"/>
              </w:rPr>
            </w:pPr>
            <w:proofErr w:type="spellStart"/>
            <w:r w:rsidRPr="005E70E4">
              <w:rPr>
                <w:rFonts w:ascii="Arial" w:hAnsi="Arial" w:cs="Arial"/>
                <w:b/>
                <w:color w:val="131413"/>
              </w:rPr>
              <w:t>Std.err</w:t>
            </w:r>
            <w:proofErr w:type="spellEnd"/>
          </w:p>
        </w:tc>
        <w:tc>
          <w:tcPr>
            <w:tcW w:w="1005" w:type="dxa"/>
          </w:tcPr>
          <w:p w14:paraId="3EE7CCB0" w14:textId="77777777" w:rsidR="005E70E4" w:rsidRPr="005E70E4" w:rsidRDefault="005E70E4" w:rsidP="005E70E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color w:val="131413"/>
              </w:rPr>
            </w:pPr>
            <w:r w:rsidRPr="005E70E4">
              <w:rPr>
                <w:rFonts w:ascii="Arial" w:hAnsi="Arial" w:cs="Arial"/>
                <w:b/>
                <w:color w:val="131413"/>
              </w:rPr>
              <w:t>Z</w:t>
            </w:r>
          </w:p>
        </w:tc>
        <w:tc>
          <w:tcPr>
            <w:tcW w:w="1101" w:type="dxa"/>
          </w:tcPr>
          <w:p w14:paraId="5DA4522E" w14:textId="77777777" w:rsidR="005E70E4" w:rsidRPr="005E70E4" w:rsidRDefault="005E70E4" w:rsidP="005E70E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color w:val="131413"/>
              </w:rPr>
            </w:pPr>
            <w:r w:rsidRPr="005E70E4">
              <w:rPr>
                <w:rFonts w:ascii="Arial" w:hAnsi="Arial" w:cs="Arial"/>
                <w:b/>
                <w:color w:val="131413"/>
              </w:rPr>
              <w:t>T.R(</w:t>
            </w:r>
            <w:r w:rsidRPr="005E70E4">
              <w:rPr>
                <w:rFonts w:ascii="Arial" w:hAnsi="Arial" w:cs="Arial"/>
                <w:b/>
              </w:rPr>
              <w:t>Ф</w:t>
            </w:r>
            <w:r w:rsidRPr="005E70E4">
              <w:rPr>
                <w:rFonts w:ascii="Arial" w:hAnsi="Arial" w:cs="Arial"/>
                <w:b/>
                <w:color w:val="131413"/>
              </w:rPr>
              <w:t>)</w:t>
            </w:r>
          </w:p>
        </w:tc>
        <w:tc>
          <w:tcPr>
            <w:tcW w:w="1032" w:type="dxa"/>
          </w:tcPr>
          <w:p w14:paraId="03F196A4" w14:textId="77777777" w:rsidR="005E70E4" w:rsidRPr="005E70E4" w:rsidRDefault="005E70E4" w:rsidP="005E70E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color w:val="131413"/>
              </w:rPr>
            </w:pPr>
            <w:r w:rsidRPr="005E70E4">
              <w:rPr>
                <w:rFonts w:ascii="Arial" w:hAnsi="Arial" w:cs="Arial"/>
                <w:b/>
                <w:color w:val="131413"/>
              </w:rPr>
              <w:t>p&gt;|z|</w:t>
            </w:r>
          </w:p>
        </w:tc>
        <w:tc>
          <w:tcPr>
            <w:tcW w:w="1525" w:type="dxa"/>
          </w:tcPr>
          <w:p w14:paraId="662CC294" w14:textId="77777777" w:rsidR="005E70E4" w:rsidRPr="005E70E4" w:rsidRDefault="005E70E4" w:rsidP="005E70E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color w:val="131413"/>
              </w:rPr>
            </w:pPr>
            <w:r w:rsidRPr="005E70E4">
              <w:rPr>
                <w:rFonts w:ascii="Arial" w:hAnsi="Arial" w:cs="Arial"/>
                <w:b/>
                <w:color w:val="131413"/>
              </w:rPr>
              <w:t>95% CI for estimate</w:t>
            </w:r>
          </w:p>
        </w:tc>
      </w:tr>
      <w:tr w:rsidR="005E70E4" w:rsidRPr="005E70E4" w14:paraId="50232018" w14:textId="77777777" w:rsidTr="00C11237">
        <w:trPr>
          <w:trHeight w:val="454"/>
        </w:trPr>
        <w:tc>
          <w:tcPr>
            <w:cnfStyle w:val="001000000000" w:firstRow="0" w:lastRow="0" w:firstColumn="1" w:lastColumn="0" w:oddVBand="0" w:evenVBand="0" w:oddHBand="0" w:evenHBand="0" w:firstRowFirstColumn="0" w:firstRowLastColumn="0" w:lastRowFirstColumn="0" w:lastRowLastColumn="0"/>
            <w:tcW w:w="1412" w:type="dxa"/>
          </w:tcPr>
          <w:p w14:paraId="30D4F47A" w14:textId="77777777" w:rsidR="005E70E4" w:rsidRPr="005E70E4" w:rsidRDefault="005E70E4" w:rsidP="005E70E4">
            <w:pPr>
              <w:autoSpaceDE w:val="0"/>
              <w:autoSpaceDN w:val="0"/>
              <w:adjustRightInd w:val="0"/>
              <w:jc w:val="both"/>
              <w:rPr>
                <w:rFonts w:ascii="Arial" w:hAnsi="Arial" w:cs="Arial"/>
                <w:color w:val="131413"/>
              </w:rPr>
            </w:pPr>
            <w:r w:rsidRPr="005E70E4">
              <w:rPr>
                <w:rFonts w:ascii="Arial" w:hAnsi="Arial" w:cs="Arial"/>
                <w:color w:val="131413"/>
              </w:rPr>
              <w:t>Weight (kg)</w:t>
            </w:r>
          </w:p>
        </w:tc>
        <w:tc>
          <w:tcPr>
            <w:tcW w:w="1275" w:type="dxa"/>
          </w:tcPr>
          <w:p w14:paraId="74B3AE2E"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Continuous</w:t>
            </w:r>
          </w:p>
        </w:tc>
        <w:tc>
          <w:tcPr>
            <w:tcW w:w="1174" w:type="dxa"/>
          </w:tcPr>
          <w:p w14:paraId="2C2E0DF4"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0.024</w:t>
            </w:r>
          </w:p>
        </w:tc>
        <w:tc>
          <w:tcPr>
            <w:tcW w:w="1100" w:type="dxa"/>
          </w:tcPr>
          <w:p w14:paraId="7DDA0B33"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0.00247</w:t>
            </w:r>
          </w:p>
        </w:tc>
        <w:tc>
          <w:tcPr>
            <w:tcW w:w="1005" w:type="dxa"/>
          </w:tcPr>
          <w:p w14:paraId="30ECA142"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9.87</w:t>
            </w:r>
          </w:p>
        </w:tc>
        <w:tc>
          <w:tcPr>
            <w:tcW w:w="1101" w:type="dxa"/>
          </w:tcPr>
          <w:p w14:paraId="00F33307"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1.025</w:t>
            </w:r>
          </w:p>
        </w:tc>
        <w:tc>
          <w:tcPr>
            <w:tcW w:w="1032" w:type="dxa"/>
          </w:tcPr>
          <w:p w14:paraId="0CF9430D"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w:t>
            </w:r>
          </w:p>
        </w:tc>
        <w:tc>
          <w:tcPr>
            <w:tcW w:w="1525" w:type="dxa"/>
          </w:tcPr>
          <w:p w14:paraId="518E0358"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[0.0195,0.029]</w:t>
            </w:r>
          </w:p>
        </w:tc>
      </w:tr>
      <w:tr w:rsidR="005E70E4" w:rsidRPr="005E70E4" w14:paraId="1188C490" w14:textId="77777777" w:rsidTr="00C11237">
        <w:trPr>
          <w:trHeight w:val="155"/>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6E93280F" w14:textId="77777777" w:rsidR="005E70E4" w:rsidRPr="005E70E4" w:rsidRDefault="005E70E4" w:rsidP="005E70E4">
            <w:pPr>
              <w:autoSpaceDE w:val="0"/>
              <w:autoSpaceDN w:val="0"/>
              <w:adjustRightInd w:val="0"/>
              <w:jc w:val="both"/>
              <w:rPr>
                <w:rFonts w:ascii="Arial" w:hAnsi="Arial" w:cs="Arial"/>
                <w:color w:val="131413"/>
              </w:rPr>
            </w:pPr>
            <w:r w:rsidRPr="005E70E4">
              <w:rPr>
                <w:rFonts w:ascii="Arial" w:hAnsi="Arial" w:cs="Arial"/>
                <w:color w:val="131413"/>
              </w:rPr>
              <w:t xml:space="preserve">Age </w:t>
            </w:r>
          </w:p>
        </w:tc>
        <w:tc>
          <w:tcPr>
            <w:tcW w:w="1275" w:type="dxa"/>
          </w:tcPr>
          <w:p w14:paraId="1E74C482"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0-17 </w:t>
            </w:r>
            <w:proofErr w:type="spellStart"/>
            <w:r w:rsidRPr="005E70E4">
              <w:rPr>
                <w:rFonts w:ascii="Arial" w:hAnsi="Arial" w:cs="Arial"/>
                <w:color w:val="131413"/>
              </w:rPr>
              <w:t>years</w:t>
            </w:r>
            <w:r w:rsidRPr="005E70E4">
              <w:rPr>
                <w:rFonts w:ascii="Arial" w:hAnsi="Arial" w:cs="Arial"/>
                <w:vertAlign w:val="superscript"/>
              </w:rPr>
              <w:t>R</w:t>
            </w:r>
            <w:proofErr w:type="spellEnd"/>
          </w:p>
        </w:tc>
        <w:tc>
          <w:tcPr>
            <w:tcW w:w="1174" w:type="dxa"/>
          </w:tcPr>
          <w:p w14:paraId="00A368DA"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17FA1A76"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70D5DB3C"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5748853E"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142C8819"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0B6DE221"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4851CA1C" w14:textId="77777777" w:rsidTr="00C11237">
        <w:trPr>
          <w:trHeight w:val="107"/>
        </w:trPr>
        <w:tc>
          <w:tcPr>
            <w:cnfStyle w:val="001000000000" w:firstRow="0" w:lastRow="0" w:firstColumn="1" w:lastColumn="0" w:oddVBand="0" w:evenVBand="0" w:oddHBand="0" w:evenHBand="0" w:firstRowFirstColumn="0" w:firstRowLastColumn="0" w:lastRowFirstColumn="0" w:lastRowLastColumn="0"/>
            <w:tcW w:w="1412" w:type="dxa"/>
            <w:vMerge/>
          </w:tcPr>
          <w:p w14:paraId="46E9811C" w14:textId="77777777" w:rsidR="005E70E4" w:rsidRPr="005E70E4" w:rsidRDefault="005E70E4" w:rsidP="005E70E4">
            <w:pPr>
              <w:autoSpaceDE w:val="0"/>
              <w:autoSpaceDN w:val="0"/>
              <w:adjustRightInd w:val="0"/>
              <w:jc w:val="both"/>
              <w:rPr>
                <w:rFonts w:ascii="Arial" w:hAnsi="Arial" w:cs="Arial"/>
                <w:color w:val="131413"/>
              </w:rPr>
            </w:pPr>
          </w:p>
        </w:tc>
        <w:tc>
          <w:tcPr>
            <w:tcW w:w="1275" w:type="dxa"/>
          </w:tcPr>
          <w:p w14:paraId="070ADCE0"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18-64 year</w:t>
            </w:r>
          </w:p>
        </w:tc>
        <w:tc>
          <w:tcPr>
            <w:tcW w:w="1174" w:type="dxa"/>
          </w:tcPr>
          <w:p w14:paraId="46C83EB6"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0.517</w:t>
            </w:r>
          </w:p>
        </w:tc>
        <w:tc>
          <w:tcPr>
            <w:tcW w:w="1100" w:type="dxa"/>
          </w:tcPr>
          <w:p w14:paraId="0B1AB4F2"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0.0967</w:t>
            </w:r>
          </w:p>
        </w:tc>
        <w:tc>
          <w:tcPr>
            <w:tcW w:w="1005" w:type="dxa"/>
          </w:tcPr>
          <w:p w14:paraId="1A9C5FD0"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5.34</w:t>
            </w:r>
          </w:p>
        </w:tc>
        <w:tc>
          <w:tcPr>
            <w:tcW w:w="1101" w:type="dxa"/>
          </w:tcPr>
          <w:p w14:paraId="7C14755E"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1.053</w:t>
            </w:r>
          </w:p>
        </w:tc>
        <w:tc>
          <w:tcPr>
            <w:tcW w:w="1032" w:type="dxa"/>
          </w:tcPr>
          <w:p w14:paraId="37E789F0"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0.120</w:t>
            </w:r>
          </w:p>
        </w:tc>
        <w:tc>
          <w:tcPr>
            <w:tcW w:w="1525" w:type="dxa"/>
          </w:tcPr>
          <w:p w14:paraId="48A3A084"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[0.327,0.7070]</w:t>
            </w:r>
          </w:p>
        </w:tc>
      </w:tr>
      <w:tr w:rsidR="005E70E4" w:rsidRPr="005E70E4" w14:paraId="77D39DF0" w14:textId="77777777" w:rsidTr="00C11237">
        <w:trPr>
          <w:trHeight w:val="84"/>
        </w:trPr>
        <w:tc>
          <w:tcPr>
            <w:cnfStyle w:val="001000000000" w:firstRow="0" w:lastRow="0" w:firstColumn="1" w:lastColumn="0" w:oddVBand="0" w:evenVBand="0" w:oddHBand="0" w:evenHBand="0" w:firstRowFirstColumn="0" w:firstRowLastColumn="0" w:lastRowFirstColumn="0" w:lastRowLastColumn="0"/>
            <w:tcW w:w="1412" w:type="dxa"/>
            <w:vMerge/>
          </w:tcPr>
          <w:p w14:paraId="04C36C11" w14:textId="77777777" w:rsidR="005E70E4" w:rsidRPr="005E70E4" w:rsidRDefault="005E70E4" w:rsidP="005E70E4">
            <w:pPr>
              <w:autoSpaceDE w:val="0"/>
              <w:autoSpaceDN w:val="0"/>
              <w:adjustRightInd w:val="0"/>
              <w:jc w:val="both"/>
              <w:rPr>
                <w:rFonts w:ascii="Arial" w:hAnsi="Arial" w:cs="Arial"/>
                <w:color w:val="131413"/>
              </w:rPr>
            </w:pPr>
          </w:p>
        </w:tc>
        <w:tc>
          <w:tcPr>
            <w:tcW w:w="1275" w:type="dxa"/>
          </w:tcPr>
          <w:p w14:paraId="58157E1F"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Above 65</w:t>
            </w:r>
          </w:p>
        </w:tc>
        <w:tc>
          <w:tcPr>
            <w:tcW w:w="1174" w:type="dxa"/>
          </w:tcPr>
          <w:p w14:paraId="4B946312"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0.193</w:t>
            </w:r>
          </w:p>
        </w:tc>
        <w:tc>
          <w:tcPr>
            <w:tcW w:w="1100" w:type="dxa"/>
          </w:tcPr>
          <w:p w14:paraId="16A99464"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0.0754</w:t>
            </w:r>
          </w:p>
        </w:tc>
        <w:tc>
          <w:tcPr>
            <w:tcW w:w="1005" w:type="dxa"/>
          </w:tcPr>
          <w:p w14:paraId="02AE748F"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4.49</w:t>
            </w:r>
          </w:p>
        </w:tc>
        <w:tc>
          <w:tcPr>
            <w:tcW w:w="1101" w:type="dxa"/>
          </w:tcPr>
          <w:p w14:paraId="79BA3636"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1.21</w:t>
            </w:r>
          </w:p>
        </w:tc>
        <w:tc>
          <w:tcPr>
            <w:tcW w:w="1032" w:type="dxa"/>
          </w:tcPr>
          <w:p w14:paraId="77BEB286"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0.750</w:t>
            </w:r>
          </w:p>
        </w:tc>
        <w:tc>
          <w:tcPr>
            <w:tcW w:w="1525" w:type="dxa"/>
          </w:tcPr>
          <w:p w14:paraId="69D3A7A7"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[0.120,0.2312]</w:t>
            </w:r>
          </w:p>
        </w:tc>
      </w:tr>
      <w:tr w:rsidR="005E70E4" w:rsidRPr="005E70E4" w14:paraId="528B201A" w14:textId="77777777" w:rsidTr="00C11237">
        <w:trPr>
          <w:trHeight w:val="131"/>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0C5EEC16" w14:textId="77777777" w:rsidR="005E70E4" w:rsidRPr="005E70E4" w:rsidRDefault="005E70E4" w:rsidP="005E70E4">
            <w:pPr>
              <w:autoSpaceDE w:val="0"/>
              <w:autoSpaceDN w:val="0"/>
              <w:adjustRightInd w:val="0"/>
              <w:jc w:val="both"/>
              <w:rPr>
                <w:rFonts w:ascii="Arial" w:hAnsi="Arial" w:cs="Arial"/>
                <w:color w:val="131413"/>
              </w:rPr>
            </w:pPr>
            <w:r w:rsidRPr="005E70E4">
              <w:rPr>
                <w:rFonts w:ascii="Arial" w:hAnsi="Arial" w:cs="Arial"/>
                <w:color w:val="131413"/>
              </w:rPr>
              <w:t>Sex</w:t>
            </w:r>
          </w:p>
        </w:tc>
        <w:tc>
          <w:tcPr>
            <w:tcW w:w="1275" w:type="dxa"/>
          </w:tcPr>
          <w:p w14:paraId="3093D10C"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roofErr w:type="spellStart"/>
            <w:r w:rsidRPr="005E70E4">
              <w:rPr>
                <w:rFonts w:ascii="Arial" w:hAnsi="Arial" w:cs="Arial"/>
                <w:color w:val="131413"/>
              </w:rPr>
              <w:t>Male</w:t>
            </w:r>
            <w:r w:rsidRPr="005E70E4">
              <w:rPr>
                <w:rFonts w:ascii="Arial" w:hAnsi="Arial" w:cs="Arial"/>
                <w:vertAlign w:val="superscript"/>
              </w:rPr>
              <w:t>R</w:t>
            </w:r>
            <w:proofErr w:type="spellEnd"/>
            <w:r w:rsidRPr="005E70E4">
              <w:rPr>
                <w:rFonts w:ascii="Arial" w:hAnsi="Arial" w:cs="Arial"/>
                <w:color w:val="131413"/>
              </w:rPr>
              <w:t xml:space="preserve"> </w:t>
            </w:r>
          </w:p>
        </w:tc>
        <w:tc>
          <w:tcPr>
            <w:tcW w:w="1174" w:type="dxa"/>
          </w:tcPr>
          <w:p w14:paraId="31C79705"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50F9769A"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0D47DF58"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194FEDF1"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2A67E828"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6F420372"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49788A6E" w14:textId="77777777" w:rsidTr="00C11237">
        <w:trPr>
          <w:trHeight w:val="96"/>
        </w:trPr>
        <w:tc>
          <w:tcPr>
            <w:cnfStyle w:val="001000000000" w:firstRow="0" w:lastRow="0" w:firstColumn="1" w:lastColumn="0" w:oddVBand="0" w:evenVBand="0" w:oddHBand="0" w:evenHBand="0" w:firstRowFirstColumn="0" w:firstRowLastColumn="0" w:lastRowFirstColumn="0" w:lastRowLastColumn="0"/>
            <w:tcW w:w="1412" w:type="dxa"/>
            <w:vMerge/>
          </w:tcPr>
          <w:p w14:paraId="3E5B70AB" w14:textId="77777777" w:rsidR="005E70E4" w:rsidRPr="005E70E4" w:rsidRDefault="005E70E4" w:rsidP="005E70E4">
            <w:pPr>
              <w:autoSpaceDE w:val="0"/>
              <w:autoSpaceDN w:val="0"/>
              <w:adjustRightInd w:val="0"/>
              <w:jc w:val="both"/>
              <w:rPr>
                <w:rFonts w:ascii="Arial" w:hAnsi="Arial" w:cs="Arial"/>
                <w:color w:val="131413"/>
              </w:rPr>
            </w:pPr>
          </w:p>
        </w:tc>
        <w:tc>
          <w:tcPr>
            <w:tcW w:w="1275" w:type="dxa"/>
          </w:tcPr>
          <w:p w14:paraId="54FE2730"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Female </w:t>
            </w:r>
          </w:p>
        </w:tc>
        <w:tc>
          <w:tcPr>
            <w:tcW w:w="1174" w:type="dxa"/>
          </w:tcPr>
          <w:p w14:paraId="353238D3"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0.182</w:t>
            </w:r>
          </w:p>
        </w:tc>
        <w:tc>
          <w:tcPr>
            <w:tcW w:w="1100" w:type="dxa"/>
          </w:tcPr>
          <w:p w14:paraId="62BACF11"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0.0713</w:t>
            </w:r>
          </w:p>
        </w:tc>
        <w:tc>
          <w:tcPr>
            <w:tcW w:w="1005" w:type="dxa"/>
          </w:tcPr>
          <w:p w14:paraId="33A6A5E7"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2.56</w:t>
            </w:r>
          </w:p>
        </w:tc>
        <w:tc>
          <w:tcPr>
            <w:tcW w:w="1101" w:type="dxa"/>
          </w:tcPr>
          <w:p w14:paraId="1B3769E2"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1.20</w:t>
            </w:r>
          </w:p>
        </w:tc>
        <w:tc>
          <w:tcPr>
            <w:tcW w:w="1032" w:type="dxa"/>
          </w:tcPr>
          <w:p w14:paraId="37E5CA36"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0.011</w:t>
            </w:r>
          </w:p>
        </w:tc>
        <w:tc>
          <w:tcPr>
            <w:tcW w:w="1525" w:type="dxa"/>
          </w:tcPr>
          <w:p w14:paraId="058B3B8F"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[0.0425,0.322]</w:t>
            </w:r>
          </w:p>
        </w:tc>
      </w:tr>
      <w:tr w:rsidR="005E70E4" w:rsidRPr="005E70E4" w14:paraId="3A7CABDE" w14:textId="77777777" w:rsidTr="00C11237">
        <w:trPr>
          <w:trHeight w:val="131"/>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3063819E" w14:textId="77777777" w:rsidR="005E70E4" w:rsidRPr="005E70E4" w:rsidRDefault="005E70E4" w:rsidP="005E70E4">
            <w:pPr>
              <w:autoSpaceDE w:val="0"/>
              <w:autoSpaceDN w:val="0"/>
              <w:adjustRightInd w:val="0"/>
              <w:jc w:val="both"/>
              <w:rPr>
                <w:rFonts w:ascii="Arial" w:hAnsi="Arial" w:cs="Arial"/>
                <w:color w:val="131413"/>
              </w:rPr>
            </w:pPr>
            <w:proofErr w:type="spellStart"/>
            <w:r w:rsidRPr="005E70E4">
              <w:rPr>
                <w:rFonts w:ascii="Arial" w:hAnsi="Arial" w:cs="Arial"/>
                <w:color w:val="131413"/>
              </w:rPr>
              <w:t>HIV_status</w:t>
            </w:r>
            <w:proofErr w:type="spellEnd"/>
          </w:p>
        </w:tc>
        <w:tc>
          <w:tcPr>
            <w:tcW w:w="1275" w:type="dxa"/>
          </w:tcPr>
          <w:p w14:paraId="74705433"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roofErr w:type="spellStart"/>
            <w:r w:rsidRPr="005E70E4">
              <w:rPr>
                <w:rFonts w:ascii="Arial" w:hAnsi="Arial" w:cs="Arial"/>
                <w:color w:val="131413"/>
              </w:rPr>
              <w:t>Negative</w:t>
            </w:r>
            <w:r w:rsidRPr="005E70E4">
              <w:rPr>
                <w:rFonts w:ascii="Arial" w:hAnsi="Arial" w:cs="Arial"/>
                <w:vertAlign w:val="superscript"/>
              </w:rPr>
              <w:t>R</w:t>
            </w:r>
            <w:proofErr w:type="spellEnd"/>
            <w:r w:rsidRPr="005E70E4">
              <w:rPr>
                <w:rFonts w:ascii="Arial" w:hAnsi="Arial" w:cs="Arial"/>
                <w:color w:val="131413"/>
              </w:rPr>
              <w:t xml:space="preserve"> </w:t>
            </w:r>
          </w:p>
        </w:tc>
        <w:tc>
          <w:tcPr>
            <w:tcW w:w="1174" w:type="dxa"/>
          </w:tcPr>
          <w:p w14:paraId="145B2583"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07BAC52C"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232ACD67"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3C16A689"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4BFF9F80"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2896C127"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3EE3DDA1" w14:textId="77777777" w:rsidTr="00C11237">
        <w:trPr>
          <w:trHeight w:val="96"/>
        </w:trPr>
        <w:tc>
          <w:tcPr>
            <w:cnfStyle w:val="001000000000" w:firstRow="0" w:lastRow="0" w:firstColumn="1" w:lastColumn="0" w:oddVBand="0" w:evenVBand="0" w:oddHBand="0" w:evenHBand="0" w:firstRowFirstColumn="0" w:firstRowLastColumn="0" w:lastRowFirstColumn="0" w:lastRowLastColumn="0"/>
            <w:tcW w:w="1412" w:type="dxa"/>
            <w:vMerge/>
          </w:tcPr>
          <w:p w14:paraId="5BDA2E0D" w14:textId="77777777" w:rsidR="005E70E4" w:rsidRPr="005E70E4" w:rsidRDefault="005E70E4" w:rsidP="005E70E4">
            <w:pPr>
              <w:autoSpaceDE w:val="0"/>
              <w:autoSpaceDN w:val="0"/>
              <w:adjustRightInd w:val="0"/>
              <w:jc w:val="both"/>
              <w:rPr>
                <w:rFonts w:ascii="Arial" w:hAnsi="Arial" w:cs="Arial"/>
                <w:color w:val="131413"/>
              </w:rPr>
            </w:pPr>
          </w:p>
        </w:tc>
        <w:tc>
          <w:tcPr>
            <w:tcW w:w="1275" w:type="dxa"/>
          </w:tcPr>
          <w:p w14:paraId="5C2590B9"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Positive </w:t>
            </w:r>
          </w:p>
        </w:tc>
        <w:tc>
          <w:tcPr>
            <w:tcW w:w="1174" w:type="dxa"/>
          </w:tcPr>
          <w:p w14:paraId="282DE78B"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0.0973</w:t>
            </w:r>
          </w:p>
        </w:tc>
        <w:tc>
          <w:tcPr>
            <w:tcW w:w="1100" w:type="dxa"/>
          </w:tcPr>
          <w:p w14:paraId="04188D47"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0.0956</w:t>
            </w:r>
          </w:p>
        </w:tc>
        <w:tc>
          <w:tcPr>
            <w:tcW w:w="1005" w:type="dxa"/>
          </w:tcPr>
          <w:p w14:paraId="3CF07EBC"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1.02</w:t>
            </w:r>
          </w:p>
        </w:tc>
        <w:tc>
          <w:tcPr>
            <w:tcW w:w="1101" w:type="dxa"/>
          </w:tcPr>
          <w:p w14:paraId="713AD6FF"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1.102</w:t>
            </w:r>
          </w:p>
        </w:tc>
        <w:tc>
          <w:tcPr>
            <w:tcW w:w="1032" w:type="dxa"/>
          </w:tcPr>
          <w:p w14:paraId="7956F9A2"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0.309</w:t>
            </w:r>
          </w:p>
        </w:tc>
        <w:tc>
          <w:tcPr>
            <w:tcW w:w="1525" w:type="dxa"/>
          </w:tcPr>
          <w:p w14:paraId="18B3A594"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[-0.090,0.285]</w:t>
            </w:r>
          </w:p>
        </w:tc>
      </w:tr>
      <w:tr w:rsidR="005E70E4" w:rsidRPr="005E70E4" w14:paraId="77DC3549" w14:textId="77777777" w:rsidTr="00C11237">
        <w:trPr>
          <w:trHeight w:val="215"/>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46BA528A" w14:textId="77777777" w:rsidR="005E70E4" w:rsidRPr="005E70E4" w:rsidRDefault="005E70E4" w:rsidP="005E70E4">
            <w:pPr>
              <w:autoSpaceDE w:val="0"/>
              <w:autoSpaceDN w:val="0"/>
              <w:adjustRightInd w:val="0"/>
              <w:jc w:val="both"/>
              <w:rPr>
                <w:rFonts w:ascii="Arial" w:hAnsi="Arial" w:cs="Arial"/>
                <w:color w:val="131413"/>
              </w:rPr>
            </w:pPr>
            <w:r w:rsidRPr="005E70E4">
              <w:rPr>
                <w:rFonts w:ascii="Arial" w:hAnsi="Arial" w:cs="Arial"/>
                <w:color w:val="131413"/>
              </w:rPr>
              <w:t xml:space="preserve">Smoking status </w:t>
            </w:r>
          </w:p>
        </w:tc>
        <w:tc>
          <w:tcPr>
            <w:tcW w:w="1275" w:type="dxa"/>
          </w:tcPr>
          <w:p w14:paraId="74FD44EE"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Non </w:t>
            </w:r>
            <w:proofErr w:type="spellStart"/>
            <w:r w:rsidRPr="005E70E4">
              <w:rPr>
                <w:rFonts w:ascii="Arial" w:hAnsi="Arial" w:cs="Arial"/>
                <w:color w:val="131413"/>
              </w:rPr>
              <w:t>Smok</w:t>
            </w:r>
            <w:r w:rsidRPr="005E70E4">
              <w:rPr>
                <w:rFonts w:ascii="Arial" w:hAnsi="Arial" w:cs="Arial"/>
                <w:vertAlign w:val="superscript"/>
              </w:rPr>
              <w:t>R</w:t>
            </w:r>
            <w:proofErr w:type="spellEnd"/>
            <w:r w:rsidRPr="005E70E4">
              <w:rPr>
                <w:rFonts w:ascii="Arial" w:hAnsi="Arial" w:cs="Arial"/>
                <w:color w:val="131413"/>
              </w:rPr>
              <w:t xml:space="preserve"> </w:t>
            </w:r>
          </w:p>
        </w:tc>
        <w:tc>
          <w:tcPr>
            <w:tcW w:w="1174" w:type="dxa"/>
          </w:tcPr>
          <w:p w14:paraId="334A65A2"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4829C567"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0586DA30"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216D07C8"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6ED03ACD"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456CBEB0"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56402835" w14:textId="77777777" w:rsidTr="00C11237">
        <w:trPr>
          <w:trHeight w:val="251"/>
        </w:trPr>
        <w:tc>
          <w:tcPr>
            <w:cnfStyle w:val="001000000000" w:firstRow="0" w:lastRow="0" w:firstColumn="1" w:lastColumn="0" w:oddVBand="0" w:evenVBand="0" w:oddHBand="0" w:evenHBand="0" w:firstRowFirstColumn="0" w:firstRowLastColumn="0" w:lastRowFirstColumn="0" w:lastRowLastColumn="0"/>
            <w:tcW w:w="1412" w:type="dxa"/>
            <w:vMerge/>
          </w:tcPr>
          <w:p w14:paraId="55F51912" w14:textId="77777777" w:rsidR="005E70E4" w:rsidRPr="005E70E4" w:rsidRDefault="005E70E4" w:rsidP="005E70E4">
            <w:pPr>
              <w:autoSpaceDE w:val="0"/>
              <w:autoSpaceDN w:val="0"/>
              <w:adjustRightInd w:val="0"/>
              <w:jc w:val="both"/>
              <w:rPr>
                <w:rFonts w:ascii="Arial" w:hAnsi="Arial" w:cs="Arial"/>
                <w:color w:val="131413"/>
              </w:rPr>
            </w:pPr>
          </w:p>
        </w:tc>
        <w:tc>
          <w:tcPr>
            <w:tcW w:w="1275" w:type="dxa"/>
          </w:tcPr>
          <w:p w14:paraId="36CFA294"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Smoker</w:t>
            </w:r>
          </w:p>
        </w:tc>
        <w:tc>
          <w:tcPr>
            <w:tcW w:w="1174" w:type="dxa"/>
          </w:tcPr>
          <w:p w14:paraId="569CD5D7"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0.0234</w:t>
            </w:r>
          </w:p>
        </w:tc>
        <w:tc>
          <w:tcPr>
            <w:tcW w:w="1100" w:type="dxa"/>
          </w:tcPr>
          <w:p w14:paraId="59C47D49"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0.078</w:t>
            </w:r>
          </w:p>
        </w:tc>
        <w:tc>
          <w:tcPr>
            <w:tcW w:w="1005" w:type="dxa"/>
          </w:tcPr>
          <w:p w14:paraId="62072DBD"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0.30</w:t>
            </w:r>
          </w:p>
        </w:tc>
        <w:tc>
          <w:tcPr>
            <w:tcW w:w="1101" w:type="dxa"/>
          </w:tcPr>
          <w:p w14:paraId="48728BCB"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1.023</w:t>
            </w:r>
          </w:p>
        </w:tc>
        <w:tc>
          <w:tcPr>
            <w:tcW w:w="1032" w:type="dxa"/>
          </w:tcPr>
          <w:p w14:paraId="6D69C64E"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w:t>
            </w:r>
          </w:p>
        </w:tc>
        <w:tc>
          <w:tcPr>
            <w:tcW w:w="1525" w:type="dxa"/>
          </w:tcPr>
          <w:p w14:paraId="0DE99D31"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[-0.13,0.176]</w:t>
            </w:r>
          </w:p>
        </w:tc>
      </w:tr>
      <w:tr w:rsidR="005E70E4" w:rsidRPr="005E70E4" w14:paraId="409CDCDD" w14:textId="77777777" w:rsidTr="00C11237">
        <w:trPr>
          <w:trHeight w:val="119"/>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76535710" w14:textId="77777777" w:rsidR="005E70E4" w:rsidRPr="005E70E4" w:rsidRDefault="005E70E4" w:rsidP="005E70E4">
            <w:pPr>
              <w:autoSpaceDE w:val="0"/>
              <w:autoSpaceDN w:val="0"/>
              <w:adjustRightInd w:val="0"/>
              <w:jc w:val="both"/>
              <w:rPr>
                <w:rFonts w:ascii="Arial" w:hAnsi="Arial" w:cs="Arial"/>
                <w:color w:val="131413"/>
              </w:rPr>
            </w:pPr>
            <w:r w:rsidRPr="005E70E4">
              <w:rPr>
                <w:rFonts w:ascii="Arial" w:hAnsi="Arial" w:cs="Arial"/>
                <w:color w:val="131413"/>
              </w:rPr>
              <w:t xml:space="preserve">Residence </w:t>
            </w:r>
          </w:p>
        </w:tc>
        <w:tc>
          <w:tcPr>
            <w:tcW w:w="1275" w:type="dxa"/>
          </w:tcPr>
          <w:p w14:paraId="763FEA89"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roofErr w:type="spellStart"/>
            <w:r w:rsidRPr="005E70E4">
              <w:rPr>
                <w:rFonts w:ascii="Arial" w:hAnsi="Arial" w:cs="Arial"/>
                <w:color w:val="131413"/>
              </w:rPr>
              <w:t>Rural</w:t>
            </w:r>
            <w:r w:rsidRPr="005E70E4">
              <w:rPr>
                <w:rFonts w:ascii="Arial" w:hAnsi="Arial" w:cs="Arial"/>
                <w:vertAlign w:val="superscript"/>
              </w:rPr>
              <w:t>R</w:t>
            </w:r>
            <w:proofErr w:type="spellEnd"/>
          </w:p>
        </w:tc>
        <w:tc>
          <w:tcPr>
            <w:tcW w:w="1174" w:type="dxa"/>
          </w:tcPr>
          <w:p w14:paraId="0D156F00"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0A5015C4"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3D5FAD9C"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1A94165C"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3E2A9559"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02B04D94"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35198ECC" w14:textId="77777777" w:rsidTr="00C11237">
        <w:trPr>
          <w:trHeight w:val="107"/>
        </w:trPr>
        <w:tc>
          <w:tcPr>
            <w:cnfStyle w:val="001000000000" w:firstRow="0" w:lastRow="0" w:firstColumn="1" w:lastColumn="0" w:oddVBand="0" w:evenVBand="0" w:oddHBand="0" w:evenHBand="0" w:firstRowFirstColumn="0" w:firstRowLastColumn="0" w:lastRowFirstColumn="0" w:lastRowLastColumn="0"/>
            <w:tcW w:w="1412" w:type="dxa"/>
            <w:vMerge/>
          </w:tcPr>
          <w:p w14:paraId="5CD1E9AB" w14:textId="77777777" w:rsidR="005E70E4" w:rsidRPr="005E70E4" w:rsidRDefault="005E70E4" w:rsidP="005E70E4">
            <w:pPr>
              <w:autoSpaceDE w:val="0"/>
              <w:autoSpaceDN w:val="0"/>
              <w:adjustRightInd w:val="0"/>
              <w:jc w:val="both"/>
              <w:rPr>
                <w:rFonts w:ascii="Arial" w:hAnsi="Arial" w:cs="Arial"/>
                <w:color w:val="131413"/>
              </w:rPr>
            </w:pPr>
          </w:p>
        </w:tc>
        <w:tc>
          <w:tcPr>
            <w:tcW w:w="1275" w:type="dxa"/>
          </w:tcPr>
          <w:p w14:paraId="7BFE3EBA"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Urban </w:t>
            </w:r>
          </w:p>
        </w:tc>
        <w:tc>
          <w:tcPr>
            <w:tcW w:w="1174" w:type="dxa"/>
          </w:tcPr>
          <w:p w14:paraId="63B95E34"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0.230</w:t>
            </w:r>
          </w:p>
        </w:tc>
        <w:tc>
          <w:tcPr>
            <w:tcW w:w="1100" w:type="dxa"/>
          </w:tcPr>
          <w:p w14:paraId="595FDBD0"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0.042</w:t>
            </w:r>
          </w:p>
        </w:tc>
        <w:tc>
          <w:tcPr>
            <w:tcW w:w="1005" w:type="dxa"/>
          </w:tcPr>
          <w:p w14:paraId="4D809C1E"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0.64</w:t>
            </w:r>
          </w:p>
        </w:tc>
        <w:tc>
          <w:tcPr>
            <w:tcW w:w="1101" w:type="dxa"/>
          </w:tcPr>
          <w:p w14:paraId="59F217C5"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1.26</w:t>
            </w:r>
          </w:p>
        </w:tc>
        <w:tc>
          <w:tcPr>
            <w:tcW w:w="1032" w:type="dxa"/>
          </w:tcPr>
          <w:p w14:paraId="3786B77C"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0.002</w:t>
            </w:r>
          </w:p>
        </w:tc>
        <w:tc>
          <w:tcPr>
            <w:tcW w:w="1525" w:type="dxa"/>
          </w:tcPr>
          <w:p w14:paraId="4639DE7F"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[0.04,0.47]</w:t>
            </w:r>
          </w:p>
        </w:tc>
      </w:tr>
      <w:tr w:rsidR="005E70E4" w:rsidRPr="005E70E4" w14:paraId="00B1D903" w14:textId="77777777" w:rsidTr="00C11237">
        <w:trPr>
          <w:trHeight w:val="131"/>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3087E7BA" w14:textId="77777777" w:rsidR="005E70E4" w:rsidRPr="005E70E4" w:rsidRDefault="005E70E4" w:rsidP="005E70E4">
            <w:pPr>
              <w:autoSpaceDE w:val="0"/>
              <w:autoSpaceDN w:val="0"/>
              <w:adjustRightInd w:val="0"/>
              <w:jc w:val="both"/>
              <w:rPr>
                <w:rFonts w:ascii="Arial" w:hAnsi="Arial" w:cs="Arial"/>
                <w:color w:val="131413"/>
              </w:rPr>
            </w:pPr>
            <w:r w:rsidRPr="005E70E4">
              <w:rPr>
                <w:rFonts w:ascii="Arial" w:hAnsi="Arial" w:cs="Arial"/>
                <w:color w:val="131413"/>
              </w:rPr>
              <w:t xml:space="preserve">Adherence </w:t>
            </w:r>
          </w:p>
        </w:tc>
        <w:tc>
          <w:tcPr>
            <w:tcW w:w="1275" w:type="dxa"/>
          </w:tcPr>
          <w:p w14:paraId="68D18636"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Good</w:t>
            </w:r>
            <w:r w:rsidRPr="005E70E4">
              <w:rPr>
                <w:rFonts w:ascii="Arial" w:hAnsi="Arial" w:cs="Arial"/>
                <w:vertAlign w:val="superscript"/>
              </w:rPr>
              <w:t>R</w:t>
            </w:r>
            <w:r w:rsidRPr="005E70E4">
              <w:rPr>
                <w:rFonts w:ascii="Arial" w:hAnsi="Arial" w:cs="Arial"/>
                <w:color w:val="131413"/>
              </w:rPr>
              <w:t xml:space="preserve"> </w:t>
            </w:r>
          </w:p>
        </w:tc>
        <w:tc>
          <w:tcPr>
            <w:tcW w:w="1174" w:type="dxa"/>
          </w:tcPr>
          <w:p w14:paraId="4916B5EF"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074E7662"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682037EF"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370EBDB7"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4B90F2EA"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12C3E842"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2A317711" w14:textId="77777777" w:rsidTr="00C11237">
        <w:trPr>
          <w:trHeight w:val="107"/>
        </w:trPr>
        <w:tc>
          <w:tcPr>
            <w:cnfStyle w:val="001000000000" w:firstRow="0" w:lastRow="0" w:firstColumn="1" w:lastColumn="0" w:oddVBand="0" w:evenVBand="0" w:oddHBand="0" w:evenHBand="0" w:firstRowFirstColumn="0" w:firstRowLastColumn="0" w:lastRowFirstColumn="0" w:lastRowLastColumn="0"/>
            <w:tcW w:w="1412" w:type="dxa"/>
            <w:vMerge/>
          </w:tcPr>
          <w:p w14:paraId="41DF01EF" w14:textId="77777777" w:rsidR="005E70E4" w:rsidRPr="005E70E4" w:rsidRDefault="005E70E4" w:rsidP="005E70E4">
            <w:pPr>
              <w:autoSpaceDE w:val="0"/>
              <w:autoSpaceDN w:val="0"/>
              <w:adjustRightInd w:val="0"/>
              <w:jc w:val="both"/>
              <w:rPr>
                <w:rFonts w:ascii="Arial" w:hAnsi="Arial" w:cs="Arial"/>
                <w:color w:val="131413"/>
              </w:rPr>
            </w:pPr>
          </w:p>
        </w:tc>
        <w:tc>
          <w:tcPr>
            <w:tcW w:w="1275" w:type="dxa"/>
          </w:tcPr>
          <w:p w14:paraId="235A105C"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Poor </w:t>
            </w:r>
          </w:p>
        </w:tc>
        <w:tc>
          <w:tcPr>
            <w:tcW w:w="1174" w:type="dxa"/>
          </w:tcPr>
          <w:p w14:paraId="513252E4"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0.031</w:t>
            </w:r>
          </w:p>
        </w:tc>
        <w:tc>
          <w:tcPr>
            <w:tcW w:w="1100" w:type="dxa"/>
          </w:tcPr>
          <w:p w14:paraId="12A2DAE2"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0.032</w:t>
            </w:r>
          </w:p>
        </w:tc>
        <w:tc>
          <w:tcPr>
            <w:tcW w:w="1005" w:type="dxa"/>
          </w:tcPr>
          <w:p w14:paraId="0CB3D2B7"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1.32</w:t>
            </w:r>
          </w:p>
        </w:tc>
        <w:tc>
          <w:tcPr>
            <w:tcW w:w="1101" w:type="dxa"/>
          </w:tcPr>
          <w:p w14:paraId="69A77C50"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1.35</w:t>
            </w:r>
          </w:p>
        </w:tc>
        <w:tc>
          <w:tcPr>
            <w:tcW w:w="1032" w:type="dxa"/>
          </w:tcPr>
          <w:p w14:paraId="5958EDFD"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0.201</w:t>
            </w:r>
          </w:p>
        </w:tc>
        <w:tc>
          <w:tcPr>
            <w:tcW w:w="1525" w:type="dxa"/>
          </w:tcPr>
          <w:p w14:paraId="43AEF673"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[0.01,1.06]</w:t>
            </w:r>
          </w:p>
        </w:tc>
      </w:tr>
      <w:tr w:rsidR="005E70E4" w:rsidRPr="005E70E4" w14:paraId="60F8C095" w14:textId="77777777" w:rsidTr="00C11237">
        <w:trPr>
          <w:trHeight w:val="82"/>
        </w:trPr>
        <w:tc>
          <w:tcPr>
            <w:cnfStyle w:val="001000000000" w:firstRow="0" w:lastRow="0" w:firstColumn="1" w:lastColumn="0" w:oddVBand="0" w:evenVBand="0" w:oddHBand="0" w:evenHBand="0" w:firstRowFirstColumn="0" w:firstRowLastColumn="0" w:lastRowFirstColumn="0" w:lastRowLastColumn="0"/>
            <w:tcW w:w="1412" w:type="dxa"/>
            <w:vMerge/>
          </w:tcPr>
          <w:p w14:paraId="46B1801F" w14:textId="77777777" w:rsidR="005E70E4" w:rsidRPr="005E70E4" w:rsidRDefault="005E70E4" w:rsidP="005E70E4">
            <w:pPr>
              <w:autoSpaceDE w:val="0"/>
              <w:autoSpaceDN w:val="0"/>
              <w:adjustRightInd w:val="0"/>
              <w:jc w:val="both"/>
              <w:rPr>
                <w:rFonts w:ascii="Arial" w:hAnsi="Arial" w:cs="Arial"/>
                <w:color w:val="131413"/>
              </w:rPr>
            </w:pPr>
          </w:p>
        </w:tc>
        <w:tc>
          <w:tcPr>
            <w:tcW w:w="1275" w:type="dxa"/>
          </w:tcPr>
          <w:p w14:paraId="228D00E7"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Fair </w:t>
            </w:r>
          </w:p>
        </w:tc>
        <w:tc>
          <w:tcPr>
            <w:tcW w:w="1174" w:type="dxa"/>
          </w:tcPr>
          <w:p w14:paraId="16685704"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0.184</w:t>
            </w:r>
          </w:p>
        </w:tc>
        <w:tc>
          <w:tcPr>
            <w:tcW w:w="1100" w:type="dxa"/>
          </w:tcPr>
          <w:p w14:paraId="3BDEF7AA"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0.0466</w:t>
            </w:r>
          </w:p>
        </w:tc>
        <w:tc>
          <w:tcPr>
            <w:tcW w:w="1005" w:type="dxa"/>
          </w:tcPr>
          <w:p w14:paraId="73D00BF9"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3.94</w:t>
            </w:r>
          </w:p>
        </w:tc>
        <w:tc>
          <w:tcPr>
            <w:tcW w:w="1101" w:type="dxa"/>
          </w:tcPr>
          <w:p w14:paraId="0F6839C9"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1.20</w:t>
            </w:r>
          </w:p>
        </w:tc>
        <w:tc>
          <w:tcPr>
            <w:tcW w:w="1032" w:type="dxa"/>
          </w:tcPr>
          <w:p w14:paraId="2C7D7DE8"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0.765</w:t>
            </w:r>
          </w:p>
        </w:tc>
        <w:tc>
          <w:tcPr>
            <w:tcW w:w="1525" w:type="dxa"/>
          </w:tcPr>
          <w:p w14:paraId="6553F55C" w14:textId="77777777" w:rsidR="005E70E4" w:rsidRPr="005E70E4" w:rsidRDefault="005E70E4" w:rsidP="005E7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[0.093,0.275]</w:t>
            </w:r>
          </w:p>
        </w:tc>
      </w:tr>
      <w:tr w:rsidR="005E70E4" w:rsidRPr="005E70E4" w14:paraId="47BB3D18" w14:textId="77777777" w:rsidTr="00C11237">
        <w:trPr>
          <w:trHeight w:val="468"/>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4200FF20" w14:textId="77777777" w:rsidR="005E70E4" w:rsidRPr="005E70E4" w:rsidRDefault="005E70E4" w:rsidP="005E70E4">
            <w:pPr>
              <w:ind w:left="108"/>
              <w:jc w:val="both"/>
              <w:rPr>
                <w:rFonts w:ascii="Arial" w:hAnsi="Arial" w:cs="Arial"/>
                <w:color w:val="131413"/>
              </w:rPr>
            </w:pPr>
            <w:r w:rsidRPr="005E70E4">
              <w:rPr>
                <w:rFonts w:ascii="Arial" w:hAnsi="Arial" w:cs="Arial"/>
                <w:color w:val="131413"/>
              </w:rPr>
              <w:t xml:space="preserve">Co-morbidities </w:t>
            </w:r>
          </w:p>
        </w:tc>
        <w:tc>
          <w:tcPr>
            <w:tcW w:w="1275" w:type="dxa"/>
          </w:tcPr>
          <w:p w14:paraId="3B485727"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E70E4">
              <w:rPr>
                <w:rFonts w:ascii="Arial" w:hAnsi="Arial" w:cs="Arial"/>
              </w:rPr>
              <w:t>No</w:t>
            </w:r>
            <w:r w:rsidRPr="005E70E4">
              <w:rPr>
                <w:rFonts w:ascii="Arial" w:hAnsi="Arial" w:cs="Arial"/>
                <w:vertAlign w:val="superscript"/>
              </w:rPr>
              <w:t>R</w:t>
            </w:r>
            <w:proofErr w:type="spellEnd"/>
          </w:p>
        </w:tc>
        <w:tc>
          <w:tcPr>
            <w:tcW w:w="1174" w:type="dxa"/>
          </w:tcPr>
          <w:p w14:paraId="6144358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10C75FE1"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4BB605AB"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21043D2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3AABA8D6"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6678EA2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4A379664" w14:textId="77777777" w:rsidTr="00C11237">
        <w:trPr>
          <w:trHeight w:val="585"/>
        </w:trPr>
        <w:tc>
          <w:tcPr>
            <w:cnfStyle w:val="001000000000" w:firstRow="0" w:lastRow="0" w:firstColumn="1" w:lastColumn="0" w:oddVBand="0" w:evenVBand="0" w:oddHBand="0" w:evenHBand="0" w:firstRowFirstColumn="0" w:firstRowLastColumn="0" w:lastRowFirstColumn="0" w:lastRowLastColumn="0"/>
            <w:tcW w:w="1412" w:type="dxa"/>
            <w:vMerge/>
          </w:tcPr>
          <w:p w14:paraId="7523AFA3" w14:textId="77777777" w:rsidR="005E70E4" w:rsidRPr="005E70E4" w:rsidRDefault="005E70E4" w:rsidP="005E70E4">
            <w:pPr>
              <w:ind w:left="108"/>
              <w:jc w:val="both"/>
              <w:rPr>
                <w:rFonts w:ascii="Arial" w:hAnsi="Arial" w:cs="Arial"/>
                <w:color w:val="131413"/>
              </w:rPr>
            </w:pPr>
          </w:p>
        </w:tc>
        <w:tc>
          <w:tcPr>
            <w:tcW w:w="1275" w:type="dxa"/>
          </w:tcPr>
          <w:p w14:paraId="7515EBF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E70E4">
              <w:rPr>
                <w:rFonts w:ascii="Arial" w:hAnsi="Arial" w:cs="Arial"/>
              </w:rPr>
              <w:t xml:space="preserve">Yes  </w:t>
            </w:r>
          </w:p>
        </w:tc>
        <w:tc>
          <w:tcPr>
            <w:tcW w:w="1174" w:type="dxa"/>
          </w:tcPr>
          <w:p w14:paraId="650A1DFF"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0.196</w:t>
            </w:r>
          </w:p>
        </w:tc>
        <w:tc>
          <w:tcPr>
            <w:tcW w:w="1100" w:type="dxa"/>
          </w:tcPr>
          <w:p w14:paraId="502DB38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0.083</w:t>
            </w:r>
          </w:p>
        </w:tc>
        <w:tc>
          <w:tcPr>
            <w:tcW w:w="1005" w:type="dxa"/>
          </w:tcPr>
          <w:p w14:paraId="044E01FE"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2.35</w:t>
            </w:r>
          </w:p>
        </w:tc>
        <w:tc>
          <w:tcPr>
            <w:tcW w:w="1101" w:type="dxa"/>
          </w:tcPr>
          <w:p w14:paraId="3FAF119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1.216</w:t>
            </w:r>
          </w:p>
        </w:tc>
        <w:tc>
          <w:tcPr>
            <w:tcW w:w="1032" w:type="dxa"/>
          </w:tcPr>
          <w:p w14:paraId="3A43918C"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0.019</w:t>
            </w:r>
          </w:p>
        </w:tc>
        <w:tc>
          <w:tcPr>
            <w:tcW w:w="1525" w:type="dxa"/>
          </w:tcPr>
          <w:p w14:paraId="4D3375B6"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[0.033,0.36]</w:t>
            </w:r>
          </w:p>
        </w:tc>
      </w:tr>
      <w:tr w:rsidR="005E70E4" w:rsidRPr="005E70E4" w14:paraId="6210C56C" w14:textId="77777777" w:rsidTr="00C11237">
        <w:trPr>
          <w:trHeight w:val="657"/>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51915AE9" w14:textId="77777777" w:rsidR="005E70E4" w:rsidRPr="005E70E4" w:rsidRDefault="005E70E4" w:rsidP="005E70E4">
            <w:pPr>
              <w:ind w:left="108"/>
              <w:jc w:val="both"/>
              <w:rPr>
                <w:rFonts w:ascii="Arial" w:hAnsi="Arial" w:cs="Arial"/>
                <w:color w:val="131413"/>
              </w:rPr>
            </w:pPr>
            <w:r w:rsidRPr="005E70E4">
              <w:rPr>
                <w:rFonts w:ascii="Arial" w:hAnsi="Arial" w:cs="Arial"/>
                <w:color w:val="131413"/>
              </w:rPr>
              <w:t xml:space="preserve">Previous drug history </w:t>
            </w:r>
          </w:p>
        </w:tc>
        <w:tc>
          <w:tcPr>
            <w:tcW w:w="1275" w:type="dxa"/>
          </w:tcPr>
          <w:p w14:paraId="50597BA7"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E70E4">
              <w:rPr>
                <w:rFonts w:ascii="Arial" w:hAnsi="Arial" w:cs="Arial"/>
              </w:rPr>
              <w:t>No</w:t>
            </w:r>
            <w:r w:rsidRPr="005E70E4">
              <w:rPr>
                <w:rFonts w:ascii="Arial" w:hAnsi="Arial" w:cs="Arial"/>
                <w:vertAlign w:val="superscript"/>
              </w:rPr>
              <w:t>R</w:t>
            </w:r>
            <w:proofErr w:type="spellEnd"/>
            <w:r w:rsidRPr="005E70E4">
              <w:rPr>
                <w:rFonts w:ascii="Arial" w:hAnsi="Arial" w:cs="Arial"/>
              </w:rPr>
              <w:t xml:space="preserve"> </w:t>
            </w:r>
          </w:p>
        </w:tc>
        <w:tc>
          <w:tcPr>
            <w:tcW w:w="1174" w:type="dxa"/>
          </w:tcPr>
          <w:p w14:paraId="13E99BCC"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040AAAB1"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28430A04"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2EE3FA6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7B09BE58"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3FD8250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1CA64181" w14:textId="77777777" w:rsidTr="00C11237">
        <w:trPr>
          <w:trHeight w:val="522"/>
        </w:trPr>
        <w:tc>
          <w:tcPr>
            <w:cnfStyle w:val="001000000000" w:firstRow="0" w:lastRow="0" w:firstColumn="1" w:lastColumn="0" w:oddVBand="0" w:evenVBand="0" w:oddHBand="0" w:evenHBand="0" w:firstRowFirstColumn="0" w:firstRowLastColumn="0" w:lastRowFirstColumn="0" w:lastRowLastColumn="0"/>
            <w:tcW w:w="1412" w:type="dxa"/>
            <w:vMerge/>
          </w:tcPr>
          <w:p w14:paraId="38729833" w14:textId="77777777" w:rsidR="005E70E4" w:rsidRPr="005E70E4" w:rsidRDefault="005E70E4" w:rsidP="005E70E4">
            <w:pPr>
              <w:ind w:left="108"/>
              <w:jc w:val="both"/>
              <w:rPr>
                <w:rFonts w:ascii="Arial" w:hAnsi="Arial" w:cs="Arial"/>
                <w:color w:val="131413"/>
              </w:rPr>
            </w:pPr>
          </w:p>
        </w:tc>
        <w:tc>
          <w:tcPr>
            <w:tcW w:w="1275" w:type="dxa"/>
          </w:tcPr>
          <w:p w14:paraId="1F45BFCF"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E70E4">
              <w:rPr>
                <w:rFonts w:ascii="Arial" w:hAnsi="Arial" w:cs="Arial"/>
              </w:rPr>
              <w:t xml:space="preserve">Yes </w:t>
            </w:r>
          </w:p>
        </w:tc>
        <w:tc>
          <w:tcPr>
            <w:tcW w:w="1174" w:type="dxa"/>
          </w:tcPr>
          <w:p w14:paraId="51DC3586"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0.45</w:t>
            </w:r>
          </w:p>
        </w:tc>
        <w:tc>
          <w:tcPr>
            <w:tcW w:w="1100" w:type="dxa"/>
          </w:tcPr>
          <w:p w14:paraId="07FE40E8"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0.112</w:t>
            </w:r>
          </w:p>
        </w:tc>
        <w:tc>
          <w:tcPr>
            <w:tcW w:w="1005" w:type="dxa"/>
          </w:tcPr>
          <w:p w14:paraId="400CB4FC"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4.03</w:t>
            </w:r>
          </w:p>
        </w:tc>
        <w:tc>
          <w:tcPr>
            <w:tcW w:w="1101" w:type="dxa"/>
          </w:tcPr>
          <w:p w14:paraId="428803EF"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1.57</w:t>
            </w:r>
          </w:p>
        </w:tc>
        <w:tc>
          <w:tcPr>
            <w:tcW w:w="1032" w:type="dxa"/>
          </w:tcPr>
          <w:p w14:paraId="770BC03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w:t>
            </w:r>
          </w:p>
        </w:tc>
        <w:tc>
          <w:tcPr>
            <w:tcW w:w="1525" w:type="dxa"/>
          </w:tcPr>
          <w:p w14:paraId="18DACAE4"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[0.231,0.67]</w:t>
            </w:r>
          </w:p>
        </w:tc>
      </w:tr>
      <w:tr w:rsidR="005E70E4" w:rsidRPr="005E70E4" w14:paraId="7B10D25D" w14:textId="77777777" w:rsidTr="00C11237">
        <w:trPr>
          <w:trHeight w:val="498"/>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312BBFF1" w14:textId="77777777" w:rsidR="005E70E4" w:rsidRPr="005E70E4" w:rsidRDefault="005E70E4" w:rsidP="005E70E4">
            <w:pPr>
              <w:ind w:left="108"/>
              <w:jc w:val="both"/>
              <w:rPr>
                <w:rFonts w:ascii="Arial" w:hAnsi="Arial" w:cs="Arial"/>
                <w:color w:val="131413"/>
              </w:rPr>
            </w:pPr>
            <w:r w:rsidRPr="005E70E4">
              <w:rPr>
                <w:rFonts w:ascii="Arial" w:hAnsi="Arial" w:cs="Arial"/>
                <w:color w:val="131413"/>
              </w:rPr>
              <w:t xml:space="preserve">MDR-TB type </w:t>
            </w:r>
          </w:p>
        </w:tc>
        <w:tc>
          <w:tcPr>
            <w:tcW w:w="1275" w:type="dxa"/>
          </w:tcPr>
          <w:p w14:paraId="766F3E5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roofErr w:type="spellStart"/>
            <w:r w:rsidRPr="005E70E4">
              <w:rPr>
                <w:rFonts w:ascii="Arial" w:hAnsi="Arial" w:cs="Arial"/>
                <w:color w:val="131413"/>
              </w:rPr>
              <w:t>Pulmonary</w:t>
            </w:r>
            <w:r w:rsidRPr="005E70E4">
              <w:rPr>
                <w:rFonts w:ascii="Arial" w:hAnsi="Arial" w:cs="Arial"/>
                <w:color w:val="131413"/>
                <w:vertAlign w:val="superscript"/>
              </w:rPr>
              <w:t>R</w:t>
            </w:r>
            <w:proofErr w:type="spellEnd"/>
            <w:r w:rsidRPr="005E70E4">
              <w:rPr>
                <w:rFonts w:ascii="Arial" w:hAnsi="Arial" w:cs="Arial"/>
                <w:color w:val="131413"/>
              </w:rPr>
              <w:t xml:space="preserve"> </w:t>
            </w:r>
          </w:p>
        </w:tc>
        <w:tc>
          <w:tcPr>
            <w:tcW w:w="1174" w:type="dxa"/>
          </w:tcPr>
          <w:p w14:paraId="24B8705F"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52BBA648"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03E6F3B9"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4E20B25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5766549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0BC7623F"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105F6FF2" w14:textId="77777777" w:rsidTr="00C11237">
        <w:trPr>
          <w:trHeight w:val="555"/>
        </w:trPr>
        <w:tc>
          <w:tcPr>
            <w:cnfStyle w:val="001000000000" w:firstRow="0" w:lastRow="0" w:firstColumn="1" w:lastColumn="0" w:oddVBand="0" w:evenVBand="0" w:oddHBand="0" w:evenHBand="0" w:firstRowFirstColumn="0" w:firstRowLastColumn="0" w:lastRowFirstColumn="0" w:lastRowLastColumn="0"/>
            <w:tcW w:w="1412" w:type="dxa"/>
            <w:vMerge/>
          </w:tcPr>
          <w:p w14:paraId="4F6344ED" w14:textId="77777777" w:rsidR="005E70E4" w:rsidRPr="005E70E4" w:rsidRDefault="005E70E4" w:rsidP="005E70E4">
            <w:pPr>
              <w:ind w:left="108"/>
              <w:jc w:val="both"/>
              <w:rPr>
                <w:rFonts w:ascii="Arial" w:hAnsi="Arial" w:cs="Arial"/>
                <w:color w:val="131413"/>
              </w:rPr>
            </w:pPr>
          </w:p>
        </w:tc>
        <w:tc>
          <w:tcPr>
            <w:tcW w:w="1275" w:type="dxa"/>
          </w:tcPr>
          <w:p w14:paraId="2E581DC7"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Extra pulmonary </w:t>
            </w:r>
          </w:p>
        </w:tc>
        <w:tc>
          <w:tcPr>
            <w:tcW w:w="1174" w:type="dxa"/>
          </w:tcPr>
          <w:p w14:paraId="057B216E"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-0.068</w:t>
            </w:r>
          </w:p>
        </w:tc>
        <w:tc>
          <w:tcPr>
            <w:tcW w:w="1100" w:type="dxa"/>
          </w:tcPr>
          <w:p w14:paraId="5FBE2D09"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0.115</w:t>
            </w:r>
          </w:p>
        </w:tc>
        <w:tc>
          <w:tcPr>
            <w:tcW w:w="1005" w:type="dxa"/>
          </w:tcPr>
          <w:p w14:paraId="1DD29554"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-0.59</w:t>
            </w:r>
          </w:p>
        </w:tc>
        <w:tc>
          <w:tcPr>
            <w:tcW w:w="1101" w:type="dxa"/>
          </w:tcPr>
          <w:p w14:paraId="32B76FF0"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0.934</w:t>
            </w:r>
          </w:p>
        </w:tc>
        <w:tc>
          <w:tcPr>
            <w:tcW w:w="1032" w:type="dxa"/>
          </w:tcPr>
          <w:p w14:paraId="424E1B69"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0.006</w:t>
            </w:r>
          </w:p>
        </w:tc>
        <w:tc>
          <w:tcPr>
            <w:tcW w:w="1525" w:type="dxa"/>
          </w:tcPr>
          <w:p w14:paraId="497E6116"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[-0.293,0.159]</w:t>
            </w:r>
          </w:p>
        </w:tc>
      </w:tr>
      <w:tr w:rsidR="005E70E4" w:rsidRPr="005E70E4" w14:paraId="1E8AB5D3" w14:textId="77777777" w:rsidTr="00C11237">
        <w:trPr>
          <w:trHeight w:val="279"/>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3856606B" w14:textId="77777777" w:rsidR="005E70E4" w:rsidRPr="005E70E4" w:rsidRDefault="005E70E4" w:rsidP="005E70E4">
            <w:pPr>
              <w:ind w:left="108"/>
              <w:jc w:val="both"/>
              <w:rPr>
                <w:rFonts w:ascii="Arial" w:hAnsi="Arial" w:cs="Arial"/>
                <w:color w:val="131413"/>
              </w:rPr>
            </w:pPr>
            <w:r w:rsidRPr="005E70E4">
              <w:rPr>
                <w:rFonts w:ascii="Arial" w:hAnsi="Arial" w:cs="Arial"/>
                <w:color w:val="131413"/>
              </w:rPr>
              <w:t>Occupation</w:t>
            </w:r>
          </w:p>
        </w:tc>
        <w:tc>
          <w:tcPr>
            <w:tcW w:w="1275" w:type="dxa"/>
          </w:tcPr>
          <w:p w14:paraId="64BDC9FA"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roofErr w:type="spellStart"/>
            <w:r w:rsidRPr="005E70E4">
              <w:rPr>
                <w:rFonts w:ascii="Arial" w:hAnsi="Arial" w:cs="Arial"/>
                <w:color w:val="131413"/>
              </w:rPr>
              <w:t>Farmer</w:t>
            </w:r>
            <w:r w:rsidRPr="005E70E4">
              <w:rPr>
                <w:rFonts w:ascii="Arial" w:hAnsi="Arial" w:cs="Arial"/>
                <w:vertAlign w:val="superscript"/>
              </w:rPr>
              <w:t>R</w:t>
            </w:r>
            <w:proofErr w:type="spellEnd"/>
            <w:r w:rsidRPr="005E70E4">
              <w:rPr>
                <w:rFonts w:ascii="Arial" w:hAnsi="Arial" w:cs="Arial"/>
                <w:color w:val="131413"/>
              </w:rPr>
              <w:t xml:space="preserve"> </w:t>
            </w:r>
          </w:p>
        </w:tc>
        <w:tc>
          <w:tcPr>
            <w:tcW w:w="1174" w:type="dxa"/>
          </w:tcPr>
          <w:p w14:paraId="5FFA653E"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240AEB2B"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51EC9CD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7D491A1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787A396B"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03F9BB1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019C2DDD" w14:textId="77777777" w:rsidTr="00C11237">
        <w:trPr>
          <w:trHeight w:val="360"/>
        </w:trPr>
        <w:tc>
          <w:tcPr>
            <w:cnfStyle w:val="001000000000" w:firstRow="0" w:lastRow="0" w:firstColumn="1" w:lastColumn="0" w:oddVBand="0" w:evenVBand="0" w:oddHBand="0" w:evenHBand="0" w:firstRowFirstColumn="0" w:firstRowLastColumn="0" w:lastRowFirstColumn="0" w:lastRowLastColumn="0"/>
            <w:tcW w:w="1412" w:type="dxa"/>
            <w:vMerge/>
          </w:tcPr>
          <w:p w14:paraId="4A6E2509" w14:textId="77777777" w:rsidR="005E70E4" w:rsidRPr="005E70E4" w:rsidRDefault="005E70E4" w:rsidP="005E70E4">
            <w:pPr>
              <w:ind w:left="108"/>
              <w:jc w:val="both"/>
              <w:rPr>
                <w:rFonts w:ascii="Arial" w:hAnsi="Arial" w:cs="Arial"/>
                <w:color w:val="131413"/>
              </w:rPr>
            </w:pPr>
          </w:p>
        </w:tc>
        <w:tc>
          <w:tcPr>
            <w:tcW w:w="1275" w:type="dxa"/>
          </w:tcPr>
          <w:p w14:paraId="7E8FABBF"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Employee </w:t>
            </w:r>
          </w:p>
        </w:tc>
        <w:tc>
          <w:tcPr>
            <w:tcW w:w="1174" w:type="dxa"/>
          </w:tcPr>
          <w:p w14:paraId="68BCCAA6"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0.071</w:t>
            </w:r>
          </w:p>
        </w:tc>
        <w:tc>
          <w:tcPr>
            <w:tcW w:w="1100" w:type="dxa"/>
          </w:tcPr>
          <w:p w14:paraId="2DB743B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0.025</w:t>
            </w:r>
          </w:p>
        </w:tc>
        <w:tc>
          <w:tcPr>
            <w:tcW w:w="1005" w:type="dxa"/>
          </w:tcPr>
          <w:p w14:paraId="6AAD44D4"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3.09</w:t>
            </w:r>
          </w:p>
        </w:tc>
        <w:tc>
          <w:tcPr>
            <w:tcW w:w="1101" w:type="dxa"/>
          </w:tcPr>
          <w:p w14:paraId="14365D3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1.073</w:t>
            </w:r>
          </w:p>
        </w:tc>
        <w:tc>
          <w:tcPr>
            <w:tcW w:w="1032" w:type="dxa"/>
          </w:tcPr>
          <w:p w14:paraId="04A21B6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0.002</w:t>
            </w:r>
          </w:p>
        </w:tc>
        <w:tc>
          <w:tcPr>
            <w:tcW w:w="1525" w:type="dxa"/>
          </w:tcPr>
          <w:p w14:paraId="5A015EBC"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[1.026,1.12]</w:t>
            </w:r>
          </w:p>
        </w:tc>
      </w:tr>
      <w:tr w:rsidR="005E70E4" w:rsidRPr="005E70E4" w14:paraId="447BE055" w14:textId="77777777" w:rsidTr="00C11237">
        <w:trPr>
          <w:trHeight w:val="270"/>
        </w:trPr>
        <w:tc>
          <w:tcPr>
            <w:cnfStyle w:val="001000000000" w:firstRow="0" w:lastRow="0" w:firstColumn="1" w:lastColumn="0" w:oddVBand="0" w:evenVBand="0" w:oddHBand="0" w:evenHBand="0" w:firstRowFirstColumn="0" w:firstRowLastColumn="0" w:lastRowFirstColumn="0" w:lastRowLastColumn="0"/>
            <w:tcW w:w="1412" w:type="dxa"/>
            <w:vMerge/>
          </w:tcPr>
          <w:p w14:paraId="5F982969" w14:textId="77777777" w:rsidR="005E70E4" w:rsidRPr="005E70E4" w:rsidRDefault="005E70E4" w:rsidP="005E70E4">
            <w:pPr>
              <w:ind w:left="108"/>
              <w:jc w:val="both"/>
              <w:rPr>
                <w:rFonts w:ascii="Arial" w:hAnsi="Arial" w:cs="Arial"/>
                <w:color w:val="131413"/>
              </w:rPr>
            </w:pPr>
          </w:p>
        </w:tc>
        <w:tc>
          <w:tcPr>
            <w:tcW w:w="1275" w:type="dxa"/>
          </w:tcPr>
          <w:p w14:paraId="6B798ED7"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Merchant </w:t>
            </w:r>
          </w:p>
        </w:tc>
        <w:tc>
          <w:tcPr>
            <w:tcW w:w="1174" w:type="dxa"/>
          </w:tcPr>
          <w:p w14:paraId="3169B06A"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0.152</w:t>
            </w:r>
          </w:p>
        </w:tc>
        <w:tc>
          <w:tcPr>
            <w:tcW w:w="1100" w:type="dxa"/>
          </w:tcPr>
          <w:p w14:paraId="3EA191F9"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0.0383</w:t>
            </w:r>
          </w:p>
        </w:tc>
        <w:tc>
          <w:tcPr>
            <w:tcW w:w="1005" w:type="dxa"/>
          </w:tcPr>
          <w:p w14:paraId="5769D187"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3.98</w:t>
            </w:r>
          </w:p>
        </w:tc>
        <w:tc>
          <w:tcPr>
            <w:tcW w:w="1101" w:type="dxa"/>
          </w:tcPr>
          <w:p w14:paraId="1197FA3E"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1.164</w:t>
            </w:r>
          </w:p>
        </w:tc>
        <w:tc>
          <w:tcPr>
            <w:tcW w:w="1032" w:type="dxa"/>
          </w:tcPr>
          <w:p w14:paraId="0E67D9F8"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0.231</w:t>
            </w:r>
          </w:p>
        </w:tc>
        <w:tc>
          <w:tcPr>
            <w:tcW w:w="1525" w:type="dxa"/>
          </w:tcPr>
          <w:p w14:paraId="4121B079"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[0.078,0.23]</w:t>
            </w:r>
          </w:p>
        </w:tc>
      </w:tr>
      <w:tr w:rsidR="005E70E4" w:rsidRPr="005E70E4" w14:paraId="3B96617D" w14:textId="77777777" w:rsidTr="00C11237">
        <w:trPr>
          <w:trHeight w:val="180"/>
        </w:trPr>
        <w:tc>
          <w:tcPr>
            <w:cnfStyle w:val="001000000000" w:firstRow="0" w:lastRow="0" w:firstColumn="1" w:lastColumn="0" w:oddVBand="0" w:evenVBand="0" w:oddHBand="0" w:evenHBand="0" w:firstRowFirstColumn="0" w:firstRowLastColumn="0" w:lastRowFirstColumn="0" w:lastRowLastColumn="0"/>
            <w:tcW w:w="1412" w:type="dxa"/>
            <w:vMerge/>
          </w:tcPr>
          <w:p w14:paraId="5F59F691" w14:textId="77777777" w:rsidR="005E70E4" w:rsidRPr="005E70E4" w:rsidRDefault="005E70E4" w:rsidP="005E70E4">
            <w:pPr>
              <w:ind w:left="108"/>
              <w:jc w:val="both"/>
              <w:rPr>
                <w:rFonts w:ascii="Arial" w:hAnsi="Arial" w:cs="Arial"/>
                <w:color w:val="131413"/>
              </w:rPr>
            </w:pPr>
          </w:p>
        </w:tc>
        <w:tc>
          <w:tcPr>
            <w:tcW w:w="1275" w:type="dxa"/>
          </w:tcPr>
          <w:p w14:paraId="195502C7"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Others </w:t>
            </w:r>
          </w:p>
        </w:tc>
        <w:tc>
          <w:tcPr>
            <w:tcW w:w="1174" w:type="dxa"/>
          </w:tcPr>
          <w:p w14:paraId="6D58478F"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6EBE2CC9"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10C9145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0D1DB75B"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32" w:type="dxa"/>
          </w:tcPr>
          <w:p w14:paraId="480FD38F"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2233E2F4"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2BD90AB8" w14:textId="77777777" w:rsidTr="00C11237">
        <w:trPr>
          <w:trHeight w:val="358"/>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1326D0C1" w14:textId="77777777" w:rsidR="005E70E4" w:rsidRPr="005E70E4" w:rsidRDefault="005E70E4" w:rsidP="005E70E4">
            <w:pPr>
              <w:ind w:left="108"/>
              <w:jc w:val="both"/>
              <w:rPr>
                <w:rFonts w:ascii="Arial" w:hAnsi="Arial" w:cs="Arial"/>
                <w:color w:val="131413"/>
              </w:rPr>
            </w:pPr>
            <w:r w:rsidRPr="005E70E4">
              <w:rPr>
                <w:rFonts w:ascii="Arial" w:hAnsi="Arial" w:cs="Arial"/>
                <w:color w:val="131413"/>
              </w:rPr>
              <w:t xml:space="preserve"> Education level </w:t>
            </w:r>
          </w:p>
        </w:tc>
        <w:tc>
          <w:tcPr>
            <w:tcW w:w="1275" w:type="dxa"/>
          </w:tcPr>
          <w:p w14:paraId="53233582"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roofErr w:type="spellStart"/>
            <w:r w:rsidRPr="005E70E4">
              <w:rPr>
                <w:rFonts w:ascii="Arial" w:hAnsi="Arial" w:cs="Arial"/>
                <w:color w:val="131413"/>
              </w:rPr>
              <w:t>Secondary</w:t>
            </w:r>
            <w:r w:rsidRPr="005E70E4">
              <w:rPr>
                <w:rFonts w:ascii="Arial" w:hAnsi="Arial" w:cs="Arial"/>
                <w:vertAlign w:val="superscript"/>
              </w:rPr>
              <w:t>R</w:t>
            </w:r>
            <w:proofErr w:type="spellEnd"/>
            <w:r w:rsidRPr="005E70E4">
              <w:rPr>
                <w:rFonts w:ascii="Arial" w:hAnsi="Arial" w:cs="Arial"/>
                <w:color w:val="131413"/>
              </w:rPr>
              <w:t xml:space="preserve"> &amp;above </w:t>
            </w:r>
          </w:p>
        </w:tc>
        <w:tc>
          <w:tcPr>
            <w:tcW w:w="1174" w:type="dxa"/>
          </w:tcPr>
          <w:p w14:paraId="08C89B50"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12FB12CC"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450CE191"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1A366021"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33128D68"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69C7AA31"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4334AE2E" w14:textId="77777777" w:rsidTr="00C11237">
        <w:trPr>
          <w:trHeight w:val="255"/>
        </w:trPr>
        <w:tc>
          <w:tcPr>
            <w:cnfStyle w:val="001000000000" w:firstRow="0" w:lastRow="0" w:firstColumn="1" w:lastColumn="0" w:oddVBand="0" w:evenVBand="0" w:oddHBand="0" w:evenHBand="0" w:firstRowFirstColumn="0" w:firstRowLastColumn="0" w:lastRowFirstColumn="0" w:lastRowLastColumn="0"/>
            <w:tcW w:w="1412" w:type="dxa"/>
            <w:vMerge/>
          </w:tcPr>
          <w:p w14:paraId="407D046B" w14:textId="77777777" w:rsidR="005E70E4" w:rsidRPr="005E70E4" w:rsidRDefault="005E70E4" w:rsidP="005E70E4">
            <w:pPr>
              <w:ind w:left="108"/>
              <w:jc w:val="both"/>
              <w:rPr>
                <w:rFonts w:ascii="Arial" w:hAnsi="Arial" w:cs="Arial"/>
                <w:color w:val="131413"/>
              </w:rPr>
            </w:pPr>
          </w:p>
        </w:tc>
        <w:tc>
          <w:tcPr>
            <w:tcW w:w="1275" w:type="dxa"/>
          </w:tcPr>
          <w:p w14:paraId="171F52F7"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Primary </w:t>
            </w:r>
          </w:p>
        </w:tc>
        <w:tc>
          <w:tcPr>
            <w:tcW w:w="1174" w:type="dxa"/>
          </w:tcPr>
          <w:p w14:paraId="27BE9C42"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-0.007</w:t>
            </w:r>
          </w:p>
        </w:tc>
        <w:tc>
          <w:tcPr>
            <w:tcW w:w="1100" w:type="dxa"/>
          </w:tcPr>
          <w:p w14:paraId="567D513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0.014</w:t>
            </w:r>
          </w:p>
        </w:tc>
        <w:tc>
          <w:tcPr>
            <w:tcW w:w="1005" w:type="dxa"/>
          </w:tcPr>
          <w:p w14:paraId="20A2730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-0.053</w:t>
            </w:r>
          </w:p>
        </w:tc>
        <w:tc>
          <w:tcPr>
            <w:tcW w:w="1101" w:type="dxa"/>
          </w:tcPr>
          <w:p w14:paraId="132342D6"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0.993</w:t>
            </w:r>
          </w:p>
        </w:tc>
        <w:tc>
          <w:tcPr>
            <w:tcW w:w="1032" w:type="dxa"/>
          </w:tcPr>
          <w:p w14:paraId="4AC7D22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0.613</w:t>
            </w:r>
          </w:p>
        </w:tc>
        <w:tc>
          <w:tcPr>
            <w:tcW w:w="1525" w:type="dxa"/>
          </w:tcPr>
          <w:p w14:paraId="6ED6D84B"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[-0.966,1.021]</w:t>
            </w:r>
          </w:p>
        </w:tc>
      </w:tr>
      <w:tr w:rsidR="005E70E4" w:rsidRPr="005E70E4" w14:paraId="3EC65B17" w14:textId="77777777" w:rsidTr="00C11237">
        <w:trPr>
          <w:trHeight w:val="223"/>
        </w:trPr>
        <w:tc>
          <w:tcPr>
            <w:cnfStyle w:val="001000000000" w:firstRow="0" w:lastRow="0" w:firstColumn="1" w:lastColumn="0" w:oddVBand="0" w:evenVBand="0" w:oddHBand="0" w:evenHBand="0" w:firstRowFirstColumn="0" w:firstRowLastColumn="0" w:lastRowFirstColumn="0" w:lastRowLastColumn="0"/>
            <w:tcW w:w="1412" w:type="dxa"/>
            <w:vMerge/>
          </w:tcPr>
          <w:p w14:paraId="570AFB24" w14:textId="77777777" w:rsidR="005E70E4" w:rsidRPr="005E70E4" w:rsidRDefault="005E70E4" w:rsidP="005E70E4">
            <w:pPr>
              <w:ind w:left="108"/>
              <w:jc w:val="both"/>
              <w:rPr>
                <w:rFonts w:ascii="Arial" w:hAnsi="Arial" w:cs="Arial"/>
                <w:color w:val="131413"/>
              </w:rPr>
            </w:pPr>
          </w:p>
        </w:tc>
        <w:tc>
          <w:tcPr>
            <w:tcW w:w="1275" w:type="dxa"/>
          </w:tcPr>
          <w:p w14:paraId="5B518B8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No education</w:t>
            </w:r>
          </w:p>
        </w:tc>
        <w:tc>
          <w:tcPr>
            <w:tcW w:w="1174" w:type="dxa"/>
          </w:tcPr>
          <w:p w14:paraId="62620EF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0.114</w:t>
            </w:r>
          </w:p>
        </w:tc>
        <w:tc>
          <w:tcPr>
            <w:tcW w:w="1100" w:type="dxa"/>
          </w:tcPr>
          <w:p w14:paraId="66E4BC32"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0.0354</w:t>
            </w:r>
          </w:p>
        </w:tc>
        <w:tc>
          <w:tcPr>
            <w:tcW w:w="1005" w:type="dxa"/>
          </w:tcPr>
          <w:p w14:paraId="7014B948"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3.14</w:t>
            </w:r>
          </w:p>
        </w:tc>
        <w:tc>
          <w:tcPr>
            <w:tcW w:w="1101" w:type="dxa"/>
          </w:tcPr>
          <w:p w14:paraId="6614E74E"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1.12</w:t>
            </w:r>
          </w:p>
        </w:tc>
        <w:tc>
          <w:tcPr>
            <w:tcW w:w="1032" w:type="dxa"/>
          </w:tcPr>
          <w:p w14:paraId="4AFA87C2"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0.002</w:t>
            </w:r>
          </w:p>
        </w:tc>
        <w:tc>
          <w:tcPr>
            <w:tcW w:w="1525" w:type="dxa"/>
          </w:tcPr>
          <w:p w14:paraId="0836F0F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[0.0419,0.180]</w:t>
            </w:r>
          </w:p>
        </w:tc>
      </w:tr>
      <w:tr w:rsidR="005E70E4" w:rsidRPr="005E70E4" w14:paraId="3A6136C2" w14:textId="77777777" w:rsidTr="00C11237">
        <w:trPr>
          <w:trHeight w:val="300"/>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5AA15FC4" w14:textId="77777777" w:rsidR="005E70E4" w:rsidRPr="005E70E4" w:rsidRDefault="005E70E4" w:rsidP="005E70E4">
            <w:pPr>
              <w:ind w:left="108"/>
              <w:jc w:val="both"/>
              <w:rPr>
                <w:rFonts w:ascii="Arial" w:hAnsi="Arial" w:cs="Arial"/>
                <w:color w:val="131413"/>
              </w:rPr>
            </w:pPr>
            <w:r w:rsidRPr="005E70E4">
              <w:rPr>
                <w:rFonts w:ascii="Arial" w:hAnsi="Arial" w:cs="Arial"/>
                <w:color w:val="131413"/>
              </w:rPr>
              <w:t>History of TB</w:t>
            </w:r>
          </w:p>
        </w:tc>
        <w:tc>
          <w:tcPr>
            <w:tcW w:w="1275" w:type="dxa"/>
          </w:tcPr>
          <w:p w14:paraId="7BE3B6F2"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No </w:t>
            </w:r>
          </w:p>
        </w:tc>
        <w:tc>
          <w:tcPr>
            <w:tcW w:w="1174" w:type="dxa"/>
          </w:tcPr>
          <w:p w14:paraId="69EE4C76"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0.213</w:t>
            </w:r>
          </w:p>
        </w:tc>
        <w:tc>
          <w:tcPr>
            <w:tcW w:w="1100" w:type="dxa"/>
          </w:tcPr>
          <w:p w14:paraId="75F83018"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0.074</w:t>
            </w:r>
          </w:p>
        </w:tc>
        <w:tc>
          <w:tcPr>
            <w:tcW w:w="1005" w:type="dxa"/>
          </w:tcPr>
          <w:p w14:paraId="4D59F1C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2.90</w:t>
            </w:r>
          </w:p>
        </w:tc>
        <w:tc>
          <w:tcPr>
            <w:tcW w:w="1101" w:type="dxa"/>
          </w:tcPr>
          <w:p w14:paraId="0E9CDF8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1.24</w:t>
            </w:r>
          </w:p>
        </w:tc>
        <w:tc>
          <w:tcPr>
            <w:tcW w:w="1032" w:type="dxa"/>
          </w:tcPr>
          <w:p w14:paraId="3337B9B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0.004</w:t>
            </w:r>
          </w:p>
        </w:tc>
        <w:tc>
          <w:tcPr>
            <w:tcW w:w="1525" w:type="dxa"/>
          </w:tcPr>
          <w:p w14:paraId="7BDBCD5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[0.069,0.358]</w:t>
            </w:r>
          </w:p>
        </w:tc>
      </w:tr>
      <w:tr w:rsidR="005E70E4" w:rsidRPr="005E70E4" w14:paraId="16A038FE" w14:textId="77777777" w:rsidTr="00C11237">
        <w:trPr>
          <w:trHeight w:val="440"/>
        </w:trPr>
        <w:tc>
          <w:tcPr>
            <w:cnfStyle w:val="001000000000" w:firstRow="0" w:lastRow="0" w:firstColumn="1" w:lastColumn="0" w:oddVBand="0" w:evenVBand="0" w:oddHBand="0" w:evenHBand="0" w:firstRowFirstColumn="0" w:firstRowLastColumn="0" w:lastRowFirstColumn="0" w:lastRowLastColumn="0"/>
            <w:tcW w:w="1412" w:type="dxa"/>
            <w:vMerge/>
          </w:tcPr>
          <w:p w14:paraId="3E7E7423" w14:textId="77777777" w:rsidR="005E70E4" w:rsidRPr="005E70E4" w:rsidRDefault="005E70E4" w:rsidP="005E70E4">
            <w:pPr>
              <w:ind w:left="108"/>
              <w:jc w:val="both"/>
              <w:rPr>
                <w:rFonts w:ascii="Arial" w:hAnsi="Arial" w:cs="Arial"/>
                <w:color w:val="131413"/>
              </w:rPr>
            </w:pPr>
          </w:p>
        </w:tc>
        <w:tc>
          <w:tcPr>
            <w:tcW w:w="1275" w:type="dxa"/>
          </w:tcPr>
          <w:p w14:paraId="143A3D62"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roofErr w:type="spellStart"/>
            <w:r w:rsidRPr="005E70E4">
              <w:rPr>
                <w:rFonts w:ascii="Arial" w:hAnsi="Arial" w:cs="Arial"/>
                <w:color w:val="131413"/>
              </w:rPr>
              <w:t>Yes</w:t>
            </w:r>
            <w:r w:rsidRPr="005E70E4">
              <w:rPr>
                <w:rFonts w:ascii="Arial" w:hAnsi="Arial" w:cs="Arial"/>
                <w:vertAlign w:val="superscript"/>
              </w:rPr>
              <w:t>R</w:t>
            </w:r>
            <w:proofErr w:type="spellEnd"/>
            <w:r w:rsidRPr="005E70E4">
              <w:rPr>
                <w:rFonts w:ascii="Arial" w:hAnsi="Arial" w:cs="Arial"/>
                <w:color w:val="131413"/>
              </w:rPr>
              <w:t xml:space="preserve"> </w:t>
            </w:r>
          </w:p>
        </w:tc>
        <w:tc>
          <w:tcPr>
            <w:tcW w:w="1174" w:type="dxa"/>
          </w:tcPr>
          <w:p w14:paraId="195183D6"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673B7B29"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6FF0CC9A"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03E621B1"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2EA72C96"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5E66538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3DF2E00A" w14:textId="77777777" w:rsidTr="00C11237">
        <w:trPr>
          <w:trHeight w:val="225"/>
        </w:trPr>
        <w:tc>
          <w:tcPr>
            <w:cnfStyle w:val="001000000000" w:firstRow="0" w:lastRow="0" w:firstColumn="1" w:lastColumn="0" w:oddVBand="0" w:evenVBand="0" w:oddHBand="0" w:evenHBand="0" w:firstRowFirstColumn="0" w:firstRowLastColumn="0" w:lastRowFirstColumn="0" w:lastRowLastColumn="0"/>
            <w:tcW w:w="1412" w:type="dxa"/>
            <w:vMerge w:val="restart"/>
          </w:tcPr>
          <w:p w14:paraId="1BB729EA" w14:textId="77777777" w:rsidR="005E70E4" w:rsidRPr="005E70E4" w:rsidRDefault="005E70E4" w:rsidP="005E70E4">
            <w:pPr>
              <w:ind w:left="108"/>
              <w:jc w:val="both"/>
              <w:rPr>
                <w:rFonts w:ascii="Arial" w:hAnsi="Arial" w:cs="Arial"/>
                <w:color w:val="131413"/>
              </w:rPr>
            </w:pPr>
            <w:r w:rsidRPr="005E70E4">
              <w:rPr>
                <w:rFonts w:ascii="Arial" w:hAnsi="Arial" w:cs="Arial"/>
                <w:color w:val="131413"/>
              </w:rPr>
              <w:t>Alcohol use</w:t>
            </w:r>
          </w:p>
        </w:tc>
        <w:tc>
          <w:tcPr>
            <w:tcW w:w="1275" w:type="dxa"/>
          </w:tcPr>
          <w:p w14:paraId="5CCFADFA"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 xml:space="preserve">No </w:t>
            </w:r>
          </w:p>
        </w:tc>
        <w:tc>
          <w:tcPr>
            <w:tcW w:w="1174" w:type="dxa"/>
          </w:tcPr>
          <w:p w14:paraId="265243F6"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0.048</w:t>
            </w:r>
          </w:p>
        </w:tc>
        <w:tc>
          <w:tcPr>
            <w:tcW w:w="1100" w:type="dxa"/>
          </w:tcPr>
          <w:p w14:paraId="3D05FCAC"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0.076</w:t>
            </w:r>
          </w:p>
        </w:tc>
        <w:tc>
          <w:tcPr>
            <w:tcW w:w="1005" w:type="dxa"/>
          </w:tcPr>
          <w:p w14:paraId="29BB3731"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0.63</w:t>
            </w:r>
          </w:p>
        </w:tc>
        <w:tc>
          <w:tcPr>
            <w:tcW w:w="1101" w:type="dxa"/>
          </w:tcPr>
          <w:p w14:paraId="0E410B1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0.510</w:t>
            </w:r>
          </w:p>
        </w:tc>
        <w:tc>
          <w:tcPr>
            <w:tcW w:w="1032" w:type="dxa"/>
          </w:tcPr>
          <w:p w14:paraId="70529B2F"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0.000</w:t>
            </w:r>
          </w:p>
        </w:tc>
        <w:tc>
          <w:tcPr>
            <w:tcW w:w="1525" w:type="dxa"/>
          </w:tcPr>
          <w:p w14:paraId="2C185EA0"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[-0.526,0.103]</w:t>
            </w:r>
          </w:p>
        </w:tc>
      </w:tr>
      <w:tr w:rsidR="005E70E4" w:rsidRPr="005E70E4" w14:paraId="70FD6D87" w14:textId="77777777" w:rsidTr="00C11237">
        <w:trPr>
          <w:trHeight w:val="330"/>
        </w:trPr>
        <w:tc>
          <w:tcPr>
            <w:cnfStyle w:val="001000000000" w:firstRow="0" w:lastRow="0" w:firstColumn="1" w:lastColumn="0" w:oddVBand="0" w:evenVBand="0" w:oddHBand="0" w:evenHBand="0" w:firstRowFirstColumn="0" w:firstRowLastColumn="0" w:lastRowFirstColumn="0" w:lastRowLastColumn="0"/>
            <w:tcW w:w="1412" w:type="dxa"/>
            <w:vMerge/>
          </w:tcPr>
          <w:p w14:paraId="2989B727" w14:textId="77777777" w:rsidR="005E70E4" w:rsidRPr="005E70E4" w:rsidRDefault="005E70E4" w:rsidP="005E70E4">
            <w:pPr>
              <w:ind w:left="108"/>
              <w:jc w:val="both"/>
              <w:rPr>
                <w:rFonts w:ascii="Arial" w:hAnsi="Arial" w:cs="Arial"/>
                <w:color w:val="131413"/>
              </w:rPr>
            </w:pPr>
          </w:p>
        </w:tc>
        <w:tc>
          <w:tcPr>
            <w:tcW w:w="1275" w:type="dxa"/>
          </w:tcPr>
          <w:p w14:paraId="23440CA4"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roofErr w:type="spellStart"/>
            <w:r w:rsidRPr="005E70E4">
              <w:rPr>
                <w:rFonts w:ascii="Arial" w:hAnsi="Arial" w:cs="Arial"/>
                <w:color w:val="131413"/>
              </w:rPr>
              <w:t>Yes</w:t>
            </w:r>
            <w:r w:rsidRPr="005E70E4">
              <w:rPr>
                <w:rFonts w:ascii="Arial" w:hAnsi="Arial" w:cs="Arial"/>
                <w:vertAlign w:val="superscript"/>
              </w:rPr>
              <w:t>R</w:t>
            </w:r>
            <w:proofErr w:type="spellEnd"/>
            <w:r w:rsidRPr="005E70E4">
              <w:rPr>
                <w:rFonts w:ascii="Arial" w:hAnsi="Arial" w:cs="Arial"/>
                <w:color w:val="131413"/>
              </w:rPr>
              <w:t xml:space="preserve"> </w:t>
            </w:r>
          </w:p>
        </w:tc>
        <w:tc>
          <w:tcPr>
            <w:tcW w:w="1174" w:type="dxa"/>
          </w:tcPr>
          <w:p w14:paraId="04A5AF45"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0" w:type="dxa"/>
          </w:tcPr>
          <w:p w14:paraId="6341ACA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005" w:type="dxa"/>
          </w:tcPr>
          <w:p w14:paraId="698A550B"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01" w:type="dxa"/>
          </w:tcPr>
          <w:p w14:paraId="7AED6BEC"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w:t>
            </w:r>
          </w:p>
        </w:tc>
        <w:tc>
          <w:tcPr>
            <w:tcW w:w="1032" w:type="dxa"/>
          </w:tcPr>
          <w:p w14:paraId="01523047"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525" w:type="dxa"/>
          </w:tcPr>
          <w:p w14:paraId="4912CAD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r>
      <w:tr w:rsidR="005E70E4" w:rsidRPr="005E70E4" w14:paraId="44F70D47" w14:textId="77777777" w:rsidTr="00C11237">
        <w:trPr>
          <w:trHeight w:val="135"/>
        </w:trPr>
        <w:tc>
          <w:tcPr>
            <w:cnfStyle w:val="001000000000" w:firstRow="0" w:lastRow="0" w:firstColumn="1" w:lastColumn="0" w:oddVBand="0" w:evenVBand="0" w:oddHBand="0" w:evenHBand="0" w:firstRowFirstColumn="0" w:firstRowLastColumn="0" w:lastRowFirstColumn="0" w:lastRowLastColumn="0"/>
            <w:tcW w:w="1412" w:type="dxa"/>
          </w:tcPr>
          <w:p w14:paraId="455FD944" w14:textId="77777777" w:rsidR="005E70E4" w:rsidRPr="005E70E4" w:rsidRDefault="005E70E4" w:rsidP="005E70E4">
            <w:pPr>
              <w:ind w:left="108"/>
              <w:jc w:val="both"/>
              <w:rPr>
                <w:rFonts w:ascii="Arial" w:hAnsi="Arial" w:cs="Arial"/>
                <w:color w:val="131413"/>
              </w:rPr>
            </w:pPr>
            <w:r w:rsidRPr="005E70E4">
              <w:rPr>
                <w:rFonts w:ascii="Arial" w:hAnsi="Arial" w:cs="Arial"/>
                <w:color w:val="131413"/>
              </w:rPr>
              <w:t xml:space="preserve"> Constant </w:t>
            </w:r>
          </w:p>
        </w:tc>
        <w:tc>
          <w:tcPr>
            <w:tcW w:w="1275" w:type="dxa"/>
          </w:tcPr>
          <w:p w14:paraId="091EDE0C"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p>
        </w:tc>
        <w:tc>
          <w:tcPr>
            <w:tcW w:w="1174" w:type="dxa"/>
          </w:tcPr>
          <w:p w14:paraId="00392BC2"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0.126</w:t>
            </w:r>
          </w:p>
        </w:tc>
        <w:tc>
          <w:tcPr>
            <w:tcW w:w="1100" w:type="dxa"/>
          </w:tcPr>
          <w:p w14:paraId="2C506A3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0.035</w:t>
            </w:r>
          </w:p>
        </w:tc>
        <w:tc>
          <w:tcPr>
            <w:tcW w:w="1005" w:type="dxa"/>
          </w:tcPr>
          <w:p w14:paraId="2406ED43"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89.09</w:t>
            </w:r>
          </w:p>
        </w:tc>
        <w:tc>
          <w:tcPr>
            <w:tcW w:w="1101" w:type="dxa"/>
          </w:tcPr>
          <w:p w14:paraId="38C8F72F"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1.13</w:t>
            </w:r>
          </w:p>
        </w:tc>
        <w:tc>
          <w:tcPr>
            <w:tcW w:w="1032" w:type="dxa"/>
          </w:tcPr>
          <w:p w14:paraId="10BFA9BB"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0.000</w:t>
            </w:r>
          </w:p>
        </w:tc>
        <w:tc>
          <w:tcPr>
            <w:tcW w:w="1525" w:type="dxa"/>
          </w:tcPr>
          <w:p w14:paraId="23DF34BD"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hAnsi="Arial" w:cs="Arial"/>
                <w:color w:val="131413"/>
              </w:rPr>
              <w:t>[3.057,3.195]</w:t>
            </w:r>
          </w:p>
        </w:tc>
      </w:tr>
      <w:tr w:rsidR="005E70E4" w:rsidRPr="005E70E4" w14:paraId="3F931562" w14:textId="77777777" w:rsidTr="00BB06BF">
        <w:trPr>
          <w:trHeight w:val="345"/>
        </w:trPr>
        <w:tc>
          <w:tcPr>
            <w:cnfStyle w:val="001000000000" w:firstRow="0" w:lastRow="0" w:firstColumn="1" w:lastColumn="0" w:oddVBand="0" w:evenVBand="0" w:oddHBand="0" w:evenHBand="0" w:firstRowFirstColumn="0" w:firstRowLastColumn="0" w:lastRowFirstColumn="0" w:lastRowLastColumn="0"/>
            <w:tcW w:w="1412" w:type="dxa"/>
          </w:tcPr>
          <w:p w14:paraId="54C535BB" w14:textId="77777777" w:rsidR="005E70E4" w:rsidRPr="005E70E4" w:rsidRDefault="005E70E4" w:rsidP="005E70E4">
            <w:pPr>
              <w:ind w:left="108"/>
              <w:jc w:val="both"/>
              <w:rPr>
                <w:rFonts w:ascii="Arial" w:hAnsi="Arial" w:cs="Arial"/>
                <w:color w:val="131413"/>
              </w:rPr>
            </w:pPr>
            <w:r w:rsidRPr="005E70E4">
              <w:rPr>
                <w:rFonts w:ascii="Arial" w:hAnsi="Arial" w:cs="Arial"/>
                <w:color w:val="131413"/>
              </w:rPr>
              <w:t>Frailty variance (</w:t>
            </w:r>
            <w:r w:rsidRPr="005E70E4">
              <w:rPr>
                <w:rFonts w:ascii="Arial" w:eastAsia="Times New Roman,Bold" w:hAnsi="Arial" w:cs="Arial"/>
                <w:b/>
                <w:bCs/>
                <w:i/>
              </w:rPr>
              <w:t>θ</w:t>
            </w:r>
            <w:r w:rsidRPr="005E70E4">
              <w:rPr>
                <w:rFonts w:ascii="Arial" w:hAnsi="Arial" w:cs="Arial"/>
                <w:color w:val="131413"/>
              </w:rPr>
              <w:t>)</w:t>
            </w:r>
          </w:p>
        </w:tc>
        <w:tc>
          <w:tcPr>
            <w:tcW w:w="8212" w:type="dxa"/>
            <w:gridSpan w:val="7"/>
          </w:tcPr>
          <w:p w14:paraId="2CAB3814" w14:textId="77777777" w:rsidR="005E70E4" w:rsidRPr="005E70E4" w:rsidRDefault="005E70E4" w:rsidP="005E70E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31413"/>
              </w:rPr>
            </w:pPr>
            <w:r w:rsidRPr="005E70E4">
              <w:rPr>
                <w:rFonts w:ascii="Arial" w:eastAsia="Times New Roman,Bold" w:hAnsi="Arial" w:cs="Arial"/>
                <w:b/>
                <w:bCs/>
                <w:i/>
              </w:rPr>
              <w:t xml:space="preserve">θ = 1.47,   λ = 1.87,  </w:t>
            </w:r>
            <m:oMath>
              <m:r>
                <w:rPr>
                  <w:rFonts w:ascii="Cambria Math" w:hAnsi="Cambria Math" w:cs="Arial"/>
                </w:rPr>
                <m:t>τ</m:t>
              </m:r>
              <m:r>
                <w:rPr>
                  <w:rFonts w:ascii="Cambria Math" w:hAnsi="Arial" w:cs="Arial"/>
                </w:rPr>
                <m:t>=0.424</m:t>
              </m:r>
            </m:oMath>
          </w:p>
        </w:tc>
      </w:tr>
    </w:tbl>
    <w:p w14:paraId="08A81A56" w14:textId="77777777" w:rsidR="00C11237" w:rsidRPr="00C11237" w:rsidRDefault="00C11237" w:rsidP="00C11237">
      <w:pPr>
        <w:spacing w:after="240"/>
        <w:jc w:val="both"/>
        <w:rPr>
          <w:rFonts w:ascii="Arial" w:hAnsi="Arial" w:cs="Arial"/>
          <w:i/>
          <w:lang w:val="en-GB" w:eastAsia="en-GB"/>
        </w:rPr>
      </w:pPr>
      <w:r w:rsidRPr="00C11237">
        <w:rPr>
          <w:rFonts w:ascii="Arial" w:hAnsi="Arial" w:cs="Arial"/>
          <w:i/>
          <w:lang w:val="en-GB" w:eastAsia="en-GB"/>
        </w:rPr>
        <w:t xml:space="preserve">R: Reference, </w:t>
      </w:r>
      <w:proofErr w:type="spellStart"/>
      <w:r w:rsidRPr="00C11237">
        <w:rPr>
          <w:rFonts w:ascii="Arial" w:hAnsi="Arial" w:cs="Arial"/>
          <w:i/>
          <w:lang w:val="en-GB" w:eastAsia="en-GB"/>
        </w:rPr>
        <w:t>Coef</w:t>
      </w:r>
      <w:proofErr w:type="spellEnd"/>
      <w:r w:rsidRPr="00C11237">
        <w:rPr>
          <w:rFonts w:ascii="Arial" w:hAnsi="Arial" w:cs="Arial"/>
          <w:i/>
          <w:lang w:val="en-GB" w:eastAsia="en-GB"/>
        </w:rPr>
        <w:t xml:space="preserve">: Coefficient of parameter, SE </w:t>
      </w:r>
      <w:proofErr w:type="gramStart"/>
      <w:r w:rsidRPr="00C11237">
        <w:rPr>
          <w:rFonts w:ascii="Arial" w:hAnsi="Arial" w:cs="Arial"/>
          <w:i/>
          <w:lang w:val="en-GB" w:eastAsia="en-GB"/>
        </w:rPr>
        <w:t>( )</w:t>
      </w:r>
      <w:proofErr w:type="gramEnd"/>
      <w:r w:rsidRPr="00C11237">
        <w:rPr>
          <w:rFonts w:ascii="Arial" w:hAnsi="Arial" w:cs="Arial"/>
          <w:i/>
          <w:lang w:val="en-GB" w:eastAsia="en-GB"/>
        </w:rPr>
        <w:t>: standard error for; φ= Acceleration factor; (*): 95%CI: 95% confidence interval for (φ); θ= frailty variance; λ= scale parameter; γ = Shape parameter, τ , Kendall’s tau</w:t>
      </w:r>
    </w:p>
    <w:p w14:paraId="3406FE87" w14:textId="58C3E865" w:rsidR="00AA31EF" w:rsidRPr="00AA31EF" w:rsidRDefault="00AA31EF" w:rsidP="00AA31EF">
      <w:pPr>
        <w:spacing w:after="240"/>
        <w:jc w:val="both"/>
        <w:rPr>
          <w:rFonts w:ascii="Arial" w:hAnsi="Arial" w:cs="Arial"/>
          <w:lang w:val="en-GB" w:eastAsia="en-GB"/>
        </w:rPr>
      </w:pPr>
      <w:r w:rsidRPr="00AA31EF">
        <w:rPr>
          <w:rFonts w:ascii="Arial" w:hAnsi="Arial" w:cs="Arial"/>
          <w:lang w:val="en-GB" w:eastAsia="en-GB"/>
        </w:rPr>
        <w:t xml:space="preserve">The recovery time from MDR-TB in southern parts of Ethiopia was carried out by the Weibull Gamma shared frailty model with hospitals as a clustering effect. Table 6 depicted the result of Weibull Gamma shared frailty model of parameter estimates, standard error of estimates, z-value, p-values, Time ratios and 95% CI. the Weibull-Gamma shared frailty model result depicted the </w:t>
      </w:r>
      <w:proofErr w:type="gramStart"/>
      <w:r w:rsidRPr="00AA31EF">
        <w:rPr>
          <w:rFonts w:ascii="Arial" w:hAnsi="Arial" w:cs="Arial"/>
          <w:lang w:val="en-GB" w:eastAsia="en-GB"/>
        </w:rPr>
        <w:t>covariates  are</w:t>
      </w:r>
      <w:proofErr w:type="gramEnd"/>
      <w:r w:rsidRPr="00AA31EF">
        <w:rPr>
          <w:rFonts w:ascii="Arial" w:hAnsi="Arial" w:cs="Arial"/>
          <w:lang w:val="en-GB" w:eastAsia="en-GB"/>
        </w:rPr>
        <w:t xml:space="preserve"> baseline weight, sex, smoking history, co-morbidities, residence of patients, previous drug history, education level, occupation of patients, history of  TB, MDR-TB type and alcohol use were significantly determine the time to recovery from MDR-TB. </w:t>
      </w:r>
    </w:p>
    <w:p w14:paraId="0B5F5E1C" w14:textId="77777777" w:rsidR="00332A94" w:rsidRPr="005E70E4" w:rsidRDefault="00AA31EF" w:rsidP="00AA31EF">
      <w:pPr>
        <w:spacing w:after="240"/>
        <w:jc w:val="both"/>
        <w:rPr>
          <w:rFonts w:ascii="Arial" w:hAnsi="Arial" w:cs="Arial"/>
          <w:lang w:val="en-GB" w:eastAsia="en-GB"/>
        </w:rPr>
      </w:pPr>
      <w:r w:rsidRPr="00AA31EF">
        <w:rPr>
          <w:rFonts w:ascii="Arial" w:hAnsi="Arial" w:cs="Arial"/>
          <w:lang w:val="en-GB" w:eastAsia="en-GB"/>
        </w:rPr>
        <w:t xml:space="preserve">An acceleration factor (time ratio) (Ф) greater than 1 specifies prolonging the time of recovery. the acceleration factors (Ф) for patients with </w:t>
      </w:r>
      <w:proofErr w:type="spellStart"/>
      <w:r w:rsidRPr="00AA31EF">
        <w:rPr>
          <w:rFonts w:ascii="Arial" w:hAnsi="Arial" w:cs="Arial"/>
          <w:lang w:val="en-GB" w:eastAsia="en-GB"/>
        </w:rPr>
        <w:t>non alcohol</w:t>
      </w:r>
      <w:proofErr w:type="spellEnd"/>
      <w:r w:rsidRPr="00AA31EF">
        <w:rPr>
          <w:rFonts w:ascii="Arial" w:hAnsi="Arial" w:cs="Arial"/>
          <w:lang w:val="en-GB" w:eastAsia="en-GB"/>
        </w:rPr>
        <w:t xml:space="preserve"> use were 0.51. This implies that the </w:t>
      </w:r>
      <w:proofErr w:type="spellStart"/>
      <w:r w:rsidRPr="00AA31EF">
        <w:rPr>
          <w:rFonts w:ascii="Arial" w:hAnsi="Arial" w:cs="Arial"/>
          <w:lang w:val="en-GB" w:eastAsia="en-GB"/>
        </w:rPr>
        <w:t>non alcohol</w:t>
      </w:r>
      <w:proofErr w:type="spellEnd"/>
      <w:r w:rsidRPr="00AA31EF">
        <w:rPr>
          <w:rFonts w:ascii="Arial" w:hAnsi="Arial" w:cs="Arial"/>
          <w:lang w:val="en-GB" w:eastAsia="en-GB"/>
        </w:rPr>
        <w:t xml:space="preserve"> users had a shorter time to recovery, compared to alcohol users.  in </w:t>
      </w:r>
      <w:proofErr w:type="gramStart"/>
      <w:r w:rsidRPr="00AA31EF">
        <w:rPr>
          <w:rFonts w:ascii="Arial" w:hAnsi="Arial" w:cs="Arial"/>
          <w:lang w:val="en-GB" w:eastAsia="en-GB"/>
        </w:rPr>
        <w:t>addition</w:t>
      </w:r>
      <w:proofErr w:type="gramEnd"/>
      <w:r w:rsidRPr="00AA31EF">
        <w:rPr>
          <w:rFonts w:ascii="Arial" w:hAnsi="Arial" w:cs="Arial"/>
          <w:lang w:val="en-GB" w:eastAsia="en-GB"/>
        </w:rPr>
        <w:t xml:space="preserve"> the result shows that the increase of baseline weight (Ф =1.03; </w:t>
      </w:r>
      <w:proofErr w:type="spellStart"/>
      <w:r w:rsidRPr="00AA31EF">
        <w:rPr>
          <w:rFonts w:ascii="Arial" w:hAnsi="Arial" w:cs="Arial"/>
          <w:lang w:val="en-GB" w:eastAsia="en-GB"/>
        </w:rPr>
        <w:t>coeff</w:t>
      </w:r>
      <w:proofErr w:type="spellEnd"/>
      <w:r w:rsidRPr="00AA31EF">
        <w:rPr>
          <w:rFonts w:ascii="Arial" w:hAnsi="Arial" w:cs="Arial"/>
          <w:lang w:val="en-GB" w:eastAsia="en-GB"/>
        </w:rPr>
        <w:t xml:space="preserve">= 0.0244; 95%CI of coefficient: 0.01954, 0.0292) led to an increase in the recovery time. The study showed that the Patients with </w:t>
      </w:r>
      <w:r w:rsidRPr="00AA31EF">
        <w:rPr>
          <w:rFonts w:ascii="Arial" w:hAnsi="Arial" w:cs="Arial"/>
          <w:lang w:val="en-GB" w:eastAsia="en-GB"/>
        </w:rPr>
        <w:lastRenderedPageBreak/>
        <w:t>extra-pulmonary had an acceleration factor (time ratio) of 0.934 [95%CI of estimate: -2933, 0.1578] which indicated that the patients with pulmonary MDR-TB have shorter Recovery time in comparison with extra-pulmonary MDR-TB patients. Patients who live in urban areas have a longer recovery time than those who live in rural areas (Ф=1.26; 95%CI</w:t>
      </w:r>
      <w:proofErr w:type="gramStart"/>
      <w:r w:rsidRPr="00AA31EF">
        <w:rPr>
          <w:rFonts w:ascii="Arial" w:hAnsi="Arial" w:cs="Arial"/>
          <w:lang w:val="en-GB" w:eastAsia="en-GB"/>
        </w:rPr>
        <w:t>|[</w:t>
      </w:r>
      <w:proofErr w:type="gramEnd"/>
      <w:r w:rsidRPr="00AA31EF">
        <w:rPr>
          <w:rFonts w:ascii="Arial" w:hAnsi="Arial" w:cs="Arial"/>
          <w:lang w:val="en-GB" w:eastAsia="en-GB"/>
        </w:rPr>
        <w:t xml:space="preserve"> 0.04, 0.47]. female MDR-TB patients were experiencing longer recovery time than that of male MDR-TB patients. This means that female MDR-TB patients significant when we see it with reference group (male MDR-TB) [52]. The MDR-TB patients with co-morbidity also experienced longer recovery time than that of the reference groups. Acceleration factor of MDR-TB Patients who have previous drug history (Ф =1.57) had a longer recovery time than patients with no previous drug history of MDR-TB patients. And </w:t>
      </w:r>
      <w:proofErr w:type="gramStart"/>
      <w:r w:rsidRPr="00AA31EF">
        <w:rPr>
          <w:rFonts w:ascii="Arial" w:hAnsi="Arial" w:cs="Arial"/>
          <w:lang w:val="en-GB" w:eastAsia="en-GB"/>
        </w:rPr>
        <w:t>also</w:t>
      </w:r>
      <w:proofErr w:type="gramEnd"/>
      <w:r w:rsidRPr="00AA31EF">
        <w:rPr>
          <w:rFonts w:ascii="Arial" w:hAnsi="Arial" w:cs="Arial"/>
          <w:lang w:val="en-GB" w:eastAsia="en-GB"/>
        </w:rPr>
        <w:t xml:space="preserve"> MDR-TB patients with smoking history (Ф= 1.023; Coeff = 0.0234; 95CI of coefficient = -0.13, 0.176) had longer recovery time than MDR-TB patients who had No smoking history (reference group). </w:t>
      </w:r>
      <w:proofErr w:type="gramStart"/>
      <w:r w:rsidRPr="00AA31EF">
        <w:rPr>
          <w:rFonts w:ascii="Arial" w:hAnsi="Arial" w:cs="Arial"/>
          <w:lang w:val="en-GB" w:eastAsia="en-GB"/>
        </w:rPr>
        <w:t>Finally</w:t>
      </w:r>
      <w:proofErr w:type="gramEnd"/>
      <w:r w:rsidRPr="00AA31EF">
        <w:rPr>
          <w:rFonts w:ascii="Arial" w:hAnsi="Arial" w:cs="Arial"/>
          <w:lang w:val="en-GB" w:eastAsia="en-GB"/>
        </w:rPr>
        <w:t xml:space="preserve"> the result showed for employed of MDR-TB patients takes more time to recovery than reference group.</w:t>
      </w:r>
    </w:p>
    <w:p w14:paraId="64A9FC36" w14:textId="77777777" w:rsidR="005E70E4" w:rsidRPr="0073593C" w:rsidRDefault="00CB6510" w:rsidP="00332A94">
      <w:pPr>
        <w:spacing w:after="240"/>
        <w:jc w:val="both"/>
        <w:rPr>
          <w:rFonts w:ascii="Arial" w:hAnsi="Arial" w:cs="Arial"/>
          <w:b/>
          <w:sz w:val="22"/>
          <w:szCs w:val="22"/>
          <w:lang w:val="en-GB" w:eastAsia="en-GB"/>
        </w:rPr>
      </w:pPr>
      <w:r>
        <w:rPr>
          <w:rFonts w:ascii="Arial" w:hAnsi="Arial" w:cs="Arial"/>
          <w:b/>
          <w:sz w:val="22"/>
          <w:szCs w:val="22"/>
          <w:lang w:val="en-GB" w:eastAsia="en-GB"/>
        </w:rPr>
        <w:t>3</w:t>
      </w:r>
      <w:r w:rsidR="0073593C">
        <w:rPr>
          <w:rFonts w:ascii="Arial" w:hAnsi="Arial" w:cs="Arial"/>
          <w:b/>
          <w:sz w:val="22"/>
          <w:szCs w:val="22"/>
          <w:lang w:val="en-GB" w:eastAsia="en-GB"/>
        </w:rPr>
        <w:t xml:space="preserve">.2. </w:t>
      </w:r>
      <w:r w:rsidR="0073593C" w:rsidRPr="0073593C">
        <w:rPr>
          <w:rFonts w:ascii="Arial" w:hAnsi="Arial" w:cs="Arial"/>
          <w:b/>
          <w:sz w:val="22"/>
          <w:szCs w:val="22"/>
          <w:lang w:val="en-GB" w:eastAsia="en-GB"/>
        </w:rPr>
        <w:t>Discussion</w:t>
      </w:r>
    </w:p>
    <w:p w14:paraId="683D8B9E" w14:textId="77777777" w:rsidR="00C11237" w:rsidRDefault="00855551" w:rsidP="00332A94">
      <w:pPr>
        <w:spacing w:after="240"/>
        <w:jc w:val="both"/>
        <w:rPr>
          <w:rFonts w:ascii="Arial" w:hAnsi="Arial" w:cs="Arial"/>
          <w:lang w:val="en-GB" w:eastAsia="en-GB"/>
        </w:rPr>
      </w:pPr>
      <w:r w:rsidRPr="00855551">
        <w:rPr>
          <w:rFonts w:ascii="Arial" w:hAnsi="Arial" w:cs="Arial"/>
          <w:lang w:val="en-GB" w:eastAsia="en-GB"/>
        </w:rPr>
        <w:t>The main goal of the study was to investigate time to recovery from multidrug resistance tuberculosis among selected hospitals in southern Ethiopia using AFT and parametric shared frailty models by considering baseline distributions Weibull and gamma frailty.</w:t>
      </w:r>
    </w:p>
    <w:p w14:paraId="1C220ABC" w14:textId="77777777" w:rsidR="00855551" w:rsidRPr="00855551" w:rsidRDefault="00855551" w:rsidP="00332A94">
      <w:pPr>
        <w:spacing w:after="240"/>
        <w:jc w:val="both"/>
        <w:rPr>
          <w:rFonts w:ascii="Arial" w:hAnsi="Arial" w:cs="Arial"/>
          <w:lang w:val="en-GB" w:eastAsia="en-GB"/>
        </w:rPr>
      </w:pPr>
      <w:r w:rsidRPr="00855551">
        <w:rPr>
          <w:rFonts w:ascii="Arial" w:hAnsi="Arial" w:cs="Arial"/>
          <w:lang w:val="en-GB" w:eastAsia="en-GB"/>
        </w:rPr>
        <w:t xml:space="preserve">Given the close monitoring of patients while taking these medications, the median recovery duration of MDR-TB patients in the southern region was 22 months, which indicates that the recovery period of patients is within the advised treatment interval of 18 to 24 months or longer [13].  </w:t>
      </w:r>
    </w:p>
    <w:p w14:paraId="61029C12" w14:textId="77777777" w:rsidR="00C43B53" w:rsidRPr="00C43B53" w:rsidRDefault="00C43B53" w:rsidP="00C43B53">
      <w:pPr>
        <w:spacing w:after="240"/>
        <w:jc w:val="both"/>
        <w:rPr>
          <w:rFonts w:ascii="Arial" w:hAnsi="Arial" w:cs="Arial"/>
          <w:lang w:val="en-GB" w:eastAsia="en-GB"/>
        </w:rPr>
      </w:pPr>
      <w:r w:rsidRPr="00C43B53">
        <w:rPr>
          <w:rFonts w:ascii="Arial" w:hAnsi="Arial" w:cs="Arial"/>
          <w:lang w:val="en-GB" w:eastAsia="en-GB"/>
        </w:rPr>
        <w:t>In comparison to the Log-normal, Log-logistic, Exponential, Gamma, and Gamma AFT models, the Weibull AFT model had the lower AIC. After selecting the Weibull AFT model, the data onto the Weibull AFT, Gamma frailty, and Weibull Gamma shared frailty models were effectively fitted. This is because of the model lifetime, Weibull distribution is mostly used in the literature as the Hazard rate for Weibull distribution is a monotone function [34, 49–52].</w:t>
      </w:r>
    </w:p>
    <w:p w14:paraId="3C2A4D35" w14:textId="77777777" w:rsidR="00C43B53" w:rsidRPr="00C43B53" w:rsidRDefault="00C43B53" w:rsidP="00C43B53">
      <w:pPr>
        <w:spacing w:after="240"/>
        <w:jc w:val="both"/>
        <w:rPr>
          <w:rFonts w:ascii="Arial" w:hAnsi="Arial" w:cs="Arial"/>
          <w:lang w:val="en-GB" w:eastAsia="en-GB"/>
        </w:rPr>
      </w:pPr>
      <w:r w:rsidRPr="00C43B53">
        <w:rPr>
          <w:rFonts w:ascii="Arial" w:hAnsi="Arial" w:cs="Arial"/>
          <w:lang w:val="en-GB" w:eastAsia="en-GB"/>
        </w:rPr>
        <w:t xml:space="preserve">The clustering effect of the hospitals was one of the elements this study found to be connected to the recovery times of MDR-TB patients in Southern Ethiopia. the clustering effect was substantial (p-value 0.001) in the Weibull-gamma shared frailty model, indicating that there is heterogeneity between institutions and that individuals within the same hospital share similar risk factors on recovery time. </w:t>
      </w:r>
    </w:p>
    <w:p w14:paraId="3DE0CEF5" w14:textId="77777777" w:rsidR="00C43B53" w:rsidRPr="00C43B53" w:rsidRDefault="00C43B53" w:rsidP="00C43B53">
      <w:pPr>
        <w:spacing w:after="240"/>
        <w:jc w:val="both"/>
        <w:rPr>
          <w:rFonts w:ascii="Arial" w:hAnsi="Arial" w:cs="Arial"/>
          <w:lang w:val="en-GB" w:eastAsia="en-GB"/>
        </w:rPr>
      </w:pPr>
      <w:r w:rsidRPr="00C43B53">
        <w:rPr>
          <w:rFonts w:ascii="Arial" w:hAnsi="Arial" w:cs="Arial"/>
          <w:lang w:val="en-GB" w:eastAsia="en-GB"/>
        </w:rPr>
        <w:t xml:space="preserve">The finding of this study showed that the percentage of MDR-TB was highest in the age group (18-64 years) and it was in agreement or in line with the results of studies conducted in Amhara region of Ethiopia [54]. these kind of findings may attributed to the increased mobility observed in </w:t>
      </w:r>
      <w:proofErr w:type="gramStart"/>
      <w:r w:rsidRPr="00C43B53">
        <w:rPr>
          <w:rFonts w:ascii="Arial" w:hAnsi="Arial" w:cs="Arial"/>
          <w:lang w:val="en-GB" w:eastAsia="en-GB"/>
        </w:rPr>
        <w:t>this  age</w:t>
      </w:r>
      <w:proofErr w:type="gramEnd"/>
      <w:r w:rsidRPr="00C43B53">
        <w:rPr>
          <w:rFonts w:ascii="Arial" w:hAnsi="Arial" w:cs="Arial"/>
          <w:lang w:val="en-GB" w:eastAsia="en-GB"/>
        </w:rPr>
        <w:t xml:space="preserve"> group, which could be driven by economic and social factors. </w:t>
      </w:r>
    </w:p>
    <w:p w14:paraId="74706BA3" w14:textId="77777777" w:rsidR="00C43B53" w:rsidRPr="00C43B53" w:rsidRDefault="00C43B53" w:rsidP="00C43B53">
      <w:pPr>
        <w:spacing w:after="240"/>
        <w:jc w:val="both"/>
        <w:rPr>
          <w:rFonts w:ascii="Arial" w:hAnsi="Arial" w:cs="Arial"/>
          <w:lang w:val="en-GB" w:eastAsia="en-GB"/>
        </w:rPr>
      </w:pPr>
      <w:r w:rsidRPr="00C43B53">
        <w:rPr>
          <w:rFonts w:ascii="Arial" w:hAnsi="Arial" w:cs="Arial"/>
          <w:lang w:val="en-GB" w:eastAsia="en-GB"/>
        </w:rPr>
        <w:t xml:space="preserve">This study showed that extra pulmonary MDR-TB patients had longer recovery time than that of pulmonary MDR-TB patients in Southern region, Ethiopia, and it was supported by </w:t>
      </w:r>
      <w:proofErr w:type="spellStart"/>
      <w:r w:rsidRPr="00C43B53">
        <w:rPr>
          <w:rFonts w:ascii="Arial" w:hAnsi="Arial" w:cs="Arial"/>
          <w:lang w:val="en-GB" w:eastAsia="en-GB"/>
        </w:rPr>
        <w:t>Limenih.A</w:t>
      </w:r>
      <w:proofErr w:type="spellEnd"/>
      <w:r w:rsidRPr="00C43B53">
        <w:rPr>
          <w:rFonts w:ascii="Arial" w:hAnsi="Arial" w:cs="Arial"/>
          <w:lang w:val="en-GB" w:eastAsia="en-GB"/>
        </w:rPr>
        <w:t xml:space="preserve"> et.al, 2019 [54].</w:t>
      </w:r>
    </w:p>
    <w:p w14:paraId="17DE35DE" w14:textId="77777777" w:rsidR="00C43B53" w:rsidRPr="00C43B53" w:rsidRDefault="00C43B53" w:rsidP="00C43B53">
      <w:pPr>
        <w:spacing w:after="240"/>
        <w:jc w:val="both"/>
        <w:rPr>
          <w:rFonts w:ascii="Arial" w:hAnsi="Arial" w:cs="Arial"/>
          <w:lang w:val="en-GB" w:eastAsia="en-GB"/>
        </w:rPr>
      </w:pPr>
      <w:r w:rsidRPr="00C43B53">
        <w:rPr>
          <w:rFonts w:ascii="Arial" w:hAnsi="Arial" w:cs="Arial"/>
          <w:lang w:val="en-GB" w:eastAsia="en-GB"/>
        </w:rPr>
        <w:t>Female MDR-TB patients were associated with a high likelihood of experiencing treatment outcomes. Some other studies have disagree shown that male MDR-TB patients tend to have shorter recovery time [52–54]. But this study means that female MDR-TB patients were experiencing longer recovery time than that of male MDR-TB patients. The MDR-TB patients with co-morbidity also experienced longer recovery time than that of the control groups. This result is in line with the previous findings in Ethiopia [55, 58] and in India [52].</w:t>
      </w:r>
    </w:p>
    <w:p w14:paraId="42C53D9F" w14:textId="77777777" w:rsidR="00C43B53" w:rsidRPr="00C43B53" w:rsidRDefault="00C43B53" w:rsidP="00C43B53">
      <w:pPr>
        <w:spacing w:after="240"/>
        <w:jc w:val="both"/>
        <w:rPr>
          <w:rFonts w:ascii="Arial" w:hAnsi="Arial" w:cs="Arial"/>
          <w:lang w:val="en-GB" w:eastAsia="en-GB"/>
        </w:rPr>
      </w:pPr>
      <w:r w:rsidRPr="00C43B53">
        <w:rPr>
          <w:rFonts w:ascii="Arial" w:hAnsi="Arial" w:cs="Arial"/>
          <w:lang w:val="en-GB" w:eastAsia="en-GB"/>
        </w:rPr>
        <w:t>In this study, the patients with not educated MDR=TB patients had longer recovery time in comparison with the reference group. This finding was supported with those of the studies performed in Ethiopia this could be due to the lack of awareness of people with lower levels of education about their health issues. Moreover, they might have had no access to media, such as social media.  [54].</w:t>
      </w:r>
    </w:p>
    <w:p w14:paraId="23D9CA8A" w14:textId="77777777" w:rsidR="00C43B53" w:rsidRPr="00C43B53" w:rsidRDefault="00C43B53" w:rsidP="00C43B53">
      <w:pPr>
        <w:spacing w:after="240"/>
        <w:jc w:val="both"/>
        <w:rPr>
          <w:rFonts w:ascii="Arial" w:hAnsi="Arial" w:cs="Arial"/>
          <w:lang w:val="en-GB" w:eastAsia="en-GB"/>
        </w:rPr>
      </w:pPr>
      <w:r w:rsidRPr="00C43B53">
        <w:rPr>
          <w:rFonts w:ascii="Arial" w:hAnsi="Arial" w:cs="Arial"/>
          <w:lang w:val="en-GB" w:eastAsia="en-GB"/>
        </w:rPr>
        <w:t>The study's participants were smokers and Khat users in proportions of 7.3% and 20,1%, respectively, in terms of social drug usage.</w:t>
      </w:r>
      <w:r>
        <w:rPr>
          <w:rFonts w:ascii="Arial" w:hAnsi="Arial" w:cs="Arial"/>
          <w:lang w:val="en-GB" w:eastAsia="en-GB"/>
        </w:rPr>
        <w:t xml:space="preserve"> </w:t>
      </w:r>
      <w:r w:rsidRPr="00C43B53">
        <w:rPr>
          <w:rFonts w:ascii="Arial" w:hAnsi="Arial" w:cs="Arial"/>
          <w:lang w:val="en-GB" w:eastAsia="en-GB"/>
        </w:rPr>
        <w:t>Getachew et al. (2017) found that 5.32% of study participants who were smokers in St. Peter TB Specialized Hospital were equ</w:t>
      </w:r>
      <w:r w:rsidR="000E138F">
        <w:rPr>
          <w:rFonts w:ascii="Arial" w:hAnsi="Arial" w:cs="Arial"/>
          <w:lang w:val="en-GB" w:eastAsia="en-GB"/>
        </w:rPr>
        <w:t>ivalent to the study's results [58].</w:t>
      </w:r>
    </w:p>
    <w:p w14:paraId="753BD870" w14:textId="77777777" w:rsidR="00C43B53" w:rsidRPr="00C43B53" w:rsidRDefault="00C43B53" w:rsidP="00C43B53">
      <w:pPr>
        <w:spacing w:after="240"/>
        <w:jc w:val="both"/>
        <w:rPr>
          <w:rFonts w:ascii="Arial" w:hAnsi="Arial" w:cs="Arial"/>
          <w:lang w:val="en-GB" w:eastAsia="en-GB"/>
        </w:rPr>
      </w:pPr>
      <w:r w:rsidRPr="00C43B53">
        <w:rPr>
          <w:rFonts w:ascii="Arial" w:hAnsi="Arial" w:cs="Arial"/>
          <w:lang w:val="en-GB" w:eastAsia="en-GB"/>
        </w:rPr>
        <w:t>The findings of this study are comparable to those of a study done in Tanzania, where cigarette smoking was 5% and alcohol consumption was 18% (</w:t>
      </w:r>
      <w:proofErr w:type="spellStart"/>
      <w:r w:rsidRPr="00C43B53">
        <w:rPr>
          <w:rFonts w:ascii="Arial" w:hAnsi="Arial" w:cs="Arial"/>
          <w:lang w:val="en-GB" w:eastAsia="en-GB"/>
        </w:rPr>
        <w:t>Nyaki</w:t>
      </w:r>
      <w:proofErr w:type="spellEnd"/>
      <w:r w:rsidRPr="00C43B53">
        <w:rPr>
          <w:rFonts w:ascii="Arial" w:hAnsi="Arial" w:cs="Arial"/>
          <w:lang w:val="en-GB" w:eastAsia="en-GB"/>
        </w:rPr>
        <w:t xml:space="preserve"> et al., 2016)</w:t>
      </w:r>
      <w:r w:rsidR="00ED53E2">
        <w:rPr>
          <w:rFonts w:ascii="Arial" w:hAnsi="Arial" w:cs="Arial"/>
          <w:lang w:val="en-GB" w:eastAsia="en-GB"/>
        </w:rPr>
        <w:t xml:space="preserve"> [59]</w:t>
      </w:r>
      <w:r w:rsidRPr="00C43B53">
        <w:rPr>
          <w:rFonts w:ascii="Arial" w:hAnsi="Arial" w:cs="Arial"/>
          <w:lang w:val="en-GB" w:eastAsia="en-GB"/>
        </w:rPr>
        <w:t xml:space="preserve">. </w:t>
      </w:r>
    </w:p>
    <w:p w14:paraId="13EB2565" w14:textId="77777777" w:rsidR="00E053D0" w:rsidRPr="0079207A" w:rsidRDefault="00C43B53" w:rsidP="0079207A">
      <w:pPr>
        <w:spacing w:after="240"/>
        <w:jc w:val="both"/>
        <w:rPr>
          <w:rFonts w:ascii="Arial" w:hAnsi="Arial" w:cs="Arial"/>
          <w:lang w:val="en-GB" w:eastAsia="en-GB"/>
        </w:rPr>
      </w:pPr>
      <w:r w:rsidRPr="00C43B53">
        <w:rPr>
          <w:rFonts w:ascii="Arial" w:hAnsi="Arial" w:cs="Arial"/>
          <w:lang w:val="en-GB" w:eastAsia="en-GB"/>
        </w:rPr>
        <w:t xml:space="preserve">According to the study's findings, smoking habits and a history of drug use were both significant predictors of recovery time in the southern </w:t>
      </w:r>
      <w:proofErr w:type="spellStart"/>
      <w:proofErr w:type="gramStart"/>
      <w:r w:rsidRPr="00C43B53">
        <w:rPr>
          <w:rFonts w:ascii="Arial" w:hAnsi="Arial" w:cs="Arial"/>
          <w:lang w:val="en-GB" w:eastAsia="en-GB"/>
        </w:rPr>
        <w:t>region.this</w:t>
      </w:r>
      <w:proofErr w:type="spellEnd"/>
      <w:proofErr w:type="gramEnd"/>
      <w:r w:rsidRPr="00C43B53">
        <w:rPr>
          <w:rFonts w:ascii="Arial" w:hAnsi="Arial" w:cs="Arial"/>
          <w:lang w:val="en-GB" w:eastAsia="en-GB"/>
        </w:rPr>
        <w:t xml:space="preserve"> demonstrates that patients without a history of smoking take longer to recover than patients who have used drugs in the past. this was in line with the findings of </w:t>
      </w:r>
      <w:proofErr w:type="spellStart"/>
      <w:r w:rsidRPr="00C43B53">
        <w:rPr>
          <w:rFonts w:ascii="Arial" w:hAnsi="Arial" w:cs="Arial"/>
          <w:lang w:val="en-GB" w:eastAsia="en-GB"/>
        </w:rPr>
        <w:t>Kuaban</w:t>
      </w:r>
      <w:proofErr w:type="spellEnd"/>
      <w:r w:rsidRPr="00C43B53">
        <w:rPr>
          <w:rFonts w:ascii="Arial" w:hAnsi="Arial" w:cs="Arial"/>
          <w:lang w:val="en-GB" w:eastAsia="en-GB"/>
        </w:rPr>
        <w:t xml:space="preserve"> et </w:t>
      </w:r>
      <w:proofErr w:type="spellStart"/>
      <w:r w:rsidRPr="00C43B53">
        <w:rPr>
          <w:rFonts w:ascii="Arial" w:hAnsi="Arial" w:cs="Arial"/>
          <w:lang w:val="en-GB" w:eastAsia="en-GB"/>
        </w:rPr>
        <w:t>al's</w:t>
      </w:r>
      <w:proofErr w:type="spellEnd"/>
      <w:r w:rsidRPr="00C43B53">
        <w:rPr>
          <w:rFonts w:ascii="Arial" w:hAnsi="Arial" w:cs="Arial"/>
          <w:lang w:val="en-GB" w:eastAsia="en-GB"/>
        </w:rPr>
        <w:t xml:space="preserve"> study [60].</w:t>
      </w:r>
    </w:p>
    <w:p w14:paraId="3F064BF7" w14:textId="77777777" w:rsidR="00790ADA" w:rsidRPr="00FB3A86" w:rsidRDefault="00790ADA" w:rsidP="00441B6F">
      <w:pPr>
        <w:pStyle w:val="Body"/>
        <w:spacing w:after="0"/>
        <w:rPr>
          <w:rFonts w:ascii="Arial" w:hAnsi="Arial" w:cs="Arial"/>
        </w:rPr>
      </w:pPr>
    </w:p>
    <w:p w14:paraId="6F9D060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5FCA5A3" w14:textId="77777777" w:rsidR="00790ADA" w:rsidRPr="00FB3A86" w:rsidRDefault="00790ADA" w:rsidP="00441B6F">
      <w:pPr>
        <w:pStyle w:val="ConcHead"/>
        <w:spacing w:after="0"/>
        <w:jc w:val="both"/>
        <w:rPr>
          <w:rFonts w:ascii="Arial" w:hAnsi="Arial" w:cs="Arial"/>
        </w:rPr>
      </w:pPr>
    </w:p>
    <w:p w14:paraId="786B447D" w14:textId="77777777" w:rsidR="0079207A" w:rsidRPr="0079207A" w:rsidRDefault="0079207A" w:rsidP="0079207A">
      <w:pPr>
        <w:pStyle w:val="Body"/>
        <w:rPr>
          <w:rFonts w:ascii="Arial" w:hAnsi="Arial" w:cs="Arial"/>
        </w:rPr>
      </w:pPr>
      <w:r w:rsidRPr="0079207A">
        <w:rPr>
          <w:rFonts w:ascii="Arial" w:hAnsi="Arial" w:cs="Arial"/>
        </w:rPr>
        <w:t xml:space="preserve">The objective of this study was to investigate recovery time of MDR-TB patients in selected treatment centers (Hospitals) at the Southern parts of the country.  Retrospectively we obtained a cluster random sample of 301 patients from selected treatment centers. Among the 301 patients, 185 (61.5%) were recovered, and the remaining 38.5% were censored. Due to the clustering effects of patients within the treatment centers in relationship with recovery time from MDR-TB the study employed parametric shared frailty model and also employed accelerated failure time models. </w:t>
      </w:r>
    </w:p>
    <w:p w14:paraId="462F6D5D" w14:textId="77777777" w:rsidR="0079207A" w:rsidRPr="0079207A" w:rsidRDefault="0079207A" w:rsidP="0079207A">
      <w:pPr>
        <w:pStyle w:val="Body"/>
        <w:rPr>
          <w:rFonts w:ascii="Arial" w:hAnsi="Arial" w:cs="Arial"/>
        </w:rPr>
      </w:pPr>
      <w:r w:rsidRPr="0079207A">
        <w:rPr>
          <w:rFonts w:ascii="Arial" w:hAnsi="Arial" w:cs="Arial"/>
        </w:rPr>
        <w:t xml:space="preserve">Analyses of exploratory data were conducted using graphical and numerical methods. the results showed that individuals with MDR-TB experienced a median recovery time of 22 months, with a minimum and maximum recovery time of 18.5 and 24 months, respectively. Patients with MDR-TB who were included in the analysis had baseline mean and median weights of 46.52 and 48.5, respectively.  Based on the findings from the KM estimate; females, rural residents, pulmonary MDR-TB type, none alcohol users, none smokers, educated patients, patients who have co-morbidities, and patients who have previous drug history have relatively better recovery rate. This was evidenced from the </w:t>
      </w:r>
      <w:proofErr w:type="spellStart"/>
      <w:r w:rsidRPr="0079207A">
        <w:rPr>
          <w:rFonts w:ascii="Arial" w:hAnsi="Arial" w:cs="Arial"/>
        </w:rPr>
        <w:t>Logrank</w:t>
      </w:r>
      <w:proofErr w:type="spellEnd"/>
      <w:r w:rsidRPr="0079207A">
        <w:rPr>
          <w:rFonts w:ascii="Arial" w:hAnsi="Arial" w:cs="Arial"/>
        </w:rPr>
        <w:t xml:space="preserve"> and Breslow test results. </w:t>
      </w:r>
    </w:p>
    <w:p w14:paraId="24836FAA" w14:textId="77777777" w:rsidR="00790ADA" w:rsidRDefault="0079207A" w:rsidP="0079207A">
      <w:pPr>
        <w:pStyle w:val="Body"/>
        <w:spacing w:after="0"/>
        <w:rPr>
          <w:rFonts w:ascii="Arial" w:hAnsi="Arial" w:cs="Arial"/>
        </w:rPr>
      </w:pPr>
      <w:r w:rsidRPr="0079207A">
        <w:rPr>
          <w:rFonts w:ascii="Arial" w:hAnsi="Arial" w:cs="Arial"/>
        </w:rPr>
        <w:t xml:space="preserve">Weibull-Gamma shared frailty model was the final selected model based on AIC to explain time to recovery dataset of MDR-TB patients. The finding from the final fitted model indicated, the variables significantly influencing the MDR-TB patients time to recovery were sex, baseline weight, Alcohol use, smoking cigarette, History </w:t>
      </w:r>
      <w:proofErr w:type="gramStart"/>
      <w:r w:rsidRPr="0079207A">
        <w:rPr>
          <w:rFonts w:ascii="Arial" w:hAnsi="Arial" w:cs="Arial"/>
        </w:rPr>
        <w:t>of  TB</w:t>
      </w:r>
      <w:proofErr w:type="gramEnd"/>
      <w:r w:rsidRPr="0079207A">
        <w:rPr>
          <w:rFonts w:ascii="Arial" w:hAnsi="Arial" w:cs="Arial"/>
        </w:rPr>
        <w:t>, Co-morbidities and category of MDR-TB or MDR-TB type, education level, previous drug history, occupation of patients and place of residence.</w:t>
      </w:r>
    </w:p>
    <w:p w14:paraId="615F8F4B" w14:textId="77777777" w:rsidR="00C81D34" w:rsidRDefault="00C81D34" w:rsidP="0079207A">
      <w:pPr>
        <w:pStyle w:val="Body"/>
        <w:spacing w:after="0"/>
        <w:rPr>
          <w:rFonts w:ascii="Arial" w:hAnsi="Arial" w:cs="Arial"/>
        </w:rPr>
      </w:pPr>
      <w:r w:rsidRPr="00C81D34">
        <w:rPr>
          <w:rFonts w:ascii="Arial" w:hAnsi="Arial" w:cs="Arial"/>
        </w:rPr>
        <w:t>Based on this study we recommend that the regional and federal Government of Ethiopia need to take immediate steps to address the causes of long recovery time of MDR-TB patients, A thorough and focused MDR TB-Addiction control program needs to be strengthened,  Further studies and action with a possible revision to the MDR-TB and XDR-TB management strategy at the centers are necessary, there should be robust early case detection and proper treatment of drug-susceptible MDR-TB to shorten the recovery time of MDR-TB in accordance with WHO guidelines and It is advisable for future researchers to employee Weibull-Gamma shared frailty model to analyze survival data having clustering effects.</w:t>
      </w:r>
    </w:p>
    <w:p w14:paraId="2A09157A" w14:textId="77777777" w:rsidR="0079207A" w:rsidRPr="00FB3A86" w:rsidRDefault="0079207A" w:rsidP="0079207A">
      <w:pPr>
        <w:pStyle w:val="Body"/>
        <w:spacing w:after="0"/>
        <w:rPr>
          <w:rFonts w:ascii="Arial" w:hAnsi="Arial" w:cs="Arial"/>
        </w:rPr>
      </w:pPr>
    </w:p>
    <w:p w14:paraId="2C7828CC" w14:textId="77777777" w:rsidR="000D6B88" w:rsidRPr="00DE27FF" w:rsidRDefault="000D6B88" w:rsidP="00441B6F">
      <w:pPr>
        <w:pStyle w:val="ReferHead"/>
        <w:spacing w:after="0"/>
        <w:jc w:val="both"/>
        <w:rPr>
          <w:rFonts w:ascii="Arial" w:hAnsi="Arial" w:cs="Arial"/>
          <w:b w:val="0"/>
          <w:caps w:val="0"/>
          <w:sz w:val="20"/>
        </w:rPr>
      </w:pPr>
    </w:p>
    <w:p w14:paraId="18C1D2C2" w14:textId="77777777" w:rsidR="002B685A" w:rsidRDefault="002B685A" w:rsidP="00441B6F">
      <w:pPr>
        <w:pStyle w:val="ReferHead"/>
        <w:spacing w:after="0"/>
        <w:jc w:val="both"/>
        <w:rPr>
          <w:rFonts w:ascii="Arial" w:hAnsi="Arial" w:cs="Arial"/>
          <w:b w:val="0"/>
          <w:caps w:val="0"/>
          <w:sz w:val="20"/>
        </w:rPr>
      </w:pPr>
    </w:p>
    <w:p w14:paraId="5EBF1C3D"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sidR="00797377">
        <w:rPr>
          <w:rFonts w:ascii="Arial" w:hAnsi="Arial" w:cs="Arial"/>
          <w:bCs/>
        </w:rPr>
        <w:t xml:space="preserve"> for publication</w:t>
      </w:r>
    </w:p>
    <w:p w14:paraId="64AB401A" w14:textId="77777777" w:rsidR="002B685A" w:rsidRPr="002B685A" w:rsidRDefault="002B685A" w:rsidP="00441B6F">
      <w:pPr>
        <w:pStyle w:val="ReferHead"/>
        <w:spacing w:after="0"/>
        <w:jc w:val="both"/>
        <w:rPr>
          <w:rFonts w:ascii="Arial" w:hAnsi="Arial" w:cs="Arial"/>
          <w:bCs/>
        </w:rPr>
      </w:pPr>
    </w:p>
    <w:p w14:paraId="18C70D86" w14:textId="77777777" w:rsidR="001A29D8" w:rsidRDefault="00797377" w:rsidP="00441B6F">
      <w:pPr>
        <w:pStyle w:val="ReferHead"/>
        <w:spacing w:after="0"/>
        <w:jc w:val="both"/>
        <w:rPr>
          <w:rFonts w:ascii="Arial" w:hAnsi="Arial" w:cs="Arial"/>
          <w:b w:val="0"/>
          <w:caps w:val="0"/>
          <w:sz w:val="20"/>
        </w:rPr>
      </w:pPr>
      <w:r w:rsidRPr="008528EA">
        <w:rPr>
          <w:rFonts w:ascii="Arial" w:hAnsi="Arial" w:cs="Arial"/>
          <w:caps w:val="0"/>
          <w:sz w:val="20"/>
        </w:rPr>
        <w:t>Not Applicable</w:t>
      </w:r>
    </w:p>
    <w:p w14:paraId="275E8C9F" w14:textId="77777777" w:rsidR="005C784C" w:rsidRDefault="005C784C" w:rsidP="00441B6F">
      <w:pPr>
        <w:pStyle w:val="ReferHead"/>
        <w:spacing w:after="0"/>
        <w:jc w:val="both"/>
        <w:rPr>
          <w:rFonts w:ascii="Arial" w:hAnsi="Arial" w:cs="Arial"/>
          <w:b w:val="0"/>
          <w:caps w:val="0"/>
          <w:sz w:val="20"/>
        </w:rPr>
      </w:pPr>
    </w:p>
    <w:p w14:paraId="7145796A" w14:textId="77777777" w:rsidR="008528EA" w:rsidRDefault="008528EA" w:rsidP="00441B6F">
      <w:pPr>
        <w:pStyle w:val="ReferHead"/>
        <w:spacing w:after="0"/>
        <w:jc w:val="both"/>
        <w:rPr>
          <w:rFonts w:ascii="Arial" w:hAnsi="Arial" w:cs="Arial"/>
          <w:bCs/>
        </w:rPr>
      </w:pPr>
      <w:r>
        <w:rPr>
          <w:rFonts w:ascii="Arial" w:hAnsi="Arial" w:cs="Arial"/>
          <w:bCs/>
        </w:rPr>
        <w:t xml:space="preserve">Ethical approval </w:t>
      </w:r>
    </w:p>
    <w:p w14:paraId="114FC68E" w14:textId="77777777" w:rsidR="005C784C" w:rsidRDefault="008528EA" w:rsidP="00441B6F">
      <w:pPr>
        <w:pStyle w:val="ReferHead"/>
        <w:spacing w:after="0"/>
        <w:jc w:val="both"/>
        <w:rPr>
          <w:rFonts w:ascii="Arial" w:hAnsi="Arial" w:cs="Arial"/>
          <w:bCs/>
        </w:rPr>
      </w:pPr>
      <w:r>
        <w:rPr>
          <w:rFonts w:ascii="Arial" w:hAnsi="Arial" w:cs="Arial"/>
          <w:bCs/>
          <w:caps w:val="0"/>
        </w:rPr>
        <w:t xml:space="preserve"> Not applicable</w:t>
      </w:r>
    </w:p>
    <w:p w14:paraId="3C80F08E" w14:textId="77777777" w:rsidR="005C784C" w:rsidRPr="002B685A" w:rsidRDefault="005C784C" w:rsidP="00441B6F">
      <w:pPr>
        <w:pStyle w:val="ReferHead"/>
        <w:spacing w:after="0"/>
        <w:jc w:val="both"/>
        <w:rPr>
          <w:rFonts w:ascii="Arial" w:hAnsi="Arial" w:cs="Arial"/>
          <w:bCs/>
        </w:rPr>
      </w:pPr>
    </w:p>
    <w:p w14:paraId="39994F8D" w14:textId="77777777" w:rsidR="00790ADA" w:rsidRPr="00FB3A86" w:rsidRDefault="00B01FCD" w:rsidP="00FB5A4A">
      <w:pPr>
        <w:pStyle w:val="ReferHead"/>
        <w:spacing w:before="240"/>
        <w:jc w:val="both"/>
        <w:rPr>
          <w:rFonts w:ascii="Arial" w:hAnsi="Arial" w:cs="Arial"/>
        </w:rPr>
      </w:pPr>
      <w:r w:rsidRPr="00FB3A86">
        <w:rPr>
          <w:rFonts w:ascii="Arial" w:hAnsi="Arial" w:cs="Arial"/>
        </w:rPr>
        <w:t>References</w:t>
      </w:r>
    </w:p>
    <w:p w14:paraId="498DB781" w14:textId="77777777" w:rsidR="001679AF" w:rsidRPr="000C6D13" w:rsidRDefault="001679AF" w:rsidP="001679AF">
      <w:pPr>
        <w:pStyle w:val="Body"/>
        <w:rPr>
          <w:rFonts w:ascii="Arial" w:hAnsi="Arial" w:cs="Arial"/>
        </w:rPr>
      </w:pPr>
      <w:r>
        <w:t xml:space="preserve">1. </w:t>
      </w:r>
      <w:r w:rsidRPr="000C6D13">
        <w:rPr>
          <w:rFonts w:ascii="Arial" w:hAnsi="Arial" w:cs="Arial"/>
        </w:rPr>
        <w:t>World Health Organization. Global tuberculosis report 2019. Geneva: World Health Organization, 2019.</w:t>
      </w:r>
    </w:p>
    <w:p w14:paraId="5CC59D30" w14:textId="77777777" w:rsidR="001679AF" w:rsidRPr="000C6D13" w:rsidRDefault="001679AF" w:rsidP="001679AF">
      <w:pPr>
        <w:pStyle w:val="Body"/>
        <w:rPr>
          <w:rFonts w:ascii="Arial" w:hAnsi="Arial" w:cs="Arial"/>
        </w:rPr>
      </w:pPr>
      <w:r w:rsidRPr="000C6D13">
        <w:rPr>
          <w:rFonts w:ascii="Arial" w:hAnsi="Arial" w:cs="Arial"/>
        </w:rPr>
        <w:t xml:space="preserve">2. </w:t>
      </w:r>
      <w:proofErr w:type="spellStart"/>
      <w:r w:rsidRPr="000C6D13">
        <w:rPr>
          <w:rFonts w:ascii="Arial" w:hAnsi="Arial" w:cs="Arial"/>
        </w:rPr>
        <w:t>Teramaji</w:t>
      </w:r>
      <w:proofErr w:type="spellEnd"/>
      <w:r w:rsidRPr="000C6D13">
        <w:rPr>
          <w:rFonts w:ascii="Arial" w:hAnsi="Arial" w:cs="Arial"/>
        </w:rPr>
        <w:t xml:space="preserve"> W. and Abiyot N. Modeling Time to Death on MDR TB in Jimma: JRHS, 2021.</w:t>
      </w:r>
    </w:p>
    <w:p w14:paraId="242C25A9" w14:textId="77777777" w:rsidR="001679AF" w:rsidRPr="000C6D13" w:rsidRDefault="001679AF" w:rsidP="001679AF">
      <w:pPr>
        <w:pStyle w:val="Body"/>
        <w:rPr>
          <w:rFonts w:ascii="Arial" w:hAnsi="Arial" w:cs="Arial"/>
        </w:rPr>
      </w:pPr>
      <w:r w:rsidRPr="000C6D13">
        <w:rPr>
          <w:rFonts w:ascii="Arial" w:hAnsi="Arial" w:cs="Arial"/>
        </w:rPr>
        <w:t>3. Jacqui Thornton. Don’t forget chronic lung and immune conditions during covid-19, says WHO. BMJ. 2020 Mar 24 [Cited 2021 March 1]. Available from: https://www.bmj.com/content/368/bmj.m1192</w:t>
      </w:r>
    </w:p>
    <w:p w14:paraId="4CAD9B76" w14:textId="77777777" w:rsidR="001679AF" w:rsidRPr="000C6D13" w:rsidRDefault="001679AF" w:rsidP="001679AF">
      <w:pPr>
        <w:pStyle w:val="Body"/>
        <w:rPr>
          <w:rFonts w:ascii="Arial" w:hAnsi="Arial" w:cs="Arial"/>
        </w:rPr>
      </w:pPr>
      <w:r w:rsidRPr="000C6D13">
        <w:rPr>
          <w:rFonts w:ascii="Arial" w:hAnsi="Arial" w:cs="Arial"/>
        </w:rPr>
        <w:t>4. Federal ministry of health. Federal Ministry of Health and health related indicators 2005 E.C (2012/2013). 2014.</w:t>
      </w:r>
    </w:p>
    <w:p w14:paraId="3B31DA41" w14:textId="77777777" w:rsidR="001679AF" w:rsidRPr="000C6D13" w:rsidRDefault="001679AF" w:rsidP="001679AF">
      <w:pPr>
        <w:pStyle w:val="Body"/>
        <w:rPr>
          <w:rFonts w:ascii="Arial" w:hAnsi="Arial" w:cs="Arial"/>
        </w:rPr>
      </w:pPr>
      <w:r w:rsidRPr="000C6D13">
        <w:rPr>
          <w:rFonts w:ascii="Arial" w:hAnsi="Arial" w:cs="Arial"/>
        </w:rPr>
        <w:t>5.  Federal Ministry of Health. Guideline for program and clinical management of drug resistant tuberculosis. 2019. GlobalPlanToStopTB2011-2015.pdf, accessed on 12 March 2018.</w:t>
      </w:r>
    </w:p>
    <w:p w14:paraId="028EC808" w14:textId="77777777" w:rsidR="001679AF" w:rsidRPr="000C6D13" w:rsidRDefault="001679AF" w:rsidP="001679AF">
      <w:pPr>
        <w:pStyle w:val="Body"/>
        <w:rPr>
          <w:rFonts w:ascii="Arial" w:hAnsi="Arial" w:cs="Arial"/>
        </w:rPr>
      </w:pPr>
      <w:r w:rsidRPr="000C6D13">
        <w:rPr>
          <w:rFonts w:ascii="Arial" w:hAnsi="Arial" w:cs="Arial"/>
        </w:rPr>
        <w:t>6. Osterberg L. and Blaschke T. Adherence to Medication: A Review. New England Journal of Medicine 2005, 353: 487–497. https://doi.org/10.1056/NEJMra050100 PMID: 16079372</w:t>
      </w:r>
    </w:p>
    <w:p w14:paraId="3A9C9B45" w14:textId="77777777" w:rsidR="001679AF" w:rsidRPr="000C6D13" w:rsidRDefault="001679AF" w:rsidP="001679AF">
      <w:pPr>
        <w:pStyle w:val="Body"/>
        <w:rPr>
          <w:rFonts w:ascii="Arial" w:hAnsi="Arial" w:cs="Arial"/>
        </w:rPr>
      </w:pPr>
      <w:r w:rsidRPr="000C6D13">
        <w:rPr>
          <w:rFonts w:ascii="Arial" w:hAnsi="Arial" w:cs="Arial"/>
        </w:rPr>
        <w:t>7. The Global plan to stop TB 2011–2015. tp://stoptb.org/assets/documents/global/plan/TB_</w:t>
      </w:r>
    </w:p>
    <w:p w14:paraId="24FD8109" w14:textId="77777777" w:rsidR="001679AF" w:rsidRPr="000C6D13" w:rsidRDefault="001679AF" w:rsidP="001679AF">
      <w:pPr>
        <w:pStyle w:val="Body"/>
        <w:rPr>
          <w:rFonts w:ascii="Arial" w:hAnsi="Arial" w:cs="Arial"/>
        </w:rPr>
      </w:pPr>
      <w:r w:rsidRPr="000C6D13">
        <w:rPr>
          <w:rFonts w:ascii="Arial" w:hAnsi="Arial" w:cs="Arial"/>
        </w:rPr>
        <w:t>8.  World Health Organization (2017): Global TB Tuberculosis Report, www.who.int</w:t>
      </w:r>
    </w:p>
    <w:p w14:paraId="2C4BEE05" w14:textId="77777777" w:rsidR="001679AF" w:rsidRPr="000C6D13" w:rsidRDefault="001679AF" w:rsidP="001679AF">
      <w:pPr>
        <w:pStyle w:val="Body"/>
        <w:rPr>
          <w:rFonts w:ascii="Arial" w:hAnsi="Arial" w:cs="Arial"/>
        </w:rPr>
      </w:pPr>
      <w:r w:rsidRPr="000C6D13">
        <w:rPr>
          <w:rFonts w:ascii="Arial" w:hAnsi="Arial" w:cs="Arial"/>
        </w:rPr>
        <w:lastRenderedPageBreak/>
        <w:t>9. World health Organization. Treatment of tuberculosis guidelines. Geneva: World health Organization; 2010. https://www.ncbi.nlm.nih.gov/books/ NBK138748/.</w:t>
      </w:r>
    </w:p>
    <w:p w14:paraId="77F6EEAF" w14:textId="77777777" w:rsidR="001679AF" w:rsidRPr="000C6D13" w:rsidRDefault="001679AF" w:rsidP="001679AF">
      <w:pPr>
        <w:pStyle w:val="Body"/>
        <w:rPr>
          <w:rFonts w:ascii="Arial" w:hAnsi="Arial" w:cs="Arial"/>
        </w:rPr>
      </w:pPr>
      <w:r w:rsidRPr="000C6D13">
        <w:rPr>
          <w:rFonts w:ascii="Arial" w:hAnsi="Arial" w:cs="Arial"/>
        </w:rPr>
        <w:t>10. World health organization. World Health Organization: global tuberculosis control. Geneva: World health organization; 2013. http://www.who.int/iris/handle/10665/91355.</w:t>
      </w:r>
    </w:p>
    <w:p w14:paraId="572FAA9B" w14:textId="77777777" w:rsidR="001679AF" w:rsidRPr="000C6D13" w:rsidRDefault="001679AF" w:rsidP="001679AF">
      <w:pPr>
        <w:pStyle w:val="Body"/>
        <w:rPr>
          <w:rFonts w:ascii="Arial" w:hAnsi="Arial" w:cs="Arial"/>
        </w:rPr>
      </w:pPr>
      <w:r w:rsidRPr="000C6D13">
        <w:rPr>
          <w:rFonts w:ascii="Arial" w:hAnsi="Arial" w:cs="Arial"/>
        </w:rPr>
        <w:t>11. World health organization. World Health Organization: WHO report 2011. Geneva: Global Tuberculosis Control; 2011. http://www.who.int/iris/handle/10665/44728.</w:t>
      </w:r>
    </w:p>
    <w:p w14:paraId="5AB0E009" w14:textId="77777777" w:rsidR="001679AF" w:rsidRPr="000C6D13" w:rsidRDefault="001679AF" w:rsidP="001679AF">
      <w:pPr>
        <w:pStyle w:val="Body"/>
        <w:rPr>
          <w:rFonts w:ascii="Arial" w:hAnsi="Arial" w:cs="Arial"/>
        </w:rPr>
      </w:pPr>
      <w:r w:rsidRPr="000C6D13">
        <w:rPr>
          <w:rFonts w:ascii="Arial" w:hAnsi="Arial" w:cs="Arial"/>
        </w:rPr>
        <w:t>12. World Health Organization: WHO report 2016.Global Tuberculosis Control. 2016, Geneva: World Health Organization, (http://www.who.int/tb/data). WHO. 2016</w:t>
      </w:r>
    </w:p>
    <w:p w14:paraId="4E8FB068" w14:textId="77777777" w:rsidR="001679AF" w:rsidRPr="000C6D13" w:rsidRDefault="001679AF" w:rsidP="001679AF">
      <w:pPr>
        <w:pStyle w:val="Body"/>
        <w:rPr>
          <w:rFonts w:ascii="Arial" w:hAnsi="Arial" w:cs="Arial"/>
        </w:rPr>
      </w:pPr>
      <w:r w:rsidRPr="000C6D13">
        <w:rPr>
          <w:rFonts w:ascii="Arial" w:hAnsi="Arial" w:cs="Arial"/>
        </w:rPr>
        <w:t>13. World Health Organization: WHO report 2013.Global Tuberculosis control. 2013, Geneva: World Health Organization, (http://www.who.int/tb/data).WHO. 2017</w:t>
      </w:r>
    </w:p>
    <w:p w14:paraId="796F5846" w14:textId="77777777" w:rsidR="001679AF" w:rsidRPr="000C6D13" w:rsidRDefault="001679AF" w:rsidP="001679AF">
      <w:pPr>
        <w:pStyle w:val="Body"/>
        <w:rPr>
          <w:rFonts w:ascii="Arial" w:hAnsi="Arial" w:cs="Arial"/>
        </w:rPr>
      </w:pPr>
      <w:r w:rsidRPr="000C6D13">
        <w:rPr>
          <w:rFonts w:ascii="Arial" w:hAnsi="Arial" w:cs="Arial"/>
        </w:rPr>
        <w:t>14. who.int-global-tuberculosis-</w:t>
      </w:r>
      <w:proofErr w:type="spellStart"/>
      <w:r w:rsidRPr="000C6D13">
        <w:rPr>
          <w:rFonts w:ascii="Arial" w:hAnsi="Arial" w:cs="Arial"/>
        </w:rPr>
        <w:t>programme</w:t>
      </w:r>
      <w:proofErr w:type="spellEnd"/>
      <w:r w:rsidRPr="000C6D13">
        <w:rPr>
          <w:rFonts w:ascii="Arial" w:hAnsi="Arial" w:cs="Arial"/>
        </w:rPr>
        <w:t>-tb-</w:t>
      </w:r>
      <w:proofErr w:type="gramStart"/>
      <w:r w:rsidRPr="000C6D13">
        <w:rPr>
          <w:rFonts w:ascii="Arial" w:hAnsi="Arial" w:cs="Arial"/>
        </w:rPr>
        <w:t>reports.[</w:t>
      </w:r>
      <w:proofErr w:type="gramEnd"/>
      <w:r w:rsidRPr="000C6D13">
        <w:rPr>
          <w:rFonts w:ascii="Arial" w:hAnsi="Arial" w:cs="Arial"/>
        </w:rPr>
        <w:t>cited 2019 Dec 7]. Available from: https://www.who.int/tb/publications/global_report/en/.</w:t>
      </w:r>
    </w:p>
    <w:p w14:paraId="3F9A751C" w14:textId="77777777" w:rsidR="001679AF" w:rsidRPr="000C6D13" w:rsidRDefault="001679AF" w:rsidP="001679AF">
      <w:pPr>
        <w:pStyle w:val="Body"/>
        <w:rPr>
          <w:rFonts w:ascii="Arial" w:hAnsi="Arial" w:cs="Arial"/>
        </w:rPr>
      </w:pPr>
      <w:r w:rsidRPr="000C6D13">
        <w:rPr>
          <w:rFonts w:ascii="Arial" w:hAnsi="Arial" w:cs="Arial"/>
        </w:rPr>
        <w:t xml:space="preserve">15. </w:t>
      </w:r>
      <w:proofErr w:type="spellStart"/>
      <w:r w:rsidRPr="000C6D13">
        <w:rPr>
          <w:rFonts w:ascii="Arial" w:hAnsi="Arial" w:cs="Arial"/>
        </w:rPr>
        <w:t>Balabanova</w:t>
      </w:r>
      <w:proofErr w:type="spellEnd"/>
      <w:r w:rsidRPr="000C6D13">
        <w:rPr>
          <w:rFonts w:ascii="Arial" w:hAnsi="Arial" w:cs="Arial"/>
        </w:rPr>
        <w:t xml:space="preserve"> Y, </w:t>
      </w:r>
      <w:proofErr w:type="spellStart"/>
      <w:r w:rsidRPr="000C6D13">
        <w:rPr>
          <w:rFonts w:ascii="Arial" w:hAnsi="Arial" w:cs="Arial"/>
        </w:rPr>
        <w:t>Radiulyte</w:t>
      </w:r>
      <w:proofErr w:type="spellEnd"/>
      <w:r w:rsidRPr="000C6D13">
        <w:rPr>
          <w:rFonts w:ascii="Arial" w:hAnsi="Arial" w:cs="Arial"/>
        </w:rPr>
        <w:t xml:space="preserve"> B, </w:t>
      </w:r>
      <w:proofErr w:type="spellStart"/>
      <w:r w:rsidRPr="000C6D13">
        <w:rPr>
          <w:rFonts w:ascii="Arial" w:hAnsi="Arial" w:cs="Arial"/>
        </w:rPr>
        <w:t>Davidaviciene</w:t>
      </w:r>
      <w:proofErr w:type="spellEnd"/>
      <w:r w:rsidRPr="000C6D13">
        <w:rPr>
          <w:rFonts w:ascii="Arial" w:hAnsi="Arial" w:cs="Arial"/>
        </w:rPr>
        <w:t xml:space="preserve"> E, Hooper R, Ignatyeva O, </w:t>
      </w:r>
      <w:proofErr w:type="spellStart"/>
      <w:r w:rsidRPr="000C6D13">
        <w:rPr>
          <w:rFonts w:ascii="Arial" w:hAnsi="Arial" w:cs="Arial"/>
        </w:rPr>
        <w:t>Nikolayevskyy</w:t>
      </w:r>
      <w:proofErr w:type="spellEnd"/>
      <w:r w:rsidRPr="000C6D13">
        <w:rPr>
          <w:rFonts w:ascii="Arial" w:hAnsi="Arial" w:cs="Arial"/>
        </w:rPr>
        <w:t xml:space="preserve"> V, et al. Risk </w:t>
      </w:r>
      <w:proofErr w:type="spellStart"/>
      <w:r w:rsidRPr="000C6D13">
        <w:rPr>
          <w:rFonts w:ascii="Arial" w:hAnsi="Arial" w:cs="Arial"/>
        </w:rPr>
        <w:t>factorsfor</w:t>
      </w:r>
      <w:proofErr w:type="spellEnd"/>
      <w:r w:rsidRPr="000C6D13">
        <w:rPr>
          <w:rFonts w:ascii="Arial" w:hAnsi="Arial" w:cs="Arial"/>
        </w:rPr>
        <w:t xml:space="preserve"> drug-resistant tuberculosis patients in Lithuania, 2002–2008. </w:t>
      </w:r>
      <w:proofErr w:type="spellStart"/>
      <w:r w:rsidRPr="000C6D13">
        <w:rPr>
          <w:rFonts w:ascii="Arial" w:hAnsi="Arial" w:cs="Arial"/>
        </w:rPr>
        <w:t>Eur</w:t>
      </w:r>
      <w:proofErr w:type="spellEnd"/>
      <w:r w:rsidRPr="000C6D13">
        <w:rPr>
          <w:rFonts w:ascii="Arial" w:hAnsi="Arial" w:cs="Arial"/>
        </w:rPr>
        <w:t xml:space="preserve"> Respir J. 2012; 39(5):1266–9. https://doi.org/10.1183/09031936.00133911 PMID: 22547736</w:t>
      </w:r>
    </w:p>
    <w:p w14:paraId="238B7A6E" w14:textId="77777777" w:rsidR="001679AF" w:rsidRPr="000C6D13" w:rsidRDefault="001679AF" w:rsidP="001679AF">
      <w:pPr>
        <w:pStyle w:val="Body"/>
        <w:rPr>
          <w:rFonts w:ascii="Arial" w:hAnsi="Arial" w:cs="Arial"/>
        </w:rPr>
      </w:pPr>
      <w:r w:rsidRPr="000C6D13">
        <w:rPr>
          <w:rFonts w:ascii="Arial" w:hAnsi="Arial" w:cs="Arial"/>
        </w:rPr>
        <w:t xml:space="preserve">16. Chung-Delgado K, Guillen-Bravo S, Revilla-Montag A, Bernabe-Ortiz A. Mortality among MDR-TB cases: Comparison with drug-susceptible tuberculosis and associated factors. </w:t>
      </w:r>
      <w:proofErr w:type="spellStart"/>
      <w:r w:rsidRPr="000C6D13">
        <w:rPr>
          <w:rFonts w:ascii="Arial" w:hAnsi="Arial" w:cs="Arial"/>
        </w:rPr>
        <w:t>PlOS</w:t>
      </w:r>
      <w:proofErr w:type="spellEnd"/>
      <w:r w:rsidRPr="000C6D13">
        <w:rPr>
          <w:rFonts w:ascii="Arial" w:hAnsi="Arial" w:cs="Arial"/>
        </w:rPr>
        <w:t xml:space="preserve"> ONE. 2015; 10(3</w:t>
      </w:r>
      <w:proofErr w:type="gramStart"/>
      <w:r w:rsidRPr="000C6D13">
        <w:rPr>
          <w:rFonts w:ascii="Arial" w:hAnsi="Arial" w:cs="Arial"/>
        </w:rPr>
        <w:t>):e</w:t>
      </w:r>
      <w:proofErr w:type="gramEnd"/>
      <w:r w:rsidRPr="000C6D13">
        <w:rPr>
          <w:rFonts w:ascii="Arial" w:hAnsi="Arial" w:cs="Arial"/>
        </w:rPr>
        <w:t>0119332. https://doi.org/10.1371/journal.pone.0119332 PMID: 25790076</w:t>
      </w:r>
    </w:p>
    <w:p w14:paraId="38E49DD6" w14:textId="77777777" w:rsidR="001679AF" w:rsidRPr="000C6D13" w:rsidRDefault="001679AF" w:rsidP="001679AF">
      <w:pPr>
        <w:pStyle w:val="Body"/>
        <w:rPr>
          <w:rFonts w:ascii="Arial" w:hAnsi="Arial" w:cs="Arial"/>
        </w:rPr>
      </w:pPr>
      <w:r w:rsidRPr="000C6D13">
        <w:rPr>
          <w:rFonts w:ascii="Arial" w:hAnsi="Arial" w:cs="Arial"/>
        </w:rPr>
        <w:t xml:space="preserve">17. </w:t>
      </w:r>
      <w:proofErr w:type="spellStart"/>
      <w:r w:rsidRPr="000C6D13">
        <w:rPr>
          <w:rFonts w:ascii="Arial" w:hAnsi="Arial" w:cs="Arial"/>
        </w:rPr>
        <w:t>Dheda</w:t>
      </w:r>
      <w:proofErr w:type="spellEnd"/>
      <w:r w:rsidRPr="000C6D13">
        <w:rPr>
          <w:rFonts w:ascii="Arial" w:hAnsi="Arial" w:cs="Arial"/>
        </w:rPr>
        <w:t xml:space="preserve"> K, Cox H, Esmail A, Wasserman S, Chang KC, Lange C. Recent controversies about MDR and XDR-TB: Global implementation of the WHO shorter MDR-TB regimen and </w:t>
      </w:r>
      <w:proofErr w:type="spellStart"/>
      <w:r w:rsidRPr="000C6D13">
        <w:rPr>
          <w:rFonts w:ascii="Arial" w:hAnsi="Arial" w:cs="Arial"/>
        </w:rPr>
        <w:t>bedaquiline</w:t>
      </w:r>
      <w:proofErr w:type="spellEnd"/>
      <w:r w:rsidRPr="000C6D13">
        <w:rPr>
          <w:rFonts w:ascii="Arial" w:hAnsi="Arial" w:cs="Arial"/>
        </w:rPr>
        <w:t xml:space="preserve"> for all with MDR-TB? Respirology. 2018; 23(1):36–45. https://doi.org/10.1111/resp.13143 PMID: 28850767</w:t>
      </w:r>
    </w:p>
    <w:p w14:paraId="3587E659" w14:textId="77777777" w:rsidR="001679AF" w:rsidRPr="000C6D13" w:rsidRDefault="001679AF" w:rsidP="001679AF">
      <w:pPr>
        <w:pStyle w:val="Body"/>
        <w:rPr>
          <w:rFonts w:ascii="Arial" w:hAnsi="Arial" w:cs="Arial"/>
        </w:rPr>
      </w:pPr>
      <w:r w:rsidRPr="000C6D13">
        <w:rPr>
          <w:rFonts w:ascii="Arial" w:hAnsi="Arial" w:cs="Arial"/>
        </w:rPr>
        <w:t>18. Tarai B, Das P, Kumar D. Recurrent challenges for clinicians: emergence of methicillin-resistant Staphylococcus aureus, vancomycin resistance, and current treatment options. J Lab Phys. 2013;5(2):71.</w:t>
      </w:r>
    </w:p>
    <w:p w14:paraId="399CA260" w14:textId="77777777" w:rsidR="001679AF" w:rsidRPr="000C6D13" w:rsidRDefault="001679AF" w:rsidP="001679AF">
      <w:pPr>
        <w:pStyle w:val="Body"/>
        <w:rPr>
          <w:rFonts w:ascii="Arial" w:hAnsi="Arial" w:cs="Arial"/>
        </w:rPr>
      </w:pPr>
      <w:r w:rsidRPr="000C6D13">
        <w:rPr>
          <w:rFonts w:ascii="Arial" w:hAnsi="Arial" w:cs="Arial"/>
        </w:rPr>
        <w:t xml:space="preserve">19.  Fair RJ, Tor Y. Antibiotics and bacterial resistance in the 21st century. </w:t>
      </w:r>
      <w:proofErr w:type="spellStart"/>
      <w:r w:rsidRPr="000C6D13">
        <w:rPr>
          <w:rFonts w:ascii="Arial" w:hAnsi="Arial" w:cs="Arial"/>
        </w:rPr>
        <w:t>Perspect</w:t>
      </w:r>
      <w:proofErr w:type="spellEnd"/>
      <w:r w:rsidRPr="000C6D13">
        <w:rPr>
          <w:rFonts w:ascii="Arial" w:hAnsi="Arial" w:cs="Arial"/>
        </w:rPr>
        <w:t xml:space="preserve"> Med Chem. </w:t>
      </w:r>
      <w:proofErr w:type="gramStart"/>
      <w:r w:rsidRPr="000C6D13">
        <w:rPr>
          <w:rFonts w:ascii="Arial" w:hAnsi="Arial" w:cs="Arial"/>
        </w:rPr>
        <w:t>2014;6:25</w:t>
      </w:r>
      <w:proofErr w:type="gramEnd"/>
      <w:r w:rsidRPr="000C6D13">
        <w:rPr>
          <w:rFonts w:ascii="Arial" w:hAnsi="Arial" w:cs="Arial"/>
        </w:rPr>
        <w:t>–64. https://doi.org/10.4137/PMC.S14459.</w:t>
      </w:r>
    </w:p>
    <w:p w14:paraId="490DFFA3" w14:textId="77777777" w:rsidR="001679AF" w:rsidRPr="000C6D13" w:rsidRDefault="001679AF" w:rsidP="001679AF">
      <w:pPr>
        <w:pStyle w:val="Body"/>
        <w:rPr>
          <w:rFonts w:ascii="Arial" w:hAnsi="Arial" w:cs="Arial"/>
        </w:rPr>
      </w:pPr>
      <w:r w:rsidRPr="000C6D13">
        <w:rPr>
          <w:rFonts w:ascii="Arial" w:hAnsi="Arial" w:cs="Arial"/>
        </w:rPr>
        <w:t>20. The 2007 Population and Housing Census of Ethiopia: Statistical Report for Southern Nations, Nationalities and Peoples’ Region; Part I: Population Size and Characteristics, July 2014 and Federal Democratic Republic of Ethiopia Central Statistical Agency. Retrieved 4 June 2018.</w:t>
      </w:r>
    </w:p>
    <w:p w14:paraId="3914E3FC" w14:textId="77777777" w:rsidR="001679AF" w:rsidRPr="000C6D13" w:rsidRDefault="001679AF" w:rsidP="001679AF">
      <w:pPr>
        <w:pStyle w:val="Body"/>
        <w:rPr>
          <w:rFonts w:ascii="Arial" w:hAnsi="Arial" w:cs="Arial"/>
        </w:rPr>
      </w:pPr>
      <w:r w:rsidRPr="000C6D13">
        <w:rPr>
          <w:rFonts w:ascii="Arial" w:hAnsi="Arial" w:cs="Arial"/>
        </w:rPr>
        <w:t xml:space="preserve">21. </w:t>
      </w:r>
      <w:proofErr w:type="spellStart"/>
      <w:r w:rsidRPr="000C6D13">
        <w:rPr>
          <w:rFonts w:ascii="Arial" w:hAnsi="Arial" w:cs="Arial"/>
        </w:rPr>
        <w:t>Nigus</w:t>
      </w:r>
      <w:proofErr w:type="spellEnd"/>
      <w:r w:rsidRPr="000C6D13">
        <w:rPr>
          <w:rFonts w:ascii="Arial" w:hAnsi="Arial" w:cs="Arial"/>
        </w:rPr>
        <w:t xml:space="preserve"> D, </w:t>
      </w:r>
      <w:proofErr w:type="spellStart"/>
      <w:r w:rsidRPr="000C6D13">
        <w:rPr>
          <w:rFonts w:ascii="Arial" w:hAnsi="Arial" w:cs="Arial"/>
        </w:rPr>
        <w:t>Lingerew</w:t>
      </w:r>
      <w:proofErr w:type="spellEnd"/>
      <w:r w:rsidRPr="000C6D13">
        <w:rPr>
          <w:rFonts w:ascii="Arial" w:hAnsi="Arial" w:cs="Arial"/>
        </w:rPr>
        <w:t xml:space="preserve"> W, Beyene B, Tamiru A, Lemma M, Melaku M. Prevalence of multi drug resistant tuberculosis among presumptive multi drug resistant tuberculosis cases in Amhara National Regional State, Ethiopia. J </w:t>
      </w:r>
      <w:proofErr w:type="spellStart"/>
      <w:r w:rsidRPr="000C6D13">
        <w:rPr>
          <w:rFonts w:ascii="Arial" w:hAnsi="Arial" w:cs="Arial"/>
        </w:rPr>
        <w:t>Mycobac</w:t>
      </w:r>
      <w:proofErr w:type="spellEnd"/>
      <w:r w:rsidRPr="000C6D13">
        <w:rPr>
          <w:rFonts w:ascii="Arial" w:hAnsi="Arial" w:cs="Arial"/>
        </w:rPr>
        <w:t xml:space="preserve"> Dis. 2014;4(152):2161 1068.1000152.</w:t>
      </w:r>
    </w:p>
    <w:p w14:paraId="717B173B" w14:textId="77777777" w:rsidR="001679AF" w:rsidRPr="000C6D13" w:rsidRDefault="001679AF" w:rsidP="001679AF">
      <w:pPr>
        <w:pStyle w:val="Body"/>
        <w:rPr>
          <w:rFonts w:ascii="Arial" w:hAnsi="Arial" w:cs="Arial"/>
        </w:rPr>
      </w:pPr>
      <w:r w:rsidRPr="000C6D13">
        <w:rPr>
          <w:rFonts w:ascii="Arial" w:hAnsi="Arial" w:cs="Arial"/>
        </w:rPr>
        <w:t>22. Cochran WG. Sampling Techniques. 3rd. New York: Wiley; 1977.</w:t>
      </w:r>
    </w:p>
    <w:p w14:paraId="1A3726BA" w14:textId="77777777" w:rsidR="001679AF" w:rsidRPr="000C6D13" w:rsidRDefault="001679AF" w:rsidP="001679AF">
      <w:pPr>
        <w:pStyle w:val="Body"/>
        <w:rPr>
          <w:rFonts w:ascii="Arial" w:hAnsi="Arial" w:cs="Arial"/>
        </w:rPr>
      </w:pPr>
      <w:r w:rsidRPr="000C6D13">
        <w:rPr>
          <w:rFonts w:ascii="Arial" w:hAnsi="Arial" w:cs="Arial"/>
        </w:rPr>
        <w:t>23.  Fan J. Local polynomial modelling and its applications: monographs on statistics and applied probability 66. New York: Routledge; 2018.</w:t>
      </w:r>
    </w:p>
    <w:p w14:paraId="50D55D73" w14:textId="77777777" w:rsidR="001679AF" w:rsidRPr="000C6D13" w:rsidRDefault="001679AF" w:rsidP="001679AF">
      <w:pPr>
        <w:pStyle w:val="Body"/>
        <w:rPr>
          <w:rFonts w:ascii="Arial" w:hAnsi="Arial" w:cs="Arial"/>
        </w:rPr>
      </w:pPr>
      <w:r w:rsidRPr="000C6D13">
        <w:rPr>
          <w:rFonts w:ascii="Arial" w:hAnsi="Arial" w:cs="Arial"/>
        </w:rPr>
        <w:t xml:space="preserve">24. Van der </w:t>
      </w:r>
      <w:proofErr w:type="spellStart"/>
      <w:r w:rsidRPr="000C6D13">
        <w:rPr>
          <w:rFonts w:ascii="Arial" w:hAnsi="Arial" w:cs="Arial"/>
        </w:rPr>
        <w:t>Meulen</w:t>
      </w:r>
      <w:proofErr w:type="spellEnd"/>
      <w:r w:rsidRPr="000C6D13">
        <w:rPr>
          <w:rFonts w:ascii="Arial" w:hAnsi="Arial" w:cs="Arial"/>
        </w:rPr>
        <w:t xml:space="preserve"> A. Life tables and survival analysis. The Hague: Statistics Methods Statistics Netherlands; 2012.</w:t>
      </w:r>
    </w:p>
    <w:p w14:paraId="246EE13E" w14:textId="77777777" w:rsidR="001679AF" w:rsidRPr="000C6D13" w:rsidRDefault="001679AF" w:rsidP="001679AF">
      <w:pPr>
        <w:pStyle w:val="Body"/>
        <w:rPr>
          <w:rFonts w:ascii="Arial" w:hAnsi="Arial" w:cs="Arial"/>
        </w:rPr>
      </w:pPr>
      <w:r w:rsidRPr="000C6D13">
        <w:rPr>
          <w:rFonts w:ascii="Arial" w:hAnsi="Arial" w:cs="Arial"/>
        </w:rPr>
        <w:t>25. Dabrowska DM. Kaplan-Meier estimate on the plane. Ann Stat. 2001;16(4): 1475–89.</w:t>
      </w:r>
    </w:p>
    <w:p w14:paraId="4CC3C08B" w14:textId="77777777" w:rsidR="001679AF" w:rsidRPr="000C6D13" w:rsidRDefault="001679AF" w:rsidP="001679AF">
      <w:pPr>
        <w:pStyle w:val="Body"/>
        <w:rPr>
          <w:rFonts w:ascii="Arial" w:hAnsi="Arial" w:cs="Arial"/>
        </w:rPr>
      </w:pPr>
      <w:r w:rsidRPr="000C6D13">
        <w:rPr>
          <w:rFonts w:ascii="Arial" w:hAnsi="Arial" w:cs="Arial"/>
        </w:rPr>
        <w:t xml:space="preserve">26. Brookmeyer R: Median survival time. Wiley </w:t>
      </w:r>
      <w:proofErr w:type="spellStart"/>
      <w:r w:rsidRPr="000C6D13">
        <w:rPr>
          <w:rFonts w:ascii="Arial" w:hAnsi="Arial" w:cs="Arial"/>
        </w:rPr>
        <w:t>StatsRef</w:t>
      </w:r>
      <w:proofErr w:type="spellEnd"/>
      <w:r w:rsidRPr="000C6D13">
        <w:rPr>
          <w:rFonts w:ascii="Arial" w:hAnsi="Arial" w:cs="Arial"/>
        </w:rPr>
        <w:t>: Statistics Reference Online 2014.</w:t>
      </w:r>
    </w:p>
    <w:p w14:paraId="0CBE771B" w14:textId="77777777" w:rsidR="001679AF" w:rsidRPr="000C6D13" w:rsidRDefault="001679AF" w:rsidP="001679AF">
      <w:pPr>
        <w:pStyle w:val="Body"/>
        <w:rPr>
          <w:rFonts w:ascii="Arial" w:hAnsi="Arial" w:cs="Arial"/>
        </w:rPr>
      </w:pPr>
      <w:r w:rsidRPr="000C6D13">
        <w:rPr>
          <w:rFonts w:ascii="Arial" w:hAnsi="Arial" w:cs="Arial"/>
        </w:rPr>
        <w:t xml:space="preserve">27. Reid N. Estimating the median survival time. </w:t>
      </w:r>
      <w:proofErr w:type="spellStart"/>
      <w:r w:rsidRPr="000C6D13">
        <w:rPr>
          <w:rFonts w:ascii="Arial" w:hAnsi="Arial" w:cs="Arial"/>
        </w:rPr>
        <w:t>Biometrika</w:t>
      </w:r>
      <w:proofErr w:type="spellEnd"/>
      <w:r w:rsidRPr="000C6D13">
        <w:rPr>
          <w:rFonts w:ascii="Arial" w:hAnsi="Arial" w:cs="Arial"/>
        </w:rPr>
        <w:t>. 1981;68(3):601–8.</w:t>
      </w:r>
    </w:p>
    <w:p w14:paraId="01EBFBC9" w14:textId="77777777" w:rsidR="001679AF" w:rsidRPr="000C6D13" w:rsidRDefault="001679AF" w:rsidP="001679AF">
      <w:pPr>
        <w:pStyle w:val="Body"/>
        <w:rPr>
          <w:rFonts w:ascii="Arial" w:hAnsi="Arial" w:cs="Arial"/>
        </w:rPr>
      </w:pPr>
      <w:r w:rsidRPr="000C6D13">
        <w:rPr>
          <w:rFonts w:ascii="Arial" w:hAnsi="Arial" w:cs="Arial"/>
        </w:rPr>
        <w:t xml:space="preserve">28. </w:t>
      </w:r>
      <w:proofErr w:type="spellStart"/>
      <w:r w:rsidRPr="000C6D13">
        <w:rPr>
          <w:rFonts w:ascii="Arial" w:hAnsi="Arial" w:cs="Arial"/>
        </w:rPr>
        <w:t>Brueffer</w:t>
      </w:r>
      <w:proofErr w:type="spellEnd"/>
      <w:r w:rsidRPr="000C6D13">
        <w:rPr>
          <w:rFonts w:ascii="Arial" w:hAnsi="Arial" w:cs="Arial"/>
        </w:rPr>
        <w:t xml:space="preserve"> C, Vallon-Christersson J, Grabau D, Ehinger A, Häkkinen J, </w:t>
      </w:r>
      <w:proofErr w:type="spellStart"/>
      <w:r w:rsidRPr="000C6D13">
        <w:rPr>
          <w:rFonts w:ascii="Arial" w:hAnsi="Arial" w:cs="Arial"/>
        </w:rPr>
        <w:t>Hegardt</w:t>
      </w:r>
      <w:proofErr w:type="spellEnd"/>
      <w:r w:rsidRPr="000C6D13">
        <w:rPr>
          <w:rFonts w:ascii="Arial" w:hAnsi="Arial" w:cs="Arial"/>
        </w:rPr>
        <w:t xml:space="preserve"> C, Malina J, Chen Y, Bendahl P-O, </w:t>
      </w:r>
      <w:proofErr w:type="spellStart"/>
      <w:r w:rsidRPr="000C6D13">
        <w:rPr>
          <w:rFonts w:ascii="Arial" w:hAnsi="Arial" w:cs="Arial"/>
        </w:rPr>
        <w:t>Manjer</w:t>
      </w:r>
      <w:proofErr w:type="spellEnd"/>
      <w:r w:rsidRPr="000C6D13">
        <w:rPr>
          <w:rFonts w:ascii="Arial" w:hAnsi="Arial" w:cs="Arial"/>
        </w:rPr>
        <w:t xml:space="preserve"> J. Clinical value of RNA sequencing–based classifiers for prediction of the five conventional breast Cancer </w:t>
      </w:r>
      <w:r w:rsidRPr="000C6D13">
        <w:rPr>
          <w:rFonts w:ascii="Arial" w:hAnsi="Arial" w:cs="Arial"/>
        </w:rPr>
        <w:lastRenderedPageBreak/>
        <w:t xml:space="preserve">biomarkers: a report from the population-based multicenter Sweden </w:t>
      </w:r>
      <w:proofErr w:type="spellStart"/>
      <w:r w:rsidRPr="000C6D13">
        <w:rPr>
          <w:rFonts w:ascii="Arial" w:hAnsi="Arial" w:cs="Arial"/>
        </w:rPr>
        <w:t>Cancerome</w:t>
      </w:r>
      <w:proofErr w:type="spellEnd"/>
      <w:r w:rsidRPr="000C6D13">
        <w:rPr>
          <w:rFonts w:ascii="Arial" w:hAnsi="Arial" w:cs="Arial"/>
        </w:rPr>
        <w:t xml:space="preserve"> analysis network—breast initiative. JCO Precis Oncol. </w:t>
      </w:r>
      <w:proofErr w:type="gramStart"/>
      <w:r w:rsidRPr="000C6D13">
        <w:rPr>
          <w:rFonts w:ascii="Arial" w:hAnsi="Arial" w:cs="Arial"/>
        </w:rPr>
        <w:t>2018;2:1</w:t>
      </w:r>
      <w:proofErr w:type="gramEnd"/>
      <w:r w:rsidRPr="000C6D13">
        <w:rPr>
          <w:rFonts w:ascii="Arial" w:hAnsi="Arial" w:cs="Arial"/>
        </w:rPr>
        <w:t>–18.</w:t>
      </w:r>
    </w:p>
    <w:p w14:paraId="5527119B" w14:textId="77777777" w:rsidR="001679AF" w:rsidRPr="000C6D13" w:rsidRDefault="001679AF" w:rsidP="001679AF">
      <w:pPr>
        <w:pStyle w:val="Body"/>
        <w:rPr>
          <w:rFonts w:ascii="Arial" w:hAnsi="Arial" w:cs="Arial"/>
        </w:rPr>
      </w:pPr>
      <w:r w:rsidRPr="000C6D13">
        <w:rPr>
          <w:rFonts w:ascii="Arial" w:hAnsi="Arial" w:cs="Arial"/>
        </w:rPr>
        <w:t xml:space="preserve">29. Harrington DP, Fleming TR. A class of rank test procedures for censored survival data. </w:t>
      </w:r>
      <w:proofErr w:type="spellStart"/>
      <w:r w:rsidRPr="000C6D13">
        <w:rPr>
          <w:rFonts w:ascii="Arial" w:hAnsi="Arial" w:cs="Arial"/>
        </w:rPr>
        <w:t>Biometrika</w:t>
      </w:r>
      <w:proofErr w:type="spellEnd"/>
      <w:r w:rsidRPr="000C6D13">
        <w:rPr>
          <w:rFonts w:ascii="Arial" w:hAnsi="Arial" w:cs="Arial"/>
        </w:rPr>
        <w:t>. 1982;69(3):553–66.</w:t>
      </w:r>
    </w:p>
    <w:p w14:paraId="56DB3B01" w14:textId="77777777" w:rsidR="001679AF" w:rsidRPr="000C6D13" w:rsidRDefault="001679AF" w:rsidP="001679AF">
      <w:pPr>
        <w:pStyle w:val="Body"/>
        <w:rPr>
          <w:rFonts w:ascii="Arial" w:hAnsi="Arial" w:cs="Arial"/>
        </w:rPr>
      </w:pPr>
      <w:r w:rsidRPr="000C6D13">
        <w:rPr>
          <w:rFonts w:ascii="Arial" w:hAnsi="Arial" w:cs="Arial"/>
        </w:rPr>
        <w:t>30. Xie J, Liu C. Adjusted Kaplan–Meier estimator and log-rank test with inverse probability of treatment weighting for survival data. Stat Med. 2005;24(20): 3089–110.</w:t>
      </w:r>
    </w:p>
    <w:p w14:paraId="33738216" w14:textId="77777777" w:rsidR="001679AF" w:rsidRPr="000C6D13" w:rsidRDefault="001679AF" w:rsidP="001679AF">
      <w:pPr>
        <w:pStyle w:val="Body"/>
        <w:rPr>
          <w:rFonts w:ascii="Arial" w:hAnsi="Arial" w:cs="Arial"/>
        </w:rPr>
      </w:pPr>
      <w:r w:rsidRPr="000C6D13">
        <w:rPr>
          <w:rFonts w:ascii="Arial" w:hAnsi="Arial" w:cs="Arial"/>
        </w:rPr>
        <w:t>31. Kleinbaum DG, Klein M. Kaplan-Meier survival curves and the log-rank test. In: Survival analysis. New York: Springer; 2016. p. 55–96.</w:t>
      </w:r>
    </w:p>
    <w:p w14:paraId="71524EF8" w14:textId="77777777" w:rsidR="001679AF" w:rsidRPr="000C6D13" w:rsidRDefault="001679AF" w:rsidP="001679AF">
      <w:pPr>
        <w:pStyle w:val="Body"/>
        <w:rPr>
          <w:rFonts w:ascii="Arial" w:hAnsi="Arial" w:cs="Arial"/>
        </w:rPr>
      </w:pPr>
      <w:r w:rsidRPr="000C6D13">
        <w:rPr>
          <w:rFonts w:ascii="Arial" w:hAnsi="Arial" w:cs="Arial"/>
        </w:rPr>
        <w:t>32. Collett D. Modelling survival data in medical research. New York: Chapman and Hall/CRC; 2015.</w:t>
      </w:r>
    </w:p>
    <w:p w14:paraId="7DAC7D25" w14:textId="77777777" w:rsidR="001679AF" w:rsidRPr="000C6D13" w:rsidRDefault="001679AF" w:rsidP="001679AF">
      <w:pPr>
        <w:pStyle w:val="Body"/>
        <w:rPr>
          <w:rFonts w:ascii="Arial" w:hAnsi="Arial" w:cs="Arial"/>
        </w:rPr>
      </w:pPr>
      <w:r w:rsidRPr="000C6D13">
        <w:rPr>
          <w:rFonts w:ascii="Arial" w:hAnsi="Arial" w:cs="Arial"/>
        </w:rPr>
        <w:t>33. Cox DR. Regression models and life-tables. In: Breakthroughs in statistics. New York: Springer; 2008. p. 527–41.</w:t>
      </w:r>
    </w:p>
    <w:p w14:paraId="5D49FAC9" w14:textId="77777777" w:rsidR="001679AF" w:rsidRPr="000C6D13" w:rsidRDefault="001679AF" w:rsidP="001679AF">
      <w:pPr>
        <w:pStyle w:val="Body"/>
        <w:rPr>
          <w:rFonts w:ascii="Arial" w:hAnsi="Arial" w:cs="Arial"/>
        </w:rPr>
      </w:pPr>
      <w:r w:rsidRPr="000C6D13">
        <w:rPr>
          <w:rFonts w:ascii="Arial" w:hAnsi="Arial" w:cs="Arial"/>
        </w:rPr>
        <w:t>34. Gutierrez RG. Parametric frailty and shared frailty survival models. Stata J. 2002;2(1):22–44.</w:t>
      </w:r>
    </w:p>
    <w:p w14:paraId="7A26E515" w14:textId="77777777" w:rsidR="001679AF" w:rsidRPr="000C6D13" w:rsidRDefault="001679AF" w:rsidP="001679AF">
      <w:pPr>
        <w:pStyle w:val="Body"/>
        <w:rPr>
          <w:rFonts w:ascii="Arial" w:hAnsi="Arial" w:cs="Arial"/>
        </w:rPr>
      </w:pPr>
      <w:r w:rsidRPr="000C6D13">
        <w:rPr>
          <w:rFonts w:ascii="Arial" w:hAnsi="Arial" w:cs="Arial"/>
        </w:rPr>
        <w:t>35. Pike M. A method of analysis of a certain class of experiments in carcinogenesis. Biometrics. 1966;22(1):142–61.</w:t>
      </w:r>
    </w:p>
    <w:p w14:paraId="412F3E54" w14:textId="77777777" w:rsidR="001679AF" w:rsidRPr="000C6D13" w:rsidRDefault="001679AF" w:rsidP="001679AF">
      <w:pPr>
        <w:pStyle w:val="Body"/>
        <w:rPr>
          <w:rFonts w:ascii="Arial" w:hAnsi="Arial" w:cs="Arial"/>
        </w:rPr>
      </w:pPr>
      <w:r w:rsidRPr="000C6D13">
        <w:rPr>
          <w:rFonts w:ascii="Arial" w:hAnsi="Arial" w:cs="Arial"/>
        </w:rPr>
        <w:t>36. Bennett S. Analysis of survival data by the proportional odds model. Stat Med. 1983;2(2):273–7.</w:t>
      </w:r>
    </w:p>
    <w:p w14:paraId="4C770557" w14:textId="77777777" w:rsidR="001679AF" w:rsidRPr="000C6D13" w:rsidRDefault="001679AF" w:rsidP="001679AF">
      <w:pPr>
        <w:pStyle w:val="Body"/>
        <w:rPr>
          <w:rFonts w:ascii="Arial" w:hAnsi="Arial" w:cs="Arial"/>
        </w:rPr>
      </w:pPr>
      <w:r w:rsidRPr="000C6D13">
        <w:rPr>
          <w:rFonts w:ascii="Arial" w:hAnsi="Arial" w:cs="Arial"/>
        </w:rPr>
        <w:t>37. Van den Berg GJ. Duration models: specification, identification and multiple</w:t>
      </w:r>
    </w:p>
    <w:p w14:paraId="0D14B8DE" w14:textId="77777777" w:rsidR="001679AF" w:rsidRPr="000C6D13" w:rsidRDefault="001679AF" w:rsidP="001679AF">
      <w:pPr>
        <w:pStyle w:val="Body"/>
        <w:rPr>
          <w:rFonts w:ascii="Arial" w:hAnsi="Arial" w:cs="Arial"/>
        </w:rPr>
      </w:pPr>
      <w:r w:rsidRPr="000C6D13">
        <w:rPr>
          <w:rFonts w:ascii="Arial" w:hAnsi="Arial" w:cs="Arial"/>
        </w:rPr>
        <w:t>durations. In: Handbook 2016</w:t>
      </w:r>
    </w:p>
    <w:p w14:paraId="6F04E374" w14:textId="77777777" w:rsidR="001679AF" w:rsidRPr="000C6D13" w:rsidRDefault="001679AF" w:rsidP="001679AF">
      <w:pPr>
        <w:pStyle w:val="Body"/>
        <w:rPr>
          <w:rFonts w:ascii="Arial" w:hAnsi="Arial" w:cs="Arial"/>
        </w:rPr>
      </w:pPr>
      <w:r w:rsidRPr="000C6D13">
        <w:rPr>
          <w:rFonts w:ascii="Arial" w:hAnsi="Arial" w:cs="Arial"/>
        </w:rPr>
        <w:t xml:space="preserve">38. Hougaard P. Modelling heterogeneity in survival data. J Appl </w:t>
      </w:r>
      <w:proofErr w:type="spellStart"/>
      <w:r w:rsidRPr="000C6D13">
        <w:rPr>
          <w:rFonts w:ascii="Arial" w:hAnsi="Arial" w:cs="Arial"/>
        </w:rPr>
        <w:t>Probab</w:t>
      </w:r>
      <w:proofErr w:type="spellEnd"/>
      <w:r w:rsidRPr="000C6D13">
        <w:rPr>
          <w:rFonts w:ascii="Arial" w:hAnsi="Arial" w:cs="Arial"/>
        </w:rPr>
        <w:t>. 1991;</w:t>
      </w:r>
    </w:p>
    <w:p w14:paraId="2996CBEF" w14:textId="77777777" w:rsidR="001679AF" w:rsidRPr="000C6D13" w:rsidRDefault="001679AF" w:rsidP="001679AF">
      <w:pPr>
        <w:pStyle w:val="Body"/>
        <w:rPr>
          <w:rFonts w:ascii="Arial" w:hAnsi="Arial" w:cs="Arial"/>
        </w:rPr>
      </w:pPr>
      <w:r w:rsidRPr="000C6D13">
        <w:rPr>
          <w:rFonts w:ascii="Arial" w:hAnsi="Arial" w:cs="Arial"/>
        </w:rPr>
        <w:t>39. Aalen O, Borgan O, Gjessing H. Survival and event history analysis: a process point of view. New York: Springer Science &amp; Business Media; 2008.</w:t>
      </w:r>
    </w:p>
    <w:p w14:paraId="191A4DCB" w14:textId="77777777" w:rsidR="001679AF" w:rsidRPr="000C6D13" w:rsidRDefault="001679AF" w:rsidP="001679AF">
      <w:pPr>
        <w:pStyle w:val="Body"/>
        <w:rPr>
          <w:rFonts w:ascii="Arial" w:hAnsi="Arial" w:cs="Arial"/>
        </w:rPr>
      </w:pPr>
      <w:r w:rsidRPr="000C6D13">
        <w:rPr>
          <w:rFonts w:ascii="Arial" w:hAnsi="Arial" w:cs="Arial"/>
        </w:rPr>
        <w:t xml:space="preserve">40. Hougaard P. Survival models for heterogeneous populations derived from stable distributions. </w:t>
      </w:r>
      <w:proofErr w:type="spellStart"/>
      <w:r w:rsidRPr="000C6D13">
        <w:rPr>
          <w:rFonts w:ascii="Arial" w:hAnsi="Arial" w:cs="Arial"/>
        </w:rPr>
        <w:t>Biometrika</w:t>
      </w:r>
      <w:proofErr w:type="spellEnd"/>
      <w:r w:rsidRPr="000C6D13">
        <w:rPr>
          <w:rFonts w:ascii="Arial" w:hAnsi="Arial" w:cs="Arial"/>
        </w:rPr>
        <w:t>. 1986;73(2):387–96.</w:t>
      </w:r>
    </w:p>
    <w:p w14:paraId="2127208B" w14:textId="77777777" w:rsidR="001679AF" w:rsidRPr="000C6D13" w:rsidRDefault="001679AF" w:rsidP="001679AF">
      <w:pPr>
        <w:pStyle w:val="Body"/>
        <w:rPr>
          <w:rFonts w:ascii="Arial" w:hAnsi="Arial" w:cs="Arial"/>
        </w:rPr>
      </w:pPr>
      <w:r w:rsidRPr="000C6D13">
        <w:rPr>
          <w:rFonts w:ascii="Arial" w:hAnsi="Arial" w:cs="Arial"/>
        </w:rPr>
        <w:t>41. Caroni C, Crowder M, Kimber A. Proportional hazards models with discrete frailty. Life time Data Anal. 2010;16(3):374–84</w:t>
      </w:r>
    </w:p>
    <w:p w14:paraId="75182605" w14:textId="77777777" w:rsidR="001679AF" w:rsidRPr="000C6D13" w:rsidRDefault="001679AF" w:rsidP="001679AF">
      <w:pPr>
        <w:pStyle w:val="Body"/>
        <w:rPr>
          <w:rFonts w:ascii="Arial" w:hAnsi="Arial" w:cs="Arial"/>
        </w:rPr>
      </w:pPr>
      <w:r w:rsidRPr="000C6D13">
        <w:rPr>
          <w:rFonts w:ascii="Arial" w:hAnsi="Arial" w:cs="Arial"/>
        </w:rPr>
        <w:t>42. Duchateau L, Janssen P. The frailty Model. New York: Springer-</w:t>
      </w:r>
      <w:proofErr w:type="spellStart"/>
      <w:r w:rsidRPr="000C6D13">
        <w:rPr>
          <w:rFonts w:ascii="Arial" w:hAnsi="Arial" w:cs="Arial"/>
        </w:rPr>
        <w:t>Verlega</w:t>
      </w:r>
      <w:proofErr w:type="spellEnd"/>
      <w:r w:rsidRPr="000C6D13">
        <w:rPr>
          <w:rFonts w:ascii="Arial" w:hAnsi="Arial" w:cs="Arial"/>
        </w:rPr>
        <w:t>; 2008.</w:t>
      </w:r>
    </w:p>
    <w:p w14:paraId="3A77907E" w14:textId="77777777" w:rsidR="001679AF" w:rsidRPr="000C6D13" w:rsidRDefault="001679AF" w:rsidP="001679AF">
      <w:pPr>
        <w:pStyle w:val="Body"/>
        <w:rPr>
          <w:rFonts w:ascii="Arial" w:hAnsi="Arial" w:cs="Arial"/>
        </w:rPr>
      </w:pPr>
      <w:r w:rsidRPr="000C6D13">
        <w:rPr>
          <w:rFonts w:ascii="Arial" w:hAnsi="Arial" w:cs="Arial"/>
        </w:rPr>
        <w:t xml:space="preserve">43. Askin OE, Inan D, </w:t>
      </w:r>
      <w:proofErr w:type="spellStart"/>
      <w:r w:rsidRPr="000C6D13">
        <w:rPr>
          <w:rFonts w:ascii="Arial" w:hAnsi="Arial" w:cs="Arial"/>
        </w:rPr>
        <w:t>Buyuklu</w:t>
      </w:r>
      <w:proofErr w:type="spellEnd"/>
      <w:r w:rsidRPr="000C6D13">
        <w:rPr>
          <w:rFonts w:ascii="Arial" w:hAnsi="Arial" w:cs="Arial"/>
        </w:rPr>
        <w:t xml:space="preserve"> AH. Parameter Estimation of Shared Frailty Models Based on Particle Swarm Optimization. Int J Stat </w:t>
      </w:r>
      <w:proofErr w:type="spellStart"/>
      <w:r w:rsidRPr="000C6D13">
        <w:rPr>
          <w:rFonts w:ascii="Arial" w:hAnsi="Arial" w:cs="Arial"/>
        </w:rPr>
        <w:t>Probab</w:t>
      </w:r>
      <w:proofErr w:type="spellEnd"/>
      <w:r w:rsidRPr="000C6D13">
        <w:rPr>
          <w:rFonts w:ascii="Arial" w:hAnsi="Arial" w:cs="Arial"/>
        </w:rPr>
        <w:t>. 2017;6(1): 48–58.</w:t>
      </w:r>
    </w:p>
    <w:p w14:paraId="17EF0339" w14:textId="77777777" w:rsidR="001679AF" w:rsidRPr="000C6D13" w:rsidRDefault="001679AF" w:rsidP="001679AF">
      <w:pPr>
        <w:pStyle w:val="Body"/>
        <w:rPr>
          <w:rFonts w:ascii="Arial" w:hAnsi="Arial" w:cs="Arial"/>
        </w:rPr>
      </w:pPr>
      <w:r w:rsidRPr="000C6D13">
        <w:rPr>
          <w:rFonts w:ascii="Arial" w:hAnsi="Arial" w:cs="Arial"/>
        </w:rPr>
        <w:t>44. Akaike H. A new look at the statistical model identification. IEEE Trans Autom Control. 1974;19(6):716–23.</w:t>
      </w:r>
    </w:p>
    <w:p w14:paraId="475B6631" w14:textId="77777777" w:rsidR="001679AF" w:rsidRPr="000C6D13" w:rsidRDefault="001679AF" w:rsidP="001679AF">
      <w:pPr>
        <w:pStyle w:val="Body"/>
        <w:rPr>
          <w:rFonts w:ascii="Arial" w:hAnsi="Arial" w:cs="Arial"/>
        </w:rPr>
      </w:pPr>
      <w:r w:rsidRPr="000C6D13">
        <w:rPr>
          <w:rFonts w:ascii="Arial" w:hAnsi="Arial" w:cs="Arial"/>
        </w:rPr>
        <w:t xml:space="preserve">45. Munda M, Rotolo F, Legrand C. </w:t>
      </w:r>
      <w:proofErr w:type="spellStart"/>
      <w:r w:rsidRPr="000C6D13">
        <w:rPr>
          <w:rFonts w:ascii="Arial" w:hAnsi="Arial" w:cs="Arial"/>
        </w:rPr>
        <w:t>Parfm</w:t>
      </w:r>
      <w:proofErr w:type="spellEnd"/>
      <w:r w:rsidRPr="000C6D13">
        <w:rPr>
          <w:rFonts w:ascii="Arial" w:hAnsi="Arial" w:cs="Arial"/>
        </w:rPr>
        <w:t xml:space="preserve">: parametric frailty models in R. J Stat </w:t>
      </w:r>
      <w:proofErr w:type="spellStart"/>
      <w:r w:rsidRPr="000C6D13">
        <w:rPr>
          <w:rFonts w:ascii="Arial" w:hAnsi="Arial" w:cs="Arial"/>
        </w:rPr>
        <w:t>Softw</w:t>
      </w:r>
      <w:proofErr w:type="spellEnd"/>
      <w:r w:rsidRPr="000C6D13">
        <w:rPr>
          <w:rFonts w:ascii="Arial" w:hAnsi="Arial" w:cs="Arial"/>
        </w:rPr>
        <w:t>. 2012;51(11):1–20.</w:t>
      </w:r>
    </w:p>
    <w:p w14:paraId="186C4064" w14:textId="77777777" w:rsidR="001679AF" w:rsidRPr="000C6D13" w:rsidRDefault="001679AF" w:rsidP="001679AF">
      <w:pPr>
        <w:pStyle w:val="Body"/>
        <w:rPr>
          <w:rFonts w:ascii="Arial" w:hAnsi="Arial" w:cs="Arial"/>
        </w:rPr>
      </w:pPr>
      <w:r w:rsidRPr="000C6D13">
        <w:rPr>
          <w:rFonts w:ascii="Arial" w:hAnsi="Arial" w:cs="Arial"/>
        </w:rPr>
        <w:t xml:space="preserve">46. Cox DR, Snell EJ. A general definition of residuals. J R Stat Soc Ser B </w:t>
      </w:r>
      <w:proofErr w:type="spellStart"/>
      <w:r w:rsidRPr="000C6D13">
        <w:rPr>
          <w:rFonts w:ascii="Arial" w:hAnsi="Arial" w:cs="Arial"/>
        </w:rPr>
        <w:t>Methodol</w:t>
      </w:r>
      <w:proofErr w:type="spellEnd"/>
      <w:r w:rsidRPr="000C6D13">
        <w:rPr>
          <w:rFonts w:ascii="Arial" w:hAnsi="Arial" w:cs="Arial"/>
        </w:rPr>
        <w:t>. 1968;30(2):248–75.</w:t>
      </w:r>
    </w:p>
    <w:p w14:paraId="0BEF06F6" w14:textId="77777777" w:rsidR="001679AF" w:rsidRPr="000C6D13" w:rsidRDefault="001679AF" w:rsidP="001679AF">
      <w:pPr>
        <w:pStyle w:val="Body"/>
        <w:rPr>
          <w:rFonts w:ascii="Arial" w:hAnsi="Arial" w:cs="Arial"/>
        </w:rPr>
      </w:pPr>
      <w:r w:rsidRPr="000C6D13">
        <w:rPr>
          <w:rFonts w:ascii="Arial" w:hAnsi="Arial" w:cs="Arial"/>
        </w:rPr>
        <w:t xml:space="preserve">47. Miller Jr, R.G. Survival Analysis. Vol. 66. </w:t>
      </w:r>
      <w:proofErr w:type="spellStart"/>
      <w:r w:rsidRPr="000C6D13">
        <w:rPr>
          <w:rFonts w:ascii="Arial" w:hAnsi="Arial" w:cs="Arial"/>
        </w:rPr>
        <w:t>Chichaster</w:t>
      </w:r>
      <w:proofErr w:type="spellEnd"/>
      <w:r w:rsidRPr="000C6D13">
        <w:rPr>
          <w:rFonts w:ascii="Arial" w:hAnsi="Arial" w:cs="Arial"/>
        </w:rPr>
        <w:t>: Wily; 2011.</w:t>
      </w:r>
    </w:p>
    <w:p w14:paraId="6BEABB8B" w14:textId="77777777" w:rsidR="001679AF" w:rsidRPr="000C6D13" w:rsidRDefault="001679AF" w:rsidP="001679AF">
      <w:pPr>
        <w:pStyle w:val="Body"/>
        <w:rPr>
          <w:rFonts w:ascii="Arial" w:hAnsi="Arial" w:cs="Arial"/>
        </w:rPr>
      </w:pPr>
      <w:r w:rsidRPr="000C6D13">
        <w:rPr>
          <w:rFonts w:ascii="Arial" w:hAnsi="Arial" w:cs="Arial"/>
        </w:rPr>
        <w:t>48. Wienke A. Frailty models in survival analysis. New York: Chapman and Hall/ CRC; 2010.</w:t>
      </w:r>
    </w:p>
    <w:p w14:paraId="2729BBD5" w14:textId="77777777" w:rsidR="001679AF" w:rsidRPr="000C6D13" w:rsidRDefault="001679AF" w:rsidP="001679AF">
      <w:pPr>
        <w:pStyle w:val="Body"/>
        <w:rPr>
          <w:rFonts w:ascii="Arial" w:hAnsi="Arial" w:cs="Arial"/>
        </w:rPr>
      </w:pPr>
      <w:r w:rsidRPr="000C6D13">
        <w:rPr>
          <w:rFonts w:ascii="Arial" w:hAnsi="Arial" w:cs="Arial"/>
        </w:rPr>
        <w:t xml:space="preserve">49. Swain PK, Grover G. Accelerated failure time shared frailty models: application to HIV/AIDS patients on anti-retroviral therapy in Delhi, India. </w:t>
      </w:r>
      <w:proofErr w:type="spellStart"/>
      <w:r w:rsidRPr="000C6D13">
        <w:rPr>
          <w:rFonts w:ascii="Arial" w:hAnsi="Arial" w:cs="Arial"/>
        </w:rPr>
        <w:t>Turkiye</w:t>
      </w:r>
      <w:proofErr w:type="spellEnd"/>
      <w:r w:rsidRPr="000C6D13">
        <w:rPr>
          <w:rFonts w:ascii="Arial" w:hAnsi="Arial" w:cs="Arial"/>
        </w:rPr>
        <w:t xml:space="preserve"> </w:t>
      </w:r>
      <w:proofErr w:type="spellStart"/>
      <w:r w:rsidRPr="000C6D13">
        <w:rPr>
          <w:rFonts w:ascii="Arial" w:hAnsi="Arial" w:cs="Arial"/>
        </w:rPr>
        <w:t>Klinikleri</w:t>
      </w:r>
      <w:proofErr w:type="spellEnd"/>
      <w:r w:rsidRPr="000C6D13">
        <w:rPr>
          <w:rFonts w:ascii="Arial" w:hAnsi="Arial" w:cs="Arial"/>
        </w:rPr>
        <w:t xml:space="preserve"> J </w:t>
      </w:r>
      <w:proofErr w:type="spellStart"/>
      <w:r w:rsidRPr="000C6D13">
        <w:rPr>
          <w:rFonts w:ascii="Arial" w:hAnsi="Arial" w:cs="Arial"/>
        </w:rPr>
        <w:t>Biostat</w:t>
      </w:r>
      <w:proofErr w:type="spellEnd"/>
      <w:r w:rsidRPr="000C6D13">
        <w:rPr>
          <w:rFonts w:ascii="Arial" w:hAnsi="Arial" w:cs="Arial"/>
        </w:rPr>
        <w:t>. 2016;8(1):13–20.</w:t>
      </w:r>
    </w:p>
    <w:p w14:paraId="0717A96F" w14:textId="77777777" w:rsidR="001679AF" w:rsidRPr="000C6D13" w:rsidRDefault="001679AF" w:rsidP="001679AF">
      <w:pPr>
        <w:pStyle w:val="Body"/>
        <w:rPr>
          <w:rFonts w:ascii="Arial" w:hAnsi="Arial" w:cs="Arial"/>
        </w:rPr>
      </w:pPr>
      <w:r w:rsidRPr="000C6D13">
        <w:rPr>
          <w:rFonts w:ascii="Arial" w:hAnsi="Arial" w:cs="Arial"/>
        </w:rPr>
        <w:t>50. Sahu SK, Dey DK, Aslanidou H, Sinha D. A Weibull regression model with gamma frailties for multivariate survival data. Lifetime Data Anal. 1997;3(2): 123–37.</w:t>
      </w:r>
    </w:p>
    <w:p w14:paraId="31CBACA4" w14:textId="77777777" w:rsidR="001679AF" w:rsidRPr="000C6D13" w:rsidRDefault="001679AF" w:rsidP="001679AF">
      <w:pPr>
        <w:pStyle w:val="Body"/>
        <w:rPr>
          <w:rFonts w:ascii="Arial" w:hAnsi="Arial" w:cs="Arial"/>
        </w:rPr>
      </w:pPr>
      <w:r w:rsidRPr="000C6D13">
        <w:rPr>
          <w:rFonts w:ascii="Arial" w:hAnsi="Arial" w:cs="Arial"/>
        </w:rPr>
        <w:t>51. World Health Organization. Global tuberculosis report 2018: WHO/CDS/TB/ 2018.25. Geneva: WHO; 2018.</w:t>
      </w:r>
    </w:p>
    <w:p w14:paraId="6DAAD496" w14:textId="77777777" w:rsidR="001679AF" w:rsidRPr="000C6D13" w:rsidRDefault="001679AF" w:rsidP="001679AF">
      <w:pPr>
        <w:pStyle w:val="Body"/>
        <w:rPr>
          <w:rFonts w:ascii="Arial" w:hAnsi="Arial" w:cs="Arial"/>
        </w:rPr>
      </w:pPr>
      <w:r w:rsidRPr="000C6D13">
        <w:rPr>
          <w:rFonts w:ascii="Arial" w:hAnsi="Arial" w:cs="Arial"/>
        </w:rPr>
        <w:lastRenderedPageBreak/>
        <w:t>52. Tavakoli A. Incidence and prevalence of tuberculosis in Iran and neighboring countries. Zahedan J Res Med Sci. 2017;19(7</w:t>
      </w:r>
      <w:proofErr w:type="gramStart"/>
      <w:r w:rsidRPr="000C6D13">
        <w:rPr>
          <w:rFonts w:ascii="Arial" w:hAnsi="Arial" w:cs="Arial"/>
        </w:rPr>
        <w:t>):e</w:t>
      </w:r>
      <w:proofErr w:type="gramEnd"/>
      <w:r w:rsidRPr="000C6D13">
        <w:rPr>
          <w:rFonts w:ascii="Arial" w:hAnsi="Arial" w:cs="Arial"/>
        </w:rPr>
        <w:t>9238.</w:t>
      </w:r>
    </w:p>
    <w:p w14:paraId="4DAA637F" w14:textId="77777777" w:rsidR="001679AF" w:rsidRPr="000C6D13" w:rsidRDefault="001679AF" w:rsidP="001679AF">
      <w:pPr>
        <w:pStyle w:val="Body"/>
        <w:rPr>
          <w:rFonts w:ascii="Arial" w:hAnsi="Arial" w:cs="Arial"/>
        </w:rPr>
      </w:pPr>
      <w:r w:rsidRPr="000C6D13">
        <w:rPr>
          <w:rFonts w:ascii="Arial" w:hAnsi="Arial" w:cs="Arial"/>
        </w:rPr>
        <w:t>53. World Health Organization. Global tuberculosis report 2019. Geneva: World Health Organization, 2019 Google scholar)</w:t>
      </w:r>
    </w:p>
    <w:p w14:paraId="1CB7D349" w14:textId="77777777" w:rsidR="001679AF" w:rsidRPr="000C6D13" w:rsidRDefault="001679AF" w:rsidP="001679AF">
      <w:pPr>
        <w:pStyle w:val="Body"/>
        <w:rPr>
          <w:rFonts w:ascii="Arial" w:hAnsi="Arial" w:cs="Arial"/>
        </w:rPr>
      </w:pPr>
      <w:r w:rsidRPr="000C6D13">
        <w:rPr>
          <w:rFonts w:ascii="Arial" w:hAnsi="Arial" w:cs="Arial"/>
        </w:rPr>
        <w:t xml:space="preserve">54. </w:t>
      </w:r>
      <w:proofErr w:type="spellStart"/>
      <w:r w:rsidRPr="000C6D13">
        <w:rPr>
          <w:rFonts w:ascii="Arial" w:hAnsi="Arial" w:cs="Arial"/>
        </w:rPr>
        <w:t>Limenih.A</w:t>
      </w:r>
      <w:proofErr w:type="spellEnd"/>
      <w:r w:rsidRPr="000C6D13">
        <w:rPr>
          <w:rFonts w:ascii="Arial" w:hAnsi="Arial" w:cs="Arial"/>
        </w:rPr>
        <w:t xml:space="preserve"> and Workie </w:t>
      </w:r>
      <w:proofErr w:type="spellStart"/>
      <w:r w:rsidRPr="000C6D13">
        <w:rPr>
          <w:rFonts w:ascii="Arial" w:hAnsi="Arial" w:cs="Arial"/>
        </w:rPr>
        <w:t>Limenih.D</w:t>
      </w:r>
      <w:proofErr w:type="spellEnd"/>
      <w:r w:rsidRPr="000C6D13">
        <w:rPr>
          <w:rFonts w:ascii="Arial" w:hAnsi="Arial" w:cs="Arial"/>
        </w:rPr>
        <w:t xml:space="preserve">. Survival analysis of time to cure on multidrug resistance tuberculosis patients in Amhara region, Ethiopia BMC Public Health (2019). </w:t>
      </w:r>
    </w:p>
    <w:p w14:paraId="53314A52" w14:textId="77777777" w:rsidR="001679AF" w:rsidRPr="000C6D13" w:rsidRDefault="001679AF" w:rsidP="001679AF">
      <w:pPr>
        <w:pStyle w:val="Body"/>
        <w:rPr>
          <w:rFonts w:ascii="Arial" w:hAnsi="Arial" w:cs="Arial"/>
        </w:rPr>
      </w:pPr>
      <w:r w:rsidRPr="000C6D13">
        <w:rPr>
          <w:rFonts w:ascii="Arial" w:hAnsi="Arial" w:cs="Arial"/>
        </w:rPr>
        <w:t xml:space="preserve">55. Parmar MM, Sachdeva KS, Dewan PK, Rade K, Nair SA, Pant R, </w:t>
      </w:r>
      <w:proofErr w:type="spellStart"/>
      <w:r w:rsidRPr="000C6D13">
        <w:rPr>
          <w:rFonts w:ascii="Arial" w:hAnsi="Arial" w:cs="Arial"/>
        </w:rPr>
        <w:t>Khaparde</w:t>
      </w:r>
      <w:proofErr w:type="spellEnd"/>
      <w:r w:rsidRPr="000C6D13">
        <w:rPr>
          <w:rFonts w:ascii="Arial" w:hAnsi="Arial" w:cs="Arial"/>
        </w:rPr>
        <w:t xml:space="preserve"> SD. Unacceptable treatment outcomes and associated factors among India's initial cohorts of multidrug-resistant tuberculosis (MDR-TB) patients under the revised national TB control </w:t>
      </w:r>
      <w:proofErr w:type="spellStart"/>
      <w:r w:rsidRPr="000C6D13">
        <w:rPr>
          <w:rFonts w:ascii="Arial" w:hAnsi="Arial" w:cs="Arial"/>
        </w:rPr>
        <w:t>programme</w:t>
      </w:r>
      <w:proofErr w:type="spellEnd"/>
      <w:r w:rsidRPr="000C6D13">
        <w:rPr>
          <w:rFonts w:ascii="Arial" w:hAnsi="Arial" w:cs="Arial"/>
        </w:rPr>
        <w:t xml:space="preserve"> (2007–2011): evidence leading to policy enhancement. </w:t>
      </w:r>
      <w:proofErr w:type="spellStart"/>
      <w:r w:rsidRPr="000C6D13">
        <w:rPr>
          <w:rFonts w:ascii="Arial" w:hAnsi="Arial" w:cs="Arial"/>
        </w:rPr>
        <w:t>PLoS</w:t>
      </w:r>
      <w:proofErr w:type="spellEnd"/>
      <w:r w:rsidRPr="000C6D13">
        <w:rPr>
          <w:rFonts w:ascii="Arial" w:hAnsi="Arial" w:cs="Arial"/>
        </w:rPr>
        <w:t xml:space="preserve"> One. 2018;13(4</w:t>
      </w:r>
      <w:proofErr w:type="gramStart"/>
      <w:r w:rsidRPr="000C6D13">
        <w:rPr>
          <w:rFonts w:ascii="Arial" w:hAnsi="Arial" w:cs="Arial"/>
        </w:rPr>
        <w:t>):e</w:t>
      </w:r>
      <w:proofErr w:type="gramEnd"/>
      <w:r w:rsidRPr="000C6D13">
        <w:rPr>
          <w:rFonts w:ascii="Arial" w:hAnsi="Arial" w:cs="Arial"/>
        </w:rPr>
        <w:t>0193903.</w:t>
      </w:r>
    </w:p>
    <w:p w14:paraId="24FD0B79" w14:textId="77777777" w:rsidR="001679AF" w:rsidRPr="000C6D13" w:rsidRDefault="001679AF" w:rsidP="001679AF">
      <w:pPr>
        <w:pStyle w:val="Body"/>
        <w:rPr>
          <w:rFonts w:ascii="Arial" w:hAnsi="Arial" w:cs="Arial"/>
        </w:rPr>
      </w:pPr>
      <w:r w:rsidRPr="000C6D13">
        <w:rPr>
          <w:rFonts w:ascii="Arial" w:hAnsi="Arial" w:cs="Arial"/>
        </w:rPr>
        <w:t xml:space="preserve">56. </w:t>
      </w:r>
      <w:proofErr w:type="spellStart"/>
      <w:r w:rsidRPr="000C6D13">
        <w:rPr>
          <w:rFonts w:ascii="Arial" w:hAnsi="Arial" w:cs="Arial"/>
        </w:rPr>
        <w:t>Hamusse</w:t>
      </w:r>
      <w:proofErr w:type="spellEnd"/>
      <w:r w:rsidRPr="000C6D13">
        <w:rPr>
          <w:rFonts w:ascii="Arial" w:hAnsi="Arial" w:cs="Arial"/>
        </w:rPr>
        <w:t xml:space="preserve"> SD, Demissie M, Teshome D, </w:t>
      </w:r>
      <w:proofErr w:type="spellStart"/>
      <w:r w:rsidRPr="000C6D13">
        <w:rPr>
          <w:rFonts w:ascii="Arial" w:hAnsi="Arial" w:cs="Arial"/>
        </w:rPr>
        <w:t>Lindtjørn</w:t>
      </w:r>
      <w:proofErr w:type="spellEnd"/>
      <w:r w:rsidRPr="000C6D13">
        <w:rPr>
          <w:rFonts w:ascii="Arial" w:hAnsi="Arial" w:cs="Arial"/>
        </w:rPr>
        <w:t xml:space="preserve"> B. Fifteen-year trend in treatment outcomes among patients with pulmonary smear-positive tuberculosis and its determinants in Arsi zone, Central Ethiopia. Glob Health Action. 2014;7(1):25382.</w:t>
      </w:r>
    </w:p>
    <w:p w14:paraId="1AADF913" w14:textId="77777777" w:rsidR="001679AF" w:rsidRPr="000C6D13" w:rsidRDefault="001679AF" w:rsidP="001679AF">
      <w:pPr>
        <w:pStyle w:val="Body"/>
        <w:rPr>
          <w:rFonts w:ascii="Arial" w:hAnsi="Arial" w:cs="Arial"/>
        </w:rPr>
      </w:pPr>
      <w:r w:rsidRPr="000C6D13">
        <w:rPr>
          <w:rFonts w:ascii="Arial" w:hAnsi="Arial" w:cs="Arial"/>
        </w:rPr>
        <w:t xml:space="preserve">57.  Brust JCMGN, Carrara H, Osburn G, </w:t>
      </w:r>
      <w:proofErr w:type="spellStart"/>
      <w:r w:rsidRPr="000C6D13">
        <w:rPr>
          <w:rFonts w:ascii="Arial" w:hAnsi="Arial" w:cs="Arial"/>
        </w:rPr>
        <w:t>Padayatchi</w:t>
      </w:r>
      <w:proofErr w:type="spellEnd"/>
      <w:r w:rsidRPr="000C6D13">
        <w:rPr>
          <w:rFonts w:ascii="Arial" w:hAnsi="Arial" w:cs="Arial"/>
        </w:rPr>
        <w:t xml:space="preserve"> N. High treatment failure and default rates for patients with multidrug-resistant tuberculosis in KwaZulu- Natal, South Africa, 2000–2003. Int J </w:t>
      </w:r>
      <w:proofErr w:type="spellStart"/>
      <w:r w:rsidRPr="000C6D13">
        <w:rPr>
          <w:rFonts w:ascii="Arial" w:hAnsi="Arial" w:cs="Arial"/>
        </w:rPr>
        <w:t>Tuberc</w:t>
      </w:r>
      <w:proofErr w:type="spellEnd"/>
      <w:r w:rsidRPr="000C6D13">
        <w:rPr>
          <w:rFonts w:ascii="Arial" w:hAnsi="Arial" w:cs="Arial"/>
        </w:rPr>
        <w:t xml:space="preserve"> Lung Dis. 2010;14(4):413–9.</w:t>
      </w:r>
    </w:p>
    <w:p w14:paraId="1F3918C2" w14:textId="77777777" w:rsidR="001679AF" w:rsidRPr="000C6D13" w:rsidRDefault="001679AF" w:rsidP="001679AF">
      <w:pPr>
        <w:pStyle w:val="Body"/>
        <w:rPr>
          <w:rFonts w:ascii="Arial" w:hAnsi="Arial" w:cs="Arial"/>
        </w:rPr>
      </w:pPr>
      <w:r w:rsidRPr="000C6D13">
        <w:rPr>
          <w:rFonts w:ascii="Arial" w:hAnsi="Arial" w:cs="Arial"/>
        </w:rPr>
        <w:t xml:space="preserve">58. </w:t>
      </w:r>
      <w:proofErr w:type="spellStart"/>
      <w:r w:rsidRPr="000C6D13">
        <w:rPr>
          <w:rFonts w:ascii="Arial" w:hAnsi="Arial" w:cs="Arial"/>
        </w:rPr>
        <w:t>Girum</w:t>
      </w:r>
      <w:proofErr w:type="spellEnd"/>
      <w:r w:rsidRPr="000C6D13">
        <w:rPr>
          <w:rFonts w:ascii="Arial" w:hAnsi="Arial" w:cs="Arial"/>
        </w:rPr>
        <w:t xml:space="preserve"> T, Tariku Y, </w:t>
      </w:r>
      <w:proofErr w:type="spellStart"/>
      <w:r w:rsidRPr="000C6D13">
        <w:rPr>
          <w:rFonts w:ascii="Arial" w:hAnsi="Arial" w:cs="Arial"/>
        </w:rPr>
        <w:t>Dessu</w:t>
      </w:r>
      <w:proofErr w:type="spellEnd"/>
      <w:r w:rsidRPr="000C6D13">
        <w:rPr>
          <w:rFonts w:ascii="Arial" w:hAnsi="Arial" w:cs="Arial"/>
        </w:rPr>
        <w:t xml:space="preserve"> S. Survival status and treatment outcome of multidrug resistant tuberculosis (MDR-TB) among patients treated in treatment initiation centers (TIC) in South Ethiopia: a retrospective cohort study. Ann Med Health Sci Res. 2017;7(5):331–36.</w:t>
      </w:r>
    </w:p>
    <w:p w14:paraId="6C778F8F" w14:textId="77777777" w:rsidR="001679AF" w:rsidRPr="000C6D13" w:rsidRDefault="001679AF" w:rsidP="001679AF">
      <w:pPr>
        <w:pStyle w:val="Body"/>
        <w:rPr>
          <w:rFonts w:ascii="Arial" w:hAnsi="Arial" w:cs="Arial"/>
        </w:rPr>
      </w:pPr>
      <w:r w:rsidRPr="000C6D13">
        <w:rPr>
          <w:rFonts w:ascii="Arial" w:hAnsi="Arial" w:cs="Arial"/>
        </w:rPr>
        <w:t xml:space="preserve">59. Mitku AA, Dessie ZG, Muluneh EK, Workie DL. Prevalence and associated factors of TB/HIV co-infection among HIV infected patients in Amhara region, Ethiopia. </w:t>
      </w:r>
      <w:proofErr w:type="spellStart"/>
      <w:r w:rsidRPr="000C6D13">
        <w:rPr>
          <w:rFonts w:ascii="Arial" w:hAnsi="Arial" w:cs="Arial"/>
        </w:rPr>
        <w:t>Afr</w:t>
      </w:r>
      <w:proofErr w:type="spellEnd"/>
      <w:r w:rsidRPr="000C6D13">
        <w:rPr>
          <w:rFonts w:ascii="Arial" w:hAnsi="Arial" w:cs="Arial"/>
        </w:rPr>
        <w:t xml:space="preserve"> Health Sci. 2016;16(2):588–95.</w:t>
      </w:r>
    </w:p>
    <w:p w14:paraId="41CB4CEC" w14:textId="77777777" w:rsidR="001679AF" w:rsidRPr="000C6D13" w:rsidRDefault="001679AF" w:rsidP="001679AF">
      <w:pPr>
        <w:pStyle w:val="Body"/>
        <w:rPr>
          <w:rFonts w:ascii="Arial" w:hAnsi="Arial" w:cs="Arial"/>
        </w:rPr>
      </w:pPr>
      <w:r w:rsidRPr="000C6D13">
        <w:rPr>
          <w:rFonts w:ascii="Arial" w:hAnsi="Arial" w:cs="Arial"/>
        </w:rPr>
        <w:t xml:space="preserve">60. World Health </w:t>
      </w:r>
      <w:proofErr w:type="spellStart"/>
      <w:r w:rsidRPr="000C6D13">
        <w:rPr>
          <w:rFonts w:ascii="Arial" w:hAnsi="Arial" w:cs="Arial"/>
        </w:rPr>
        <w:t>Organisation</w:t>
      </w:r>
      <w:proofErr w:type="spellEnd"/>
      <w:r w:rsidRPr="000C6D13">
        <w:rPr>
          <w:rFonts w:ascii="Arial" w:hAnsi="Arial" w:cs="Arial"/>
        </w:rPr>
        <w:t xml:space="preserve"> Companion handbook to the WHO guidelines for the programmatic management of drug-resistant tuberculosis. </w:t>
      </w:r>
      <w:proofErr w:type="gramStart"/>
      <w:r w:rsidRPr="000C6D13">
        <w:rPr>
          <w:rFonts w:ascii="Arial" w:hAnsi="Arial" w:cs="Arial"/>
        </w:rPr>
        <w:t>Geneva::</w:t>
      </w:r>
      <w:proofErr w:type="gramEnd"/>
      <w:r w:rsidRPr="000C6D13">
        <w:rPr>
          <w:rFonts w:ascii="Arial" w:hAnsi="Arial" w:cs="Arial"/>
        </w:rPr>
        <w:t xml:space="preserve"> WHO; 2019. </w:t>
      </w:r>
    </w:p>
    <w:p w14:paraId="2F52C9D6" w14:textId="77777777" w:rsidR="001679AF" w:rsidRPr="000C6D13" w:rsidRDefault="001679AF" w:rsidP="001679AF">
      <w:pPr>
        <w:pStyle w:val="Body"/>
        <w:rPr>
          <w:rFonts w:ascii="Arial" w:hAnsi="Arial" w:cs="Arial"/>
        </w:rPr>
      </w:pPr>
      <w:r w:rsidRPr="000C6D13">
        <w:rPr>
          <w:rFonts w:ascii="Arial" w:hAnsi="Arial" w:cs="Arial"/>
        </w:rPr>
        <w:t xml:space="preserve">61. Sinclair D. Abba K. Grobler L. </w:t>
      </w:r>
      <w:proofErr w:type="spellStart"/>
      <w:r w:rsidRPr="000C6D13">
        <w:rPr>
          <w:rFonts w:ascii="Arial" w:hAnsi="Arial" w:cs="Arial"/>
        </w:rPr>
        <w:t>Sudarsanam</w:t>
      </w:r>
      <w:proofErr w:type="spellEnd"/>
      <w:r w:rsidRPr="000C6D13">
        <w:rPr>
          <w:rFonts w:ascii="Arial" w:hAnsi="Arial" w:cs="Arial"/>
        </w:rPr>
        <w:t xml:space="preserve"> TD. Nutritional supplements for people being treated for active tuberculosis. </w:t>
      </w:r>
    </w:p>
    <w:p w14:paraId="1615D0E4" w14:textId="77777777" w:rsidR="001679AF" w:rsidRPr="000C6D13" w:rsidRDefault="001679AF" w:rsidP="001679AF">
      <w:pPr>
        <w:pStyle w:val="Body"/>
        <w:rPr>
          <w:rFonts w:ascii="Arial" w:hAnsi="Arial" w:cs="Arial"/>
        </w:rPr>
      </w:pPr>
      <w:r w:rsidRPr="000C6D13">
        <w:rPr>
          <w:rFonts w:ascii="Arial" w:hAnsi="Arial" w:cs="Arial"/>
        </w:rPr>
        <w:t xml:space="preserve">62. Whalen C. Horsburgh CR. Hom D, et al. Accelerated course of human immunodeficiency virus infection after tuberculosis. </w:t>
      </w:r>
    </w:p>
    <w:p w14:paraId="5DFB6C81" w14:textId="77777777" w:rsidR="001679AF" w:rsidRPr="000C6D13" w:rsidRDefault="001679AF" w:rsidP="001679AF">
      <w:pPr>
        <w:pStyle w:val="Body"/>
        <w:rPr>
          <w:rFonts w:ascii="Arial" w:hAnsi="Arial" w:cs="Arial"/>
        </w:rPr>
      </w:pPr>
      <w:r w:rsidRPr="000C6D13">
        <w:rPr>
          <w:rFonts w:ascii="Arial" w:hAnsi="Arial" w:cs="Arial"/>
        </w:rPr>
        <w:t xml:space="preserve">63. World Health Organization Guidelines for the programmatic management of drug-resistant tuberculosis Geneva. WHO; 2017. </w:t>
      </w:r>
    </w:p>
    <w:p w14:paraId="117E7B1D" w14:textId="77777777" w:rsidR="001679AF" w:rsidRPr="000C6D13" w:rsidRDefault="001679AF" w:rsidP="001679AF">
      <w:pPr>
        <w:pStyle w:val="Body"/>
        <w:rPr>
          <w:rFonts w:ascii="Arial" w:hAnsi="Arial" w:cs="Arial"/>
        </w:rPr>
      </w:pPr>
      <w:r w:rsidRPr="000C6D13">
        <w:rPr>
          <w:rFonts w:ascii="Arial" w:hAnsi="Arial" w:cs="Arial"/>
        </w:rPr>
        <w:t xml:space="preserve">64. Ababa A. Federal democratic republic of Ethiopia central statistical agency population projection of Ethiopia for all regions at </w:t>
      </w:r>
      <w:proofErr w:type="spellStart"/>
      <w:r w:rsidRPr="000C6D13">
        <w:rPr>
          <w:rFonts w:ascii="Arial" w:hAnsi="Arial" w:cs="Arial"/>
        </w:rPr>
        <w:t>wereda</w:t>
      </w:r>
      <w:proofErr w:type="spellEnd"/>
      <w:r w:rsidRPr="000C6D13">
        <w:rPr>
          <w:rFonts w:ascii="Arial" w:hAnsi="Arial" w:cs="Arial"/>
        </w:rPr>
        <w:t xml:space="preserve"> level from 2014 – 2017; 2017.</w:t>
      </w:r>
    </w:p>
    <w:p w14:paraId="3C45D0BE" w14:textId="77777777" w:rsidR="00441B6F" w:rsidRPr="000C6D13" w:rsidRDefault="001679AF" w:rsidP="001679AF">
      <w:pPr>
        <w:pStyle w:val="Body"/>
        <w:rPr>
          <w:rFonts w:ascii="Arial" w:hAnsi="Arial" w:cs="Arial"/>
        </w:rPr>
      </w:pPr>
      <w:r w:rsidRPr="000C6D13">
        <w:rPr>
          <w:rFonts w:ascii="Arial" w:hAnsi="Arial" w:cs="Arial"/>
        </w:rPr>
        <w:t xml:space="preserve">65. ADDIS Standard. NEWS_ SNNPRS council approves legal framework which makes </w:t>
      </w:r>
      <w:proofErr w:type="spellStart"/>
      <w:r w:rsidRPr="000C6D13">
        <w:rPr>
          <w:rFonts w:ascii="Arial" w:hAnsi="Arial" w:cs="Arial"/>
        </w:rPr>
        <w:t>hawassa</w:t>
      </w:r>
      <w:proofErr w:type="spellEnd"/>
      <w:r w:rsidRPr="000C6D13">
        <w:rPr>
          <w:rFonts w:ascii="Arial" w:hAnsi="Arial" w:cs="Arial"/>
        </w:rPr>
        <w:t xml:space="preserve"> city accountable to future </w:t>
      </w:r>
      <w:proofErr w:type="spellStart"/>
      <w:r w:rsidRPr="000C6D13">
        <w:rPr>
          <w:rFonts w:ascii="Arial" w:hAnsi="Arial" w:cs="Arial"/>
        </w:rPr>
        <w:t>sidama</w:t>
      </w:r>
      <w:proofErr w:type="spellEnd"/>
      <w:r w:rsidRPr="000C6D13">
        <w:rPr>
          <w:rFonts w:ascii="Arial" w:hAnsi="Arial" w:cs="Arial"/>
        </w:rPr>
        <w:t xml:space="preserve"> regional state -</w:t>
      </w:r>
      <w:proofErr w:type="gramStart"/>
      <w:r w:rsidRPr="000C6D13">
        <w:rPr>
          <w:rFonts w:ascii="Arial" w:hAnsi="Arial" w:cs="Arial"/>
        </w:rPr>
        <w:t>Addis</w:t>
      </w:r>
      <w:proofErr w:type="gramEnd"/>
      <w:r w:rsidRPr="000C6D13">
        <w:rPr>
          <w:rFonts w:ascii="Arial" w:hAnsi="Arial" w:cs="Arial"/>
        </w:rPr>
        <w:t xml:space="preserve"> standard.</w:t>
      </w:r>
    </w:p>
    <w:p w14:paraId="5D65CE41" w14:textId="77777777" w:rsidR="00441B6F" w:rsidRDefault="00441B6F" w:rsidP="00441B6F">
      <w:pPr>
        <w:pStyle w:val="Body"/>
        <w:spacing w:after="0"/>
        <w:jc w:val="left"/>
        <w:rPr>
          <w:rFonts w:ascii="Arial" w:hAnsi="Arial" w:cs="Arial"/>
        </w:rPr>
      </w:pPr>
    </w:p>
    <w:p w14:paraId="25A68D86" w14:textId="77777777" w:rsidR="00B01FCD" w:rsidRDefault="00B01FCD" w:rsidP="00441B6F">
      <w:pPr>
        <w:pStyle w:val="DefAcrHead"/>
        <w:jc w:val="both"/>
        <w:rPr>
          <w:rFonts w:ascii="Arial" w:hAnsi="Arial" w:cs="Arial"/>
        </w:rPr>
      </w:pPr>
      <w:r w:rsidRPr="00FB3A86">
        <w:rPr>
          <w:rFonts w:ascii="Arial" w:hAnsi="Arial" w:cs="Arial"/>
        </w:rPr>
        <w:t>Abbreviations</w:t>
      </w:r>
    </w:p>
    <w:p w14:paraId="01901577" w14:textId="77777777" w:rsidR="00790ADA" w:rsidRPr="00FB3A86" w:rsidRDefault="00734A38" w:rsidP="00441B6F">
      <w:pPr>
        <w:pStyle w:val="Body"/>
        <w:spacing w:after="0"/>
        <w:rPr>
          <w:rFonts w:ascii="Arial" w:hAnsi="Arial" w:cs="Arial"/>
        </w:rPr>
      </w:pPr>
      <w:r w:rsidRPr="00734A38">
        <w:rPr>
          <w:rFonts w:ascii="Arial" w:hAnsi="Arial" w:cs="Arial"/>
        </w:rPr>
        <w:t xml:space="preserve">AIDS, </w:t>
      </w:r>
      <w:r w:rsidRPr="00734A38">
        <w:rPr>
          <w:rFonts w:ascii="Arial" w:hAnsi="Arial" w:cs="Arial"/>
        </w:rPr>
        <w:tab/>
        <w:t xml:space="preserve">Acquired Immune Deficiency Syndrome; AFT, Accelerated Failure Time; AIC, </w:t>
      </w:r>
      <w:proofErr w:type="spellStart"/>
      <w:r w:rsidRPr="00734A38">
        <w:rPr>
          <w:rFonts w:ascii="Arial" w:hAnsi="Arial" w:cs="Arial"/>
        </w:rPr>
        <w:t>Akakei</w:t>
      </w:r>
      <w:proofErr w:type="spellEnd"/>
      <w:r w:rsidRPr="00734A38">
        <w:rPr>
          <w:rFonts w:ascii="Arial" w:hAnsi="Arial" w:cs="Arial"/>
        </w:rPr>
        <w:t xml:space="preserve"> Information Criteria; ART, Antiretroviral therapy;</w:t>
      </w:r>
      <w:r>
        <w:rPr>
          <w:rFonts w:ascii="Arial" w:hAnsi="Arial" w:cs="Arial"/>
        </w:rPr>
        <w:t xml:space="preserve"> CI, Confidence Interval; CSA, </w:t>
      </w:r>
      <w:r w:rsidRPr="00734A38">
        <w:rPr>
          <w:rFonts w:ascii="Arial" w:hAnsi="Arial" w:cs="Arial"/>
        </w:rPr>
        <w:t>Central statistical agency; HIV,</w:t>
      </w:r>
      <w:r w:rsidRPr="00734A38">
        <w:rPr>
          <w:rFonts w:ascii="Arial" w:hAnsi="Arial" w:cs="Arial"/>
        </w:rPr>
        <w:tab/>
        <w:t xml:space="preserve">Human Immunodeficiency Virus; MDR-TB, Multidrug resistance tuberculosis; PH, Proportional Hazard; TB, Tuberculosis; WHO, World Health Organization; XDR, Extensively drug resistant; FQ, fluoroquinolone; RR, Rifampicin; NEMMCSH, </w:t>
      </w:r>
      <w:proofErr w:type="spellStart"/>
      <w:r w:rsidRPr="00734A38">
        <w:rPr>
          <w:rFonts w:ascii="Arial" w:hAnsi="Arial" w:cs="Arial"/>
        </w:rPr>
        <w:t>Nigist</w:t>
      </w:r>
      <w:proofErr w:type="spellEnd"/>
      <w:r w:rsidRPr="00734A38">
        <w:rPr>
          <w:rFonts w:ascii="Arial" w:hAnsi="Arial" w:cs="Arial"/>
        </w:rPr>
        <w:t xml:space="preserve"> Ellen Mohammed Memorial Comprehensive Specialized Hospital; AGH,   </w:t>
      </w:r>
      <w:proofErr w:type="spellStart"/>
      <w:r w:rsidRPr="00734A38">
        <w:rPr>
          <w:rFonts w:ascii="Arial" w:hAnsi="Arial" w:cs="Arial"/>
        </w:rPr>
        <w:t>Arbaminch</w:t>
      </w:r>
      <w:proofErr w:type="spellEnd"/>
      <w:r w:rsidRPr="00734A38">
        <w:rPr>
          <w:rFonts w:ascii="Arial" w:hAnsi="Arial" w:cs="Arial"/>
        </w:rPr>
        <w:t xml:space="preserve"> General hospital; BH, </w:t>
      </w:r>
      <w:proofErr w:type="spellStart"/>
      <w:r w:rsidRPr="00734A38">
        <w:rPr>
          <w:rFonts w:ascii="Arial" w:hAnsi="Arial" w:cs="Arial"/>
        </w:rPr>
        <w:t>Butajira</w:t>
      </w:r>
      <w:proofErr w:type="spellEnd"/>
      <w:r w:rsidRPr="00734A38">
        <w:rPr>
          <w:rFonts w:ascii="Arial" w:hAnsi="Arial" w:cs="Arial"/>
        </w:rPr>
        <w:t xml:space="preserve"> Hospital.</w:t>
      </w:r>
    </w:p>
    <w:p w14:paraId="0F942A29" w14:textId="77777777" w:rsidR="00A0791B" w:rsidRDefault="00A0791B" w:rsidP="00441B6F">
      <w:pPr>
        <w:pStyle w:val="Appendix"/>
        <w:spacing w:after="0"/>
        <w:jc w:val="both"/>
        <w:rPr>
          <w:rFonts w:ascii="Arial" w:hAnsi="Arial" w:cs="Arial"/>
        </w:rPr>
      </w:pPr>
    </w:p>
    <w:p w14:paraId="422215A7" w14:textId="77777777" w:rsidR="00B01FCD" w:rsidRPr="00FB3A86" w:rsidRDefault="00B01FCD" w:rsidP="00441B6F">
      <w:pPr>
        <w:pStyle w:val="Appendix"/>
        <w:spacing w:after="0"/>
        <w:jc w:val="both"/>
        <w:rPr>
          <w:rFonts w:ascii="Arial" w:hAnsi="Arial" w:cs="Arial"/>
          <w:b w:val="0"/>
        </w:rPr>
      </w:pPr>
    </w:p>
    <w:sectPr w:rsidR="00B01FCD" w:rsidRPr="00FB3A86" w:rsidSect="008126D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3ED85" w14:textId="77777777" w:rsidR="008126D2" w:rsidRDefault="008126D2" w:rsidP="00C37E61">
      <w:r>
        <w:separator/>
      </w:r>
    </w:p>
  </w:endnote>
  <w:endnote w:type="continuationSeparator" w:id="0">
    <w:p w14:paraId="523D9BBE" w14:textId="77777777" w:rsidR="008126D2" w:rsidRDefault="008126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klnlvAdvTT86d47313+2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NgwsdnAdvTT86d47313+22">
    <w:altName w:val="Arial Unicode MS"/>
    <w:panose1 w:val="00000000000000000000"/>
    <w:charset w:val="81"/>
    <w:family w:val="auto"/>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ED8A" w14:textId="77777777" w:rsidR="005538CF" w:rsidRDefault="00553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5655" w14:textId="77777777" w:rsidR="005B4394" w:rsidRPr="00C37E61" w:rsidRDefault="005B439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8B2E" w14:textId="77777777" w:rsidR="005538CF" w:rsidRDefault="00553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FA01" w14:textId="77777777" w:rsidR="008126D2" w:rsidRDefault="008126D2" w:rsidP="00C37E61">
      <w:r>
        <w:separator/>
      </w:r>
    </w:p>
  </w:footnote>
  <w:footnote w:type="continuationSeparator" w:id="0">
    <w:p w14:paraId="430509ED" w14:textId="77777777" w:rsidR="008126D2" w:rsidRDefault="008126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86BD" w14:textId="0BCDBE05" w:rsidR="005538CF" w:rsidRDefault="005538CF">
    <w:pPr>
      <w:pStyle w:val="Header"/>
    </w:pPr>
    <w:r>
      <w:rPr>
        <w:noProof/>
      </w:rPr>
      <w:pict w14:anchorId="1E3C5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DE71" w14:textId="3996EC10" w:rsidR="005538CF" w:rsidRDefault="005538CF">
    <w:pPr>
      <w:pStyle w:val="Header"/>
    </w:pPr>
    <w:r>
      <w:rPr>
        <w:noProof/>
      </w:rPr>
      <w:pict w14:anchorId="38589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4408" w14:textId="3F5A6AF0" w:rsidR="005538CF" w:rsidRDefault="005538CF">
    <w:pPr>
      <w:pStyle w:val="Header"/>
    </w:pPr>
    <w:r>
      <w:rPr>
        <w:noProof/>
      </w:rPr>
      <w:pict w14:anchorId="5ACE8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66AD1"/>
    <w:multiLevelType w:val="hybridMultilevel"/>
    <w:tmpl w:val="E95C065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EA08B0"/>
    <w:multiLevelType w:val="hybridMultilevel"/>
    <w:tmpl w:val="E034C81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A1E49"/>
    <w:multiLevelType w:val="multilevel"/>
    <w:tmpl w:val="35E60BAC"/>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4066388"/>
    <w:multiLevelType w:val="hybridMultilevel"/>
    <w:tmpl w:val="605E7118"/>
    <w:lvl w:ilvl="0" w:tplc="84A66A16">
      <w:start w:val="1"/>
      <w:numFmt w:val="lowerLetter"/>
      <w:lvlText w:val="%1)"/>
      <w:lvlJc w:val="left"/>
      <w:pPr>
        <w:ind w:left="720" w:hanging="360"/>
      </w:pPr>
      <w:rPr>
        <w:rFonts w:ascii="Times New Roman" w:hAnsi="Times New Roman" w:cs="Times New Roman" w:hint="default"/>
        <w:color w:val="131413"/>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C7950"/>
    <w:multiLevelType w:val="hybridMultilevel"/>
    <w:tmpl w:val="3F38BBBE"/>
    <w:lvl w:ilvl="0" w:tplc="F4F279EC">
      <w:start w:val="3"/>
      <w:numFmt w:val="lowerLetter"/>
      <w:lvlText w:val="%1)"/>
      <w:lvlJc w:val="left"/>
      <w:pPr>
        <w:ind w:left="720" w:hanging="360"/>
      </w:pPr>
      <w:rPr>
        <w:rFonts w:ascii="Arial" w:hAnsi="Arial" w:cs="Arial"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844BD"/>
    <w:multiLevelType w:val="multilevel"/>
    <w:tmpl w:val="8C82EB18"/>
    <w:lvl w:ilvl="0">
      <w:start w:val="1"/>
      <w:numFmt w:val="decimal"/>
      <w:lvlText w:val="%1."/>
      <w:lvlJc w:val="left"/>
      <w:pPr>
        <w:tabs>
          <w:tab w:val="num" w:pos="810"/>
        </w:tabs>
        <w:ind w:left="810" w:hanging="360"/>
      </w:pPr>
    </w:lvl>
    <w:lvl w:ilvl="1">
      <w:start w:val="1"/>
      <w:numFmt w:val="decimal"/>
      <w:lvlText w:val="%2."/>
      <w:lvlJc w:val="left"/>
      <w:pPr>
        <w:tabs>
          <w:tab w:val="num" w:pos="1530"/>
        </w:tabs>
        <w:ind w:left="1530" w:hanging="360"/>
      </w:p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776994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3818655">
    <w:abstractNumId w:val="20"/>
  </w:num>
  <w:num w:numId="3" w16cid:durableId="1852721816">
    <w:abstractNumId w:val="29"/>
  </w:num>
  <w:num w:numId="4" w16cid:durableId="5094172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12137088">
    <w:abstractNumId w:val="9"/>
  </w:num>
  <w:num w:numId="6" w16cid:durableId="649211260">
    <w:abstractNumId w:val="7"/>
  </w:num>
  <w:num w:numId="7" w16cid:durableId="1222983204">
    <w:abstractNumId w:val="2"/>
  </w:num>
  <w:num w:numId="8" w16cid:durableId="1593195915">
    <w:abstractNumId w:val="15"/>
  </w:num>
  <w:num w:numId="9" w16cid:durableId="157429365">
    <w:abstractNumId w:val="31"/>
  </w:num>
  <w:num w:numId="10" w16cid:durableId="334842135">
    <w:abstractNumId w:val="3"/>
  </w:num>
  <w:num w:numId="11" w16cid:durableId="1112364481">
    <w:abstractNumId w:val="24"/>
  </w:num>
  <w:num w:numId="12" w16cid:durableId="329529828">
    <w:abstractNumId w:val="4"/>
  </w:num>
  <w:num w:numId="13" w16cid:durableId="1240359682">
    <w:abstractNumId w:val="23"/>
  </w:num>
  <w:num w:numId="14" w16cid:durableId="1618025741">
    <w:abstractNumId w:val="10"/>
  </w:num>
  <w:num w:numId="15" w16cid:durableId="1490830158">
    <w:abstractNumId w:val="27"/>
  </w:num>
  <w:num w:numId="16" w16cid:durableId="232935141">
    <w:abstractNumId w:val="6"/>
  </w:num>
  <w:num w:numId="17" w16cid:durableId="917207216">
    <w:abstractNumId w:val="28"/>
  </w:num>
  <w:num w:numId="18" w16cid:durableId="948586615">
    <w:abstractNumId w:val="17"/>
  </w:num>
  <w:num w:numId="19" w16cid:durableId="952638356">
    <w:abstractNumId w:val="34"/>
  </w:num>
  <w:num w:numId="20" w16cid:durableId="126240082">
    <w:abstractNumId w:val="14"/>
  </w:num>
  <w:num w:numId="21" w16cid:durableId="1751391417">
    <w:abstractNumId w:val="11"/>
  </w:num>
  <w:num w:numId="22" w16cid:durableId="111557528">
    <w:abstractNumId w:val="16"/>
  </w:num>
  <w:num w:numId="23" w16cid:durableId="869224472">
    <w:abstractNumId w:val="25"/>
  </w:num>
  <w:num w:numId="24" w16cid:durableId="141236723">
    <w:abstractNumId w:val="32"/>
  </w:num>
  <w:num w:numId="25" w16cid:durableId="439035818">
    <w:abstractNumId w:val="5"/>
  </w:num>
  <w:num w:numId="26" w16cid:durableId="1867450571">
    <w:abstractNumId w:val="21"/>
  </w:num>
  <w:num w:numId="27" w16cid:durableId="664019015">
    <w:abstractNumId w:val="26"/>
  </w:num>
  <w:num w:numId="28" w16cid:durableId="1687903253">
    <w:abstractNumId w:val="33"/>
  </w:num>
  <w:num w:numId="29" w16cid:durableId="771173148">
    <w:abstractNumId w:val="30"/>
  </w:num>
  <w:num w:numId="30" w16cid:durableId="148792973">
    <w:abstractNumId w:val="12"/>
  </w:num>
  <w:num w:numId="31" w16cid:durableId="1767996933">
    <w:abstractNumId w:val="13"/>
  </w:num>
  <w:num w:numId="32" w16cid:durableId="1054810513">
    <w:abstractNumId w:val="1"/>
  </w:num>
  <w:num w:numId="33" w16cid:durableId="1265920576">
    <w:abstractNumId w:val="18"/>
  </w:num>
  <w:num w:numId="34" w16cid:durableId="243224199">
    <w:abstractNumId w:val="19"/>
  </w:num>
  <w:num w:numId="35" w16cid:durableId="1095437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6003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2E11"/>
    <w:rsid w:val="0004579C"/>
    <w:rsid w:val="0008089D"/>
    <w:rsid w:val="00082E3F"/>
    <w:rsid w:val="00093547"/>
    <w:rsid w:val="000A087B"/>
    <w:rsid w:val="000A47FA"/>
    <w:rsid w:val="000A65D3"/>
    <w:rsid w:val="000B1E33"/>
    <w:rsid w:val="000C6D13"/>
    <w:rsid w:val="000D689F"/>
    <w:rsid w:val="000D6B88"/>
    <w:rsid w:val="000E138F"/>
    <w:rsid w:val="000E3CF3"/>
    <w:rsid w:val="000E7B7B"/>
    <w:rsid w:val="000E7D62"/>
    <w:rsid w:val="00103357"/>
    <w:rsid w:val="00123C9F"/>
    <w:rsid w:val="00126190"/>
    <w:rsid w:val="00130F17"/>
    <w:rsid w:val="001320BF"/>
    <w:rsid w:val="001521D7"/>
    <w:rsid w:val="00163BC4"/>
    <w:rsid w:val="001679AF"/>
    <w:rsid w:val="00170F40"/>
    <w:rsid w:val="00183029"/>
    <w:rsid w:val="00191062"/>
    <w:rsid w:val="00192B72"/>
    <w:rsid w:val="00193BDC"/>
    <w:rsid w:val="001A29D8"/>
    <w:rsid w:val="001A5CAA"/>
    <w:rsid w:val="001B0427"/>
    <w:rsid w:val="001B33F0"/>
    <w:rsid w:val="001C72F3"/>
    <w:rsid w:val="001D1490"/>
    <w:rsid w:val="001D272A"/>
    <w:rsid w:val="001D3A51"/>
    <w:rsid w:val="001E10D2"/>
    <w:rsid w:val="001E25B4"/>
    <w:rsid w:val="001E44FE"/>
    <w:rsid w:val="00200595"/>
    <w:rsid w:val="00204835"/>
    <w:rsid w:val="00231920"/>
    <w:rsid w:val="0023195C"/>
    <w:rsid w:val="0024282C"/>
    <w:rsid w:val="002460DC"/>
    <w:rsid w:val="00250985"/>
    <w:rsid w:val="002509AC"/>
    <w:rsid w:val="002556F6"/>
    <w:rsid w:val="00283105"/>
    <w:rsid w:val="00284C4C"/>
    <w:rsid w:val="00295513"/>
    <w:rsid w:val="00296529"/>
    <w:rsid w:val="002A1295"/>
    <w:rsid w:val="002B1D96"/>
    <w:rsid w:val="002B27FB"/>
    <w:rsid w:val="002B685A"/>
    <w:rsid w:val="002C57D2"/>
    <w:rsid w:val="002E0D56"/>
    <w:rsid w:val="002F3C18"/>
    <w:rsid w:val="003007CA"/>
    <w:rsid w:val="00310BF2"/>
    <w:rsid w:val="00315186"/>
    <w:rsid w:val="00332A94"/>
    <w:rsid w:val="00332EA1"/>
    <w:rsid w:val="0033343E"/>
    <w:rsid w:val="003512C2"/>
    <w:rsid w:val="00351B31"/>
    <w:rsid w:val="00362F45"/>
    <w:rsid w:val="00371FB6"/>
    <w:rsid w:val="003763C1"/>
    <w:rsid w:val="00376BBE"/>
    <w:rsid w:val="003876B2"/>
    <w:rsid w:val="0039224F"/>
    <w:rsid w:val="003A43A4"/>
    <w:rsid w:val="003A7E18"/>
    <w:rsid w:val="003B0A4F"/>
    <w:rsid w:val="003C095D"/>
    <w:rsid w:val="003C4C86"/>
    <w:rsid w:val="003C6258"/>
    <w:rsid w:val="003E2904"/>
    <w:rsid w:val="003E4965"/>
    <w:rsid w:val="00401927"/>
    <w:rsid w:val="0040196C"/>
    <w:rsid w:val="0041027F"/>
    <w:rsid w:val="00412475"/>
    <w:rsid w:val="00423789"/>
    <w:rsid w:val="004326B5"/>
    <w:rsid w:val="00440F43"/>
    <w:rsid w:val="00441B6F"/>
    <w:rsid w:val="00446221"/>
    <w:rsid w:val="00450E62"/>
    <w:rsid w:val="00452839"/>
    <w:rsid w:val="004539DB"/>
    <w:rsid w:val="00457B55"/>
    <w:rsid w:val="00471A80"/>
    <w:rsid w:val="00475C4A"/>
    <w:rsid w:val="00485FBC"/>
    <w:rsid w:val="00491B86"/>
    <w:rsid w:val="004B7ED4"/>
    <w:rsid w:val="004D305E"/>
    <w:rsid w:val="004D4277"/>
    <w:rsid w:val="004D5B73"/>
    <w:rsid w:val="004E12BD"/>
    <w:rsid w:val="005006CF"/>
    <w:rsid w:val="00502516"/>
    <w:rsid w:val="00505F06"/>
    <w:rsid w:val="00506828"/>
    <w:rsid w:val="0053056E"/>
    <w:rsid w:val="005538CF"/>
    <w:rsid w:val="00554FDA"/>
    <w:rsid w:val="005850C6"/>
    <w:rsid w:val="005B4394"/>
    <w:rsid w:val="005C784C"/>
    <w:rsid w:val="005D17F6"/>
    <w:rsid w:val="005E5539"/>
    <w:rsid w:val="005E70E4"/>
    <w:rsid w:val="00602BF5"/>
    <w:rsid w:val="00617FDD"/>
    <w:rsid w:val="00633614"/>
    <w:rsid w:val="00633F68"/>
    <w:rsid w:val="00636EB2"/>
    <w:rsid w:val="006375B8"/>
    <w:rsid w:val="00646D48"/>
    <w:rsid w:val="00647C5F"/>
    <w:rsid w:val="0066510A"/>
    <w:rsid w:val="00673F9F"/>
    <w:rsid w:val="00686953"/>
    <w:rsid w:val="00687DEA"/>
    <w:rsid w:val="00687E67"/>
    <w:rsid w:val="00693799"/>
    <w:rsid w:val="006967F7"/>
    <w:rsid w:val="006A04F5"/>
    <w:rsid w:val="006A250C"/>
    <w:rsid w:val="006B1E6D"/>
    <w:rsid w:val="006B21D3"/>
    <w:rsid w:val="006B57D0"/>
    <w:rsid w:val="006D30FF"/>
    <w:rsid w:val="006D648B"/>
    <w:rsid w:val="006D6940"/>
    <w:rsid w:val="006F11EC"/>
    <w:rsid w:val="006F696D"/>
    <w:rsid w:val="0070082C"/>
    <w:rsid w:val="00734A38"/>
    <w:rsid w:val="0073593C"/>
    <w:rsid w:val="007369E6"/>
    <w:rsid w:val="007371A5"/>
    <w:rsid w:val="00746E59"/>
    <w:rsid w:val="00747B1F"/>
    <w:rsid w:val="00754C9A"/>
    <w:rsid w:val="0075599A"/>
    <w:rsid w:val="00761D52"/>
    <w:rsid w:val="00762A60"/>
    <w:rsid w:val="00770F32"/>
    <w:rsid w:val="0077749E"/>
    <w:rsid w:val="007902DC"/>
    <w:rsid w:val="00790ADA"/>
    <w:rsid w:val="0079207A"/>
    <w:rsid w:val="00797377"/>
    <w:rsid w:val="007B1081"/>
    <w:rsid w:val="007B70D3"/>
    <w:rsid w:val="007D2288"/>
    <w:rsid w:val="007E088F"/>
    <w:rsid w:val="007F34D1"/>
    <w:rsid w:val="007F7B32"/>
    <w:rsid w:val="00804BC2"/>
    <w:rsid w:val="008126D2"/>
    <w:rsid w:val="0081431A"/>
    <w:rsid w:val="0083216F"/>
    <w:rsid w:val="008528EA"/>
    <w:rsid w:val="00855551"/>
    <w:rsid w:val="00860000"/>
    <w:rsid w:val="00863BD3"/>
    <w:rsid w:val="00866D66"/>
    <w:rsid w:val="008671C6"/>
    <w:rsid w:val="00875803"/>
    <w:rsid w:val="008B34AF"/>
    <w:rsid w:val="008B459E"/>
    <w:rsid w:val="008B509B"/>
    <w:rsid w:val="008E13AE"/>
    <w:rsid w:val="008E1506"/>
    <w:rsid w:val="008E710C"/>
    <w:rsid w:val="008F4A07"/>
    <w:rsid w:val="008F69D6"/>
    <w:rsid w:val="00902823"/>
    <w:rsid w:val="00915CA6"/>
    <w:rsid w:val="00927834"/>
    <w:rsid w:val="009500A6"/>
    <w:rsid w:val="00953645"/>
    <w:rsid w:val="00957C18"/>
    <w:rsid w:val="009659BA"/>
    <w:rsid w:val="00975E79"/>
    <w:rsid w:val="00983040"/>
    <w:rsid w:val="009B3FB9"/>
    <w:rsid w:val="009B40CF"/>
    <w:rsid w:val="009C2465"/>
    <w:rsid w:val="009C34CC"/>
    <w:rsid w:val="009C6862"/>
    <w:rsid w:val="009D35A0"/>
    <w:rsid w:val="009D7EB7"/>
    <w:rsid w:val="009E048A"/>
    <w:rsid w:val="009E08E9"/>
    <w:rsid w:val="009E3DB9"/>
    <w:rsid w:val="009E6E35"/>
    <w:rsid w:val="009F0EDA"/>
    <w:rsid w:val="00A03B96"/>
    <w:rsid w:val="00A05B19"/>
    <w:rsid w:val="00A0791B"/>
    <w:rsid w:val="00A101B6"/>
    <w:rsid w:val="00A1134E"/>
    <w:rsid w:val="00A24E7E"/>
    <w:rsid w:val="00A258C3"/>
    <w:rsid w:val="00A347C0"/>
    <w:rsid w:val="00A51431"/>
    <w:rsid w:val="00A539AD"/>
    <w:rsid w:val="00A809B1"/>
    <w:rsid w:val="00A94063"/>
    <w:rsid w:val="00AA31EF"/>
    <w:rsid w:val="00AA6219"/>
    <w:rsid w:val="00AA74E0"/>
    <w:rsid w:val="00AB703F"/>
    <w:rsid w:val="00AC6BB8"/>
    <w:rsid w:val="00AD0B9F"/>
    <w:rsid w:val="00AE008F"/>
    <w:rsid w:val="00B01FCD"/>
    <w:rsid w:val="00B1776C"/>
    <w:rsid w:val="00B52896"/>
    <w:rsid w:val="00B60E37"/>
    <w:rsid w:val="00B75892"/>
    <w:rsid w:val="00B95236"/>
    <w:rsid w:val="00B96BD9"/>
    <w:rsid w:val="00BA1B01"/>
    <w:rsid w:val="00BA2641"/>
    <w:rsid w:val="00BA32AD"/>
    <w:rsid w:val="00BB06BF"/>
    <w:rsid w:val="00BB1273"/>
    <w:rsid w:val="00BB37AA"/>
    <w:rsid w:val="00BC53A0"/>
    <w:rsid w:val="00BE3436"/>
    <w:rsid w:val="00BE62AD"/>
    <w:rsid w:val="00BF121F"/>
    <w:rsid w:val="00BF1F80"/>
    <w:rsid w:val="00BF5367"/>
    <w:rsid w:val="00C11237"/>
    <w:rsid w:val="00C166EF"/>
    <w:rsid w:val="00C17EB0"/>
    <w:rsid w:val="00C27F5F"/>
    <w:rsid w:val="00C30A0F"/>
    <w:rsid w:val="00C37E61"/>
    <w:rsid w:val="00C43B53"/>
    <w:rsid w:val="00C54D77"/>
    <w:rsid w:val="00C70F1B"/>
    <w:rsid w:val="00C71A47"/>
    <w:rsid w:val="00C7464C"/>
    <w:rsid w:val="00C81D34"/>
    <w:rsid w:val="00C85588"/>
    <w:rsid w:val="00CB4F17"/>
    <w:rsid w:val="00CB6510"/>
    <w:rsid w:val="00CD6755"/>
    <w:rsid w:val="00CD6856"/>
    <w:rsid w:val="00CE0089"/>
    <w:rsid w:val="00CE793C"/>
    <w:rsid w:val="00D173F1"/>
    <w:rsid w:val="00D60485"/>
    <w:rsid w:val="00D8295D"/>
    <w:rsid w:val="00DA6205"/>
    <w:rsid w:val="00DC2A65"/>
    <w:rsid w:val="00DE0008"/>
    <w:rsid w:val="00DE15F0"/>
    <w:rsid w:val="00DE27FF"/>
    <w:rsid w:val="00DE5663"/>
    <w:rsid w:val="00DE78AA"/>
    <w:rsid w:val="00DF6344"/>
    <w:rsid w:val="00E053D0"/>
    <w:rsid w:val="00E15994"/>
    <w:rsid w:val="00E1634E"/>
    <w:rsid w:val="00E3114E"/>
    <w:rsid w:val="00E31A70"/>
    <w:rsid w:val="00E35B02"/>
    <w:rsid w:val="00E53CB6"/>
    <w:rsid w:val="00E566BF"/>
    <w:rsid w:val="00E66496"/>
    <w:rsid w:val="00E66B35"/>
    <w:rsid w:val="00E66E10"/>
    <w:rsid w:val="00E769F6"/>
    <w:rsid w:val="00E7741E"/>
    <w:rsid w:val="00E8407C"/>
    <w:rsid w:val="00E84F3C"/>
    <w:rsid w:val="00EA012C"/>
    <w:rsid w:val="00ED0288"/>
    <w:rsid w:val="00ED53E2"/>
    <w:rsid w:val="00EE52CB"/>
    <w:rsid w:val="00EF581D"/>
    <w:rsid w:val="00EF7FD8"/>
    <w:rsid w:val="00F06F59"/>
    <w:rsid w:val="00F17988"/>
    <w:rsid w:val="00F203DB"/>
    <w:rsid w:val="00F469F0"/>
    <w:rsid w:val="00F53273"/>
    <w:rsid w:val="00F5647B"/>
    <w:rsid w:val="00F66E0B"/>
    <w:rsid w:val="00F67CB0"/>
    <w:rsid w:val="00F755E4"/>
    <w:rsid w:val="00F77D02"/>
    <w:rsid w:val="00FA29FC"/>
    <w:rsid w:val="00FB3A86"/>
    <w:rsid w:val="00FB5A4A"/>
    <w:rsid w:val="00FD36C8"/>
    <w:rsid w:val="00FF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8509E"/>
  <w15:docId w15:val="{81E87650-166B-45FB-A8F5-8C0C9224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2F3C1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F3C18"/>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Default">
    <w:name w:val="Default"/>
    <w:rsid w:val="00DE0008"/>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2F3C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F3C18"/>
    <w:rPr>
      <w:rFonts w:asciiTheme="majorHAnsi" w:eastAsiaTheme="majorEastAsia" w:hAnsiTheme="majorHAnsi" w:cstheme="majorBidi"/>
      <w:b/>
      <w:bCs/>
      <w:color w:val="4F81BD" w:themeColor="accent1"/>
      <w:sz w:val="22"/>
      <w:szCs w:val="22"/>
    </w:rPr>
  </w:style>
  <w:style w:type="character" w:customStyle="1" w:styleId="FooterChar">
    <w:name w:val="Footer Char"/>
    <w:basedOn w:val="DefaultParagraphFont"/>
    <w:link w:val="Footer"/>
    <w:uiPriority w:val="99"/>
    <w:rsid w:val="002F3C18"/>
    <w:rPr>
      <w:rFonts w:ascii="Helvetica" w:hAnsi="Helvetica"/>
    </w:rPr>
  </w:style>
  <w:style w:type="paragraph" w:styleId="ListParagraph">
    <w:name w:val="List Paragraph"/>
    <w:basedOn w:val="Normal"/>
    <w:uiPriority w:val="34"/>
    <w:qFormat/>
    <w:rsid w:val="002F3C18"/>
    <w:pPr>
      <w:spacing w:after="200" w:line="276" w:lineRule="auto"/>
      <w:ind w:left="720"/>
      <w:contextualSpacing/>
    </w:pPr>
    <w:rPr>
      <w:rFonts w:asciiTheme="minorHAnsi" w:eastAsiaTheme="minorHAnsi" w:hAnsiTheme="minorHAnsi" w:cstheme="minorBidi"/>
      <w:sz w:val="22"/>
      <w:szCs w:val="22"/>
    </w:rPr>
  </w:style>
  <w:style w:type="table" w:styleId="ColorfulList-Accent5">
    <w:name w:val="Colorful List Accent 5"/>
    <w:basedOn w:val="TableNormal"/>
    <w:uiPriority w:val="72"/>
    <w:rsid w:val="00E566BF"/>
    <w:rPr>
      <w:rFonts w:asciiTheme="minorHAnsi" w:eastAsiaTheme="minorHAnsi" w:hAnsiTheme="minorHAnsi" w:cstheme="minorBidi"/>
      <w:color w:val="000000" w:themeColor="text1"/>
      <w:sz w:val="22"/>
      <w:szCs w:val="22"/>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Accent11">
    <w:name w:val="Light Shading - Accent 11"/>
    <w:basedOn w:val="TableNormal"/>
    <w:uiPriority w:val="60"/>
    <w:rsid w:val="005E70E4"/>
    <w:rPr>
      <w:rFonts w:eastAsiaTheme="minorHAnsi"/>
      <w:color w:val="365F91" w:themeColor="accent1" w:themeShade="BF"/>
      <w:kern w:val="2"/>
      <w:sz w:val="24"/>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tyle1">
    <w:name w:val="Style1"/>
    <w:basedOn w:val="TableNormal"/>
    <w:uiPriority w:val="99"/>
    <w:qFormat/>
    <w:rsid w:val="005E70E4"/>
    <w:tblPr/>
  </w:style>
  <w:style w:type="table" w:styleId="TableSimple2">
    <w:name w:val="Table Simple 2"/>
    <w:basedOn w:val="TableNormal"/>
    <w:rsid w:val="00BB06B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1">
    <w:name w:val="Table Classic 1"/>
    <w:basedOn w:val="TableNormal"/>
    <w:rsid w:val="00BB06B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500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168797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BD928-D525-4AA9-B73C-EA9AF2F1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16</Pages>
  <Words>7291</Words>
  <Characters>41561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48755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38</cp:revision>
  <cp:lastPrinted>1999-07-06T11:00:00Z</cp:lastPrinted>
  <dcterms:created xsi:type="dcterms:W3CDTF">2024-03-23T10:39:00Z</dcterms:created>
  <dcterms:modified xsi:type="dcterms:W3CDTF">2024-04-15T12:50:00Z</dcterms:modified>
</cp:coreProperties>
</file>