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3574" w14:textId="60DE8B5E" w:rsidR="00285EAE" w:rsidRDefault="00285EAE" w:rsidP="00C77B2F">
      <w:pPr>
        <w:ind w:left="-567"/>
        <w:jc w:val="center"/>
        <w:rPr>
          <w:rFonts w:ascii="Times New Roman" w:hAnsi="Times New Roman" w:cs="Times New Roman"/>
          <w:b/>
          <w:bCs/>
          <w:sz w:val="24"/>
          <w:szCs w:val="24"/>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2F4A7015" w14:textId="02217F3F" w:rsidR="00EC147A" w:rsidRPr="00744858" w:rsidRDefault="009B6E66" w:rsidP="00C77B2F">
      <w:pPr>
        <w:ind w:left="-567"/>
        <w:jc w:val="center"/>
        <w:rPr>
          <w:rFonts w:ascii="Times New Roman" w:hAnsi="Times New Roman" w:cs="Times New Roman"/>
          <w:b/>
          <w:bCs/>
          <w:sz w:val="24"/>
          <w:szCs w:val="24"/>
          <w:lang w:val="en-US"/>
        </w:rPr>
      </w:pPr>
      <w:r w:rsidRPr="00744858">
        <w:rPr>
          <w:rFonts w:ascii="Times New Roman" w:hAnsi="Times New Roman" w:cs="Times New Roman"/>
          <w:b/>
          <w:bCs/>
          <w:sz w:val="24"/>
          <w:szCs w:val="24"/>
          <w:lang w:val="en-US"/>
        </w:rPr>
        <w:t xml:space="preserve">Assessment of </w:t>
      </w:r>
      <w:r w:rsidR="00EC147A" w:rsidRPr="00744858">
        <w:rPr>
          <w:rFonts w:ascii="Times New Roman" w:hAnsi="Times New Roman" w:cs="Times New Roman"/>
          <w:b/>
          <w:bCs/>
          <w:sz w:val="24"/>
          <w:szCs w:val="24"/>
          <w:lang w:val="en-US"/>
        </w:rPr>
        <w:t xml:space="preserve">Nutritional </w:t>
      </w:r>
      <w:r w:rsidRPr="00744858">
        <w:rPr>
          <w:rFonts w:ascii="Times New Roman" w:hAnsi="Times New Roman" w:cs="Times New Roman"/>
          <w:b/>
          <w:bCs/>
          <w:sz w:val="24"/>
          <w:szCs w:val="24"/>
          <w:lang w:val="en-US"/>
        </w:rPr>
        <w:t>Status in</w:t>
      </w:r>
      <w:r w:rsidR="009E6537" w:rsidRPr="00744858">
        <w:rPr>
          <w:rFonts w:ascii="Times New Roman" w:hAnsi="Times New Roman" w:cs="Times New Roman"/>
          <w:b/>
          <w:bCs/>
          <w:sz w:val="24"/>
          <w:szCs w:val="24"/>
          <w:lang w:val="en-US"/>
        </w:rPr>
        <w:t xml:space="preserve"> Post-</w:t>
      </w:r>
      <w:r w:rsidRPr="00744858">
        <w:rPr>
          <w:rFonts w:ascii="Times New Roman" w:hAnsi="Times New Roman" w:cs="Times New Roman"/>
          <w:b/>
          <w:bCs/>
          <w:sz w:val="24"/>
          <w:szCs w:val="24"/>
          <w:lang w:val="en-US"/>
        </w:rPr>
        <w:t xml:space="preserve"> Menopausal W</w:t>
      </w:r>
      <w:r w:rsidR="00EC147A" w:rsidRPr="00744858">
        <w:rPr>
          <w:rFonts w:ascii="Times New Roman" w:hAnsi="Times New Roman" w:cs="Times New Roman"/>
          <w:b/>
          <w:bCs/>
          <w:sz w:val="24"/>
          <w:szCs w:val="24"/>
          <w:lang w:val="en-US"/>
        </w:rPr>
        <w:t xml:space="preserve">omen </w:t>
      </w:r>
      <w:r w:rsidRPr="00744858">
        <w:rPr>
          <w:rFonts w:ascii="Times New Roman" w:hAnsi="Times New Roman" w:cs="Times New Roman"/>
          <w:b/>
          <w:bCs/>
          <w:sz w:val="24"/>
          <w:szCs w:val="24"/>
          <w:lang w:val="en-US"/>
        </w:rPr>
        <w:t>of Ayodhya District, U.P.</w:t>
      </w:r>
    </w:p>
    <w:p w14:paraId="5BCF4248" w14:textId="77777777" w:rsidR="00285EAE" w:rsidRPr="00744858" w:rsidRDefault="00285EAE" w:rsidP="00285EAE">
      <w:pPr>
        <w:rPr>
          <w:rFonts w:ascii="Times New Roman" w:hAnsi="Times New Roman" w:cs="Times New Roman"/>
          <w:b/>
          <w:bCs/>
          <w:sz w:val="24"/>
          <w:szCs w:val="24"/>
          <w:lang w:val="en-US"/>
        </w:rPr>
      </w:pPr>
    </w:p>
    <w:p w14:paraId="54E2F385" w14:textId="77777777" w:rsidR="00EC147A" w:rsidRPr="00744858" w:rsidRDefault="00EC147A" w:rsidP="00EC147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lang w:val="en-US"/>
        </w:rPr>
      </w:pPr>
      <w:r w:rsidRPr="00744858">
        <w:rPr>
          <w:rFonts w:ascii="Times New Roman" w:hAnsi="Times New Roman" w:cs="Times New Roman"/>
          <w:b/>
          <w:bCs/>
          <w:sz w:val="24"/>
          <w:szCs w:val="24"/>
          <w:lang w:val="en-US"/>
        </w:rPr>
        <w:t xml:space="preserve">Abstract </w:t>
      </w:r>
    </w:p>
    <w:p w14:paraId="21A529C2" w14:textId="77777777" w:rsidR="00EC147A" w:rsidRPr="00744858" w:rsidRDefault="00EC147A" w:rsidP="00EC147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n-US"/>
        </w:rPr>
      </w:pPr>
      <w:r w:rsidRPr="00744858">
        <w:rPr>
          <w:rFonts w:ascii="Times New Roman" w:hAnsi="Times New Roman" w:cs="Times New Roman"/>
          <w:sz w:val="24"/>
          <w:szCs w:val="24"/>
          <w:lang w:val="en-US"/>
        </w:rPr>
        <w:t xml:space="preserve">The current study aimed to evaluate the nutritional status and identify predictors of poor nutrition among Post- menopausal women in Ayodhya districts. The sample comprised </w:t>
      </w:r>
      <w:r w:rsidR="009B4BAA" w:rsidRPr="00744858">
        <w:rPr>
          <w:rFonts w:ascii="Times New Roman" w:hAnsi="Times New Roman" w:cs="Times New Roman"/>
          <w:sz w:val="24"/>
          <w:szCs w:val="24"/>
          <w:lang w:val="en-US"/>
        </w:rPr>
        <w:t>300 rural Post-</w:t>
      </w:r>
      <w:r w:rsidRPr="00744858">
        <w:rPr>
          <w:rFonts w:ascii="Times New Roman" w:hAnsi="Times New Roman" w:cs="Times New Roman"/>
          <w:sz w:val="24"/>
          <w:szCs w:val="24"/>
          <w:lang w:val="en-US"/>
        </w:rPr>
        <w:t>menop</w:t>
      </w:r>
      <w:r w:rsidR="009B4BAA" w:rsidRPr="00744858">
        <w:rPr>
          <w:rFonts w:ascii="Times New Roman" w:hAnsi="Times New Roman" w:cs="Times New Roman"/>
          <w:sz w:val="24"/>
          <w:szCs w:val="24"/>
          <w:lang w:val="en-US"/>
        </w:rPr>
        <w:t>a</w:t>
      </w:r>
      <w:r w:rsidRPr="00744858">
        <w:rPr>
          <w:rFonts w:ascii="Times New Roman" w:hAnsi="Times New Roman" w:cs="Times New Roman"/>
          <w:sz w:val="24"/>
          <w:szCs w:val="24"/>
          <w:lang w:val="en-US"/>
        </w:rPr>
        <w:t>usal women aged 45-65 years. Data collection methods included a self-structured questionnaire based on SES Agarwal 2005. Anthropometric measurements reveal significant differences in height, weight, and BMI between rural and urban women. Educational attainment is higher in urban areas, with more women having graduate and postgraduate qualifications. However, rural areas show higher percentages of women with metr</w:t>
      </w:r>
      <w:r w:rsidR="009B4BAA" w:rsidRPr="00744858">
        <w:rPr>
          <w:rFonts w:ascii="Times New Roman" w:hAnsi="Times New Roman" w:cs="Times New Roman"/>
          <w:sz w:val="24"/>
          <w:szCs w:val="24"/>
          <w:lang w:val="en-US"/>
        </w:rPr>
        <w:t xml:space="preserve">ic and intermediate education. </w:t>
      </w:r>
      <w:r w:rsidRPr="00744858">
        <w:rPr>
          <w:rFonts w:ascii="Times New Roman" w:hAnsi="Times New Roman" w:cs="Times New Roman"/>
          <w:sz w:val="24"/>
          <w:szCs w:val="24"/>
          <w:lang w:val="en-US"/>
        </w:rPr>
        <w:t>Dietary intake shows that both rural and urban populations consume energy and protein slightly below the RDA, while fat intake exceeds recommendations. Wheat and rice are staple foods for both groups, with minimal variation, while flaxseed consumption is higher in urban areas. Seasonal consumption of vegetables like bottle gourd is common in both areas, with slightly lower spinach intake in rural areas.</w:t>
      </w:r>
      <w:r w:rsidRPr="00744858">
        <w:rPr>
          <w:rFonts w:ascii="Times New Roman" w:hAnsi="Times New Roman" w:cs="Times New Roman"/>
          <w:sz w:val="24"/>
          <w:szCs w:val="22"/>
        </w:rPr>
        <w:t xml:space="preserve"> </w:t>
      </w:r>
      <w:r w:rsidRPr="00744858">
        <w:rPr>
          <w:rFonts w:ascii="Times New Roman" w:hAnsi="Times New Roman" w:cs="Times New Roman"/>
          <w:sz w:val="24"/>
          <w:szCs w:val="24"/>
          <w:lang w:val="en-US"/>
        </w:rPr>
        <w:t xml:space="preserve">presents data comparing nutrient intake among rural and urban populations against Recommended Dietary Allowances (RDA). Rural individuals generally fall short of RDAs for energy, carbohydrates, iron, vitamin C, zinc, and phosphorus. Urban individuals show similar trends, with deficits in energy, carbohydrates, zinc, and phosphorus. However, both groups meet RDAs for protein, fat, </w:t>
      </w:r>
      <w:proofErr w:type="spellStart"/>
      <w:r w:rsidRPr="00744858">
        <w:rPr>
          <w:rFonts w:ascii="Times New Roman" w:hAnsi="Times New Roman" w:cs="Times New Roman"/>
          <w:sz w:val="24"/>
          <w:szCs w:val="24"/>
          <w:lang w:val="en-US"/>
        </w:rPr>
        <w:t>fibre</w:t>
      </w:r>
      <w:proofErr w:type="spellEnd"/>
      <w:r w:rsidRPr="00744858">
        <w:rPr>
          <w:rFonts w:ascii="Times New Roman" w:hAnsi="Times New Roman" w:cs="Times New Roman"/>
          <w:sz w:val="24"/>
          <w:szCs w:val="24"/>
          <w:lang w:val="en-US"/>
        </w:rPr>
        <w:t>, calcium, and vitamin C. Despite slight variations, both rural and urban populations demonstrate suboptimal nutrient intake, highlighting the need for dietary interventions to address deficiencies.</w:t>
      </w:r>
    </w:p>
    <w:p w14:paraId="583FB54B" w14:textId="77777777" w:rsidR="00EC147A" w:rsidRPr="00744858" w:rsidRDefault="00EC147A" w:rsidP="00EC147A">
      <w:pPr>
        <w:jc w:val="both"/>
        <w:rPr>
          <w:rFonts w:ascii="Times New Roman" w:hAnsi="Times New Roman" w:cs="Times New Roman"/>
          <w:b/>
          <w:bCs/>
          <w:i/>
          <w:iCs/>
          <w:sz w:val="24"/>
          <w:szCs w:val="24"/>
          <w:lang w:val="en-US"/>
        </w:rPr>
      </w:pPr>
      <w:r w:rsidRPr="00744858">
        <w:rPr>
          <w:rFonts w:ascii="Times New Roman" w:hAnsi="Times New Roman" w:cs="Times New Roman"/>
          <w:b/>
          <w:bCs/>
          <w:i/>
          <w:iCs/>
          <w:sz w:val="24"/>
          <w:szCs w:val="24"/>
          <w:lang w:val="en-US"/>
        </w:rPr>
        <w:t>Key word: Post-menopausal women, Nutritional Assessment, Dietary intake, RDA,</w:t>
      </w:r>
    </w:p>
    <w:p w14:paraId="1F1AD278" w14:textId="77777777" w:rsidR="009F7306" w:rsidRPr="00744858" w:rsidRDefault="009F7306" w:rsidP="009F7306">
      <w:pPr>
        <w:rPr>
          <w:rFonts w:ascii="Times New Roman" w:hAnsi="Times New Roman" w:cs="Times New Roman"/>
          <w:sz w:val="32"/>
          <w:szCs w:val="32"/>
          <w:lang w:val="en-US"/>
        </w:rPr>
      </w:pPr>
    </w:p>
    <w:p w14:paraId="6308FF5D" w14:textId="77777777" w:rsidR="00EC147A" w:rsidRPr="00744858" w:rsidRDefault="00EC147A" w:rsidP="009F7306">
      <w:pPr>
        <w:pStyle w:val="ListParagraph"/>
        <w:numPr>
          <w:ilvl w:val="0"/>
          <w:numId w:val="3"/>
        </w:numPr>
        <w:jc w:val="center"/>
        <w:rPr>
          <w:rFonts w:ascii="Times New Roman" w:hAnsi="Times New Roman" w:cs="Times New Roman"/>
          <w:sz w:val="32"/>
          <w:szCs w:val="32"/>
          <w:lang w:val="en-US"/>
        </w:rPr>
      </w:pPr>
      <w:r w:rsidRPr="00744858">
        <w:rPr>
          <w:rFonts w:ascii="Times New Roman" w:hAnsi="Times New Roman" w:cs="Times New Roman"/>
          <w:sz w:val="32"/>
          <w:szCs w:val="32"/>
          <w:lang w:val="en-US"/>
        </w:rPr>
        <w:t>Introduction</w:t>
      </w:r>
    </w:p>
    <w:p w14:paraId="6B396E58" w14:textId="77777777" w:rsidR="00B20935" w:rsidRPr="00744858" w:rsidRDefault="00B20935" w:rsidP="00B20935">
      <w:pPr>
        <w:spacing w:after="0"/>
        <w:ind w:left="-567" w:firstLine="720"/>
        <w:jc w:val="both"/>
        <w:rPr>
          <w:rFonts w:ascii="Times New Roman" w:hAnsi="Times New Roman" w:cs="Times New Roman"/>
          <w:color w:val="0D0D0D"/>
          <w:sz w:val="24"/>
          <w:szCs w:val="24"/>
          <w:shd w:val="clear" w:color="auto" w:fill="FFFFFF"/>
        </w:rPr>
      </w:pPr>
      <w:r w:rsidRPr="00744858">
        <w:rPr>
          <w:rFonts w:ascii="Times New Roman" w:hAnsi="Times New Roman" w:cs="Times New Roman"/>
          <w:color w:val="0D0D0D"/>
          <w:sz w:val="24"/>
          <w:szCs w:val="24"/>
          <w:shd w:val="clear" w:color="auto" w:fill="FFFFFF"/>
        </w:rPr>
        <w:t>The term</w:t>
      </w:r>
      <w:r w:rsidR="009F7306" w:rsidRPr="00744858">
        <w:rPr>
          <w:rFonts w:ascii="Times New Roman" w:hAnsi="Times New Roman" w:cs="Times New Roman"/>
          <w:color w:val="0D0D0D"/>
          <w:sz w:val="24"/>
          <w:szCs w:val="24"/>
          <w:shd w:val="clear" w:color="auto" w:fill="FFFFFF"/>
        </w:rPr>
        <w:t xml:space="preserve"> </w:t>
      </w:r>
      <w:r w:rsidRPr="00744858">
        <w:rPr>
          <w:rFonts w:ascii="Times New Roman" w:hAnsi="Times New Roman" w:cs="Times New Roman"/>
          <w:color w:val="0D0D0D"/>
          <w:sz w:val="24"/>
          <w:szCs w:val="24"/>
          <w:shd w:val="clear" w:color="auto" w:fill="FFFFFF"/>
        </w:rPr>
        <w:t>'menopause' refers to the permanent cessation of menstrual periods."(</w:t>
      </w:r>
      <w:proofErr w:type="spellStart"/>
      <w:r w:rsidRPr="00744858">
        <w:rPr>
          <w:rFonts w:ascii="Times New Roman" w:hAnsi="Times New Roman" w:cs="Times New Roman"/>
          <w:color w:val="0D0D0D"/>
          <w:sz w:val="24"/>
          <w:szCs w:val="24"/>
          <w:shd w:val="clear" w:color="auto" w:fill="FFFFFF"/>
        </w:rPr>
        <w:t>agarwal</w:t>
      </w:r>
      <w:proofErr w:type="spellEnd"/>
      <w:r w:rsidRPr="00744858">
        <w:rPr>
          <w:rFonts w:ascii="Times New Roman" w:hAnsi="Times New Roman" w:cs="Times New Roman"/>
          <w:color w:val="0D0D0D"/>
          <w:sz w:val="24"/>
          <w:szCs w:val="24"/>
          <w:shd w:val="clear" w:color="auto" w:fill="FFFFFF"/>
        </w:rPr>
        <w:t xml:space="preserve"> et al., 2018) Menopause is a key physiological milestone in a woman's life, characterised by the termination of spontaneous menstrual periods. </w:t>
      </w:r>
    </w:p>
    <w:p w14:paraId="154B24D3" w14:textId="77777777" w:rsidR="00EC147A" w:rsidRPr="00744858" w:rsidRDefault="00EC147A" w:rsidP="00EC147A">
      <w:pPr>
        <w:spacing w:after="0"/>
        <w:ind w:left="-567" w:firstLine="720"/>
        <w:jc w:val="both"/>
        <w:rPr>
          <w:rFonts w:ascii="Times New Roman" w:hAnsi="Times New Roman" w:cs="Times New Roman"/>
          <w:sz w:val="24"/>
          <w:szCs w:val="24"/>
        </w:rPr>
      </w:pPr>
      <w:r w:rsidRPr="00744858">
        <w:rPr>
          <w:rFonts w:ascii="Times New Roman" w:hAnsi="Times New Roman" w:cs="Times New Roman"/>
          <w:color w:val="0D0D0D"/>
          <w:sz w:val="24"/>
          <w:szCs w:val="24"/>
          <w:shd w:val="clear" w:color="auto" w:fill="FFFFFF"/>
        </w:rPr>
        <w:lastRenderedPageBreak/>
        <w:t xml:space="preserve">This cessation stems from a decline in the levels of the sex hormones </w:t>
      </w:r>
      <w:proofErr w:type="spellStart"/>
      <w:r w:rsidRPr="00744858">
        <w:rPr>
          <w:rFonts w:ascii="Times New Roman" w:hAnsi="Times New Roman" w:cs="Times New Roman"/>
          <w:color w:val="0D0D0D"/>
          <w:sz w:val="24"/>
          <w:szCs w:val="24"/>
          <w:shd w:val="clear" w:color="auto" w:fill="FFFFFF"/>
        </w:rPr>
        <w:t>estrogen</w:t>
      </w:r>
      <w:proofErr w:type="spellEnd"/>
      <w:r w:rsidRPr="00744858">
        <w:rPr>
          <w:rFonts w:ascii="Times New Roman" w:hAnsi="Times New Roman" w:cs="Times New Roman"/>
          <w:color w:val="0D0D0D"/>
          <w:sz w:val="24"/>
          <w:szCs w:val="24"/>
          <w:shd w:val="clear" w:color="auto" w:fill="FFFFFF"/>
        </w:rPr>
        <w:t xml:space="preserve"> and progesterone, coupled with a concurrent elevation in follicle-stimulating hormone (FSH) and luteinizing hormone (LH). This hormonal shift occurs concomitantly with the depletion of the ovarian reserve.</w:t>
      </w:r>
      <w:r w:rsidRPr="00744858">
        <w:rPr>
          <w:rFonts w:ascii="Times New Roman" w:hAnsi="Times New Roman" w:cs="Times New Roman"/>
          <w:sz w:val="24"/>
          <w:szCs w:val="24"/>
        </w:rPr>
        <w:t xml:space="preserve"> "Researchers and healthcare professionals commonly concur on defining menopause as the cessation of menstrual periods for a minimum of twelve consecutive months following the last menstrual period. In the Indian context, the average age of menopause is reported to be approximately 46.2 years." (Ahuja, 2016). </w:t>
      </w:r>
    </w:p>
    <w:p w14:paraId="7ED07A0E" w14:textId="77777777" w:rsidR="00EC147A" w:rsidRPr="00744858" w:rsidRDefault="00EC147A" w:rsidP="00EC147A">
      <w:pPr>
        <w:spacing w:after="0"/>
        <w:ind w:left="-567" w:firstLine="720"/>
        <w:jc w:val="both"/>
        <w:rPr>
          <w:rFonts w:ascii="Times New Roman" w:hAnsi="Times New Roman" w:cs="Times New Roman"/>
          <w:sz w:val="24"/>
          <w:szCs w:val="24"/>
        </w:rPr>
      </w:pPr>
      <w:r w:rsidRPr="00744858">
        <w:rPr>
          <w:rFonts w:ascii="Times New Roman" w:hAnsi="Times New Roman" w:cs="Times New Roman"/>
          <w:sz w:val="24"/>
          <w:szCs w:val="24"/>
        </w:rPr>
        <w:t>Women’s health has been a global concern for many decades</w:t>
      </w:r>
      <w:r w:rsidRPr="00744858">
        <w:rPr>
          <w:rFonts w:ascii="Times New Roman" w:hAnsi="Times New Roman" w:cs="Times New Roman"/>
          <w:sz w:val="24"/>
          <w:szCs w:val="24"/>
        </w:rPr>
        <w:fldChar w:fldCharType="begin"/>
      </w:r>
      <w:r w:rsidRPr="00744858">
        <w:rPr>
          <w:rFonts w:ascii="Times New Roman" w:hAnsi="Times New Roman" w:cs="Times New Roman"/>
          <w:sz w:val="24"/>
          <w:szCs w:val="24"/>
        </w:rPr>
        <w:instrText xml:space="preserve"> ADDIN ZOTERO_ITEM CSL_CITATION {"citationID":"0JCl2APy","properties":{"formattedCitation":"(Kumar Mishra, 2011)","plainCitation":"(Kumar Mishra, 2011)","noteIndex":0},"citationItems":[{"id":26,"uris":["http://zotero.org/users/local/6mJ1m5HL/items/298RM7Z5"],"itemData":{"id":26,"type":"article-journal","container-title":"Health","DOI":"10.4236/health.2011.34041","ISSN":"1949-4998, 1949-5005","issue":"04","journalAbbreviation":"Health","page":"233-237","source":"DOI.org (Crossref)","title":"Menopausal transition and postmenopausal health problems: a review on its bio-cultural perspectives","title-short":"Menopausal transition and postmenopausal health problems","volume":"03","author":[{"family":"Kumar Mishra","given":"Shailendra"}],"issued":{"date-parts":[["2011"]]}}}],"schema":"https://github.com/citation-style-language/schema/raw/master/csl-citation.json"} </w:instrText>
      </w:r>
      <w:r w:rsidRPr="00744858">
        <w:rPr>
          <w:rFonts w:ascii="Times New Roman" w:hAnsi="Times New Roman" w:cs="Times New Roman"/>
          <w:sz w:val="24"/>
          <w:szCs w:val="24"/>
        </w:rPr>
        <w:fldChar w:fldCharType="separate"/>
      </w:r>
      <w:r w:rsidRPr="00744858">
        <w:rPr>
          <w:rFonts w:ascii="Times New Roman" w:hAnsi="Times New Roman" w:cs="Times New Roman"/>
          <w:sz w:val="24"/>
          <w:szCs w:val="24"/>
        </w:rPr>
        <w:t>(Kumar R, 2016)</w:t>
      </w:r>
      <w:r w:rsidRPr="00744858">
        <w:rPr>
          <w:rFonts w:ascii="Times New Roman" w:hAnsi="Times New Roman" w:cs="Times New Roman"/>
          <w:sz w:val="24"/>
          <w:szCs w:val="24"/>
        </w:rPr>
        <w:fldChar w:fldCharType="end"/>
      </w:r>
      <w:r w:rsidRPr="00744858">
        <w:rPr>
          <w:rFonts w:ascii="Times New Roman" w:hAnsi="Times New Roman" w:cs="Times New Roman"/>
          <w:color w:val="212121"/>
          <w:sz w:val="24"/>
          <w:szCs w:val="24"/>
          <w:shd w:val="clear" w:color="auto" w:fill="FFFFFF"/>
        </w:rPr>
        <w:t xml:space="preserve"> </w:t>
      </w:r>
      <w:r w:rsidRPr="00744858">
        <w:rPr>
          <w:rFonts w:ascii="Times New Roman" w:hAnsi="Times New Roman" w:cs="Times New Roman"/>
          <w:sz w:val="24"/>
          <w:szCs w:val="24"/>
        </w:rPr>
        <w:t xml:space="preserve">The Indian Menopausal Society has projected that by the year 2025, there will be 103 million menopausal women in India. </w:t>
      </w:r>
      <w:r w:rsidRPr="00744858">
        <w:rPr>
          <w:rFonts w:ascii="Times New Roman" w:hAnsi="Times New Roman" w:cs="Times New Roman"/>
          <w:color w:val="0D0D0D"/>
          <w:sz w:val="24"/>
          <w:szCs w:val="24"/>
          <w:shd w:val="clear" w:color="auto" w:fill="FFFFFF"/>
        </w:rPr>
        <w:t>The relatively lower age of menopause observed in India, averaging at approximately 47.5 years, compared with an increasing life expectancy reaching 71 years, necessitates Indian women to navigate through approximately one-third of their lifespan in the menopausal phase.</w:t>
      </w:r>
      <w:r w:rsidRPr="00744858">
        <w:rPr>
          <w:rFonts w:ascii="Times New Roman" w:hAnsi="Times New Roman" w:cs="Times New Roman"/>
          <w:sz w:val="24"/>
          <w:szCs w:val="24"/>
        </w:rPr>
        <w:t xml:space="preserve"> </w:t>
      </w:r>
      <w:r w:rsidRPr="00744858">
        <w:rPr>
          <w:rFonts w:ascii="Times New Roman" w:hAnsi="Times New Roman" w:cs="Times New Roman"/>
          <w:sz w:val="24"/>
          <w:szCs w:val="24"/>
        </w:rPr>
        <w:fldChar w:fldCharType="begin"/>
      </w:r>
      <w:r w:rsidRPr="00744858">
        <w:rPr>
          <w:rFonts w:ascii="Times New Roman" w:hAnsi="Times New Roman" w:cs="Times New Roman"/>
          <w:sz w:val="24"/>
          <w:szCs w:val="24"/>
        </w:rPr>
        <w:instrText xml:space="preserve"> ADDIN ZOTERO_ITEM CSL_CITATION {"citationID":"jotVyrny","properties":{"formattedCitation":"(Ahsan &amp; Mallick, 2017)","plainCitation":"(Ahsan &amp; Mallick, 2017)","noteIndex":0},"citationItems":[{"id":37,"uris":["http://zotero.org/users/local/6mJ1m5HL/items/9XLRSNJ6"],"itemData":{"id":37,"type":"article-journal","container-title":"Journal of clinical and diagnostic research: JCDR","issue":"9","note":"publisher: JCDR Research &amp; Publications Private Limited","page":"FC13","source":"Google Scholar","title":"The effect of soy isoflavones on the menopause rating scale scoring in perimenopausal and postmenopausal women: A pilot study","title-short":"The effect of soy isoflavones on the menopause rating scale scoring in perimenopausal and postmenopausal women","volume":"11","author":[{"family":"Ahsan","given":"Marya"},{"family":"Mallick","given":"Ayaz Khurram"}],"issued":{"date-parts":[["2017"]]}}}],"schema":"https://github.com/citation-style-language/schema/raw/master/csl-citation.json"} </w:instrText>
      </w:r>
      <w:r w:rsidRPr="00744858">
        <w:rPr>
          <w:rFonts w:ascii="Times New Roman" w:hAnsi="Times New Roman" w:cs="Times New Roman"/>
          <w:sz w:val="24"/>
          <w:szCs w:val="24"/>
        </w:rPr>
        <w:fldChar w:fldCharType="separate"/>
      </w:r>
      <w:r w:rsidRPr="00744858">
        <w:rPr>
          <w:rFonts w:ascii="Times New Roman" w:hAnsi="Times New Roman" w:cs="Times New Roman"/>
          <w:sz w:val="24"/>
          <w:szCs w:val="24"/>
        </w:rPr>
        <w:t>(Ahsan &amp; Mallick, 2017)</w:t>
      </w:r>
      <w:r w:rsidRPr="00744858">
        <w:rPr>
          <w:rFonts w:ascii="Times New Roman" w:hAnsi="Times New Roman" w:cs="Times New Roman"/>
          <w:sz w:val="24"/>
          <w:szCs w:val="24"/>
        </w:rPr>
        <w:fldChar w:fldCharType="end"/>
      </w:r>
      <w:r w:rsidRPr="00744858">
        <w:rPr>
          <w:rFonts w:ascii="Times New Roman" w:hAnsi="Times New Roman" w:cs="Times New Roman"/>
          <w:sz w:val="24"/>
          <w:szCs w:val="24"/>
        </w:rPr>
        <w:t xml:space="preserve"> </w:t>
      </w:r>
    </w:p>
    <w:p w14:paraId="1EE76F43" w14:textId="77777777" w:rsidR="00EC147A" w:rsidRPr="00744858" w:rsidRDefault="00EC147A" w:rsidP="00EC147A">
      <w:pPr>
        <w:spacing w:after="0"/>
        <w:ind w:left="-567" w:firstLine="720"/>
        <w:jc w:val="both"/>
        <w:rPr>
          <w:rFonts w:ascii="Times New Roman" w:hAnsi="Times New Roman" w:cs="Times New Roman"/>
          <w:sz w:val="24"/>
          <w:szCs w:val="24"/>
        </w:rPr>
      </w:pPr>
      <w:r w:rsidRPr="00744858">
        <w:rPr>
          <w:rFonts w:ascii="Times New Roman" w:hAnsi="Times New Roman" w:cs="Times New Roman"/>
          <w:sz w:val="24"/>
          <w:szCs w:val="24"/>
        </w:rPr>
        <w:t xml:space="preserve">More than 80% of women experience physical or psychological symptoms in the year approaching menopause with various distresses in their lives, leading to decrease in quality of life. India has large population, which has already crossed 1 billion mark, with about 586 million females out of which approximately 96 million women are aged  above and this number is expected to increase to 401 million by 2026 (Census of India, 2011) Factors that affect age at menopause may have important clinical implications because early menopause is associated with an increased risk of cardiovascular disease and osteoporosis, whereas delayed menopause has been associated with increased risk of breast cancer and endometrial cancer </w:t>
      </w:r>
      <w:r w:rsidRPr="00744858">
        <w:rPr>
          <w:rFonts w:ascii="Times New Roman" w:hAnsi="Times New Roman" w:cs="Times New Roman"/>
          <w:sz w:val="24"/>
          <w:szCs w:val="24"/>
        </w:rPr>
        <w:fldChar w:fldCharType="begin"/>
      </w:r>
      <w:r w:rsidRPr="00744858">
        <w:rPr>
          <w:rFonts w:ascii="Times New Roman" w:hAnsi="Times New Roman" w:cs="Times New Roman"/>
          <w:sz w:val="24"/>
          <w:szCs w:val="24"/>
        </w:rPr>
        <w:instrText xml:space="preserve"> ADDIN ZOTERO_ITEM CSL_CITATION {"citationID":"o78EYT18","properties":{"formattedCitation":"(Goyal et al., 2017)","plainCitation":"(Goyal et al., 2017)","noteIndex":0},"citationItems":[{"id":13,"uris":["http://zotero.org/users/local/6mJ1m5HL/items/9Q3J68RH"],"itemData":{"id":13,"type":"article-journal","abstract":"Background: Menopause is the permanent cessation of menstruation resulting from the loss of follicular activity of the ovaries. It is a stage when the menstrual cycle stops for longer than 12 months and there is a drop in the levels of estrogen and progesterone, the two most important hormones in the female body (WHO, 1996). The onset of this physiological development not only marks the end of women’s reproductive function but also introduces them to a new phase of life. Natural menopause is recognized to have occurred after 12 consecutive months of amenorrhea, for which there is no other obvious pathological or physiological cause. The age at which menopause occurs varies widely ranging from late thirties to late fifties with the range for most women being between ages 48 and 55 years. This period is marked by fluctuations in reproductive hormones. Methods: The present study community based cross-sectional study to examine variations in menopausal characteristics between rural and urban women. Data on socio demographic variables, reproductive history, and menopausal symptoms were collected from postmenopausal women (rural 200; urban 200) the survey was conducted among women who had attained menopause, in rural and urban area of Allahabad. Results: Majority of the study participants were in the age group of 50-60 years and attained menopause at the age between 45-50 years. Symptoms of joint pains were reported by 57% of rural and 55% of urban women. The percentage of women seeking treatment for their problems was higher in the urban areas i.e., 71.0% as compared to 29.5% in rural area. Similarly among the urban women, majority of them 75.0% sought treatment from private clinics, and the remaining 25.0% sought treatment from government hospitals. There is a need to address their problem and establish health care centers for them. Conclusions: The study shows that postmenopausal women suffer from various physical as well as problems related to menopausal hormonal changes with varied frequencies. There is a need to address their problem and establish health care centers for them.","container-title":"International Journal Of Community Medicine And Public Health","DOI":"10.18203/2394-6040.ijcmph20175344","ISSN":"2394-6040, 2394-6032","issue":"12","journalAbbreviation":"Int J Community Med Public Health","page":"4644","source":"DOI.org (Crossref)","title":"Nutritional status and health seeking behaviour of postmenopausal women: a cross sectional study in North India","title-short":"Nutritional status and health seeking behaviour of postmenopausal women","volume":"4","author":[{"family":"Goyal","given":"Ankita"},{"family":"Mishra","given":"Neha"},{"family":"Dwivedi","given":"Shraddha"}],"issued":{"date-parts":[["2017",11,23]]}}}],"schema":"https://github.com/citation-style-language/schema/raw/master/csl-citation.json"} </w:instrText>
      </w:r>
      <w:r w:rsidRPr="00744858">
        <w:rPr>
          <w:rFonts w:ascii="Times New Roman" w:hAnsi="Times New Roman" w:cs="Times New Roman"/>
          <w:sz w:val="24"/>
          <w:szCs w:val="24"/>
        </w:rPr>
        <w:fldChar w:fldCharType="separate"/>
      </w:r>
      <w:r w:rsidRPr="00744858">
        <w:rPr>
          <w:rFonts w:ascii="Times New Roman" w:hAnsi="Times New Roman" w:cs="Times New Roman"/>
          <w:sz w:val="24"/>
          <w:szCs w:val="24"/>
        </w:rPr>
        <w:t>( Goyal et al., 2017)</w:t>
      </w:r>
      <w:r w:rsidRPr="00744858">
        <w:rPr>
          <w:rFonts w:ascii="Times New Roman" w:hAnsi="Times New Roman" w:cs="Times New Roman"/>
          <w:sz w:val="24"/>
          <w:szCs w:val="24"/>
        </w:rPr>
        <w:fldChar w:fldCharType="end"/>
      </w:r>
      <w:r w:rsidRPr="00744858">
        <w:rPr>
          <w:rFonts w:ascii="Times New Roman" w:hAnsi="Times New Roman" w:cs="Times New Roman"/>
          <w:color w:val="282828"/>
          <w:sz w:val="24"/>
          <w:szCs w:val="24"/>
          <w:shd w:val="clear" w:color="auto" w:fill="F7F7F7"/>
        </w:rPr>
        <w:t xml:space="preserve"> </w:t>
      </w:r>
      <w:r w:rsidRPr="00744858">
        <w:rPr>
          <w:rFonts w:ascii="Times New Roman" w:hAnsi="Times New Roman" w:cs="Times New Roman"/>
          <w:sz w:val="24"/>
          <w:szCs w:val="24"/>
        </w:rPr>
        <w:t>Therefore, t</w:t>
      </w:r>
      <w:r w:rsidR="009B4BAA" w:rsidRPr="00744858">
        <w:rPr>
          <w:rFonts w:ascii="Times New Roman" w:hAnsi="Times New Roman" w:cs="Times New Roman"/>
          <w:sz w:val="24"/>
          <w:szCs w:val="24"/>
        </w:rPr>
        <w:t>he proper conditioning of peri-</w:t>
      </w:r>
      <w:r w:rsidRPr="00744858">
        <w:rPr>
          <w:rFonts w:ascii="Times New Roman" w:hAnsi="Times New Roman" w:cs="Times New Roman"/>
          <w:sz w:val="24"/>
          <w:szCs w:val="24"/>
        </w:rPr>
        <w:t xml:space="preserve">menopausal women's bodies is significant in improving the symptoms and preventing chronic diseases. </w:t>
      </w:r>
      <w:r w:rsidRPr="00744858">
        <w:rPr>
          <w:rFonts w:ascii="Times New Roman" w:hAnsi="Times New Roman" w:cs="Times New Roman"/>
          <w:sz w:val="24"/>
          <w:szCs w:val="24"/>
        </w:rPr>
        <w:fldChar w:fldCharType="begin"/>
      </w:r>
      <w:r w:rsidRPr="00744858">
        <w:rPr>
          <w:rFonts w:ascii="Times New Roman" w:hAnsi="Times New Roman" w:cs="Times New Roman"/>
          <w:sz w:val="24"/>
          <w:szCs w:val="24"/>
        </w:rPr>
        <w:instrText xml:space="preserve"> ADDIN ZOTERO_ITEM CSL_CITATION {"citationID":"gg19xYZB","properties":{"formattedCitation":"(Hao et al., 2022)","plainCitation":"(Hao et al., 2022)","noteIndex":0},"citationItems":[{"id":61,"uris":["http://zotero.org/users/local/6mJ1m5HL/items/S33CPAEE"],"itemData":{"id":61,"type":"article-journal","container-title":"Frontiers in Nutrition","note":"publisher: Frontiers","page":"752500","source":"Google Scholar","title":"Dietary and Exercise Interventions for Perimenopausal Women: A Health Status Impact Study","title-short":"Dietary and Exercise Interventions for Perimenopausal Women","volume":"8","author":[{"family":"Hao","given":"Shuping"},{"family":"Tan","given":"Sisi"},{"family":"Li","given":"Jing"},{"family":"Li","given":"Weimin"},{"family":"Li","given":"Jingyun"},{"family":"Cai","given":"Xiaochen"},{"family":"Hong","given":"Zhongxin"}],"issued":{"date-parts":[["2022"]]}}}],"schema":"https://github.com/citation-style-language/schema/raw/master/csl-citation.json"} </w:instrText>
      </w:r>
      <w:r w:rsidRPr="00744858">
        <w:rPr>
          <w:rFonts w:ascii="Times New Roman" w:hAnsi="Times New Roman" w:cs="Times New Roman"/>
          <w:sz w:val="24"/>
          <w:szCs w:val="24"/>
        </w:rPr>
        <w:fldChar w:fldCharType="separate"/>
      </w:r>
      <w:r w:rsidRPr="00744858">
        <w:rPr>
          <w:rFonts w:ascii="Times New Roman" w:hAnsi="Times New Roman" w:cs="Times New Roman"/>
          <w:sz w:val="24"/>
          <w:szCs w:val="24"/>
        </w:rPr>
        <w:t>(Hao et al., 2022)</w:t>
      </w:r>
      <w:r w:rsidRPr="00744858">
        <w:rPr>
          <w:rFonts w:ascii="Times New Roman" w:hAnsi="Times New Roman" w:cs="Times New Roman"/>
          <w:sz w:val="24"/>
          <w:szCs w:val="24"/>
        </w:rPr>
        <w:fldChar w:fldCharType="end"/>
      </w:r>
      <w:r w:rsidRPr="00744858">
        <w:rPr>
          <w:rFonts w:ascii="Times New Roman" w:hAnsi="Times New Roman" w:cs="Times New Roman"/>
          <w:sz w:val="24"/>
          <w:szCs w:val="24"/>
        </w:rPr>
        <w:t xml:space="preserve"> The Zhu </w:t>
      </w:r>
      <w:proofErr w:type="gramStart"/>
      <w:r w:rsidRPr="00744858">
        <w:rPr>
          <w:rFonts w:ascii="Times New Roman" w:hAnsi="Times New Roman" w:cs="Times New Roman"/>
          <w:sz w:val="24"/>
          <w:szCs w:val="24"/>
        </w:rPr>
        <w:t>JM.(</w:t>
      </w:r>
      <w:proofErr w:type="gramEnd"/>
      <w:r w:rsidRPr="00744858">
        <w:rPr>
          <w:rFonts w:ascii="Times New Roman" w:hAnsi="Times New Roman" w:cs="Times New Roman"/>
          <w:sz w:val="24"/>
          <w:szCs w:val="24"/>
        </w:rPr>
        <w:t>2018) study found that diet and exercise therapy for obese postmenopausal women can significantly improve blood lipid levels, improve insulin resistance, reduce plasma insulin levels and effectively prevent type 2 diabetes. Nutrition plays a vital role as a determinant of wellbeing and quality of life of an individual. Health and wellbeing of any individual depends on various factors like physical, social, psychological and nutritional. Aging is a process that is marked by certain changes in the body and functional ability which has an overall negative effect on the health and life style of elderly (</w:t>
      </w:r>
      <w:r w:rsidRPr="00744858">
        <w:rPr>
          <w:rFonts w:ascii="Times New Roman" w:hAnsi="Times New Roman" w:cs="Times New Roman"/>
          <w:color w:val="FF0000"/>
          <w:sz w:val="24"/>
          <w:szCs w:val="24"/>
        </w:rPr>
        <w:t xml:space="preserve">. </w:t>
      </w:r>
      <w:r w:rsidRPr="00744858">
        <w:rPr>
          <w:rFonts w:ascii="Times New Roman" w:hAnsi="Times New Roman" w:cs="Times New Roman"/>
          <w:color w:val="000000" w:themeColor="text1"/>
          <w:sz w:val="24"/>
          <w:szCs w:val="24"/>
        </w:rPr>
        <w:t xml:space="preserve">Shah </w:t>
      </w:r>
      <w:r w:rsidRPr="00744858">
        <w:rPr>
          <w:rFonts w:ascii="Times New Roman" w:hAnsi="Times New Roman" w:cs="Times New Roman"/>
          <w:i/>
          <w:color w:val="000000" w:themeColor="text1"/>
          <w:sz w:val="24"/>
          <w:szCs w:val="24"/>
        </w:rPr>
        <w:t>et al.</w:t>
      </w:r>
      <w:r w:rsidRPr="00744858">
        <w:rPr>
          <w:rFonts w:ascii="Times New Roman" w:hAnsi="Times New Roman" w:cs="Times New Roman"/>
          <w:color w:val="000000" w:themeColor="text1"/>
          <w:sz w:val="24"/>
          <w:szCs w:val="24"/>
        </w:rPr>
        <w:t xml:space="preserve">, 2017). </w:t>
      </w:r>
      <w:r w:rsidRPr="00744858">
        <w:rPr>
          <w:rFonts w:ascii="Times New Roman" w:hAnsi="Times New Roman" w:cs="Times New Roman"/>
          <w:sz w:val="24"/>
          <w:szCs w:val="24"/>
        </w:rPr>
        <w:t xml:space="preserve">Well </w:t>
      </w:r>
      <w:proofErr w:type="spellStart"/>
      <w:r w:rsidRPr="00744858">
        <w:rPr>
          <w:rFonts w:ascii="Times New Roman" w:hAnsi="Times New Roman" w:cs="Times New Roman"/>
          <w:sz w:val="24"/>
          <w:szCs w:val="24"/>
        </w:rPr>
        <w:t>proporsnate</w:t>
      </w:r>
      <w:proofErr w:type="spellEnd"/>
      <w:r w:rsidRPr="00744858">
        <w:rPr>
          <w:rFonts w:ascii="Times New Roman" w:hAnsi="Times New Roman" w:cs="Times New Roman"/>
          <w:sz w:val="24"/>
          <w:szCs w:val="24"/>
        </w:rPr>
        <w:t xml:space="preserve"> balanced diet helps in maintain healthy life and combat complications associated with menopause. </w:t>
      </w:r>
      <w:r w:rsidRPr="00744858">
        <w:rPr>
          <w:rFonts w:ascii="Times New Roman" w:hAnsi="Times New Roman" w:cs="Times New Roman"/>
          <w:color w:val="000000" w:themeColor="text1"/>
          <w:sz w:val="24"/>
          <w:szCs w:val="24"/>
        </w:rPr>
        <w:t>(Goyal et al., 2012). </w:t>
      </w:r>
      <w:r w:rsidRPr="00744858">
        <w:rPr>
          <w:rFonts w:ascii="Times New Roman" w:hAnsi="Times New Roman" w:cs="Times New Roman"/>
          <w:sz w:val="24"/>
          <w:szCs w:val="24"/>
        </w:rPr>
        <w:t xml:space="preserve">Nutrients such as calcium, iron, fibre, omega 3 fatty acids, phytoestrogens and complex carbohydrates, rich diet is highly advised to manage menopause and prevent its negative effects. also, evidence indicates that high fibre and low </w:t>
      </w:r>
      <w:proofErr w:type="spellStart"/>
      <w:r w:rsidRPr="00744858">
        <w:rPr>
          <w:rFonts w:ascii="Times New Roman" w:hAnsi="Times New Roman" w:cs="Times New Roman"/>
          <w:sz w:val="24"/>
          <w:szCs w:val="24"/>
        </w:rPr>
        <w:t>glycemic</w:t>
      </w:r>
      <w:proofErr w:type="spellEnd"/>
      <w:r w:rsidRPr="00744858">
        <w:rPr>
          <w:rFonts w:ascii="Times New Roman" w:hAnsi="Times New Roman" w:cs="Times New Roman"/>
          <w:sz w:val="24"/>
          <w:szCs w:val="24"/>
        </w:rPr>
        <w:t xml:space="preserve"> index foods intakes may be associated with a reduced risk of depression </w:t>
      </w:r>
      <w:r w:rsidRPr="00744858">
        <w:rPr>
          <w:rFonts w:ascii="Times New Roman" w:hAnsi="Times New Roman" w:cs="Times New Roman"/>
          <w:sz w:val="24"/>
          <w:szCs w:val="24"/>
        </w:rPr>
        <w:lastRenderedPageBreak/>
        <w:t>(</w:t>
      </w:r>
      <w:proofErr w:type="spellStart"/>
      <w:r w:rsidRPr="00744858">
        <w:rPr>
          <w:rFonts w:ascii="Times New Roman" w:hAnsi="Times New Roman" w:cs="Times New Roman"/>
          <w:sz w:val="24"/>
          <w:szCs w:val="24"/>
        </w:rPr>
        <w:t>Gangwisch</w:t>
      </w:r>
      <w:proofErr w:type="spellEnd"/>
      <w:r w:rsidRPr="00744858">
        <w:rPr>
          <w:rFonts w:ascii="Times New Roman" w:hAnsi="Times New Roman" w:cs="Times New Roman"/>
          <w:sz w:val="24"/>
          <w:szCs w:val="24"/>
        </w:rPr>
        <w:t xml:space="preserve"> et al. 2015; </w:t>
      </w:r>
      <w:proofErr w:type="spellStart"/>
      <w:r w:rsidRPr="00744858">
        <w:rPr>
          <w:rFonts w:ascii="Times New Roman" w:hAnsi="Times New Roman" w:cs="Times New Roman"/>
          <w:sz w:val="24"/>
          <w:szCs w:val="24"/>
        </w:rPr>
        <w:t>Daneshzad</w:t>
      </w:r>
      <w:proofErr w:type="spellEnd"/>
      <w:r w:rsidRPr="00744858">
        <w:rPr>
          <w:rFonts w:ascii="Times New Roman" w:hAnsi="Times New Roman" w:cs="Times New Roman"/>
          <w:sz w:val="24"/>
          <w:szCs w:val="24"/>
        </w:rPr>
        <w:t xml:space="preserve"> et al. 2020). The MD, to date, few data are available on the dietary intake in women with PCOS by using the seven-day food records, which is recognised as the “gold standard” for careful nutritional assessments </w:t>
      </w:r>
      <w:r w:rsidRPr="00744858">
        <w:rPr>
          <w:rFonts w:ascii="Times New Roman" w:hAnsi="Times New Roman" w:cs="Times New Roman"/>
          <w:color w:val="222222"/>
          <w:sz w:val="24"/>
          <w:szCs w:val="24"/>
          <w:shd w:val="clear" w:color="auto" w:fill="FFFFFF"/>
        </w:rPr>
        <w:t>Barrea</w:t>
      </w:r>
      <w:r w:rsidRPr="00744858">
        <w:rPr>
          <w:rFonts w:ascii="Times New Roman" w:hAnsi="Times New Roman" w:cs="Times New Roman"/>
          <w:i/>
          <w:iCs/>
          <w:sz w:val="24"/>
          <w:szCs w:val="24"/>
        </w:rPr>
        <w:t xml:space="preserve"> et al, (2019),</w:t>
      </w:r>
      <w:r w:rsidRPr="00744858">
        <w:rPr>
          <w:rFonts w:ascii="Times New Roman" w:hAnsi="Times New Roman" w:cs="Times New Roman"/>
          <w:sz w:val="24"/>
          <w:szCs w:val="24"/>
        </w:rPr>
        <w:t xml:space="preserve"> A healthy lifestyle that includes exercise, a balanced diet, and a commitment to abstaining from alcohol, tobacco, and other addictive substances is advised. In advancing years, a positive attitude and mental health increase quality of life (QOL).</w:t>
      </w:r>
    </w:p>
    <w:p w14:paraId="2FA420B4" w14:textId="77777777" w:rsidR="00EC147A" w:rsidRPr="00744858" w:rsidRDefault="00EC147A" w:rsidP="00EC147A">
      <w:pPr>
        <w:ind w:left="-567"/>
        <w:jc w:val="both"/>
        <w:rPr>
          <w:rFonts w:ascii="Times New Roman" w:hAnsi="Times New Roman" w:cs="Times New Roman"/>
          <w:color w:val="222222"/>
          <w:sz w:val="28"/>
          <w:szCs w:val="28"/>
          <w:shd w:val="clear" w:color="auto" w:fill="FFFFFF"/>
        </w:rPr>
      </w:pPr>
      <w:r w:rsidRPr="00744858">
        <w:rPr>
          <w:rFonts w:ascii="Times New Roman" w:hAnsi="Times New Roman" w:cs="Times New Roman"/>
          <w:sz w:val="24"/>
          <w:szCs w:val="24"/>
        </w:rPr>
        <w:t xml:space="preserve">Although poor diet may play a role in the development of osteoporosis, the nutrition research focus has shifted from the examination of single nutrients such as calcium and vitamin D to food groups such as dairy and fruit &amp; vegetables and dietary patterns are highly rich in potassium, magnesium, vitamin C, and niacin according to </w:t>
      </w:r>
      <w:r w:rsidRPr="00744858">
        <w:rPr>
          <w:rFonts w:ascii="Times New Roman" w:hAnsi="Times New Roman" w:cs="Times New Roman"/>
          <w:b/>
          <w:bCs/>
          <w:color w:val="222222"/>
          <w:sz w:val="24"/>
          <w:szCs w:val="24"/>
          <w:shd w:val="clear" w:color="auto" w:fill="FFFFFF"/>
        </w:rPr>
        <w:t xml:space="preserve">Hamidi 2011. </w:t>
      </w:r>
      <w:r w:rsidRPr="00744858">
        <w:rPr>
          <w:rFonts w:ascii="Times New Roman" w:hAnsi="Times New Roman" w:cs="Times New Roman"/>
          <w:color w:val="222222"/>
          <w:sz w:val="24"/>
          <w:szCs w:val="24"/>
          <w:shd w:val="clear" w:color="auto" w:fill="FFFFFF"/>
        </w:rPr>
        <w:t xml:space="preserve">Folates are linked to delay the onset of menopause and lengthens the reproductive life span. Antioxidants reduce the damaging effects of reactive oxygen species on the quantity and quality of ovarian follicles </w:t>
      </w:r>
      <w:r w:rsidRPr="00744858">
        <w:rPr>
          <w:rFonts w:ascii="Times New Roman" w:hAnsi="Times New Roman" w:cs="Times New Roman"/>
          <w:b/>
          <w:bCs/>
          <w:color w:val="222222"/>
          <w:sz w:val="24"/>
          <w:szCs w:val="24"/>
          <w:shd w:val="clear" w:color="auto" w:fill="FFFFFF"/>
        </w:rPr>
        <w:t>(Singh et al., 2023; Dasgupta and Ray, 2009; Macdonald et al., 2008)</w:t>
      </w:r>
      <w:r w:rsidRPr="00744858">
        <w:rPr>
          <w:rFonts w:ascii="Times New Roman" w:hAnsi="Times New Roman" w:cs="Times New Roman"/>
          <w:sz w:val="24"/>
          <w:szCs w:val="24"/>
        </w:rPr>
        <w:t xml:space="preserve"> </w:t>
      </w:r>
      <w:r w:rsidRPr="00744858">
        <w:rPr>
          <w:rFonts w:ascii="Times New Roman" w:hAnsi="Times New Roman" w:cs="Times New Roman"/>
          <w:color w:val="222222"/>
          <w:sz w:val="24"/>
          <w:szCs w:val="24"/>
          <w:shd w:val="clear" w:color="auto" w:fill="FFFFFF"/>
        </w:rPr>
        <w:t>whole grains, meat, fish, nuts and legumes has been found to have a beneficial impact on bone strength, which is directly linked to enhanced BMD and lower fracture risk. Recent findings have shown that Mediterranean diet adhesion is osteoporosis protective (</w:t>
      </w:r>
      <w:r w:rsidRPr="00744858">
        <w:rPr>
          <w:rFonts w:ascii="Times New Roman" w:hAnsi="Times New Roman" w:cs="Times New Roman"/>
          <w:b/>
          <w:bCs/>
          <w:color w:val="222222"/>
          <w:sz w:val="24"/>
          <w:szCs w:val="24"/>
          <w:shd w:val="clear" w:color="auto" w:fill="FFFFFF"/>
        </w:rPr>
        <w:t>Zupo et al. 2020)</w:t>
      </w:r>
      <w:r w:rsidRPr="00744858">
        <w:rPr>
          <w:rFonts w:ascii="Times New Roman" w:hAnsi="Times New Roman" w:cs="Times New Roman"/>
          <w:color w:val="222222"/>
          <w:sz w:val="24"/>
          <w:szCs w:val="24"/>
          <w:shd w:val="clear" w:color="auto" w:fill="FFFFFF"/>
        </w:rPr>
        <w:t>.</w:t>
      </w:r>
      <w:r w:rsidRPr="00744858">
        <w:rPr>
          <w:rFonts w:ascii="Times New Roman" w:hAnsi="Times New Roman" w:cs="Times New Roman"/>
          <w:sz w:val="24"/>
          <w:szCs w:val="24"/>
        </w:rPr>
        <w:t xml:space="preserve"> Menopause shows not only biological changes but also the social changes associated with the natural aging process, it is a taboo matter for the society that represents as loss of youth, loss of attractiveness, loss of possibilities. </w:t>
      </w:r>
      <w:r w:rsidRPr="00744858">
        <w:rPr>
          <w:rFonts w:ascii="Times New Roman" w:hAnsi="Times New Roman" w:cs="Times New Roman"/>
          <w:b/>
          <w:bCs/>
          <w:sz w:val="24"/>
          <w:szCs w:val="24"/>
        </w:rPr>
        <w:t>Soares and Taylor (2007)</w:t>
      </w:r>
      <w:r w:rsidRPr="00744858">
        <w:rPr>
          <w:rFonts w:ascii="Times New Roman" w:hAnsi="Times New Roman" w:cs="Times New Roman"/>
          <w:sz w:val="24"/>
          <w:szCs w:val="24"/>
        </w:rPr>
        <w:t xml:space="preserve">reported that in ovary, there is a depletion of ovarian follicles and no longer able to respond to the pituitary hormones, that is, follicle-stimulating hormone (FSH) and luteinizing hormone (LH), and ovarian </w:t>
      </w:r>
      <w:proofErr w:type="spellStart"/>
      <w:r w:rsidRPr="00744858">
        <w:rPr>
          <w:rFonts w:ascii="Times New Roman" w:hAnsi="Times New Roman" w:cs="Times New Roman"/>
          <w:sz w:val="24"/>
          <w:szCs w:val="24"/>
        </w:rPr>
        <w:t>estrogen</w:t>
      </w:r>
      <w:proofErr w:type="spellEnd"/>
      <w:r w:rsidRPr="00744858">
        <w:rPr>
          <w:rFonts w:ascii="Times New Roman" w:hAnsi="Times New Roman" w:cs="Times New Roman"/>
          <w:sz w:val="24"/>
          <w:szCs w:val="24"/>
        </w:rPr>
        <w:t xml:space="preserve"> and progesterone production ceases, so ovulation becomes somewhat erratic </w:t>
      </w:r>
      <w:r w:rsidRPr="00744858">
        <w:rPr>
          <w:rFonts w:ascii="Times New Roman" w:hAnsi="Times New Roman" w:cs="Times New Roman"/>
          <w:b/>
          <w:bCs/>
          <w:color w:val="222222"/>
          <w:sz w:val="24"/>
          <w:szCs w:val="24"/>
          <w:shd w:val="clear" w:color="auto" w:fill="FFFFFF"/>
        </w:rPr>
        <w:t>Lalo, R., (2017).</w:t>
      </w:r>
      <w:r w:rsidRPr="00744858">
        <w:rPr>
          <w:rFonts w:ascii="Times New Roman" w:hAnsi="Times New Roman" w:cs="Times New Roman"/>
          <w:color w:val="222222"/>
          <w:sz w:val="24"/>
          <w:szCs w:val="24"/>
          <w:shd w:val="clear" w:color="auto" w:fill="FFFFFF"/>
        </w:rPr>
        <w:t xml:space="preserve"> </w:t>
      </w:r>
    </w:p>
    <w:p w14:paraId="4687582E" w14:textId="77777777" w:rsidR="00EC147A" w:rsidRPr="00744858" w:rsidRDefault="00EC147A" w:rsidP="00EC147A">
      <w:pPr>
        <w:pStyle w:val="ListParagraph"/>
        <w:numPr>
          <w:ilvl w:val="0"/>
          <w:numId w:val="1"/>
        </w:numPr>
        <w:jc w:val="center"/>
        <w:rPr>
          <w:rFonts w:ascii="Times New Roman" w:hAnsi="Times New Roman" w:cs="Times New Roman"/>
          <w:b/>
          <w:bCs/>
          <w:sz w:val="28"/>
          <w:szCs w:val="28"/>
        </w:rPr>
      </w:pPr>
      <w:r w:rsidRPr="00744858">
        <w:rPr>
          <w:rFonts w:ascii="Times New Roman" w:hAnsi="Times New Roman" w:cs="Times New Roman"/>
          <w:b/>
          <w:bCs/>
          <w:sz w:val="28"/>
          <w:szCs w:val="28"/>
        </w:rPr>
        <w:t>Material Method</w:t>
      </w:r>
    </w:p>
    <w:p w14:paraId="514EBECB" w14:textId="77777777" w:rsidR="00EC147A" w:rsidRPr="00744858" w:rsidRDefault="00EC147A" w:rsidP="00EC147A">
      <w:pPr>
        <w:ind w:left="-567"/>
        <w:jc w:val="both"/>
        <w:rPr>
          <w:rFonts w:ascii="Times New Roman" w:hAnsi="Times New Roman" w:cs="Times New Roman"/>
          <w:sz w:val="24"/>
          <w:szCs w:val="24"/>
        </w:rPr>
      </w:pPr>
      <w:r w:rsidRPr="00744858">
        <w:rPr>
          <w:rFonts w:ascii="Times New Roman" w:hAnsi="Times New Roman" w:cs="Times New Roman"/>
          <w:sz w:val="24"/>
          <w:szCs w:val="24"/>
        </w:rPr>
        <w:t>This study was conducted in 12 month period from August, 2022 to July 2023. It is a cross- sectional study done in randomly selected urban (150) post menopause and rural (150) post menopause women of Ayodhya district. Variables including age, anthropometric factors height, weight, calorie and nutrients intake as well as the food habits were measured.</w:t>
      </w:r>
    </w:p>
    <w:p w14:paraId="54FA42AB" w14:textId="77777777" w:rsidR="00FD18C7" w:rsidRPr="00744858" w:rsidRDefault="00EC147A" w:rsidP="00FD18C7">
      <w:pPr>
        <w:ind w:left="-567"/>
        <w:jc w:val="both"/>
        <w:rPr>
          <w:rFonts w:ascii="Times New Roman" w:hAnsi="Times New Roman" w:cs="Times New Roman"/>
          <w:sz w:val="24"/>
          <w:szCs w:val="24"/>
        </w:rPr>
      </w:pPr>
      <w:r w:rsidRPr="00744858">
        <w:rPr>
          <w:rFonts w:ascii="Times New Roman" w:hAnsi="Times New Roman" w:cs="Times New Roman"/>
          <w:sz w:val="24"/>
          <w:szCs w:val="24"/>
        </w:rPr>
        <w:t>Total 300 post -menopausal women were identified for collecting information by using well-structured questionnaire. The collected data included background characteristics, socio-economic status, and psychological well-being. Additionally, general health examination was conducted as part of the study protocol</w:t>
      </w:r>
    </w:p>
    <w:p w14:paraId="1FDC7A8E" w14:textId="77777777" w:rsidR="009E6537" w:rsidRPr="00744858" w:rsidRDefault="009E6537" w:rsidP="00FD18C7">
      <w:pPr>
        <w:pStyle w:val="ListParagraph"/>
        <w:numPr>
          <w:ilvl w:val="0"/>
          <w:numId w:val="5"/>
        </w:numPr>
        <w:jc w:val="both"/>
        <w:rPr>
          <w:rFonts w:ascii="Times New Roman" w:hAnsi="Times New Roman" w:cs="Times New Roman"/>
          <w:sz w:val="24"/>
          <w:szCs w:val="24"/>
        </w:rPr>
      </w:pPr>
      <w:r w:rsidRPr="00744858">
        <w:rPr>
          <w:rFonts w:ascii="Times New Roman" w:hAnsi="Times New Roman" w:cs="Times New Roman"/>
          <w:b/>
          <w:bCs/>
          <w:color w:val="212121"/>
          <w:sz w:val="24"/>
          <w:szCs w:val="24"/>
          <w:shd w:val="clear" w:color="auto" w:fill="FFFFFF"/>
        </w:rPr>
        <w:t>Body Mass Index (BMI): (Kg/m</w:t>
      </w:r>
      <w:r w:rsidRPr="00744858">
        <w:rPr>
          <w:rFonts w:ascii="Times New Roman" w:hAnsi="Times New Roman" w:cs="Times New Roman"/>
          <w:b/>
          <w:bCs/>
          <w:color w:val="212121"/>
          <w:sz w:val="24"/>
          <w:szCs w:val="24"/>
          <w:shd w:val="clear" w:color="auto" w:fill="FFFFFF"/>
          <w:vertAlign w:val="superscript"/>
        </w:rPr>
        <w:t>2</w:t>
      </w:r>
      <w:r w:rsidRPr="00744858">
        <w:rPr>
          <w:rFonts w:ascii="Times New Roman" w:hAnsi="Times New Roman" w:cs="Times New Roman"/>
          <w:b/>
          <w:bCs/>
          <w:color w:val="212121"/>
          <w:sz w:val="24"/>
          <w:szCs w:val="24"/>
          <w:shd w:val="clear" w:color="auto" w:fill="FFFFFF"/>
        </w:rPr>
        <w:t>)</w:t>
      </w:r>
    </w:p>
    <w:p w14:paraId="68566AA8" w14:textId="77777777" w:rsidR="009E6537" w:rsidRPr="00744858" w:rsidRDefault="009E6537" w:rsidP="009E6537">
      <w:pPr>
        <w:spacing w:line="240" w:lineRule="auto"/>
        <w:ind w:right="180"/>
        <w:jc w:val="both"/>
        <w:rPr>
          <w:rFonts w:ascii="Times New Roman" w:hAnsi="Times New Roman" w:cs="Times New Roman"/>
          <w:sz w:val="24"/>
          <w:szCs w:val="24"/>
        </w:rPr>
      </w:pPr>
      <w:r w:rsidRPr="00744858">
        <w:rPr>
          <w:rFonts w:ascii="Times New Roman" w:hAnsi="Times New Roman" w:cs="Times New Roman"/>
          <w:sz w:val="24"/>
          <w:szCs w:val="24"/>
        </w:rPr>
        <w:lastRenderedPageBreak/>
        <w:t xml:space="preserve">The BMI of the respondents shall be </w:t>
      </w:r>
      <w:r w:rsidRPr="00744858">
        <w:rPr>
          <w:rFonts w:ascii="Times New Roman" w:hAnsi="Times New Roman" w:cs="Times New Roman"/>
          <w:color w:val="212121"/>
          <w:sz w:val="24"/>
          <w:szCs w:val="24"/>
          <w:shd w:val="clear" w:color="auto" w:fill="FFFFFF"/>
        </w:rPr>
        <w:t xml:space="preserve">calculated using data on height and weight of the respondent using the equation given by Garrow (1981). </w:t>
      </w:r>
      <w:r w:rsidRPr="00744858">
        <w:rPr>
          <w:rFonts w:ascii="Times New Roman" w:hAnsi="Times New Roman" w:cs="Times New Roman"/>
          <w:sz w:val="24"/>
          <w:szCs w:val="24"/>
        </w:rPr>
        <w:t xml:space="preserve">  </w:t>
      </w:r>
    </w:p>
    <w:p w14:paraId="56469D66" w14:textId="77777777" w:rsidR="009E6537" w:rsidRPr="00744858" w:rsidRDefault="009E6537" w:rsidP="009E6537">
      <w:pPr>
        <w:spacing w:line="240" w:lineRule="auto"/>
        <w:ind w:right="180"/>
        <w:jc w:val="both"/>
        <w:rPr>
          <w:rFonts w:ascii="Times New Roman" w:hAnsi="Times New Roman" w:cs="Times New Roman"/>
          <w:sz w:val="24"/>
          <w:szCs w:val="24"/>
        </w:rPr>
      </w:pPr>
      <w:r w:rsidRPr="00744858">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5B923F48" wp14:editId="1492A079">
                <wp:simplePos x="0" y="0"/>
                <wp:positionH relativeFrom="column">
                  <wp:posOffset>1572260</wp:posOffset>
                </wp:positionH>
                <wp:positionV relativeFrom="paragraph">
                  <wp:posOffset>259715</wp:posOffset>
                </wp:positionV>
                <wp:extent cx="1329055" cy="0"/>
                <wp:effectExtent l="0" t="0" r="23495" b="19050"/>
                <wp:wrapNone/>
                <wp:docPr id="318" name="Straight Connector 318"/>
                <wp:cNvGraphicFramePr/>
                <a:graphic xmlns:a="http://schemas.openxmlformats.org/drawingml/2006/main">
                  <a:graphicData uri="http://schemas.microsoft.com/office/word/2010/wordprocessingShape">
                    <wps:wsp>
                      <wps:cNvCnPr/>
                      <wps:spPr>
                        <a:xfrm>
                          <a:off x="0" y="0"/>
                          <a:ext cx="1329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49932" id="Straight Connector 3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pt,20.45pt" to="228.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Y9mAEAAIgDAAAOAAAAZHJzL2Uyb0RvYy54bWysU02P0zAQvSPxHyzfadKiR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" strokecolor="black [3040]"/>
            </w:pict>
          </mc:Fallback>
        </mc:AlternateContent>
      </w:r>
      <w:r w:rsidRPr="00744858">
        <w:rPr>
          <w:rFonts w:ascii="Times New Roman" w:hAnsi="Times New Roman" w:cs="Times New Roman"/>
          <w:sz w:val="24"/>
          <w:szCs w:val="24"/>
        </w:rPr>
        <w:t xml:space="preserve">                                          Weight (kg)                                                                               </w:t>
      </w:r>
    </w:p>
    <w:p w14:paraId="6E11413F" w14:textId="77777777" w:rsidR="009E6537" w:rsidRPr="00744858" w:rsidRDefault="009E6537" w:rsidP="009E6537">
      <w:pPr>
        <w:pStyle w:val="NoSpacing"/>
        <w:ind w:right="180"/>
        <w:jc w:val="both"/>
        <w:rPr>
          <w:rFonts w:ascii="Times New Roman" w:hAnsi="Times New Roman" w:cs="Times New Roman"/>
          <w:sz w:val="24"/>
          <w:szCs w:val="24"/>
        </w:rPr>
      </w:pPr>
      <w:r w:rsidRPr="00744858">
        <w:rPr>
          <w:rFonts w:ascii="Times New Roman" w:hAnsi="Times New Roman" w:cs="Times New Roman"/>
          <w:sz w:val="24"/>
          <w:szCs w:val="24"/>
        </w:rPr>
        <w:t xml:space="preserve">                 BMI   =           </w:t>
      </w:r>
      <w:r w:rsidRPr="00744858">
        <w:rPr>
          <w:rFonts w:ascii="Cambria Math" w:hAnsi="Cambria Math" w:cs="Cambria Math"/>
          <w:sz w:val="24"/>
          <w:szCs w:val="24"/>
        </w:rPr>
        <w:t>𝐻𝑒𝑖𝑔</w:t>
      </w:r>
      <w:r w:rsidRPr="00744858">
        <w:rPr>
          <w:rFonts w:ascii="Times New Roman" w:hAnsi="Times New Roman" w:cs="Times New Roman"/>
          <w:sz w:val="24"/>
          <w:szCs w:val="24"/>
        </w:rPr>
        <w:t>ℎ</w:t>
      </w:r>
      <w:r w:rsidRPr="00744858">
        <w:rPr>
          <w:rFonts w:ascii="Cambria Math" w:hAnsi="Cambria Math" w:cs="Cambria Math"/>
          <w:sz w:val="24"/>
          <w:szCs w:val="24"/>
        </w:rPr>
        <w:t>𝑡</w:t>
      </w:r>
      <w:r w:rsidRPr="00744858">
        <w:rPr>
          <w:rFonts w:ascii="Times New Roman" w:hAnsi="Times New Roman" w:cs="Times New Roman"/>
          <w:sz w:val="24"/>
          <w:szCs w:val="24"/>
        </w:rPr>
        <w:t xml:space="preserve"> (</w:t>
      </w:r>
      <w:r w:rsidRPr="00744858">
        <w:rPr>
          <w:rFonts w:ascii="Cambria Math" w:hAnsi="Cambria Math" w:cs="Cambria Math"/>
          <w:sz w:val="24"/>
          <w:szCs w:val="24"/>
        </w:rPr>
        <w:t>𝑖𝑛</w:t>
      </w:r>
      <w:r w:rsidRPr="00744858">
        <w:rPr>
          <w:rFonts w:ascii="Times New Roman" w:hAnsi="Times New Roman" w:cs="Times New Roman"/>
          <w:sz w:val="24"/>
          <w:szCs w:val="24"/>
        </w:rPr>
        <w:t xml:space="preserve"> </w:t>
      </w:r>
      <w:r w:rsidRPr="00744858">
        <w:rPr>
          <w:rFonts w:ascii="Cambria Math" w:hAnsi="Cambria Math" w:cs="Cambria Math"/>
          <w:sz w:val="24"/>
          <w:szCs w:val="24"/>
        </w:rPr>
        <w:t>𝑚𝑒𝑡𝑟𝑒</w:t>
      </w:r>
      <w:r w:rsidRPr="00744858">
        <w:rPr>
          <w:rFonts w:ascii="Times New Roman" w:hAnsi="Times New Roman" w:cs="Times New Roman"/>
          <w:sz w:val="24"/>
          <w:szCs w:val="24"/>
        </w:rPr>
        <w:t>) 2</w:t>
      </w:r>
    </w:p>
    <w:p w14:paraId="2700FD02" w14:textId="77777777" w:rsidR="009E6537" w:rsidRPr="00744858" w:rsidRDefault="00EC147A" w:rsidP="00EC147A">
      <w:pPr>
        <w:ind w:left="-567"/>
        <w:jc w:val="both"/>
        <w:rPr>
          <w:rFonts w:ascii="Times New Roman" w:hAnsi="Times New Roman" w:cs="Times New Roman"/>
          <w:sz w:val="24"/>
          <w:szCs w:val="24"/>
        </w:rPr>
      </w:pPr>
      <w:r w:rsidRPr="00744858">
        <w:rPr>
          <w:rFonts w:ascii="Times New Roman" w:hAnsi="Times New Roman" w:cs="Times New Roman"/>
          <w:sz w:val="24"/>
          <w:szCs w:val="24"/>
        </w:rPr>
        <w:t xml:space="preserve">. </w:t>
      </w:r>
    </w:p>
    <w:p w14:paraId="6BF6F796" w14:textId="77777777" w:rsidR="00FD18C7" w:rsidRPr="00744858" w:rsidRDefault="00EC147A" w:rsidP="00FD18C7">
      <w:pPr>
        <w:ind w:left="-567"/>
        <w:jc w:val="both"/>
        <w:rPr>
          <w:rFonts w:ascii="Times New Roman" w:hAnsi="Times New Roman" w:cs="Times New Roman"/>
          <w:sz w:val="24"/>
          <w:szCs w:val="24"/>
        </w:rPr>
      </w:pPr>
      <w:r w:rsidRPr="00744858">
        <w:rPr>
          <w:rFonts w:ascii="Times New Roman" w:hAnsi="Times New Roman" w:cs="Times New Roman"/>
          <w:sz w:val="24"/>
          <w:szCs w:val="24"/>
        </w:rPr>
        <w:t xml:space="preserve">Body weight and height were measured as using weighing scale and non –stretchable tape and  Body mass index (BMI) was calculated by the ratio of weight in (kilograms) to the square of height in meters </w:t>
      </w:r>
      <w:r w:rsidRPr="00744858">
        <w:rPr>
          <w:rFonts w:ascii="Times New Roman" w:hAnsi="Times New Roman" w:cs="Times New Roman"/>
          <w:b/>
          <w:bCs/>
          <w:sz w:val="24"/>
          <w:szCs w:val="24"/>
        </w:rPr>
        <w:t>(Lee &amp; Nieman 2013).</w:t>
      </w:r>
      <w:r w:rsidRPr="00744858">
        <w:rPr>
          <w:rFonts w:ascii="Times New Roman" w:hAnsi="Times New Roman" w:cs="Times New Roman"/>
          <w:sz w:val="24"/>
          <w:szCs w:val="24"/>
        </w:rPr>
        <w:t xml:space="preserve">  </w:t>
      </w:r>
    </w:p>
    <w:p w14:paraId="7C8528BB" w14:textId="77777777" w:rsidR="00FD18C7" w:rsidRPr="00744858" w:rsidRDefault="00FD18C7" w:rsidP="00FD18C7">
      <w:pPr>
        <w:pStyle w:val="ListParagraph"/>
        <w:numPr>
          <w:ilvl w:val="0"/>
          <w:numId w:val="5"/>
        </w:numPr>
        <w:jc w:val="both"/>
        <w:rPr>
          <w:rFonts w:ascii="Times New Roman" w:hAnsi="Times New Roman" w:cs="Times New Roman"/>
          <w:b/>
          <w:bCs/>
          <w:sz w:val="24"/>
          <w:szCs w:val="24"/>
          <w:shd w:val="clear" w:color="auto" w:fill="FFFFFF"/>
          <w:lang w:val="en-US"/>
        </w:rPr>
      </w:pPr>
      <w:r w:rsidRPr="00744858">
        <w:rPr>
          <w:rFonts w:ascii="Times New Roman" w:hAnsi="Times New Roman" w:cs="Times New Roman"/>
          <w:b/>
          <w:bCs/>
          <w:sz w:val="24"/>
          <w:szCs w:val="24"/>
          <w:shd w:val="clear" w:color="auto" w:fill="FFFFFF"/>
          <w:lang w:val="en-US"/>
        </w:rPr>
        <w:t>Adequacy of food</w:t>
      </w:r>
    </w:p>
    <w:p w14:paraId="1B7875DD" w14:textId="77777777" w:rsidR="00FD18C7" w:rsidRPr="00744858" w:rsidRDefault="00EC147A" w:rsidP="00FD18C7">
      <w:pPr>
        <w:ind w:left="-567"/>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rPr>
        <w:t xml:space="preserve">For dietary assessment, Arabic Food Frequency Questionnaire (FFQ), which has been developed and tested previously for reproducibility and validity </w:t>
      </w:r>
      <w:r w:rsidRPr="00744858">
        <w:rPr>
          <w:rFonts w:ascii="Times New Roman" w:hAnsi="Times New Roman" w:cs="Times New Roman"/>
          <w:b/>
          <w:bCs/>
          <w:sz w:val="24"/>
          <w:szCs w:val="24"/>
        </w:rPr>
        <w:t>(</w:t>
      </w:r>
      <w:proofErr w:type="spellStart"/>
      <w:r w:rsidRPr="00744858">
        <w:rPr>
          <w:rFonts w:ascii="Times New Roman" w:hAnsi="Times New Roman" w:cs="Times New Roman"/>
          <w:b/>
          <w:bCs/>
          <w:sz w:val="24"/>
          <w:szCs w:val="24"/>
        </w:rPr>
        <w:t>Tayyem</w:t>
      </w:r>
      <w:proofErr w:type="spellEnd"/>
      <w:r w:rsidRPr="00744858">
        <w:rPr>
          <w:rFonts w:ascii="Times New Roman" w:hAnsi="Times New Roman" w:cs="Times New Roman"/>
          <w:b/>
          <w:bCs/>
          <w:sz w:val="24"/>
          <w:szCs w:val="24"/>
        </w:rPr>
        <w:t xml:space="preserve"> et al. 2014)</w:t>
      </w:r>
      <w:r w:rsidRPr="00744858">
        <w:rPr>
          <w:rFonts w:ascii="Times New Roman" w:hAnsi="Times New Roman" w:cs="Times New Roman"/>
          <w:sz w:val="24"/>
          <w:szCs w:val="24"/>
        </w:rPr>
        <w:t xml:space="preserve"> was used to determine dietary patterns associated with the risk of osteoporosis. The FFQ questions track the information on the dietary history </w:t>
      </w:r>
      <w:proofErr w:type="gramStart"/>
      <w:r w:rsidRPr="00744858">
        <w:rPr>
          <w:rFonts w:ascii="Times New Roman" w:hAnsi="Times New Roman" w:cs="Times New Roman"/>
          <w:sz w:val="24"/>
          <w:szCs w:val="24"/>
        </w:rPr>
        <w:t>of  participants</w:t>
      </w:r>
      <w:proofErr w:type="gramEnd"/>
      <w:r w:rsidRPr="00744858">
        <w:rPr>
          <w:rFonts w:ascii="Times New Roman" w:hAnsi="Times New Roman" w:cs="Times New Roman"/>
          <w:sz w:val="24"/>
          <w:szCs w:val="24"/>
        </w:rPr>
        <w:t xml:space="preserve"> which  assess the dietary habits, Food intake of participants.   Food lists in the modified FFQ questions were classified based on types of foods: such </w:t>
      </w:r>
      <w:proofErr w:type="gramStart"/>
      <w:r w:rsidRPr="00744858">
        <w:rPr>
          <w:rFonts w:ascii="Times New Roman" w:hAnsi="Times New Roman" w:cs="Times New Roman"/>
          <w:sz w:val="24"/>
          <w:szCs w:val="24"/>
        </w:rPr>
        <w:t>as :</w:t>
      </w:r>
      <w:proofErr w:type="gramEnd"/>
      <w:r w:rsidRPr="00744858">
        <w:rPr>
          <w:rFonts w:ascii="Times New Roman" w:hAnsi="Times New Roman" w:cs="Times New Roman"/>
          <w:sz w:val="24"/>
          <w:szCs w:val="24"/>
        </w:rPr>
        <w:t xml:space="preserve"> Cereals, Plusses, millets, vegetables, , milk and dairy products, as per Food plates. </w:t>
      </w:r>
      <w:r w:rsidR="00FD18C7" w:rsidRPr="00744858">
        <w:rPr>
          <w:rFonts w:ascii="Times New Roman" w:hAnsi="Times New Roman" w:cs="Times New Roman"/>
          <w:sz w:val="24"/>
          <w:szCs w:val="24"/>
          <w:shd w:val="clear" w:color="auto" w:fill="FFFFFF"/>
        </w:rPr>
        <w:t>The adequacy of food and nutrient intakes of the subjects shall be categorized into the following four groups:</w:t>
      </w:r>
    </w:p>
    <w:p w14:paraId="774E505C" w14:textId="77777777" w:rsidR="00A52355" w:rsidRPr="00744858" w:rsidRDefault="00A52355" w:rsidP="00A52355">
      <w:pPr>
        <w:ind w:left="-567"/>
        <w:jc w:val="center"/>
        <w:rPr>
          <w:rFonts w:ascii="Times New Roman" w:hAnsi="Times New Roman" w:cs="Times New Roman"/>
          <w:b/>
          <w:bCs/>
          <w:sz w:val="24"/>
          <w:szCs w:val="24"/>
          <w:shd w:val="clear" w:color="auto" w:fill="FFFFFF"/>
        </w:rPr>
      </w:pPr>
      <w:r w:rsidRPr="00744858">
        <w:rPr>
          <w:rFonts w:ascii="Times New Roman" w:hAnsi="Times New Roman" w:cs="Times New Roman"/>
          <w:b/>
          <w:bCs/>
          <w:sz w:val="24"/>
          <w:szCs w:val="24"/>
          <w:shd w:val="clear" w:color="auto" w:fill="FFFFFF"/>
        </w:rPr>
        <w:t>Table No: 1 Adequacy of food/nutrient intake</w:t>
      </w:r>
    </w:p>
    <w:tbl>
      <w:tblPr>
        <w:tblStyle w:val="TableGrid"/>
        <w:tblpPr w:leftFromText="180" w:rightFromText="180" w:vertAnchor="text" w:horzAnchor="margin" w:tblpXSpec="center" w:tblpY="118"/>
        <w:tblW w:w="0" w:type="auto"/>
        <w:tblLook w:val="04A0" w:firstRow="1" w:lastRow="0" w:firstColumn="1" w:lastColumn="0" w:noHBand="0" w:noVBand="1"/>
      </w:tblPr>
      <w:tblGrid>
        <w:gridCol w:w="3060"/>
        <w:gridCol w:w="1890"/>
      </w:tblGrid>
      <w:tr w:rsidR="00FD18C7" w:rsidRPr="00744858" w14:paraId="1B1D42A1" w14:textId="77777777" w:rsidTr="0015735A">
        <w:tc>
          <w:tcPr>
            <w:tcW w:w="4950" w:type="dxa"/>
            <w:gridSpan w:val="2"/>
          </w:tcPr>
          <w:p w14:paraId="126DD8A7"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b/>
                <w:bCs/>
                <w:sz w:val="24"/>
                <w:szCs w:val="24"/>
                <w:shd w:val="clear" w:color="auto" w:fill="FFFFFF"/>
              </w:rPr>
              <w:t>Adequacy of food/nutrient intake</w:t>
            </w:r>
          </w:p>
        </w:tc>
      </w:tr>
      <w:tr w:rsidR="00FD18C7" w:rsidRPr="00744858" w14:paraId="13000AEF" w14:textId="77777777" w:rsidTr="0015735A">
        <w:tc>
          <w:tcPr>
            <w:tcW w:w="3060" w:type="dxa"/>
          </w:tcPr>
          <w:p w14:paraId="4C91EAA9"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b/>
                <w:bCs/>
                <w:sz w:val="24"/>
                <w:szCs w:val="24"/>
                <w:shd w:val="clear" w:color="auto" w:fill="FFFFFF"/>
              </w:rPr>
              <w:t>(% SDI/RDA)</w:t>
            </w:r>
          </w:p>
        </w:tc>
        <w:tc>
          <w:tcPr>
            <w:tcW w:w="1890" w:type="dxa"/>
          </w:tcPr>
          <w:p w14:paraId="14E43CE0"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b/>
                <w:bCs/>
                <w:sz w:val="24"/>
                <w:szCs w:val="24"/>
                <w:shd w:val="clear" w:color="auto" w:fill="FFFFFF"/>
              </w:rPr>
              <w:t>Score</w:t>
            </w:r>
          </w:p>
        </w:tc>
      </w:tr>
      <w:tr w:rsidR="00FD18C7" w:rsidRPr="00744858" w14:paraId="59791FD7" w14:textId="77777777" w:rsidTr="0015735A">
        <w:tc>
          <w:tcPr>
            <w:tcW w:w="3060" w:type="dxa"/>
          </w:tcPr>
          <w:p w14:paraId="03B03717"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t>100% and above</w:t>
            </w:r>
          </w:p>
        </w:tc>
        <w:tc>
          <w:tcPr>
            <w:tcW w:w="1890" w:type="dxa"/>
          </w:tcPr>
          <w:p w14:paraId="1A3E0CAE"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t>I</w:t>
            </w:r>
          </w:p>
        </w:tc>
      </w:tr>
      <w:tr w:rsidR="00FD18C7" w:rsidRPr="00744858" w14:paraId="12608156" w14:textId="77777777" w:rsidTr="0015735A">
        <w:tc>
          <w:tcPr>
            <w:tcW w:w="3060" w:type="dxa"/>
          </w:tcPr>
          <w:p w14:paraId="16C75087"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t>75-99.9%</w:t>
            </w:r>
          </w:p>
        </w:tc>
        <w:tc>
          <w:tcPr>
            <w:tcW w:w="1890" w:type="dxa"/>
          </w:tcPr>
          <w:p w14:paraId="77690137"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t>II</w:t>
            </w:r>
          </w:p>
        </w:tc>
      </w:tr>
      <w:tr w:rsidR="00FD18C7" w:rsidRPr="00744858" w14:paraId="31BEB959" w14:textId="77777777" w:rsidTr="0015735A">
        <w:tc>
          <w:tcPr>
            <w:tcW w:w="3060" w:type="dxa"/>
          </w:tcPr>
          <w:p w14:paraId="1B4E7884"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t>50-74.9%</w:t>
            </w:r>
          </w:p>
        </w:tc>
        <w:tc>
          <w:tcPr>
            <w:tcW w:w="1890" w:type="dxa"/>
          </w:tcPr>
          <w:p w14:paraId="2C72233E"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t>III</w:t>
            </w:r>
          </w:p>
        </w:tc>
      </w:tr>
      <w:tr w:rsidR="00FD18C7" w:rsidRPr="00744858" w14:paraId="3A98F070" w14:textId="77777777" w:rsidTr="0015735A">
        <w:trPr>
          <w:trHeight w:val="399"/>
        </w:trPr>
        <w:tc>
          <w:tcPr>
            <w:tcW w:w="3060" w:type="dxa"/>
          </w:tcPr>
          <w:p w14:paraId="7CD94B2B"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t>Below 50%</w:t>
            </w:r>
          </w:p>
        </w:tc>
        <w:tc>
          <w:tcPr>
            <w:tcW w:w="1890" w:type="dxa"/>
          </w:tcPr>
          <w:p w14:paraId="3725A788" w14:textId="77777777" w:rsidR="00FD18C7" w:rsidRPr="00744858" w:rsidRDefault="00FD18C7" w:rsidP="00744858">
            <w:pPr>
              <w:spacing w:line="276" w:lineRule="auto"/>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t>IV</w:t>
            </w:r>
          </w:p>
        </w:tc>
      </w:tr>
    </w:tbl>
    <w:p w14:paraId="184CBEF9" w14:textId="77777777" w:rsidR="00FD18C7" w:rsidRPr="00744858" w:rsidRDefault="00FD18C7" w:rsidP="00FD18C7">
      <w:pPr>
        <w:ind w:left="-567"/>
        <w:jc w:val="both"/>
        <w:rPr>
          <w:rFonts w:ascii="Times New Roman" w:hAnsi="Times New Roman" w:cs="Times New Roman"/>
          <w:sz w:val="24"/>
          <w:szCs w:val="24"/>
        </w:rPr>
      </w:pPr>
    </w:p>
    <w:p w14:paraId="53471878" w14:textId="77777777" w:rsidR="00EC147A" w:rsidRPr="00744858" w:rsidRDefault="00EC147A" w:rsidP="00EC147A">
      <w:pPr>
        <w:ind w:left="-567"/>
        <w:jc w:val="both"/>
        <w:rPr>
          <w:rFonts w:ascii="Times New Roman" w:hAnsi="Times New Roman" w:cs="Times New Roman"/>
          <w:sz w:val="24"/>
          <w:szCs w:val="24"/>
        </w:rPr>
      </w:pPr>
    </w:p>
    <w:p w14:paraId="69828E68" w14:textId="77777777" w:rsidR="00FD18C7" w:rsidRPr="00744858" w:rsidRDefault="00FD18C7" w:rsidP="00FD18C7">
      <w:pPr>
        <w:spacing w:line="240" w:lineRule="auto"/>
        <w:ind w:right="180"/>
        <w:jc w:val="both"/>
        <w:rPr>
          <w:rFonts w:ascii="Times New Roman" w:hAnsi="Times New Roman" w:cs="Times New Roman"/>
          <w:b/>
          <w:bCs/>
          <w:color w:val="212121"/>
          <w:sz w:val="24"/>
          <w:szCs w:val="24"/>
          <w:shd w:val="clear" w:color="auto" w:fill="FFFFFF"/>
        </w:rPr>
      </w:pPr>
    </w:p>
    <w:p w14:paraId="509E0B50" w14:textId="77777777" w:rsidR="00FD18C7" w:rsidRPr="00744858" w:rsidRDefault="00FD18C7" w:rsidP="00FD18C7">
      <w:pPr>
        <w:spacing w:line="240" w:lineRule="auto"/>
        <w:ind w:right="180"/>
        <w:jc w:val="both"/>
        <w:rPr>
          <w:rFonts w:ascii="Times New Roman" w:hAnsi="Times New Roman" w:cs="Times New Roman"/>
          <w:b/>
          <w:bCs/>
          <w:color w:val="212121"/>
          <w:sz w:val="24"/>
          <w:szCs w:val="24"/>
          <w:shd w:val="clear" w:color="auto" w:fill="FFFFFF"/>
        </w:rPr>
      </w:pPr>
    </w:p>
    <w:p w14:paraId="5A24EC9B" w14:textId="77777777" w:rsidR="00FD18C7" w:rsidRPr="00744858" w:rsidRDefault="00FD18C7" w:rsidP="00FD18C7">
      <w:pPr>
        <w:spacing w:line="240" w:lineRule="auto"/>
        <w:ind w:right="180"/>
        <w:jc w:val="both"/>
        <w:rPr>
          <w:rFonts w:ascii="Times New Roman" w:hAnsi="Times New Roman" w:cs="Times New Roman"/>
          <w:b/>
          <w:bCs/>
          <w:color w:val="212121"/>
          <w:sz w:val="24"/>
          <w:szCs w:val="24"/>
          <w:shd w:val="clear" w:color="auto" w:fill="FFFFFF"/>
        </w:rPr>
      </w:pPr>
    </w:p>
    <w:p w14:paraId="5595C967" w14:textId="77777777" w:rsidR="00FD18C7" w:rsidRPr="00744858" w:rsidRDefault="00FD18C7" w:rsidP="00FD18C7">
      <w:pPr>
        <w:spacing w:line="240" w:lineRule="auto"/>
        <w:ind w:right="180"/>
        <w:jc w:val="both"/>
        <w:rPr>
          <w:rFonts w:ascii="Times New Roman" w:hAnsi="Times New Roman" w:cs="Times New Roman"/>
          <w:b/>
          <w:bCs/>
          <w:color w:val="212121"/>
          <w:sz w:val="24"/>
          <w:szCs w:val="24"/>
          <w:shd w:val="clear" w:color="auto" w:fill="FFFFFF"/>
        </w:rPr>
      </w:pPr>
    </w:p>
    <w:p w14:paraId="6E5C5F1D" w14:textId="77777777" w:rsidR="00A52355" w:rsidRPr="00744858" w:rsidRDefault="00A52355" w:rsidP="00FD18C7">
      <w:pPr>
        <w:spacing w:line="240" w:lineRule="auto"/>
        <w:ind w:right="180"/>
        <w:jc w:val="both"/>
        <w:rPr>
          <w:rFonts w:ascii="Times New Roman" w:hAnsi="Times New Roman" w:cs="Times New Roman"/>
          <w:b/>
          <w:bCs/>
          <w:color w:val="212121"/>
          <w:sz w:val="24"/>
          <w:szCs w:val="24"/>
          <w:shd w:val="clear" w:color="auto" w:fill="FFFFFF"/>
        </w:rPr>
      </w:pPr>
    </w:p>
    <w:p w14:paraId="68B9CE8C" w14:textId="77777777" w:rsidR="00FD18C7" w:rsidRPr="00744858" w:rsidRDefault="00FD18C7" w:rsidP="00FD18C7">
      <w:pPr>
        <w:spacing w:line="240" w:lineRule="auto"/>
        <w:ind w:right="180"/>
        <w:jc w:val="both"/>
        <w:rPr>
          <w:rFonts w:ascii="Times New Roman" w:hAnsi="Times New Roman" w:cs="Times New Roman"/>
          <w:b/>
          <w:bCs/>
          <w:color w:val="212121"/>
          <w:sz w:val="24"/>
          <w:szCs w:val="24"/>
          <w:shd w:val="clear" w:color="auto" w:fill="FFFFFF"/>
        </w:rPr>
      </w:pPr>
    </w:p>
    <w:p w14:paraId="3B35CA2B" w14:textId="77777777" w:rsidR="00FD18C7" w:rsidRPr="00744858" w:rsidRDefault="00FD18C7" w:rsidP="00FD18C7">
      <w:pPr>
        <w:spacing w:line="240" w:lineRule="auto"/>
        <w:ind w:right="180"/>
        <w:jc w:val="both"/>
        <w:rPr>
          <w:rFonts w:ascii="Times New Roman" w:hAnsi="Times New Roman" w:cs="Times New Roman"/>
          <w:b/>
          <w:bCs/>
          <w:color w:val="212121"/>
          <w:sz w:val="24"/>
          <w:szCs w:val="24"/>
          <w:shd w:val="clear" w:color="auto" w:fill="FFFFFF"/>
        </w:rPr>
      </w:pPr>
    </w:p>
    <w:p w14:paraId="1999B063" w14:textId="77777777" w:rsidR="00FD18C7" w:rsidRPr="00744858" w:rsidRDefault="00FD18C7" w:rsidP="00FD18C7">
      <w:pPr>
        <w:pStyle w:val="ListParagraph"/>
        <w:numPr>
          <w:ilvl w:val="0"/>
          <w:numId w:val="5"/>
        </w:numPr>
        <w:spacing w:line="240" w:lineRule="auto"/>
        <w:ind w:right="180"/>
        <w:jc w:val="both"/>
        <w:rPr>
          <w:rFonts w:ascii="Times New Roman" w:hAnsi="Times New Roman" w:cs="Times New Roman"/>
          <w:color w:val="212121"/>
          <w:sz w:val="24"/>
          <w:szCs w:val="24"/>
          <w:shd w:val="clear" w:color="auto" w:fill="FFFFFF"/>
        </w:rPr>
      </w:pPr>
      <w:r w:rsidRPr="00744858">
        <w:rPr>
          <w:rFonts w:ascii="Times New Roman" w:hAnsi="Times New Roman" w:cs="Times New Roman"/>
          <w:b/>
          <w:bCs/>
          <w:color w:val="212121"/>
          <w:sz w:val="24"/>
          <w:szCs w:val="24"/>
          <w:shd w:val="clear" w:color="auto" w:fill="FFFFFF"/>
        </w:rPr>
        <w:t>Nutrient intake</w:t>
      </w:r>
    </w:p>
    <w:p w14:paraId="3810747F" w14:textId="77777777" w:rsidR="00FD18C7" w:rsidRPr="00744858" w:rsidRDefault="00FD18C7" w:rsidP="00744858">
      <w:pPr>
        <w:ind w:right="-25"/>
        <w:jc w:val="both"/>
        <w:rPr>
          <w:rFonts w:ascii="Times New Roman" w:hAnsi="Times New Roman" w:cs="Times New Roman"/>
          <w:color w:val="212121"/>
          <w:sz w:val="24"/>
          <w:szCs w:val="24"/>
          <w:shd w:val="clear" w:color="auto" w:fill="FFFFFF"/>
        </w:rPr>
      </w:pPr>
      <w:r w:rsidRPr="00744858">
        <w:rPr>
          <w:rFonts w:ascii="Times New Roman" w:hAnsi="Times New Roman" w:cs="Times New Roman"/>
          <w:color w:val="212121"/>
          <w:sz w:val="24"/>
          <w:szCs w:val="24"/>
          <w:shd w:val="clear" w:color="auto" w:fill="FFFFFF"/>
          <w:lang w:val="en-US"/>
        </w:rPr>
        <w:t xml:space="preserve">The </w:t>
      </w:r>
      <w:r w:rsidRPr="00744858">
        <w:rPr>
          <w:rFonts w:ascii="Times New Roman" w:hAnsi="Times New Roman" w:cs="Times New Roman"/>
          <w:color w:val="212121"/>
          <w:sz w:val="24"/>
          <w:szCs w:val="24"/>
          <w:shd w:val="clear" w:color="auto" w:fill="FFFFFF"/>
        </w:rPr>
        <w:t>intake</w:t>
      </w:r>
      <w:r w:rsidRPr="00744858">
        <w:rPr>
          <w:rFonts w:ascii="Times New Roman" w:hAnsi="Times New Roman" w:cs="Times New Roman"/>
          <w:color w:val="212121"/>
          <w:sz w:val="24"/>
          <w:szCs w:val="24"/>
          <w:shd w:val="clear" w:color="auto" w:fill="FFFFFF"/>
          <w:lang w:val="en-US"/>
        </w:rPr>
        <w:t xml:space="preserve"> of different nutrients like energy, protein, fat, calcium, iron, </w:t>
      </w:r>
      <w:r w:rsidRPr="00744858">
        <w:rPr>
          <w:rFonts w:ascii="Times New Roman" w:hAnsi="Times New Roman" w:cs="Times New Roman"/>
          <w:color w:val="212121"/>
          <w:sz w:val="24"/>
          <w:szCs w:val="24"/>
          <w:shd w:val="clear" w:color="auto" w:fill="FFFFFF"/>
        </w:rPr>
        <w:t xml:space="preserve">Vitamin C, Vitamin D, Phytoestrogen zinc, phosphorus, potassium and </w:t>
      </w:r>
      <w:r w:rsidRPr="00744858">
        <w:rPr>
          <w:rFonts w:ascii="Times New Roman" w:hAnsi="Times New Roman" w:cs="Times New Roman"/>
          <w:color w:val="212121"/>
          <w:sz w:val="24"/>
          <w:szCs w:val="24"/>
          <w:shd w:val="clear" w:color="auto" w:fill="FFFFFF"/>
          <w:lang w:val="en-US"/>
        </w:rPr>
        <w:t>sodium will be calculated from foods consumed by the subjects using Food Composition Table.</w:t>
      </w:r>
      <w:r w:rsidR="00A52355" w:rsidRPr="00744858">
        <w:rPr>
          <w:rFonts w:ascii="Times New Roman" w:hAnsi="Times New Roman" w:cs="Times New Roman"/>
          <w:color w:val="212121"/>
          <w:sz w:val="24"/>
          <w:szCs w:val="24"/>
          <w:shd w:val="clear" w:color="auto" w:fill="FFFFFF"/>
          <w:lang w:val="en-US"/>
        </w:rPr>
        <w:t xml:space="preserve"> </w:t>
      </w:r>
      <w:r w:rsidRPr="00744858">
        <w:rPr>
          <w:rFonts w:ascii="Times New Roman" w:hAnsi="Times New Roman" w:cs="Times New Roman"/>
          <w:color w:val="212121"/>
          <w:sz w:val="24"/>
          <w:szCs w:val="24"/>
          <w:shd w:val="clear" w:color="auto" w:fill="FFFFFF"/>
          <w:lang w:val="en-US"/>
        </w:rPr>
        <w:t xml:space="preserve">The Average daily nutrient intake of the subjects will be compared with Recommended Dietary Allowance (RDA) given by ICMR (2020). Nutrient Adequacy Ratio </w:t>
      </w:r>
      <w:r w:rsidRPr="00744858">
        <w:rPr>
          <w:rFonts w:ascii="Times New Roman" w:hAnsi="Times New Roman" w:cs="Times New Roman"/>
          <w:color w:val="212121"/>
          <w:sz w:val="24"/>
          <w:szCs w:val="24"/>
          <w:shd w:val="clear" w:color="auto" w:fill="FFFFFF"/>
        </w:rPr>
        <w:t xml:space="preserve">(NAR) (%) </w:t>
      </w:r>
      <w:r w:rsidRPr="00744858">
        <w:rPr>
          <w:rFonts w:ascii="Times New Roman" w:hAnsi="Times New Roman" w:cs="Times New Roman"/>
          <w:color w:val="212121"/>
          <w:sz w:val="24"/>
          <w:szCs w:val="24"/>
          <w:shd w:val="clear" w:color="auto" w:fill="FFFFFF"/>
          <w:lang w:val="en-US"/>
        </w:rPr>
        <w:t>will be</w:t>
      </w:r>
      <w:r w:rsidRPr="00744858">
        <w:rPr>
          <w:rFonts w:ascii="Times New Roman" w:hAnsi="Times New Roman" w:cs="Times New Roman"/>
          <w:color w:val="212121"/>
          <w:sz w:val="24"/>
          <w:szCs w:val="24"/>
          <w:shd w:val="clear" w:color="auto" w:fill="FFFFFF"/>
        </w:rPr>
        <w:t xml:space="preserve"> calculated as</w:t>
      </w:r>
      <w:r w:rsidRPr="00744858">
        <w:rPr>
          <w:rFonts w:ascii="Times New Roman" w:hAnsi="Times New Roman" w:cs="Times New Roman"/>
          <w:sz w:val="24"/>
          <w:szCs w:val="24"/>
          <w:shd w:val="clear" w:color="auto" w:fill="FFFFFF"/>
        </w:rPr>
        <w:t>:</w:t>
      </w:r>
      <w:r w:rsidR="00744858">
        <w:rPr>
          <w:rFonts w:ascii="Times New Roman" w:hAnsi="Times New Roman" w:cs="Times New Roman"/>
          <w:sz w:val="24"/>
          <w:szCs w:val="24"/>
          <w:shd w:val="clear" w:color="auto" w:fill="FFFFFF"/>
        </w:rPr>
        <w:t xml:space="preserve">  </w:t>
      </w:r>
      <w:r w:rsidRPr="00744858">
        <w:rPr>
          <w:rFonts w:ascii="Times New Roman" w:hAnsi="Times New Roman" w:cs="Times New Roman"/>
          <w:sz w:val="24"/>
          <w:szCs w:val="24"/>
          <w:shd w:val="clear" w:color="auto" w:fill="FFFFFF"/>
        </w:rPr>
        <w:t xml:space="preserve">                       </w:t>
      </w:r>
    </w:p>
    <w:p w14:paraId="6A51FE42" w14:textId="77777777" w:rsidR="00FD18C7" w:rsidRPr="00744858" w:rsidRDefault="00FD18C7" w:rsidP="00FD18C7">
      <w:pPr>
        <w:pStyle w:val="NoSpacing"/>
        <w:ind w:right="180"/>
        <w:jc w:val="both"/>
        <w:rPr>
          <w:rFonts w:ascii="Times New Roman" w:hAnsi="Times New Roman" w:cs="Times New Roman"/>
          <w:sz w:val="24"/>
          <w:szCs w:val="24"/>
          <w:shd w:val="clear" w:color="auto" w:fill="FFFFFF"/>
        </w:rPr>
      </w:pPr>
      <w:r w:rsidRPr="00744858">
        <w:rPr>
          <w:rFonts w:ascii="Times New Roman" w:hAnsi="Times New Roman" w:cs="Times New Roman"/>
          <w:sz w:val="24"/>
          <w:szCs w:val="24"/>
          <w:shd w:val="clear" w:color="auto" w:fill="FFFFFF"/>
        </w:rPr>
        <w:lastRenderedPageBreak/>
        <w:t xml:space="preserve">                                                     Nutrient Intake</w:t>
      </w:r>
    </w:p>
    <w:p w14:paraId="669406D0" w14:textId="77777777" w:rsidR="00FD18C7" w:rsidRPr="00744858" w:rsidRDefault="00FD18C7" w:rsidP="00FD18C7">
      <w:pPr>
        <w:pStyle w:val="NoSpacing"/>
        <w:ind w:right="180"/>
        <w:jc w:val="both"/>
        <w:rPr>
          <w:rFonts w:ascii="Times New Roman" w:hAnsi="Times New Roman" w:cs="Times New Roman"/>
          <w:sz w:val="24"/>
          <w:szCs w:val="24"/>
          <w:shd w:val="clear" w:color="auto" w:fill="FFFFFF"/>
        </w:rPr>
      </w:pPr>
      <w:r w:rsidRPr="00744858">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58230A56" wp14:editId="535070EA">
                <wp:simplePos x="0" y="0"/>
                <wp:positionH relativeFrom="column">
                  <wp:posOffset>2212340</wp:posOffset>
                </wp:positionH>
                <wp:positionV relativeFrom="paragraph">
                  <wp:posOffset>71120</wp:posOffset>
                </wp:positionV>
                <wp:extent cx="10414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04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AFDD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2pt,5.6pt" to="256.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" strokecolor="black [3040]"/>
            </w:pict>
          </mc:Fallback>
        </mc:AlternateContent>
      </w:r>
      <w:r w:rsidRPr="00744858">
        <w:rPr>
          <w:rFonts w:ascii="Times New Roman" w:hAnsi="Times New Roman" w:cs="Times New Roman"/>
          <w:sz w:val="24"/>
          <w:szCs w:val="24"/>
          <w:shd w:val="clear" w:color="auto" w:fill="FFFFFF"/>
        </w:rPr>
        <w:t xml:space="preserve">                                 NAR% =                                  x   100</w:t>
      </w:r>
    </w:p>
    <w:p w14:paraId="57D6356C" w14:textId="77777777" w:rsidR="00FD18C7" w:rsidRPr="00744858" w:rsidRDefault="00FD18C7" w:rsidP="00FD18C7">
      <w:pPr>
        <w:pStyle w:val="NoSpacing"/>
        <w:ind w:right="180"/>
        <w:jc w:val="both"/>
        <w:rPr>
          <w:rFonts w:ascii="Times New Roman" w:hAnsi="Times New Roman" w:cs="Times New Roman"/>
          <w:sz w:val="24"/>
          <w:szCs w:val="24"/>
          <w:shd w:val="clear" w:color="auto" w:fill="FFFFFF"/>
          <w:lang w:val="en-US"/>
        </w:rPr>
      </w:pPr>
      <w:r w:rsidRPr="00744858">
        <w:rPr>
          <w:rFonts w:ascii="Times New Roman" w:hAnsi="Times New Roman" w:cs="Times New Roman"/>
          <w:sz w:val="24"/>
          <w:szCs w:val="24"/>
          <w:shd w:val="clear" w:color="auto" w:fill="FFFFFF"/>
          <w:lang w:val="en-US"/>
        </w:rPr>
        <w:t xml:space="preserve">                                                             RDA</w:t>
      </w:r>
    </w:p>
    <w:p w14:paraId="4FCC6499" w14:textId="77777777" w:rsidR="00FD18C7" w:rsidRPr="00744858" w:rsidRDefault="00FD18C7" w:rsidP="00EC147A">
      <w:pPr>
        <w:ind w:left="-567"/>
        <w:jc w:val="both"/>
        <w:rPr>
          <w:rFonts w:ascii="Times New Roman" w:hAnsi="Times New Roman" w:cs="Times New Roman"/>
          <w:sz w:val="24"/>
          <w:szCs w:val="24"/>
        </w:rPr>
      </w:pPr>
    </w:p>
    <w:p w14:paraId="6F3C1ECA" w14:textId="77777777" w:rsidR="00EC147A" w:rsidRDefault="00EC147A" w:rsidP="00EC147A">
      <w:pPr>
        <w:ind w:left="-567"/>
        <w:jc w:val="both"/>
        <w:rPr>
          <w:rFonts w:ascii="Times New Roman" w:hAnsi="Times New Roman" w:cs="Times New Roman"/>
          <w:sz w:val="24"/>
          <w:szCs w:val="24"/>
        </w:rPr>
      </w:pPr>
      <w:r w:rsidRPr="00744858">
        <w:rPr>
          <w:rFonts w:ascii="Times New Roman" w:hAnsi="Times New Roman" w:cs="Times New Roman"/>
          <w:sz w:val="24"/>
          <w:szCs w:val="24"/>
        </w:rPr>
        <w:t>The frequency of consumption of various food was determine using food frequency questionnaire. Statistical analyses were conducted using SPSS and Microsoft Excel. The results are presented as mean ± standard deviation. Statistical comparisons of means among groups were performed using ANOVA and t-tests, with differences considered statistically significant at p &lt; 0.05.</w:t>
      </w:r>
    </w:p>
    <w:p w14:paraId="70762A15" w14:textId="77777777" w:rsidR="00744858" w:rsidRPr="00744858" w:rsidRDefault="00744858" w:rsidP="00EC147A">
      <w:pPr>
        <w:ind w:left="-567"/>
        <w:jc w:val="both"/>
        <w:rPr>
          <w:rFonts w:ascii="Times New Roman" w:hAnsi="Times New Roman" w:cs="Times New Roman"/>
          <w:sz w:val="24"/>
          <w:szCs w:val="24"/>
        </w:rPr>
      </w:pPr>
    </w:p>
    <w:p w14:paraId="00396DD4" w14:textId="77777777" w:rsidR="00EC147A" w:rsidRPr="00744858" w:rsidRDefault="00EC147A" w:rsidP="00EC147A">
      <w:pPr>
        <w:pStyle w:val="ListParagraph"/>
        <w:numPr>
          <w:ilvl w:val="0"/>
          <w:numId w:val="1"/>
        </w:numPr>
        <w:spacing w:line="240" w:lineRule="auto"/>
        <w:jc w:val="center"/>
        <w:rPr>
          <w:rFonts w:ascii="Times New Roman" w:hAnsi="Times New Roman" w:cs="Times New Roman"/>
          <w:b/>
          <w:bCs/>
          <w:sz w:val="32"/>
          <w:szCs w:val="32"/>
        </w:rPr>
      </w:pPr>
      <w:r w:rsidRPr="00744858">
        <w:rPr>
          <w:rFonts w:ascii="Times New Roman" w:hAnsi="Times New Roman" w:cs="Times New Roman"/>
          <w:b/>
          <w:bCs/>
          <w:sz w:val="32"/>
          <w:szCs w:val="32"/>
        </w:rPr>
        <w:t xml:space="preserve">Results and Discussions </w:t>
      </w:r>
    </w:p>
    <w:p w14:paraId="36371DC8" w14:textId="77777777" w:rsidR="00EC147A" w:rsidRPr="00744858" w:rsidRDefault="00A52355" w:rsidP="00EC147A">
      <w:pPr>
        <w:spacing w:line="240" w:lineRule="auto"/>
        <w:jc w:val="center"/>
        <w:rPr>
          <w:rFonts w:ascii="Times New Roman" w:hAnsi="Times New Roman" w:cs="Times New Roman"/>
          <w:b/>
          <w:bCs/>
          <w:sz w:val="24"/>
          <w:szCs w:val="24"/>
        </w:rPr>
      </w:pPr>
      <w:r w:rsidRPr="00744858">
        <w:rPr>
          <w:rFonts w:ascii="Times New Roman" w:hAnsi="Times New Roman" w:cs="Times New Roman"/>
          <w:b/>
          <w:bCs/>
          <w:sz w:val="24"/>
          <w:szCs w:val="24"/>
        </w:rPr>
        <w:t>Table: 2</w:t>
      </w:r>
    </w:p>
    <w:p w14:paraId="7B7E4B3C" w14:textId="77777777" w:rsidR="00EC147A" w:rsidRPr="00744858" w:rsidRDefault="00EC147A" w:rsidP="00EC147A">
      <w:pPr>
        <w:ind w:left="-567"/>
        <w:jc w:val="center"/>
        <w:rPr>
          <w:rFonts w:ascii="Times New Roman" w:hAnsi="Times New Roman" w:cs="Times New Roman"/>
          <w:sz w:val="24"/>
          <w:szCs w:val="24"/>
        </w:rPr>
      </w:pPr>
      <w:r w:rsidRPr="00744858">
        <w:rPr>
          <w:rFonts w:ascii="Times New Roman" w:hAnsi="Times New Roman" w:cs="Times New Roman"/>
          <w:b/>
          <w:bCs/>
          <w:sz w:val="24"/>
          <w:szCs w:val="24"/>
        </w:rPr>
        <w:t>Socio-demographic profile of post- menopausal women</w:t>
      </w:r>
    </w:p>
    <w:tbl>
      <w:tblPr>
        <w:tblStyle w:val="TableGrid"/>
        <w:tblpPr w:leftFromText="180" w:rightFromText="180" w:vertAnchor="text" w:horzAnchor="margin" w:tblpXSpec="center" w:tblpY="128"/>
        <w:tblW w:w="5953" w:type="dxa"/>
        <w:tblLook w:val="04A0" w:firstRow="1" w:lastRow="0" w:firstColumn="1" w:lastColumn="0" w:noHBand="0" w:noVBand="1"/>
      </w:tblPr>
      <w:tblGrid>
        <w:gridCol w:w="1101"/>
        <w:gridCol w:w="1530"/>
        <w:gridCol w:w="487"/>
        <w:gridCol w:w="1134"/>
        <w:gridCol w:w="1701"/>
      </w:tblGrid>
      <w:tr w:rsidR="00EC147A" w:rsidRPr="00744858" w14:paraId="09190DEF" w14:textId="77777777" w:rsidTr="009E6537">
        <w:trPr>
          <w:trHeight w:val="495"/>
        </w:trPr>
        <w:tc>
          <w:tcPr>
            <w:tcW w:w="3118" w:type="dxa"/>
            <w:gridSpan w:val="3"/>
            <w:vMerge w:val="restart"/>
            <w:hideMark/>
          </w:tcPr>
          <w:p w14:paraId="37193342" w14:textId="77777777" w:rsidR="00EC147A" w:rsidRPr="00744858" w:rsidRDefault="00EC147A" w:rsidP="00EC147A">
            <w:pPr>
              <w:pStyle w:val="ListParagraph"/>
              <w:ind w:right="-733"/>
              <w:jc w:val="both"/>
              <w:rPr>
                <w:rFonts w:ascii="Times New Roman" w:hAnsi="Times New Roman" w:cs="Times New Roman"/>
                <w:color w:val="000000"/>
                <w:sz w:val="16"/>
                <w:szCs w:val="16"/>
              </w:rPr>
            </w:pPr>
            <w:r w:rsidRPr="00744858">
              <w:rPr>
                <w:rFonts w:ascii="Times New Roman" w:hAnsi="Times New Roman" w:cs="Times New Roman"/>
                <w:color w:val="000000"/>
                <w:sz w:val="16"/>
                <w:szCs w:val="16"/>
              </w:rPr>
              <w:t> </w:t>
            </w:r>
          </w:p>
          <w:p w14:paraId="5CD04B8F" w14:textId="77777777" w:rsidR="009E6537" w:rsidRPr="00744858" w:rsidRDefault="009E6537" w:rsidP="00EC147A">
            <w:pPr>
              <w:pStyle w:val="ListParagraph"/>
              <w:ind w:right="-733"/>
              <w:jc w:val="both"/>
              <w:rPr>
                <w:rFonts w:ascii="Times New Roman" w:hAnsi="Times New Roman" w:cs="Times New Roman"/>
                <w:color w:val="000000"/>
                <w:sz w:val="16"/>
                <w:szCs w:val="16"/>
              </w:rPr>
            </w:pPr>
          </w:p>
          <w:p w14:paraId="3DEF8BF5" w14:textId="77777777" w:rsidR="009E6537" w:rsidRPr="00744858" w:rsidRDefault="009E6537" w:rsidP="00EC147A">
            <w:pPr>
              <w:pStyle w:val="ListParagraph"/>
              <w:ind w:right="-733"/>
              <w:jc w:val="both"/>
              <w:rPr>
                <w:rFonts w:ascii="Times New Roman" w:hAnsi="Times New Roman" w:cs="Times New Roman"/>
                <w:color w:val="000000"/>
                <w:sz w:val="16"/>
                <w:szCs w:val="16"/>
              </w:rPr>
            </w:pPr>
            <w:r w:rsidRPr="00744858">
              <w:rPr>
                <w:rFonts w:ascii="Times New Roman" w:hAnsi="Times New Roman" w:cs="Times New Roman"/>
                <w:color w:val="000000"/>
                <w:sz w:val="20"/>
              </w:rPr>
              <w:t>Variables</w:t>
            </w:r>
          </w:p>
        </w:tc>
        <w:tc>
          <w:tcPr>
            <w:tcW w:w="2835" w:type="dxa"/>
            <w:gridSpan w:val="2"/>
            <w:hideMark/>
          </w:tcPr>
          <w:p w14:paraId="29D91C22" w14:textId="77777777" w:rsidR="00EC147A" w:rsidRPr="00744858" w:rsidRDefault="00EC147A" w:rsidP="00EC147A">
            <w:pPr>
              <w:pStyle w:val="ListParagraph"/>
              <w:ind w:right="-733"/>
              <w:jc w:val="both"/>
              <w:rPr>
                <w:rFonts w:ascii="Times New Roman" w:hAnsi="Times New Roman" w:cs="Times New Roman"/>
                <w:color w:val="000000"/>
                <w:sz w:val="20"/>
              </w:rPr>
            </w:pPr>
            <w:r w:rsidRPr="00744858">
              <w:rPr>
                <w:rFonts w:ascii="Times New Roman" w:hAnsi="Times New Roman" w:cs="Times New Roman"/>
                <w:color w:val="000000"/>
                <w:sz w:val="20"/>
              </w:rPr>
              <w:t>Place</w:t>
            </w:r>
          </w:p>
        </w:tc>
      </w:tr>
      <w:tr w:rsidR="00EC147A" w:rsidRPr="00744858" w14:paraId="5EACE983" w14:textId="77777777" w:rsidTr="009E6537">
        <w:trPr>
          <w:trHeight w:val="480"/>
        </w:trPr>
        <w:tc>
          <w:tcPr>
            <w:tcW w:w="3118" w:type="dxa"/>
            <w:gridSpan w:val="3"/>
            <w:vMerge/>
            <w:hideMark/>
          </w:tcPr>
          <w:p w14:paraId="21384B8A" w14:textId="77777777" w:rsidR="00EC147A" w:rsidRPr="00744858" w:rsidRDefault="00EC147A" w:rsidP="00EC147A">
            <w:pPr>
              <w:pStyle w:val="ListParagraph"/>
              <w:ind w:right="-733"/>
              <w:jc w:val="both"/>
              <w:rPr>
                <w:rFonts w:ascii="Times New Roman" w:hAnsi="Times New Roman" w:cs="Times New Roman"/>
                <w:color w:val="000000"/>
                <w:sz w:val="16"/>
                <w:szCs w:val="16"/>
              </w:rPr>
            </w:pPr>
          </w:p>
        </w:tc>
        <w:tc>
          <w:tcPr>
            <w:tcW w:w="1134" w:type="dxa"/>
            <w:hideMark/>
          </w:tcPr>
          <w:p w14:paraId="07B6AC14" w14:textId="77777777" w:rsidR="00EC147A" w:rsidRPr="00744858" w:rsidRDefault="00EC147A" w:rsidP="00EC147A">
            <w:pPr>
              <w:pStyle w:val="ListParagraph"/>
              <w:ind w:left="34" w:right="-733"/>
              <w:jc w:val="both"/>
              <w:rPr>
                <w:rFonts w:ascii="Times New Roman" w:hAnsi="Times New Roman" w:cs="Times New Roman"/>
                <w:color w:val="000000"/>
                <w:sz w:val="20"/>
              </w:rPr>
            </w:pPr>
            <w:r w:rsidRPr="00744858">
              <w:rPr>
                <w:rFonts w:ascii="Times New Roman" w:hAnsi="Times New Roman" w:cs="Times New Roman"/>
                <w:color w:val="000000"/>
                <w:sz w:val="20"/>
              </w:rPr>
              <w:t>Rural</w:t>
            </w:r>
          </w:p>
          <w:p w14:paraId="05F41E90" w14:textId="77777777" w:rsidR="00EC147A" w:rsidRPr="00744858" w:rsidRDefault="00EC147A" w:rsidP="00EC147A">
            <w:pPr>
              <w:pStyle w:val="ListParagraph"/>
              <w:ind w:left="34" w:right="-733"/>
              <w:jc w:val="both"/>
              <w:rPr>
                <w:rFonts w:ascii="Times New Roman" w:hAnsi="Times New Roman" w:cs="Times New Roman"/>
                <w:color w:val="000000"/>
                <w:sz w:val="20"/>
              </w:rPr>
            </w:pPr>
            <w:r w:rsidRPr="00744858">
              <w:rPr>
                <w:rFonts w:ascii="Times New Roman" w:hAnsi="Times New Roman" w:cs="Times New Roman"/>
                <w:color w:val="000000"/>
                <w:sz w:val="20"/>
              </w:rPr>
              <w:t>N=150</w:t>
            </w:r>
          </w:p>
        </w:tc>
        <w:tc>
          <w:tcPr>
            <w:tcW w:w="1701" w:type="dxa"/>
            <w:hideMark/>
          </w:tcPr>
          <w:p w14:paraId="01451CA2" w14:textId="77777777" w:rsidR="00EC147A" w:rsidRPr="00744858" w:rsidRDefault="00EC147A" w:rsidP="00EC147A">
            <w:pPr>
              <w:pStyle w:val="ListParagraph"/>
              <w:ind w:left="34" w:right="-733"/>
              <w:jc w:val="both"/>
              <w:rPr>
                <w:rFonts w:ascii="Times New Roman" w:hAnsi="Times New Roman" w:cs="Times New Roman"/>
                <w:color w:val="000000"/>
                <w:sz w:val="20"/>
              </w:rPr>
            </w:pPr>
            <w:r w:rsidRPr="00744858">
              <w:rPr>
                <w:rFonts w:ascii="Times New Roman" w:hAnsi="Times New Roman" w:cs="Times New Roman"/>
                <w:color w:val="000000"/>
                <w:sz w:val="20"/>
              </w:rPr>
              <w:t>Urban</w:t>
            </w:r>
          </w:p>
          <w:p w14:paraId="53682DAB" w14:textId="77777777" w:rsidR="00EC147A" w:rsidRPr="00744858" w:rsidRDefault="00EC147A" w:rsidP="00EC147A">
            <w:pPr>
              <w:pStyle w:val="ListParagraph"/>
              <w:ind w:left="34" w:right="-733"/>
              <w:jc w:val="both"/>
              <w:rPr>
                <w:rFonts w:ascii="Times New Roman" w:hAnsi="Times New Roman" w:cs="Times New Roman"/>
                <w:color w:val="000000"/>
                <w:sz w:val="20"/>
              </w:rPr>
            </w:pPr>
            <w:r w:rsidRPr="00744858">
              <w:rPr>
                <w:rFonts w:ascii="Times New Roman" w:hAnsi="Times New Roman" w:cs="Times New Roman"/>
                <w:color w:val="000000"/>
                <w:sz w:val="20"/>
              </w:rPr>
              <w:t>N=150</w:t>
            </w:r>
          </w:p>
        </w:tc>
      </w:tr>
      <w:tr w:rsidR="00EC147A" w:rsidRPr="00744858" w14:paraId="3C1F0341" w14:textId="77777777" w:rsidTr="009E6537">
        <w:trPr>
          <w:trHeight w:val="137"/>
        </w:trPr>
        <w:tc>
          <w:tcPr>
            <w:tcW w:w="1101" w:type="dxa"/>
            <w:vMerge w:val="restart"/>
            <w:hideMark/>
          </w:tcPr>
          <w:p w14:paraId="2A873D94" w14:textId="77777777" w:rsidR="00EC147A" w:rsidRPr="00744858" w:rsidRDefault="00EC147A" w:rsidP="00EC147A">
            <w:pPr>
              <w:ind w:right="-733"/>
              <w:jc w:val="both"/>
              <w:rPr>
                <w:rFonts w:ascii="Times New Roman" w:hAnsi="Times New Roman" w:cs="Times New Roman"/>
                <w:color w:val="000000"/>
                <w:sz w:val="16"/>
                <w:szCs w:val="16"/>
              </w:rPr>
            </w:pPr>
          </w:p>
          <w:p w14:paraId="21521B54" w14:textId="77777777" w:rsidR="00EC147A" w:rsidRPr="00744858" w:rsidRDefault="009E6537" w:rsidP="00EC147A">
            <w:pPr>
              <w:ind w:right="-733"/>
              <w:jc w:val="both"/>
              <w:rPr>
                <w:rFonts w:ascii="Times New Roman" w:hAnsi="Times New Roman" w:cs="Times New Roman"/>
                <w:color w:val="000000"/>
                <w:sz w:val="16"/>
                <w:szCs w:val="16"/>
              </w:rPr>
            </w:pPr>
            <w:r w:rsidRPr="00744858">
              <w:rPr>
                <w:rFonts w:ascii="Times New Roman" w:hAnsi="Times New Roman" w:cs="Times New Roman"/>
                <w:color w:val="000000"/>
                <w:sz w:val="20"/>
              </w:rPr>
              <w:t>Age Group</w:t>
            </w:r>
          </w:p>
          <w:p w14:paraId="65EF20B5" w14:textId="77777777" w:rsidR="00EC147A" w:rsidRPr="00744858" w:rsidRDefault="00EC147A" w:rsidP="00EC147A">
            <w:pPr>
              <w:ind w:right="-733"/>
              <w:jc w:val="both"/>
              <w:rPr>
                <w:rFonts w:ascii="Times New Roman" w:hAnsi="Times New Roman" w:cs="Times New Roman"/>
                <w:color w:val="000000"/>
                <w:sz w:val="16"/>
                <w:szCs w:val="16"/>
              </w:rPr>
            </w:pPr>
          </w:p>
          <w:p w14:paraId="21C6ACA0" w14:textId="77777777" w:rsidR="00EC147A" w:rsidRPr="00744858" w:rsidRDefault="00EC147A" w:rsidP="00EC147A">
            <w:pPr>
              <w:ind w:right="-733"/>
              <w:jc w:val="both"/>
              <w:rPr>
                <w:rFonts w:ascii="Times New Roman" w:hAnsi="Times New Roman" w:cs="Times New Roman"/>
                <w:color w:val="000000"/>
                <w:sz w:val="16"/>
                <w:szCs w:val="16"/>
              </w:rPr>
            </w:pPr>
          </w:p>
          <w:p w14:paraId="5DD94D0A" w14:textId="77777777" w:rsidR="00EC147A" w:rsidRPr="00744858" w:rsidRDefault="00EC147A" w:rsidP="009E6537">
            <w:pPr>
              <w:spacing w:after="0" w:line="240" w:lineRule="auto"/>
              <w:ind w:right="-733"/>
              <w:jc w:val="both"/>
              <w:rPr>
                <w:rFonts w:ascii="Times New Roman" w:hAnsi="Times New Roman" w:cs="Times New Roman"/>
                <w:color w:val="000000"/>
                <w:sz w:val="16"/>
                <w:szCs w:val="16"/>
              </w:rPr>
            </w:pPr>
            <w:r w:rsidRPr="00744858">
              <w:rPr>
                <w:rFonts w:ascii="Times New Roman" w:hAnsi="Times New Roman" w:cs="Times New Roman"/>
                <w:color w:val="000000"/>
                <w:sz w:val="20"/>
              </w:rPr>
              <w:t xml:space="preserve">  </w:t>
            </w:r>
          </w:p>
        </w:tc>
        <w:tc>
          <w:tcPr>
            <w:tcW w:w="1530" w:type="dxa"/>
            <w:vMerge w:val="restart"/>
            <w:hideMark/>
          </w:tcPr>
          <w:p w14:paraId="746D6D71"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45-50</w:t>
            </w:r>
          </w:p>
        </w:tc>
        <w:tc>
          <w:tcPr>
            <w:tcW w:w="487" w:type="dxa"/>
            <w:hideMark/>
          </w:tcPr>
          <w:p w14:paraId="250C8F13" w14:textId="77777777" w:rsidR="00EC147A" w:rsidRPr="00744858" w:rsidRDefault="00EC147A" w:rsidP="00EC147A">
            <w:pPr>
              <w:rPr>
                <w:rFonts w:ascii="Times New Roman" w:hAnsi="Times New Roman" w:cs="Times New Roman"/>
                <w:szCs w:val="22"/>
              </w:rPr>
            </w:pPr>
            <w:r w:rsidRPr="00744858">
              <w:rPr>
                <w:rFonts w:ascii="Times New Roman" w:hAnsi="Times New Roman" w:cs="Times New Roman"/>
                <w:szCs w:val="22"/>
              </w:rPr>
              <w:t>n</w:t>
            </w:r>
          </w:p>
        </w:tc>
        <w:tc>
          <w:tcPr>
            <w:tcW w:w="1134" w:type="dxa"/>
            <w:noWrap/>
            <w:hideMark/>
          </w:tcPr>
          <w:p w14:paraId="6DD98BAA" w14:textId="77777777" w:rsidR="00EC147A" w:rsidRPr="00744858" w:rsidRDefault="00EC147A" w:rsidP="00EC147A">
            <w:pPr>
              <w:pStyle w:val="ListParagraph"/>
              <w:ind w:left="34" w:right="-733"/>
              <w:jc w:val="both"/>
              <w:rPr>
                <w:rFonts w:ascii="Times New Roman" w:hAnsi="Times New Roman" w:cs="Times New Roman"/>
                <w:color w:val="000000"/>
                <w:szCs w:val="22"/>
              </w:rPr>
            </w:pPr>
            <w:r w:rsidRPr="00744858">
              <w:rPr>
                <w:rFonts w:ascii="Times New Roman" w:hAnsi="Times New Roman" w:cs="Times New Roman"/>
                <w:color w:val="000000"/>
                <w:szCs w:val="22"/>
              </w:rPr>
              <w:t>69</w:t>
            </w:r>
          </w:p>
        </w:tc>
        <w:tc>
          <w:tcPr>
            <w:tcW w:w="1701" w:type="dxa"/>
            <w:noWrap/>
            <w:hideMark/>
          </w:tcPr>
          <w:p w14:paraId="4DCFE8B3"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75</w:t>
            </w:r>
          </w:p>
        </w:tc>
      </w:tr>
      <w:tr w:rsidR="00EC147A" w:rsidRPr="00744858" w14:paraId="20B36FBC" w14:textId="77777777" w:rsidTr="009E6537">
        <w:trPr>
          <w:trHeight w:val="70"/>
        </w:trPr>
        <w:tc>
          <w:tcPr>
            <w:tcW w:w="1101" w:type="dxa"/>
            <w:vMerge/>
            <w:hideMark/>
          </w:tcPr>
          <w:p w14:paraId="0CCCA17E" w14:textId="77777777" w:rsidR="00EC147A" w:rsidRPr="00744858" w:rsidRDefault="00EC147A" w:rsidP="00EC147A">
            <w:pPr>
              <w:pStyle w:val="ListParagraph"/>
              <w:ind w:right="-733"/>
              <w:jc w:val="both"/>
              <w:rPr>
                <w:rFonts w:ascii="Times New Roman" w:hAnsi="Times New Roman" w:cs="Times New Roman"/>
                <w:color w:val="000000"/>
                <w:sz w:val="16"/>
                <w:szCs w:val="16"/>
              </w:rPr>
            </w:pPr>
          </w:p>
        </w:tc>
        <w:tc>
          <w:tcPr>
            <w:tcW w:w="1530" w:type="dxa"/>
            <w:vMerge/>
            <w:hideMark/>
          </w:tcPr>
          <w:p w14:paraId="215C2030" w14:textId="77777777" w:rsidR="00EC147A" w:rsidRPr="00744858" w:rsidRDefault="00EC147A" w:rsidP="00EC147A">
            <w:pPr>
              <w:pStyle w:val="ListParagraph"/>
              <w:ind w:right="-733"/>
              <w:jc w:val="both"/>
              <w:rPr>
                <w:rFonts w:ascii="Times New Roman" w:hAnsi="Times New Roman" w:cs="Times New Roman"/>
                <w:color w:val="000000"/>
                <w:szCs w:val="22"/>
              </w:rPr>
            </w:pPr>
          </w:p>
        </w:tc>
        <w:tc>
          <w:tcPr>
            <w:tcW w:w="487" w:type="dxa"/>
            <w:hideMark/>
          </w:tcPr>
          <w:p w14:paraId="664B9ADD" w14:textId="77777777" w:rsidR="00EC147A" w:rsidRPr="00744858" w:rsidRDefault="00EC147A" w:rsidP="00EC147A">
            <w:pPr>
              <w:rPr>
                <w:rFonts w:ascii="Times New Roman" w:hAnsi="Times New Roman" w:cs="Times New Roman"/>
                <w:szCs w:val="22"/>
              </w:rPr>
            </w:pPr>
            <w:r w:rsidRPr="00744858">
              <w:rPr>
                <w:rFonts w:ascii="Times New Roman" w:hAnsi="Times New Roman" w:cs="Times New Roman"/>
                <w:szCs w:val="22"/>
              </w:rPr>
              <w:t>%</w:t>
            </w:r>
          </w:p>
        </w:tc>
        <w:tc>
          <w:tcPr>
            <w:tcW w:w="1134" w:type="dxa"/>
            <w:noWrap/>
            <w:hideMark/>
          </w:tcPr>
          <w:p w14:paraId="7D8110C9" w14:textId="77777777" w:rsidR="00EC147A" w:rsidRPr="00744858" w:rsidRDefault="00EC147A" w:rsidP="00EC147A">
            <w:pPr>
              <w:pStyle w:val="ListParagraph"/>
              <w:ind w:left="34" w:right="-733"/>
              <w:jc w:val="both"/>
              <w:rPr>
                <w:rFonts w:ascii="Times New Roman" w:hAnsi="Times New Roman" w:cs="Times New Roman"/>
                <w:color w:val="000000"/>
                <w:szCs w:val="22"/>
              </w:rPr>
            </w:pPr>
            <w:r w:rsidRPr="00744858">
              <w:rPr>
                <w:rFonts w:ascii="Times New Roman" w:hAnsi="Times New Roman" w:cs="Times New Roman"/>
                <w:color w:val="000000"/>
                <w:szCs w:val="22"/>
              </w:rPr>
              <w:t>47.9</w:t>
            </w:r>
          </w:p>
        </w:tc>
        <w:tc>
          <w:tcPr>
            <w:tcW w:w="1701" w:type="dxa"/>
            <w:noWrap/>
            <w:hideMark/>
          </w:tcPr>
          <w:p w14:paraId="5B6DDC90"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52.1</w:t>
            </w:r>
          </w:p>
        </w:tc>
      </w:tr>
      <w:tr w:rsidR="00EC147A" w:rsidRPr="00744858" w14:paraId="79EF3E90" w14:textId="77777777" w:rsidTr="009E6537">
        <w:trPr>
          <w:trHeight w:val="70"/>
        </w:trPr>
        <w:tc>
          <w:tcPr>
            <w:tcW w:w="1101" w:type="dxa"/>
            <w:vMerge/>
            <w:hideMark/>
          </w:tcPr>
          <w:p w14:paraId="1ED23699" w14:textId="77777777" w:rsidR="00EC147A" w:rsidRPr="00744858" w:rsidRDefault="00EC147A" w:rsidP="00EC147A">
            <w:pPr>
              <w:pStyle w:val="ListParagraph"/>
              <w:ind w:right="-733"/>
              <w:jc w:val="both"/>
              <w:rPr>
                <w:rFonts w:ascii="Times New Roman" w:hAnsi="Times New Roman" w:cs="Times New Roman"/>
                <w:color w:val="000000"/>
                <w:sz w:val="16"/>
                <w:szCs w:val="16"/>
              </w:rPr>
            </w:pPr>
          </w:p>
        </w:tc>
        <w:tc>
          <w:tcPr>
            <w:tcW w:w="1530" w:type="dxa"/>
            <w:vMerge w:val="restart"/>
            <w:hideMark/>
          </w:tcPr>
          <w:p w14:paraId="01854103"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51-55</w:t>
            </w:r>
          </w:p>
        </w:tc>
        <w:tc>
          <w:tcPr>
            <w:tcW w:w="487" w:type="dxa"/>
            <w:hideMark/>
          </w:tcPr>
          <w:p w14:paraId="701BB0C2" w14:textId="77777777" w:rsidR="00EC147A" w:rsidRPr="00744858" w:rsidRDefault="00EC147A" w:rsidP="00EC147A">
            <w:pPr>
              <w:rPr>
                <w:rFonts w:ascii="Times New Roman" w:hAnsi="Times New Roman" w:cs="Times New Roman"/>
                <w:szCs w:val="22"/>
              </w:rPr>
            </w:pPr>
            <w:r w:rsidRPr="00744858">
              <w:rPr>
                <w:rFonts w:ascii="Times New Roman" w:hAnsi="Times New Roman" w:cs="Times New Roman"/>
                <w:szCs w:val="22"/>
              </w:rPr>
              <w:t>n</w:t>
            </w:r>
          </w:p>
        </w:tc>
        <w:tc>
          <w:tcPr>
            <w:tcW w:w="1134" w:type="dxa"/>
            <w:noWrap/>
            <w:hideMark/>
          </w:tcPr>
          <w:p w14:paraId="7158E3CF" w14:textId="77777777" w:rsidR="00EC147A" w:rsidRPr="00744858" w:rsidRDefault="00EC147A" w:rsidP="00EC147A">
            <w:pPr>
              <w:pStyle w:val="ListParagraph"/>
              <w:ind w:left="34" w:right="-733"/>
              <w:jc w:val="both"/>
              <w:rPr>
                <w:rFonts w:ascii="Times New Roman" w:hAnsi="Times New Roman" w:cs="Times New Roman"/>
                <w:color w:val="000000"/>
                <w:szCs w:val="22"/>
              </w:rPr>
            </w:pPr>
            <w:r w:rsidRPr="00744858">
              <w:rPr>
                <w:rFonts w:ascii="Times New Roman" w:hAnsi="Times New Roman" w:cs="Times New Roman"/>
                <w:color w:val="000000"/>
                <w:szCs w:val="22"/>
              </w:rPr>
              <w:t>38</w:t>
            </w:r>
          </w:p>
        </w:tc>
        <w:tc>
          <w:tcPr>
            <w:tcW w:w="1701" w:type="dxa"/>
            <w:noWrap/>
            <w:hideMark/>
          </w:tcPr>
          <w:p w14:paraId="7A285FC7"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36</w:t>
            </w:r>
          </w:p>
        </w:tc>
      </w:tr>
      <w:tr w:rsidR="00EC147A" w:rsidRPr="00744858" w14:paraId="58DDFCA9" w14:textId="77777777" w:rsidTr="009E6537">
        <w:trPr>
          <w:trHeight w:val="230"/>
        </w:trPr>
        <w:tc>
          <w:tcPr>
            <w:tcW w:w="1101" w:type="dxa"/>
            <w:vMerge/>
            <w:hideMark/>
          </w:tcPr>
          <w:p w14:paraId="6A402274" w14:textId="77777777" w:rsidR="00EC147A" w:rsidRPr="00744858" w:rsidRDefault="00EC147A" w:rsidP="00EC147A">
            <w:pPr>
              <w:pStyle w:val="ListParagraph"/>
              <w:ind w:right="-733"/>
              <w:jc w:val="both"/>
              <w:rPr>
                <w:rFonts w:ascii="Times New Roman" w:hAnsi="Times New Roman" w:cs="Times New Roman"/>
                <w:color w:val="000000"/>
                <w:sz w:val="16"/>
                <w:szCs w:val="16"/>
              </w:rPr>
            </w:pPr>
          </w:p>
        </w:tc>
        <w:tc>
          <w:tcPr>
            <w:tcW w:w="1530" w:type="dxa"/>
            <w:vMerge/>
            <w:hideMark/>
          </w:tcPr>
          <w:p w14:paraId="3976BDFE" w14:textId="77777777" w:rsidR="00EC147A" w:rsidRPr="00744858" w:rsidRDefault="00EC147A" w:rsidP="00EC147A">
            <w:pPr>
              <w:pStyle w:val="ListParagraph"/>
              <w:ind w:right="-733"/>
              <w:jc w:val="both"/>
              <w:rPr>
                <w:rFonts w:ascii="Times New Roman" w:hAnsi="Times New Roman" w:cs="Times New Roman"/>
                <w:color w:val="000000"/>
                <w:szCs w:val="22"/>
              </w:rPr>
            </w:pPr>
          </w:p>
        </w:tc>
        <w:tc>
          <w:tcPr>
            <w:tcW w:w="487" w:type="dxa"/>
            <w:hideMark/>
          </w:tcPr>
          <w:p w14:paraId="1B638ACC" w14:textId="77777777" w:rsidR="00EC147A" w:rsidRPr="00744858" w:rsidRDefault="00EC147A" w:rsidP="00EC147A">
            <w:pPr>
              <w:rPr>
                <w:rFonts w:ascii="Times New Roman" w:hAnsi="Times New Roman" w:cs="Times New Roman"/>
                <w:szCs w:val="22"/>
              </w:rPr>
            </w:pPr>
            <w:r w:rsidRPr="00744858">
              <w:rPr>
                <w:rFonts w:ascii="Times New Roman" w:hAnsi="Times New Roman" w:cs="Times New Roman"/>
                <w:szCs w:val="22"/>
              </w:rPr>
              <w:t>%</w:t>
            </w:r>
          </w:p>
        </w:tc>
        <w:tc>
          <w:tcPr>
            <w:tcW w:w="1134" w:type="dxa"/>
            <w:noWrap/>
            <w:hideMark/>
          </w:tcPr>
          <w:p w14:paraId="54D07F90" w14:textId="77777777" w:rsidR="00EC147A" w:rsidRPr="00744858" w:rsidRDefault="00EC147A" w:rsidP="00EC147A">
            <w:pPr>
              <w:pStyle w:val="ListParagraph"/>
              <w:ind w:left="34" w:right="-733"/>
              <w:jc w:val="both"/>
              <w:rPr>
                <w:rFonts w:ascii="Times New Roman" w:hAnsi="Times New Roman" w:cs="Times New Roman"/>
                <w:color w:val="000000"/>
                <w:szCs w:val="22"/>
              </w:rPr>
            </w:pPr>
            <w:r w:rsidRPr="00744858">
              <w:rPr>
                <w:rFonts w:ascii="Times New Roman" w:hAnsi="Times New Roman" w:cs="Times New Roman"/>
                <w:color w:val="000000"/>
                <w:szCs w:val="22"/>
              </w:rPr>
              <w:t>51.4</w:t>
            </w:r>
          </w:p>
        </w:tc>
        <w:tc>
          <w:tcPr>
            <w:tcW w:w="1701" w:type="dxa"/>
            <w:noWrap/>
            <w:hideMark/>
          </w:tcPr>
          <w:p w14:paraId="5DBA8DC7"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48.6</w:t>
            </w:r>
          </w:p>
        </w:tc>
      </w:tr>
      <w:tr w:rsidR="00EC147A" w:rsidRPr="00744858" w14:paraId="3DCA9903" w14:textId="77777777" w:rsidTr="009E6537">
        <w:trPr>
          <w:trHeight w:val="70"/>
        </w:trPr>
        <w:tc>
          <w:tcPr>
            <w:tcW w:w="1101" w:type="dxa"/>
            <w:vMerge/>
            <w:hideMark/>
          </w:tcPr>
          <w:p w14:paraId="5732B26A" w14:textId="77777777" w:rsidR="00EC147A" w:rsidRPr="00744858" w:rsidRDefault="00EC147A" w:rsidP="00EC147A">
            <w:pPr>
              <w:pStyle w:val="ListParagraph"/>
              <w:ind w:right="-733"/>
              <w:jc w:val="both"/>
              <w:rPr>
                <w:rFonts w:ascii="Times New Roman" w:hAnsi="Times New Roman" w:cs="Times New Roman"/>
                <w:color w:val="000000"/>
                <w:sz w:val="16"/>
                <w:szCs w:val="16"/>
              </w:rPr>
            </w:pPr>
          </w:p>
        </w:tc>
        <w:tc>
          <w:tcPr>
            <w:tcW w:w="1530" w:type="dxa"/>
            <w:vMerge w:val="restart"/>
            <w:hideMark/>
          </w:tcPr>
          <w:p w14:paraId="4EF3703D"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56-60</w:t>
            </w:r>
          </w:p>
        </w:tc>
        <w:tc>
          <w:tcPr>
            <w:tcW w:w="487" w:type="dxa"/>
            <w:hideMark/>
          </w:tcPr>
          <w:p w14:paraId="6C25A4EE" w14:textId="77777777" w:rsidR="00EC147A" w:rsidRPr="00744858" w:rsidRDefault="00EC147A" w:rsidP="00EC147A">
            <w:pPr>
              <w:rPr>
                <w:rFonts w:ascii="Times New Roman" w:hAnsi="Times New Roman" w:cs="Times New Roman"/>
                <w:szCs w:val="22"/>
              </w:rPr>
            </w:pPr>
            <w:r w:rsidRPr="00744858">
              <w:rPr>
                <w:rFonts w:ascii="Times New Roman" w:hAnsi="Times New Roman" w:cs="Times New Roman"/>
                <w:szCs w:val="22"/>
              </w:rPr>
              <w:t>n</w:t>
            </w:r>
          </w:p>
        </w:tc>
        <w:tc>
          <w:tcPr>
            <w:tcW w:w="1134" w:type="dxa"/>
            <w:noWrap/>
            <w:hideMark/>
          </w:tcPr>
          <w:p w14:paraId="7B353751" w14:textId="77777777" w:rsidR="00EC147A" w:rsidRPr="00744858" w:rsidRDefault="00EC147A" w:rsidP="00EC147A">
            <w:pPr>
              <w:pStyle w:val="ListParagraph"/>
              <w:ind w:left="34" w:right="-733"/>
              <w:jc w:val="both"/>
              <w:rPr>
                <w:rFonts w:ascii="Times New Roman" w:hAnsi="Times New Roman" w:cs="Times New Roman"/>
                <w:color w:val="000000"/>
                <w:szCs w:val="22"/>
              </w:rPr>
            </w:pPr>
            <w:r w:rsidRPr="00744858">
              <w:rPr>
                <w:rFonts w:ascii="Times New Roman" w:hAnsi="Times New Roman" w:cs="Times New Roman"/>
                <w:color w:val="000000"/>
                <w:szCs w:val="22"/>
              </w:rPr>
              <w:t>22</w:t>
            </w:r>
          </w:p>
        </w:tc>
        <w:tc>
          <w:tcPr>
            <w:tcW w:w="1701" w:type="dxa"/>
            <w:noWrap/>
            <w:hideMark/>
          </w:tcPr>
          <w:p w14:paraId="43981E2E"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23</w:t>
            </w:r>
          </w:p>
        </w:tc>
      </w:tr>
      <w:tr w:rsidR="00EC147A" w:rsidRPr="00744858" w14:paraId="2915123B" w14:textId="77777777" w:rsidTr="009E6537">
        <w:trPr>
          <w:trHeight w:val="70"/>
        </w:trPr>
        <w:tc>
          <w:tcPr>
            <w:tcW w:w="1101" w:type="dxa"/>
            <w:vMerge/>
            <w:hideMark/>
          </w:tcPr>
          <w:p w14:paraId="205CDAD0" w14:textId="77777777" w:rsidR="00EC147A" w:rsidRPr="00744858" w:rsidRDefault="00EC147A" w:rsidP="00EC147A">
            <w:pPr>
              <w:pStyle w:val="ListParagraph"/>
              <w:ind w:right="-733"/>
              <w:jc w:val="both"/>
              <w:rPr>
                <w:rFonts w:ascii="Times New Roman" w:hAnsi="Times New Roman" w:cs="Times New Roman"/>
                <w:color w:val="000000"/>
                <w:sz w:val="16"/>
                <w:szCs w:val="16"/>
              </w:rPr>
            </w:pPr>
          </w:p>
        </w:tc>
        <w:tc>
          <w:tcPr>
            <w:tcW w:w="1530" w:type="dxa"/>
            <w:vMerge/>
            <w:hideMark/>
          </w:tcPr>
          <w:p w14:paraId="2543256C" w14:textId="77777777" w:rsidR="00EC147A" w:rsidRPr="00744858" w:rsidRDefault="00EC147A" w:rsidP="00EC147A">
            <w:pPr>
              <w:pStyle w:val="ListParagraph"/>
              <w:ind w:right="-733"/>
              <w:jc w:val="both"/>
              <w:rPr>
                <w:rFonts w:ascii="Times New Roman" w:hAnsi="Times New Roman" w:cs="Times New Roman"/>
                <w:color w:val="000000"/>
                <w:szCs w:val="22"/>
              </w:rPr>
            </w:pPr>
          </w:p>
        </w:tc>
        <w:tc>
          <w:tcPr>
            <w:tcW w:w="487" w:type="dxa"/>
            <w:hideMark/>
          </w:tcPr>
          <w:p w14:paraId="1BFF5B21" w14:textId="77777777" w:rsidR="00EC147A" w:rsidRPr="00744858" w:rsidRDefault="00EC147A" w:rsidP="00EC147A">
            <w:pPr>
              <w:rPr>
                <w:rFonts w:ascii="Times New Roman" w:hAnsi="Times New Roman" w:cs="Times New Roman"/>
                <w:szCs w:val="22"/>
              </w:rPr>
            </w:pPr>
            <w:r w:rsidRPr="00744858">
              <w:rPr>
                <w:rFonts w:ascii="Times New Roman" w:hAnsi="Times New Roman" w:cs="Times New Roman"/>
                <w:szCs w:val="22"/>
              </w:rPr>
              <w:t>%</w:t>
            </w:r>
          </w:p>
        </w:tc>
        <w:tc>
          <w:tcPr>
            <w:tcW w:w="1134" w:type="dxa"/>
            <w:noWrap/>
            <w:hideMark/>
          </w:tcPr>
          <w:p w14:paraId="2E57D1FD" w14:textId="77777777" w:rsidR="00EC147A" w:rsidRPr="00744858" w:rsidRDefault="00EC147A" w:rsidP="00EC147A">
            <w:pPr>
              <w:pStyle w:val="ListParagraph"/>
              <w:ind w:left="34" w:right="-733"/>
              <w:jc w:val="both"/>
              <w:rPr>
                <w:rFonts w:ascii="Times New Roman" w:hAnsi="Times New Roman" w:cs="Times New Roman"/>
                <w:color w:val="000000"/>
                <w:szCs w:val="22"/>
              </w:rPr>
            </w:pPr>
            <w:r w:rsidRPr="00744858">
              <w:rPr>
                <w:rFonts w:ascii="Times New Roman" w:hAnsi="Times New Roman" w:cs="Times New Roman"/>
                <w:color w:val="000000"/>
                <w:szCs w:val="22"/>
              </w:rPr>
              <w:t>48.9</w:t>
            </w:r>
          </w:p>
        </w:tc>
        <w:tc>
          <w:tcPr>
            <w:tcW w:w="1701" w:type="dxa"/>
            <w:noWrap/>
            <w:hideMark/>
          </w:tcPr>
          <w:p w14:paraId="7A1F97F2"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51.1</w:t>
            </w:r>
          </w:p>
        </w:tc>
      </w:tr>
      <w:tr w:rsidR="00EC147A" w:rsidRPr="00744858" w14:paraId="01369A98" w14:textId="77777777" w:rsidTr="009E6537">
        <w:trPr>
          <w:trHeight w:val="70"/>
        </w:trPr>
        <w:tc>
          <w:tcPr>
            <w:tcW w:w="1101" w:type="dxa"/>
            <w:vMerge/>
            <w:hideMark/>
          </w:tcPr>
          <w:p w14:paraId="286929E4" w14:textId="77777777" w:rsidR="00EC147A" w:rsidRPr="00744858" w:rsidRDefault="00EC147A" w:rsidP="00EC147A">
            <w:pPr>
              <w:pStyle w:val="ListParagraph"/>
              <w:ind w:right="-733"/>
              <w:jc w:val="both"/>
              <w:rPr>
                <w:rFonts w:ascii="Times New Roman" w:hAnsi="Times New Roman" w:cs="Times New Roman"/>
                <w:color w:val="000000"/>
                <w:sz w:val="16"/>
                <w:szCs w:val="16"/>
              </w:rPr>
            </w:pPr>
          </w:p>
        </w:tc>
        <w:tc>
          <w:tcPr>
            <w:tcW w:w="1530" w:type="dxa"/>
            <w:vMerge w:val="restart"/>
            <w:hideMark/>
          </w:tcPr>
          <w:p w14:paraId="6578DC1A"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61-65</w:t>
            </w:r>
          </w:p>
        </w:tc>
        <w:tc>
          <w:tcPr>
            <w:tcW w:w="487" w:type="dxa"/>
            <w:hideMark/>
          </w:tcPr>
          <w:p w14:paraId="68A0CE33" w14:textId="77777777" w:rsidR="00EC147A" w:rsidRPr="00744858" w:rsidRDefault="00EC147A" w:rsidP="00EC147A">
            <w:pPr>
              <w:rPr>
                <w:rFonts w:ascii="Times New Roman" w:hAnsi="Times New Roman" w:cs="Times New Roman"/>
                <w:szCs w:val="22"/>
              </w:rPr>
            </w:pPr>
            <w:r w:rsidRPr="00744858">
              <w:rPr>
                <w:rFonts w:ascii="Times New Roman" w:hAnsi="Times New Roman" w:cs="Times New Roman"/>
                <w:szCs w:val="22"/>
              </w:rPr>
              <w:t>n</w:t>
            </w:r>
          </w:p>
        </w:tc>
        <w:tc>
          <w:tcPr>
            <w:tcW w:w="1134" w:type="dxa"/>
            <w:noWrap/>
            <w:hideMark/>
          </w:tcPr>
          <w:p w14:paraId="7C1364EC" w14:textId="77777777" w:rsidR="00EC147A" w:rsidRPr="00744858" w:rsidRDefault="00EC147A" w:rsidP="00EC147A">
            <w:pPr>
              <w:pStyle w:val="ListParagraph"/>
              <w:ind w:left="34" w:right="-733"/>
              <w:jc w:val="both"/>
              <w:rPr>
                <w:rFonts w:ascii="Times New Roman" w:hAnsi="Times New Roman" w:cs="Times New Roman"/>
                <w:color w:val="000000"/>
                <w:szCs w:val="22"/>
              </w:rPr>
            </w:pPr>
            <w:r w:rsidRPr="00744858">
              <w:rPr>
                <w:rFonts w:ascii="Times New Roman" w:hAnsi="Times New Roman" w:cs="Times New Roman"/>
                <w:color w:val="000000"/>
                <w:szCs w:val="22"/>
              </w:rPr>
              <w:t>21</w:t>
            </w:r>
          </w:p>
        </w:tc>
        <w:tc>
          <w:tcPr>
            <w:tcW w:w="1701" w:type="dxa"/>
            <w:noWrap/>
            <w:hideMark/>
          </w:tcPr>
          <w:p w14:paraId="0F13AF3E"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16</w:t>
            </w:r>
          </w:p>
        </w:tc>
      </w:tr>
      <w:tr w:rsidR="00EC147A" w:rsidRPr="00744858" w14:paraId="02762733" w14:textId="77777777" w:rsidTr="009E6537">
        <w:trPr>
          <w:trHeight w:val="70"/>
        </w:trPr>
        <w:tc>
          <w:tcPr>
            <w:tcW w:w="1101" w:type="dxa"/>
            <w:vMerge/>
            <w:hideMark/>
          </w:tcPr>
          <w:p w14:paraId="26D56E1F" w14:textId="77777777" w:rsidR="00EC147A" w:rsidRPr="00744858" w:rsidRDefault="00EC147A" w:rsidP="00EC147A">
            <w:pPr>
              <w:pStyle w:val="ListParagraph"/>
              <w:ind w:right="-733"/>
              <w:jc w:val="both"/>
              <w:rPr>
                <w:rFonts w:ascii="Times New Roman" w:hAnsi="Times New Roman" w:cs="Times New Roman"/>
                <w:color w:val="000000"/>
                <w:sz w:val="16"/>
                <w:szCs w:val="16"/>
              </w:rPr>
            </w:pPr>
          </w:p>
        </w:tc>
        <w:tc>
          <w:tcPr>
            <w:tcW w:w="1530" w:type="dxa"/>
            <w:vMerge/>
            <w:hideMark/>
          </w:tcPr>
          <w:p w14:paraId="64EE57E1" w14:textId="77777777" w:rsidR="00EC147A" w:rsidRPr="00744858" w:rsidRDefault="00EC147A" w:rsidP="00EC147A">
            <w:pPr>
              <w:pStyle w:val="ListParagraph"/>
              <w:ind w:right="-733"/>
              <w:jc w:val="both"/>
              <w:rPr>
                <w:rFonts w:ascii="Times New Roman" w:hAnsi="Times New Roman" w:cs="Times New Roman"/>
                <w:color w:val="000000"/>
                <w:szCs w:val="22"/>
              </w:rPr>
            </w:pPr>
          </w:p>
        </w:tc>
        <w:tc>
          <w:tcPr>
            <w:tcW w:w="487" w:type="dxa"/>
            <w:hideMark/>
          </w:tcPr>
          <w:p w14:paraId="26AE360F" w14:textId="77777777" w:rsidR="00EC147A" w:rsidRPr="00744858" w:rsidRDefault="00EC147A" w:rsidP="00EC147A">
            <w:pPr>
              <w:rPr>
                <w:rFonts w:ascii="Times New Roman" w:hAnsi="Times New Roman" w:cs="Times New Roman"/>
                <w:szCs w:val="22"/>
              </w:rPr>
            </w:pPr>
            <w:r w:rsidRPr="00744858">
              <w:rPr>
                <w:rFonts w:ascii="Times New Roman" w:hAnsi="Times New Roman" w:cs="Times New Roman"/>
                <w:szCs w:val="22"/>
              </w:rPr>
              <w:t>%</w:t>
            </w:r>
          </w:p>
        </w:tc>
        <w:tc>
          <w:tcPr>
            <w:tcW w:w="1134" w:type="dxa"/>
            <w:noWrap/>
            <w:hideMark/>
          </w:tcPr>
          <w:p w14:paraId="045C9B0B" w14:textId="77777777" w:rsidR="00EC147A" w:rsidRPr="00744858" w:rsidRDefault="00EC147A" w:rsidP="00EC147A">
            <w:pPr>
              <w:pStyle w:val="ListParagraph"/>
              <w:ind w:left="34" w:right="-733"/>
              <w:jc w:val="both"/>
              <w:rPr>
                <w:rFonts w:ascii="Times New Roman" w:hAnsi="Times New Roman" w:cs="Times New Roman"/>
                <w:color w:val="000000"/>
                <w:szCs w:val="22"/>
              </w:rPr>
            </w:pPr>
            <w:r w:rsidRPr="00744858">
              <w:rPr>
                <w:rFonts w:ascii="Times New Roman" w:hAnsi="Times New Roman" w:cs="Times New Roman"/>
                <w:color w:val="000000"/>
                <w:szCs w:val="22"/>
              </w:rPr>
              <w:t>56.8</w:t>
            </w:r>
          </w:p>
        </w:tc>
        <w:tc>
          <w:tcPr>
            <w:tcW w:w="1701" w:type="dxa"/>
            <w:noWrap/>
            <w:hideMark/>
          </w:tcPr>
          <w:p w14:paraId="6FB4B44F" w14:textId="77777777" w:rsidR="00EC147A" w:rsidRPr="00744858" w:rsidRDefault="00EC147A" w:rsidP="00EC147A">
            <w:pPr>
              <w:spacing w:after="0" w:line="240" w:lineRule="auto"/>
              <w:ind w:right="-733"/>
              <w:jc w:val="both"/>
              <w:rPr>
                <w:rFonts w:ascii="Times New Roman" w:hAnsi="Times New Roman" w:cs="Times New Roman"/>
                <w:color w:val="000000"/>
                <w:szCs w:val="22"/>
              </w:rPr>
            </w:pPr>
            <w:r w:rsidRPr="00744858">
              <w:rPr>
                <w:rFonts w:ascii="Times New Roman" w:hAnsi="Times New Roman" w:cs="Times New Roman"/>
                <w:color w:val="000000"/>
                <w:szCs w:val="22"/>
              </w:rPr>
              <w:t>43.2</w:t>
            </w:r>
          </w:p>
        </w:tc>
      </w:tr>
      <w:tr w:rsidR="0005033E" w:rsidRPr="00744858" w14:paraId="1FD016A4" w14:textId="77777777" w:rsidTr="009E6537">
        <w:trPr>
          <w:trHeight w:val="70"/>
        </w:trPr>
        <w:tc>
          <w:tcPr>
            <w:tcW w:w="1101" w:type="dxa"/>
            <w:vMerge w:val="restart"/>
          </w:tcPr>
          <w:p w14:paraId="09CA839B" w14:textId="77777777" w:rsidR="0005033E" w:rsidRPr="00744858" w:rsidRDefault="0005033E" w:rsidP="00EC147A">
            <w:pPr>
              <w:rPr>
                <w:rFonts w:ascii="Times New Roman" w:hAnsi="Times New Roman" w:cs="Times New Roman"/>
              </w:rPr>
            </w:pPr>
          </w:p>
          <w:p w14:paraId="39278E01" w14:textId="77777777" w:rsidR="0005033E" w:rsidRPr="00744858" w:rsidRDefault="0005033E" w:rsidP="00EC147A">
            <w:pPr>
              <w:rPr>
                <w:rFonts w:ascii="Times New Roman" w:hAnsi="Times New Roman" w:cs="Times New Roman"/>
              </w:rPr>
            </w:pPr>
          </w:p>
          <w:p w14:paraId="3D7F8BC7" w14:textId="77777777" w:rsidR="0005033E" w:rsidRPr="00744858" w:rsidRDefault="0005033E" w:rsidP="00EC147A">
            <w:pPr>
              <w:rPr>
                <w:rFonts w:ascii="Times New Roman" w:hAnsi="Times New Roman" w:cs="Times New Roman"/>
              </w:rPr>
            </w:pPr>
          </w:p>
          <w:p w14:paraId="61223086"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Marital Status</w:t>
            </w:r>
          </w:p>
        </w:tc>
        <w:tc>
          <w:tcPr>
            <w:tcW w:w="1530" w:type="dxa"/>
            <w:vMerge w:val="restart"/>
          </w:tcPr>
          <w:p w14:paraId="77AC7FB5"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Married</w:t>
            </w:r>
          </w:p>
        </w:tc>
        <w:tc>
          <w:tcPr>
            <w:tcW w:w="487" w:type="dxa"/>
          </w:tcPr>
          <w:p w14:paraId="2FAC4CB3"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n</w:t>
            </w:r>
          </w:p>
        </w:tc>
        <w:tc>
          <w:tcPr>
            <w:tcW w:w="1134" w:type="dxa"/>
            <w:noWrap/>
          </w:tcPr>
          <w:p w14:paraId="000731F1"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107</w:t>
            </w:r>
          </w:p>
        </w:tc>
        <w:tc>
          <w:tcPr>
            <w:tcW w:w="1701" w:type="dxa"/>
            <w:noWrap/>
          </w:tcPr>
          <w:p w14:paraId="2F13A5E5"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104</w:t>
            </w:r>
          </w:p>
        </w:tc>
      </w:tr>
      <w:tr w:rsidR="0005033E" w:rsidRPr="00744858" w14:paraId="28F4AAC0" w14:textId="77777777" w:rsidTr="009E6537">
        <w:trPr>
          <w:trHeight w:val="70"/>
        </w:trPr>
        <w:tc>
          <w:tcPr>
            <w:tcW w:w="1101" w:type="dxa"/>
            <w:vMerge/>
          </w:tcPr>
          <w:p w14:paraId="0D014788" w14:textId="77777777" w:rsidR="0005033E" w:rsidRPr="00744858" w:rsidRDefault="0005033E" w:rsidP="00EC147A">
            <w:pPr>
              <w:rPr>
                <w:rFonts w:ascii="Times New Roman" w:hAnsi="Times New Roman" w:cs="Times New Roman"/>
              </w:rPr>
            </w:pPr>
          </w:p>
        </w:tc>
        <w:tc>
          <w:tcPr>
            <w:tcW w:w="1530" w:type="dxa"/>
            <w:vMerge/>
          </w:tcPr>
          <w:p w14:paraId="0521D77E" w14:textId="77777777" w:rsidR="0005033E" w:rsidRPr="00744858" w:rsidRDefault="0005033E" w:rsidP="00EC147A">
            <w:pPr>
              <w:rPr>
                <w:rFonts w:ascii="Times New Roman" w:hAnsi="Times New Roman" w:cs="Times New Roman"/>
              </w:rPr>
            </w:pPr>
          </w:p>
        </w:tc>
        <w:tc>
          <w:tcPr>
            <w:tcW w:w="487" w:type="dxa"/>
          </w:tcPr>
          <w:p w14:paraId="7E54C141"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w:t>
            </w:r>
          </w:p>
        </w:tc>
        <w:tc>
          <w:tcPr>
            <w:tcW w:w="1134" w:type="dxa"/>
            <w:noWrap/>
          </w:tcPr>
          <w:p w14:paraId="1486DB91" w14:textId="77777777" w:rsidR="0005033E" w:rsidRPr="00744858" w:rsidRDefault="000F194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71.3</w:t>
            </w:r>
          </w:p>
        </w:tc>
        <w:tc>
          <w:tcPr>
            <w:tcW w:w="1701" w:type="dxa"/>
            <w:noWrap/>
          </w:tcPr>
          <w:p w14:paraId="14A21462" w14:textId="77777777" w:rsidR="0005033E" w:rsidRPr="00744858" w:rsidRDefault="000F194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69.3</w:t>
            </w:r>
          </w:p>
        </w:tc>
      </w:tr>
      <w:tr w:rsidR="0005033E" w:rsidRPr="00744858" w14:paraId="3FD460C4" w14:textId="77777777" w:rsidTr="009E6537">
        <w:trPr>
          <w:trHeight w:val="70"/>
        </w:trPr>
        <w:tc>
          <w:tcPr>
            <w:tcW w:w="1101" w:type="dxa"/>
            <w:vMerge/>
          </w:tcPr>
          <w:p w14:paraId="4D47559A" w14:textId="77777777" w:rsidR="0005033E" w:rsidRPr="00744858" w:rsidRDefault="0005033E" w:rsidP="00EC147A">
            <w:pPr>
              <w:rPr>
                <w:rFonts w:ascii="Times New Roman" w:hAnsi="Times New Roman" w:cs="Times New Roman"/>
              </w:rPr>
            </w:pPr>
          </w:p>
        </w:tc>
        <w:tc>
          <w:tcPr>
            <w:tcW w:w="1530" w:type="dxa"/>
            <w:vMerge w:val="restart"/>
          </w:tcPr>
          <w:p w14:paraId="44ABC438"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Unmarried</w:t>
            </w:r>
          </w:p>
        </w:tc>
        <w:tc>
          <w:tcPr>
            <w:tcW w:w="487" w:type="dxa"/>
          </w:tcPr>
          <w:p w14:paraId="0C9378EE"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n</w:t>
            </w:r>
          </w:p>
        </w:tc>
        <w:tc>
          <w:tcPr>
            <w:tcW w:w="1134" w:type="dxa"/>
            <w:noWrap/>
          </w:tcPr>
          <w:p w14:paraId="1092FB1C"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2</w:t>
            </w:r>
          </w:p>
        </w:tc>
        <w:tc>
          <w:tcPr>
            <w:tcW w:w="1701" w:type="dxa"/>
            <w:noWrap/>
          </w:tcPr>
          <w:p w14:paraId="71B820EF"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7</w:t>
            </w:r>
          </w:p>
        </w:tc>
      </w:tr>
      <w:tr w:rsidR="0005033E" w:rsidRPr="00744858" w14:paraId="0C40664E" w14:textId="77777777" w:rsidTr="009E6537">
        <w:trPr>
          <w:trHeight w:val="214"/>
        </w:trPr>
        <w:tc>
          <w:tcPr>
            <w:tcW w:w="1101" w:type="dxa"/>
            <w:vMerge/>
          </w:tcPr>
          <w:p w14:paraId="5191276D" w14:textId="77777777" w:rsidR="0005033E" w:rsidRPr="00744858" w:rsidRDefault="0005033E" w:rsidP="00EC147A">
            <w:pPr>
              <w:rPr>
                <w:rFonts w:ascii="Times New Roman" w:hAnsi="Times New Roman" w:cs="Times New Roman"/>
              </w:rPr>
            </w:pPr>
          </w:p>
        </w:tc>
        <w:tc>
          <w:tcPr>
            <w:tcW w:w="1530" w:type="dxa"/>
            <w:vMerge/>
          </w:tcPr>
          <w:p w14:paraId="48A273D6" w14:textId="77777777" w:rsidR="0005033E" w:rsidRPr="00744858" w:rsidRDefault="0005033E" w:rsidP="00EC147A">
            <w:pPr>
              <w:rPr>
                <w:rFonts w:ascii="Times New Roman" w:hAnsi="Times New Roman" w:cs="Times New Roman"/>
              </w:rPr>
            </w:pPr>
          </w:p>
        </w:tc>
        <w:tc>
          <w:tcPr>
            <w:tcW w:w="487" w:type="dxa"/>
          </w:tcPr>
          <w:p w14:paraId="1B42C085"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w:t>
            </w:r>
          </w:p>
        </w:tc>
        <w:tc>
          <w:tcPr>
            <w:tcW w:w="1134" w:type="dxa"/>
            <w:noWrap/>
          </w:tcPr>
          <w:p w14:paraId="6AE077BE" w14:textId="77777777" w:rsidR="0005033E" w:rsidRPr="00744858" w:rsidRDefault="000F194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1.3</w:t>
            </w:r>
          </w:p>
        </w:tc>
        <w:tc>
          <w:tcPr>
            <w:tcW w:w="1701" w:type="dxa"/>
            <w:noWrap/>
          </w:tcPr>
          <w:p w14:paraId="405EB487" w14:textId="77777777" w:rsidR="0005033E" w:rsidRPr="00744858" w:rsidRDefault="000F194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4.7</w:t>
            </w:r>
          </w:p>
        </w:tc>
      </w:tr>
      <w:tr w:rsidR="0005033E" w:rsidRPr="00744858" w14:paraId="69A92FE1" w14:textId="77777777" w:rsidTr="009E6537">
        <w:trPr>
          <w:trHeight w:val="70"/>
        </w:trPr>
        <w:tc>
          <w:tcPr>
            <w:tcW w:w="1101" w:type="dxa"/>
            <w:vMerge/>
          </w:tcPr>
          <w:p w14:paraId="1DA167D9" w14:textId="77777777" w:rsidR="0005033E" w:rsidRPr="00744858" w:rsidRDefault="0005033E" w:rsidP="00EC147A">
            <w:pPr>
              <w:rPr>
                <w:rFonts w:ascii="Times New Roman" w:hAnsi="Times New Roman" w:cs="Times New Roman"/>
              </w:rPr>
            </w:pPr>
          </w:p>
        </w:tc>
        <w:tc>
          <w:tcPr>
            <w:tcW w:w="1530" w:type="dxa"/>
            <w:vMerge w:val="restart"/>
          </w:tcPr>
          <w:p w14:paraId="5419BB6F"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Widow</w:t>
            </w:r>
          </w:p>
        </w:tc>
        <w:tc>
          <w:tcPr>
            <w:tcW w:w="487" w:type="dxa"/>
          </w:tcPr>
          <w:p w14:paraId="7A3875BA"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n</w:t>
            </w:r>
          </w:p>
        </w:tc>
        <w:tc>
          <w:tcPr>
            <w:tcW w:w="1134" w:type="dxa"/>
            <w:noWrap/>
          </w:tcPr>
          <w:p w14:paraId="630949B1"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31</w:t>
            </w:r>
          </w:p>
        </w:tc>
        <w:tc>
          <w:tcPr>
            <w:tcW w:w="1701" w:type="dxa"/>
            <w:noWrap/>
          </w:tcPr>
          <w:p w14:paraId="765D0581"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26</w:t>
            </w:r>
          </w:p>
        </w:tc>
      </w:tr>
      <w:tr w:rsidR="0005033E" w:rsidRPr="00744858" w14:paraId="4B8569F4" w14:textId="77777777" w:rsidTr="009E6537">
        <w:trPr>
          <w:trHeight w:val="70"/>
        </w:trPr>
        <w:tc>
          <w:tcPr>
            <w:tcW w:w="1101" w:type="dxa"/>
            <w:vMerge/>
          </w:tcPr>
          <w:p w14:paraId="1A9EBB0F" w14:textId="77777777" w:rsidR="0005033E" w:rsidRPr="00744858" w:rsidRDefault="0005033E" w:rsidP="00EC147A">
            <w:pPr>
              <w:rPr>
                <w:rFonts w:ascii="Times New Roman" w:hAnsi="Times New Roman" w:cs="Times New Roman"/>
              </w:rPr>
            </w:pPr>
          </w:p>
        </w:tc>
        <w:tc>
          <w:tcPr>
            <w:tcW w:w="1530" w:type="dxa"/>
            <w:vMerge/>
          </w:tcPr>
          <w:p w14:paraId="567AECA3" w14:textId="77777777" w:rsidR="0005033E" w:rsidRPr="00744858" w:rsidRDefault="0005033E" w:rsidP="00EC147A">
            <w:pPr>
              <w:rPr>
                <w:rFonts w:ascii="Times New Roman" w:hAnsi="Times New Roman" w:cs="Times New Roman"/>
              </w:rPr>
            </w:pPr>
          </w:p>
        </w:tc>
        <w:tc>
          <w:tcPr>
            <w:tcW w:w="487" w:type="dxa"/>
          </w:tcPr>
          <w:p w14:paraId="44D52047"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w:t>
            </w:r>
          </w:p>
        </w:tc>
        <w:tc>
          <w:tcPr>
            <w:tcW w:w="1134" w:type="dxa"/>
            <w:noWrap/>
          </w:tcPr>
          <w:p w14:paraId="3F440F52" w14:textId="77777777" w:rsidR="0005033E" w:rsidRPr="00744858" w:rsidRDefault="000F194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20.7</w:t>
            </w:r>
          </w:p>
        </w:tc>
        <w:tc>
          <w:tcPr>
            <w:tcW w:w="1701" w:type="dxa"/>
            <w:noWrap/>
          </w:tcPr>
          <w:p w14:paraId="310C9A3A"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17.3</w:t>
            </w:r>
          </w:p>
        </w:tc>
      </w:tr>
      <w:tr w:rsidR="0005033E" w:rsidRPr="00744858" w14:paraId="5D2B0DD0" w14:textId="77777777" w:rsidTr="009E6537">
        <w:trPr>
          <w:trHeight w:val="70"/>
        </w:trPr>
        <w:tc>
          <w:tcPr>
            <w:tcW w:w="1101" w:type="dxa"/>
            <w:vMerge/>
          </w:tcPr>
          <w:p w14:paraId="583E8909" w14:textId="77777777" w:rsidR="0005033E" w:rsidRPr="00744858" w:rsidRDefault="0005033E" w:rsidP="00EC147A">
            <w:pPr>
              <w:rPr>
                <w:rFonts w:ascii="Times New Roman" w:hAnsi="Times New Roman" w:cs="Times New Roman"/>
              </w:rPr>
            </w:pPr>
          </w:p>
        </w:tc>
        <w:tc>
          <w:tcPr>
            <w:tcW w:w="1530" w:type="dxa"/>
            <w:vMerge w:val="restart"/>
          </w:tcPr>
          <w:p w14:paraId="721BFE7A"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Divorce</w:t>
            </w:r>
          </w:p>
        </w:tc>
        <w:tc>
          <w:tcPr>
            <w:tcW w:w="487" w:type="dxa"/>
          </w:tcPr>
          <w:p w14:paraId="36FE70DA"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n</w:t>
            </w:r>
          </w:p>
        </w:tc>
        <w:tc>
          <w:tcPr>
            <w:tcW w:w="1134" w:type="dxa"/>
            <w:noWrap/>
          </w:tcPr>
          <w:p w14:paraId="5A3C2FA3"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10</w:t>
            </w:r>
          </w:p>
        </w:tc>
        <w:tc>
          <w:tcPr>
            <w:tcW w:w="1701" w:type="dxa"/>
            <w:noWrap/>
          </w:tcPr>
          <w:p w14:paraId="51FC7541" w14:textId="77777777" w:rsidR="0005033E" w:rsidRPr="00744858" w:rsidRDefault="0005033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13</w:t>
            </w:r>
          </w:p>
        </w:tc>
      </w:tr>
      <w:tr w:rsidR="0005033E" w:rsidRPr="00744858" w14:paraId="27A815A5" w14:textId="77777777" w:rsidTr="009E6537">
        <w:trPr>
          <w:trHeight w:val="246"/>
        </w:trPr>
        <w:tc>
          <w:tcPr>
            <w:tcW w:w="1101" w:type="dxa"/>
            <w:vMerge/>
          </w:tcPr>
          <w:p w14:paraId="57BDBE2D" w14:textId="77777777" w:rsidR="0005033E" w:rsidRPr="00744858" w:rsidRDefault="0005033E" w:rsidP="00EC147A">
            <w:pPr>
              <w:rPr>
                <w:rFonts w:ascii="Times New Roman" w:hAnsi="Times New Roman" w:cs="Times New Roman"/>
              </w:rPr>
            </w:pPr>
          </w:p>
        </w:tc>
        <w:tc>
          <w:tcPr>
            <w:tcW w:w="1530" w:type="dxa"/>
            <w:vMerge/>
          </w:tcPr>
          <w:p w14:paraId="2535A77B" w14:textId="77777777" w:rsidR="0005033E" w:rsidRPr="00744858" w:rsidRDefault="0005033E" w:rsidP="00EC147A">
            <w:pPr>
              <w:rPr>
                <w:rFonts w:ascii="Times New Roman" w:hAnsi="Times New Roman" w:cs="Times New Roman"/>
              </w:rPr>
            </w:pPr>
          </w:p>
        </w:tc>
        <w:tc>
          <w:tcPr>
            <w:tcW w:w="487" w:type="dxa"/>
          </w:tcPr>
          <w:p w14:paraId="1666D913" w14:textId="77777777" w:rsidR="0005033E" w:rsidRPr="00744858" w:rsidRDefault="0005033E" w:rsidP="00EC147A">
            <w:pPr>
              <w:rPr>
                <w:rFonts w:ascii="Times New Roman" w:hAnsi="Times New Roman" w:cs="Times New Roman"/>
              </w:rPr>
            </w:pPr>
            <w:r w:rsidRPr="00744858">
              <w:rPr>
                <w:rFonts w:ascii="Times New Roman" w:hAnsi="Times New Roman" w:cs="Times New Roman"/>
              </w:rPr>
              <w:t>%</w:t>
            </w:r>
          </w:p>
        </w:tc>
        <w:tc>
          <w:tcPr>
            <w:tcW w:w="1134" w:type="dxa"/>
            <w:noWrap/>
          </w:tcPr>
          <w:p w14:paraId="02A27B02" w14:textId="77777777" w:rsidR="0005033E" w:rsidRPr="00744858" w:rsidRDefault="000F194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6.7</w:t>
            </w:r>
          </w:p>
        </w:tc>
        <w:tc>
          <w:tcPr>
            <w:tcW w:w="1701" w:type="dxa"/>
            <w:noWrap/>
          </w:tcPr>
          <w:p w14:paraId="2E55ABAF" w14:textId="77777777" w:rsidR="0005033E" w:rsidRPr="00744858" w:rsidRDefault="000F194E" w:rsidP="000F194E">
            <w:pPr>
              <w:rPr>
                <w:rFonts w:ascii="Times New Roman" w:hAnsi="Times New Roman" w:cs="Times New Roman"/>
                <w:color w:val="000000"/>
                <w:sz w:val="18"/>
                <w:szCs w:val="18"/>
              </w:rPr>
            </w:pPr>
            <w:r w:rsidRPr="00744858">
              <w:rPr>
                <w:rFonts w:ascii="Times New Roman" w:hAnsi="Times New Roman" w:cs="Times New Roman"/>
                <w:color w:val="000000"/>
                <w:sz w:val="18"/>
                <w:szCs w:val="18"/>
              </w:rPr>
              <w:t>8.7</w:t>
            </w:r>
          </w:p>
        </w:tc>
      </w:tr>
      <w:tr w:rsidR="00EC147A" w:rsidRPr="00744858" w14:paraId="7F107F73" w14:textId="77777777" w:rsidTr="009E6537">
        <w:trPr>
          <w:trHeight w:val="87"/>
        </w:trPr>
        <w:tc>
          <w:tcPr>
            <w:tcW w:w="1101" w:type="dxa"/>
            <w:vMerge w:val="restart"/>
          </w:tcPr>
          <w:p w14:paraId="765326D7"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Monthly Income</w:t>
            </w:r>
          </w:p>
        </w:tc>
        <w:tc>
          <w:tcPr>
            <w:tcW w:w="1530" w:type="dxa"/>
          </w:tcPr>
          <w:p w14:paraId="6F060661"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&lt;15000</w:t>
            </w:r>
          </w:p>
        </w:tc>
        <w:tc>
          <w:tcPr>
            <w:tcW w:w="487" w:type="dxa"/>
          </w:tcPr>
          <w:p w14:paraId="552FB63E"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n</w:t>
            </w:r>
          </w:p>
        </w:tc>
        <w:tc>
          <w:tcPr>
            <w:tcW w:w="1134" w:type="dxa"/>
            <w:noWrap/>
          </w:tcPr>
          <w:p w14:paraId="226F3DDE"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31</w:t>
            </w:r>
          </w:p>
        </w:tc>
        <w:tc>
          <w:tcPr>
            <w:tcW w:w="1701" w:type="dxa"/>
            <w:noWrap/>
          </w:tcPr>
          <w:p w14:paraId="20A54338"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19</w:t>
            </w:r>
          </w:p>
        </w:tc>
      </w:tr>
      <w:tr w:rsidR="00EC147A" w:rsidRPr="00744858" w14:paraId="15911D0C" w14:textId="77777777" w:rsidTr="009E6537">
        <w:trPr>
          <w:trHeight w:val="87"/>
        </w:trPr>
        <w:tc>
          <w:tcPr>
            <w:tcW w:w="1101" w:type="dxa"/>
            <w:vMerge/>
          </w:tcPr>
          <w:p w14:paraId="36F66340" w14:textId="77777777" w:rsidR="00EC147A" w:rsidRPr="00744858" w:rsidRDefault="00EC147A" w:rsidP="00EC147A">
            <w:pPr>
              <w:rPr>
                <w:rFonts w:ascii="Times New Roman" w:hAnsi="Times New Roman" w:cs="Times New Roman"/>
              </w:rPr>
            </w:pPr>
          </w:p>
        </w:tc>
        <w:tc>
          <w:tcPr>
            <w:tcW w:w="1530" w:type="dxa"/>
          </w:tcPr>
          <w:p w14:paraId="254A6D7C" w14:textId="77777777" w:rsidR="00EC147A" w:rsidRPr="00744858" w:rsidRDefault="00EC147A" w:rsidP="00EC147A">
            <w:pPr>
              <w:rPr>
                <w:rFonts w:ascii="Times New Roman" w:hAnsi="Times New Roman" w:cs="Times New Roman"/>
              </w:rPr>
            </w:pPr>
          </w:p>
        </w:tc>
        <w:tc>
          <w:tcPr>
            <w:tcW w:w="487" w:type="dxa"/>
          </w:tcPr>
          <w:p w14:paraId="335702B8"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w:t>
            </w:r>
          </w:p>
        </w:tc>
        <w:tc>
          <w:tcPr>
            <w:tcW w:w="1134" w:type="dxa"/>
            <w:noWrap/>
          </w:tcPr>
          <w:p w14:paraId="2C100A10"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20.7</w:t>
            </w:r>
          </w:p>
        </w:tc>
        <w:tc>
          <w:tcPr>
            <w:tcW w:w="1701" w:type="dxa"/>
            <w:noWrap/>
          </w:tcPr>
          <w:p w14:paraId="7E5ECAA5"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12.7</w:t>
            </w:r>
          </w:p>
        </w:tc>
      </w:tr>
      <w:tr w:rsidR="00EC147A" w:rsidRPr="00744858" w14:paraId="5D0DBD06" w14:textId="77777777" w:rsidTr="009E6537">
        <w:trPr>
          <w:trHeight w:val="87"/>
        </w:trPr>
        <w:tc>
          <w:tcPr>
            <w:tcW w:w="1101" w:type="dxa"/>
            <w:vMerge/>
          </w:tcPr>
          <w:p w14:paraId="7B1407A2" w14:textId="77777777" w:rsidR="00EC147A" w:rsidRPr="00744858" w:rsidRDefault="00EC147A" w:rsidP="00EC147A">
            <w:pPr>
              <w:rPr>
                <w:rFonts w:ascii="Times New Roman" w:hAnsi="Times New Roman" w:cs="Times New Roman"/>
              </w:rPr>
            </w:pPr>
          </w:p>
        </w:tc>
        <w:tc>
          <w:tcPr>
            <w:tcW w:w="1530" w:type="dxa"/>
            <w:vMerge w:val="restart"/>
          </w:tcPr>
          <w:p w14:paraId="4A75CD7C"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15000-30000</w:t>
            </w:r>
          </w:p>
        </w:tc>
        <w:tc>
          <w:tcPr>
            <w:tcW w:w="487" w:type="dxa"/>
          </w:tcPr>
          <w:p w14:paraId="2458DCCC"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n</w:t>
            </w:r>
          </w:p>
        </w:tc>
        <w:tc>
          <w:tcPr>
            <w:tcW w:w="1134" w:type="dxa"/>
            <w:noWrap/>
          </w:tcPr>
          <w:p w14:paraId="001B5448"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51</w:t>
            </w:r>
          </w:p>
        </w:tc>
        <w:tc>
          <w:tcPr>
            <w:tcW w:w="1701" w:type="dxa"/>
            <w:noWrap/>
          </w:tcPr>
          <w:p w14:paraId="337CFD4A"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36</w:t>
            </w:r>
          </w:p>
        </w:tc>
      </w:tr>
      <w:tr w:rsidR="00EC147A" w:rsidRPr="00744858" w14:paraId="3B6FEE99" w14:textId="77777777" w:rsidTr="009E6537">
        <w:trPr>
          <w:trHeight w:val="87"/>
        </w:trPr>
        <w:tc>
          <w:tcPr>
            <w:tcW w:w="1101" w:type="dxa"/>
            <w:vMerge/>
          </w:tcPr>
          <w:p w14:paraId="73197FCB" w14:textId="77777777" w:rsidR="00EC147A" w:rsidRPr="00744858" w:rsidRDefault="00EC147A" w:rsidP="00EC147A">
            <w:pPr>
              <w:rPr>
                <w:rFonts w:ascii="Times New Roman" w:hAnsi="Times New Roman" w:cs="Times New Roman"/>
              </w:rPr>
            </w:pPr>
          </w:p>
        </w:tc>
        <w:tc>
          <w:tcPr>
            <w:tcW w:w="1530" w:type="dxa"/>
            <w:vMerge/>
          </w:tcPr>
          <w:p w14:paraId="34488F2D" w14:textId="77777777" w:rsidR="00EC147A" w:rsidRPr="00744858" w:rsidRDefault="00EC147A" w:rsidP="00EC147A">
            <w:pPr>
              <w:rPr>
                <w:rFonts w:ascii="Times New Roman" w:hAnsi="Times New Roman" w:cs="Times New Roman"/>
              </w:rPr>
            </w:pPr>
          </w:p>
        </w:tc>
        <w:tc>
          <w:tcPr>
            <w:tcW w:w="487" w:type="dxa"/>
          </w:tcPr>
          <w:p w14:paraId="5EA971B6"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w:t>
            </w:r>
          </w:p>
        </w:tc>
        <w:tc>
          <w:tcPr>
            <w:tcW w:w="1134" w:type="dxa"/>
            <w:noWrap/>
          </w:tcPr>
          <w:p w14:paraId="257C2E15"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34</w:t>
            </w:r>
          </w:p>
        </w:tc>
        <w:tc>
          <w:tcPr>
            <w:tcW w:w="1701" w:type="dxa"/>
            <w:noWrap/>
          </w:tcPr>
          <w:p w14:paraId="2800A2BD"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24</w:t>
            </w:r>
          </w:p>
        </w:tc>
      </w:tr>
      <w:tr w:rsidR="00EC147A" w:rsidRPr="00744858" w14:paraId="00B0397A" w14:textId="77777777" w:rsidTr="009E6537">
        <w:trPr>
          <w:trHeight w:val="87"/>
        </w:trPr>
        <w:tc>
          <w:tcPr>
            <w:tcW w:w="1101" w:type="dxa"/>
            <w:vMerge/>
          </w:tcPr>
          <w:p w14:paraId="5021376D" w14:textId="77777777" w:rsidR="00EC147A" w:rsidRPr="00744858" w:rsidRDefault="00EC147A" w:rsidP="00EC147A">
            <w:pPr>
              <w:rPr>
                <w:rFonts w:ascii="Times New Roman" w:hAnsi="Times New Roman" w:cs="Times New Roman"/>
              </w:rPr>
            </w:pPr>
          </w:p>
        </w:tc>
        <w:tc>
          <w:tcPr>
            <w:tcW w:w="1530" w:type="dxa"/>
            <w:vMerge w:val="restart"/>
          </w:tcPr>
          <w:p w14:paraId="25583441"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31000-50000</w:t>
            </w:r>
          </w:p>
        </w:tc>
        <w:tc>
          <w:tcPr>
            <w:tcW w:w="487" w:type="dxa"/>
          </w:tcPr>
          <w:p w14:paraId="43D96B6B"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n</w:t>
            </w:r>
          </w:p>
        </w:tc>
        <w:tc>
          <w:tcPr>
            <w:tcW w:w="1134" w:type="dxa"/>
            <w:noWrap/>
          </w:tcPr>
          <w:p w14:paraId="06FABE7E"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48</w:t>
            </w:r>
          </w:p>
        </w:tc>
        <w:tc>
          <w:tcPr>
            <w:tcW w:w="1701" w:type="dxa"/>
            <w:noWrap/>
          </w:tcPr>
          <w:p w14:paraId="5C6A9A59"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56</w:t>
            </w:r>
          </w:p>
        </w:tc>
      </w:tr>
      <w:tr w:rsidR="00EC147A" w:rsidRPr="00744858" w14:paraId="245EE1C9" w14:textId="77777777" w:rsidTr="009E6537">
        <w:trPr>
          <w:trHeight w:val="87"/>
        </w:trPr>
        <w:tc>
          <w:tcPr>
            <w:tcW w:w="1101" w:type="dxa"/>
            <w:vMerge/>
          </w:tcPr>
          <w:p w14:paraId="0399BB71" w14:textId="77777777" w:rsidR="00EC147A" w:rsidRPr="00744858" w:rsidRDefault="00EC147A" w:rsidP="00EC147A">
            <w:pPr>
              <w:rPr>
                <w:rFonts w:ascii="Times New Roman" w:hAnsi="Times New Roman" w:cs="Times New Roman"/>
              </w:rPr>
            </w:pPr>
          </w:p>
        </w:tc>
        <w:tc>
          <w:tcPr>
            <w:tcW w:w="1530" w:type="dxa"/>
            <w:vMerge/>
          </w:tcPr>
          <w:p w14:paraId="3BB8816B" w14:textId="77777777" w:rsidR="00EC147A" w:rsidRPr="00744858" w:rsidRDefault="00EC147A" w:rsidP="00EC147A">
            <w:pPr>
              <w:rPr>
                <w:rFonts w:ascii="Times New Roman" w:hAnsi="Times New Roman" w:cs="Times New Roman"/>
              </w:rPr>
            </w:pPr>
          </w:p>
        </w:tc>
        <w:tc>
          <w:tcPr>
            <w:tcW w:w="487" w:type="dxa"/>
          </w:tcPr>
          <w:p w14:paraId="3049C105"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w:t>
            </w:r>
          </w:p>
        </w:tc>
        <w:tc>
          <w:tcPr>
            <w:tcW w:w="1134" w:type="dxa"/>
            <w:noWrap/>
          </w:tcPr>
          <w:p w14:paraId="187E9A8F"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32</w:t>
            </w:r>
          </w:p>
        </w:tc>
        <w:tc>
          <w:tcPr>
            <w:tcW w:w="1701" w:type="dxa"/>
            <w:noWrap/>
          </w:tcPr>
          <w:p w14:paraId="4BFC2D33"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37.3</w:t>
            </w:r>
          </w:p>
        </w:tc>
      </w:tr>
      <w:tr w:rsidR="00EC147A" w:rsidRPr="00744858" w14:paraId="682CC5F8" w14:textId="77777777" w:rsidTr="009E6537">
        <w:trPr>
          <w:trHeight w:val="87"/>
        </w:trPr>
        <w:tc>
          <w:tcPr>
            <w:tcW w:w="1101" w:type="dxa"/>
            <w:vMerge/>
          </w:tcPr>
          <w:p w14:paraId="670890D8" w14:textId="77777777" w:rsidR="00EC147A" w:rsidRPr="00744858" w:rsidRDefault="00EC147A" w:rsidP="00EC147A">
            <w:pPr>
              <w:rPr>
                <w:rFonts w:ascii="Times New Roman" w:hAnsi="Times New Roman" w:cs="Times New Roman"/>
              </w:rPr>
            </w:pPr>
          </w:p>
        </w:tc>
        <w:tc>
          <w:tcPr>
            <w:tcW w:w="1530" w:type="dxa"/>
            <w:vMerge w:val="restart"/>
          </w:tcPr>
          <w:p w14:paraId="4EA98A7B"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&gt; 50000 1,000,00</w:t>
            </w:r>
          </w:p>
        </w:tc>
        <w:tc>
          <w:tcPr>
            <w:tcW w:w="487" w:type="dxa"/>
          </w:tcPr>
          <w:p w14:paraId="59326C9F"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n</w:t>
            </w:r>
          </w:p>
        </w:tc>
        <w:tc>
          <w:tcPr>
            <w:tcW w:w="1134" w:type="dxa"/>
            <w:noWrap/>
          </w:tcPr>
          <w:p w14:paraId="7E7DE4BA"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20</w:t>
            </w:r>
          </w:p>
        </w:tc>
        <w:tc>
          <w:tcPr>
            <w:tcW w:w="1701" w:type="dxa"/>
            <w:noWrap/>
          </w:tcPr>
          <w:p w14:paraId="3EBCB306"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39</w:t>
            </w:r>
          </w:p>
        </w:tc>
      </w:tr>
      <w:tr w:rsidR="00EC147A" w:rsidRPr="00744858" w14:paraId="605FE571" w14:textId="77777777" w:rsidTr="009E6537">
        <w:trPr>
          <w:trHeight w:val="87"/>
        </w:trPr>
        <w:tc>
          <w:tcPr>
            <w:tcW w:w="1101" w:type="dxa"/>
            <w:vMerge/>
          </w:tcPr>
          <w:p w14:paraId="18B39E4D" w14:textId="77777777" w:rsidR="00EC147A" w:rsidRPr="00744858" w:rsidRDefault="00EC147A" w:rsidP="00EC147A">
            <w:pPr>
              <w:rPr>
                <w:rFonts w:ascii="Times New Roman" w:hAnsi="Times New Roman" w:cs="Times New Roman"/>
              </w:rPr>
            </w:pPr>
          </w:p>
        </w:tc>
        <w:tc>
          <w:tcPr>
            <w:tcW w:w="1530" w:type="dxa"/>
            <w:vMerge/>
          </w:tcPr>
          <w:p w14:paraId="3DCCB655" w14:textId="77777777" w:rsidR="00EC147A" w:rsidRPr="00744858" w:rsidRDefault="00EC147A" w:rsidP="00EC147A">
            <w:pPr>
              <w:rPr>
                <w:rFonts w:ascii="Times New Roman" w:hAnsi="Times New Roman" w:cs="Times New Roman"/>
              </w:rPr>
            </w:pPr>
          </w:p>
        </w:tc>
        <w:tc>
          <w:tcPr>
            <w:tcW w:w="487" w:type="dxa"/>
          </w:tcPr>
          <w:p w14:paraId="717BA3DB"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w:t>
            </w:r>
          </w:p>
        </w:tc>
        <w:tc>
          <w:tcPr>
            <w:tcW w:w="1134" w:type="dxa"/>
            <w:noWrap/>
          </w:tcPr>
          <w:p w14:paraId="2F4A059E"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13.3</w:t>
            </w:r>
          </w:p>
        </w:tc>
        <w:tc>
          <w:tcPr>
            <w:tcW w:w="1701" w:type="dxa"/>
            <w:noWrap/>
          </w:tcPr>
          <w:p w14:paraId="45C63805" w14:textId="77777777" w:rsidR="00EC147A" w:rsidRPr="00744858" w:rsidRDefault="00EC147A" w:rsidP="00EC147A">
            <w:pPr>
              <w:rPr>
                <w:rFonts w:ascii="Times New Roman" w:hAnsi="Times New Roman" w:cs="Times New Roman"/>
              </w:rPr>
            </w:pPr>
            <w:r w:rsidRPr="00744858">
              <w:rPr>
                <w:rFonts w:ascii="Times New Roman" w:hAnsi="Times New Roman" w:cs="Times New Roman"/>
              </w:rPr>
              <w:t>26</w:t>
            </w:r>
          </w:p>
        </w:tc>
      </w:tr>
    </w:tbl>
    <w:p w14:paraId="59F200C8" w14:textId="77777777" w:rsidR="00EC147A" w:rsidRPr="00744858" w:rsidRDefault="00EC147A" w:rsidP="00EC147A">
      <w:pPr>
        <w:ind w:left="-567"/>
        <w:jc w:val="both"/>
        <w:rPr>
          <w:rFonts w:ascii="Times New Roman" w:hAnsi="Times New Roman" w:cs="Times New Roman"/>
          <w:color w:val="222222"/>
          <w:sz w:val="24"/>
          <w:szCs w:val="24"/>
          <w:shd w:val="clear" w:color="auto" w:fill="FFFFFF"/>
        </w:rPr>
      </w:pPr>
    </w:p>
    <w:p w14:paraId="3414E59A" w14:textId="77777777" w:rsidR="00EC147A" w:rsidRPr="00744858" w:rsidRDefault="00EC147A" w:rsidP="00EC147A">
      <w:pPr>
        <w:jc w:val="both"/>
        <w:rPr>
          <w:rFonts w:ascii="Times New Roman" w:hAnsi="Times New Roman" w:cs="Times New Roman"/>
          <w:sz w:val="24"/>
          <w:szCs w:val="24"/>
          <w:lang w:val="en-US"/>
        </w:rPr>
      </w:pPr>
    </w:p>
    <w:p w14:paraId="20B922D5" w14:textId="77777777" w:rsidR="00EC147A" w:rsidRPr="00744858" w:rsidRDefault="00EC147A">
      <w:pPr>
        <w:rPr>
          <w:rFonts w:ascii="Times New Roman" w:hAnsi="Times New Roman" w:cs="Times New Roman"/>
        </w:rPr>
      </w:pPr>
    </w:p>
    <w:p w14:paraId="797A0FB4" w14:textId="77777777" w:rsidR="00EC147A" w:rsidRPr="00744858" w:rsidRDefault="00EC147A" w:rsidP="00EC147A">
      <w:pPr>
        <w:rPr>
          <w:rFonts w:ascii="Times New Roman" w:hAnsi="Times New Roman" w:cs="Times New Roman"/>
        </w:rPr>
      </w:pPr>
    </w:p>
    <w:p w14:paraId="5AB973C9" w14:textId="77777777" w:rsidR="00EC147A" w:rsidRPr="00744858" w:rsidRDefault="00EC147A" w:rsidP="00EC147A">
      <w:pPr>
        <w:rPr>
          <w:rFonts w:ascii="Times New Roman" w:hAnsi="Times New Roman" w:cs="Times New Roman"/>
        </w:rPr>
      </w:pPr>
    </w:p>
    <w:p w14:paraId="179BC88E" w14:textId="77777777" w:rsidR="00EC147A" w:rsidRPr="00744858" w:rsidRDefault="00EC147A" w:rsidP="00EC147A">
      <w:pPr>
        <w:rPr>
          <w:rFonts w:ascii="Times New Roman" w:hAnsi="Times New Roman" w:cs="Times New Roman"/>
        </w:rPr>
      </w:pPr>
    </w:p>
    <w:p w14:paraId="4E699D97" w14:textId="77777777" w:rsidR="00EC147A" w:rsidRPr="00744858" w:rsidRDefault="00EC147A" w:rsidP="00EC147A">
      <w:pPr>
        <w:rPr>
          <w:rFonts w:ascii="Times New Roman" w:hAnsi="Times New Roman" w:cs="Times New Roman"/>
        </w:rPr>
      </w:pPr>
    </w:p>
    <w:p w14:paraId="44CF97ED" w14:textId="77777777" w:rsidR="00EC147A" w:rsidRPr="00744858" w:rsidRDefault="00EC147A" w:rsidP="00EC147A">
      <w:pPr>
        <w:rPr>
          <w:rFonts w:ascii="Times New Roman" w:hAnsi="Times New Roman" w:cs="Times New Roman"/>
        </w:rPr>
      </w:pPr>
    </w:p>
    <w:p w14:paraId="6B04326A" w14:textId="77777777" w:rsidR="00EC147A" w:rsidRPr="00744858" w:rsidRDefault="00EC147A" w:rsidP="00EC147A">
      <w:pPr>
        <w:rPr>
          <w:rFonts w:ascii="Times New Roman" w:hAnsi="Times New Roman" w:cs="Times New Roman"/>
        </w:rPr>
      </w:pPr>
    </w:p>
    <w:p w14:paraId="1B0F0C1D" w14:textId="77777777" w:rsidR="00EC147A" w:rsidRPr="00744858" w:rsidRDefault="00EC147A" w:rsidP="00EC147A">
      <w:pPr>
        <w:rPr>
          <w:rFonts w:ascii="Times New Roman" w:hAnsi="Times New Roman" w:cs="Times New Roman"/>
        </w:rPr>
      </w:pPr>
    </w:p>
    <w:p w14:paraId="2B5074E6" w14:textId="77777777" w:rsidR="00EC147A" w:rsidRPr="00744858" w:rsidRDefault="00EC147A" w:rsidP="00EC147A">
      <w:pPr>
        <w:rPr>
          <w:rFonts w:ascii="Times New Roman" w:hAnsi="Times New Roman" w:cs="Times New Roman"/>
        </w:rPr>
      </w:pPr>
    </w:p>
    <w:p w14:paraId="48A17684" w14:textId="77777777" w:rsidR="00EC147A" w:rsidRPr="00744858" w:rsidRDefault="00EC147A" w:rsidP="00EC147A">
      <w:pPr>
        <w:pStyle w:val="ListParagraph"/>
        <w:ind w:left="0" w:firstLine="720"/>
        <w:jc w:val="both"/>
        <w:rPr>
          <w:rFonts w:ascii="Times New Roman" w:hAnsi="Times New Roman" w:cs="Times New Roman"/>
          <w:sz w:val="24"/>
          <w:szCs w:val="24"/>
        </w:rPr>
      </w:pPr>
      <w:r w:rsidRPr="00744858">
        <w:rPr>
          <w:rFonts w:ascii="Times New Roman" w:hAnsi="Times New Roman" w:cs="Times New Roman"/>
        </w:rPr>
        <w:tab/>
      </w:r>
      <w:r w:rsidRPr="00744858">
        <w:rPr>
          <w:rFonts w:ascii="Times New Roman" w:hAnsi="Times New Roman" w:cs="Times New Roman"/>
          <w:b/>
          <w:bCs/>
          <w:sz w:val="24"/>
          <w:szCs w:val="24"/>
        </w:rPr>
        <w:t>Table:</w:t>
      </w:r>
      <w:r w:rsidR="003D7976" w:rsidRPr="00744858">
        <w:rPr>
          <w:rFonts w:ascii="Times New Roman" w:hAnsi="Times New Roman" w:cs="Times New Roman"/>
          <w:b/>
          <w:bCs/>
          <w:sz w:val="24"/>
          <w:szCs w:val="24"/>
        </w:rPr>
        <w:t xml:space="preserve"> </w:t>
      </w:r>
      <w:r w:rsidR="00A52355" w:rsidRPr="00744858">
        <w:rPr>
          <w:rFonts w:ascii="Times New Roman" w:hAnsi="Times New Roman" w:cs="Times New Roman"/>
          <w:b/>
          <w:bCs/>
          <w:sz w:val="24"/>
          <w:szCs w:val="24"/>
        </w:rPr>
        <w:t>2</w:t>
      </w:r>
      <w:r w:rsidRPr="00744858">
        <w:rPr>
          <w:rFonts w:ascii="Times New Roman" w:hAnsi="Times New Roman" w:cs="Times New Roman"/>
          <w:sz w:val="24"/>
          <w:szCs w:val="24"/>
        </w:rPr>
        <w:t xml:space="preserve"> presents demographic data concerning individuals residing in rural and urban areas, with each group comprising 150 individuals. The data is segmented into four age groups: 45-50, 51-55, 56-60, and 61-65. In the age group 45-50, there are 47.9% menopausal women, while in urban areas, 52.1% of women. the age group 51-55, rural areas have 51.4%, whereas urban areas reported 48.6%. Similarly, in the age group 56-60, rural areas host (48.9%), and urban areas consist of (51.1%). Lastly, in the age group 61-65, rural and urban areas accommodate (56.8%), (43.2%) respectively.</w:t>
      </w:r>
    </w:p>
    <w:p w14:paraId="754C936C" w14:textId="77777777" w:rsidR="00EC147A" w:rsidRPr="00744858" w:rsidRDefault="003D7976" w:rsidP="00EC147A">
      <w:pPr>
        <w:pStyle w:val="ListParagraph"/>
        <w:ind w:left="0" w:firstLine="720"/>
        <w:jc w:val="both"/>
        <w:rPr>
          <w:rFonts w:ascii="Times New Roman" w:hAnsi="Times New Roman" w:cs="Times New Roman"/>
          <w:sz w:val="24"/>
          <w:szCs w:val="24"/>
        </w:rPr>
      </w:pPr>
      <w:r w:rsidRPr="00744858">
        <w:rPr>
          <w:rFonts w:ascii="Times New Roman" w:hAnsi="Times New Roman" w:cs="Times New Roman"/>
          <w:sz w:val="24"/>
          <w:szCs w:val="24"/>
        </w:rPr>
        <w:t>The marital status of post</w:t>
      </w:r>
      <w:r w:rsidR="00E83F01" w:rsidRPr="00744858">
        <w:rPr>
          <w:rFonts w:ascii="Times New Roman" w:hAnsi="Times New Roman" w:cs="Times New Roman"/>
          <w:sz w:val="24"/>
          <w:szCs w:val="24"/>
        </w:rPr>
        <w:t xml:space="preserve"> </w:t>
      </w:r>
      <w:r w:rsidRPr="00744858">
        <w:rPr>
          <w:rFonts w:ascii="Times New Roman" w:hAnsi="Times New Roman" w:cs="Times New Roman"/>
          <w:sz w:val="24"/>
          <w:szCs w:val="24"/>
        </w:rPr>
        <w:t>-</w:t>
      </w:r>
      <w:r w:rsidR="00EC147A" w:rsidRPr="00744858">
        <w:rPr>
          <w:rFonts w:ascii="Times New Roman" w:hAnsi="Times New Roman" w:cs="Times New Roman"/>
          <w:sz w:val="24"/>
          <w:szCs w:val="24"/>
        </w:rPr>
        <w:t>menopausal women living in rural and urban area</w:t>
      </w:r>
      <w:r w:rsidR="00B7710B" w:rsidRPr="00744858">
        <w:rPr>
          <w:rFonts w:ascii="Times New Roman" w:hAnsi="Times New Roman" w:cs="Times New Roman"/>
          <w:sz w:val="24"/>
          <w:szCs w:val="24"/>
        </w:rPr>
        <w:t>s. In rural areas, 71</w:t>
      </w:r>
      <w:r w:rsidR="00EC147A" w:rsidRPr="00744858">
        <w:rPr>
          <w:rFonts w:ascii="Times New Roman" w:hAnsi="Times New Roman" w:cs="Times New Roman"/>
          <w:sz w:val="24"/>
          <w:szCs w:val="24"/>
        </w:rPr>
        <w:t>.</w:t>
      </w:r>
      <w:r w:rsidR="00B7710B" w:rsidRPr="00744858">
        <w:rPr>
          <w:rFonts w:ascii="Times New Roman" w:hAnsi="Times New Roman" w:cs="Times New Roman"/>
          <w:sz w:val="24"/>
          <w:szCs w:val="24"/>
        </w:rPr>
        <w:t>3</w:t>
      </w:r>
      <w:r w:rsidR="00EC147A" w:rsidRPr="00744858">
        <w:rPr>
          <w:rFonts w:ascii="Times New Roman" w:hAnsi="Times New Roman" w:cs="Times New Roman"/>
          <w:sz w:val="24"/>
          <w:szCs w:val="24"/>
        </w:rPr>
        <w:t>%, are married, while in urban</w:t>
      </w:r>
      <w:r w:rsidR="00B7710B" w:rsidRPr="00744858">
        <w:rPr>
          <w:rFonts w:ascii="Times New Roman" w:hAnsi="Times New Roman" w:cs="Times New Roman"/>
          <w:sz w:val="24"/>
          <w:szCs w:val="24"/>
        </w:rPr>
        <w:t xml:space="preserve"> areas, 63.3%, are married. unmarried in rural and</w:t>
      </w:r>
      <w:r w:rsidR="00EC147A" w:rsidRPr="00744858">
        <w:rPr>
          <w:rFonts w:ascii="Times New Roman" w:hAnsi="Times New Roman" w:cs="Times New Roman"/>
          <w:sz w:val="24"/>
          <w:szCs w:val="24"/>
        </w:rPr>
        <w:t xml:space="preserve"> </w:t>
      </w:r>
      <w:r w:rsidR="00B7710B" w:rsidRPr="00744858">
        <w:rPr>
          <w:rFonts w:ascii="Times New Roman" w:hAnsi="Times New Roman" w:cs="Times New Roman"/>
          <w:sz w:val="24"/>
          <w:szCs w:val="24"/>
        </w:rPr>
        <w:t xml:space="preserve">urban areas </w:t>
      </w:r>
      <w:r w:rsidR="00EC147A" w:rsidRPr="00744858">
        <w:rPr>
          <w:rFonts w:ascii="Times New Roman" w:hAnsi="Times New Roman" w:cs="Times New Roman"/>
          <w:sz w:val="24"/>
          <w:szCs w:val="24"/>
        </w:rPr>
        <w:t xml:space="preserve">representing </w:t>
      </w:r>
      <w:r w:rsidR="00B7710B" w:rsidRPr="00744858">
        <w:rPr>
          <w:rFonts w:ascii="Times New Roman" w:hAnsi="Times New Roman" w:cs="Times New Roman"/>
          <w:sz w:val="24"/>
          <w:szCs w:val="24"/>
        </w:rPr>
        <w:t xml:space="preserve">1.3%, 4.7%. </w:t>
      </w:r>
      <w:r w:rsidR="00BC57E2" w:rsidRPr="00744858">
        <w:rPr>
          <w:rFonts w:ascii="Times New Roman" w:hAnsi="Times New Roman" w:cs="Times New Roman"/>
          <w:sz w:val="24"/>
          <w:szCs w:val="24"/>
        </w:rPr>
        <w:t xml:space="preserve"> </w:t>
      </w:r>
      <w:r w:rsidR="00EC147A" w:rsidRPr="00744858">
        <w:rPr>
          <w:rFonts w:ascii="Times New Roman" w:hAnsi="Times New Roman" w:cs="Times New Roman"/>
          <w:sz w:val="24"/>
          <w:szCs w:val="24"/>
        </w:rPr>
        <w:t xml:space="preserve">As for widowed, constituting </w:t>
      </w:r>
      <w:r w:rsidR="00E83F01" w:rsidRPr="00744858">
        <w:rPr>
          <w:rFonts w:ascii="Times New Roman" w:hAnsi="Times New Roman" w:cs="Times New Roman"/>
          <w:sz w:val="24"/>
          <w:szCs w:val="24"/>
        </w:rPr>
        <w:t>20.7%</w:t>
      </w:r>
      <w:r w:rsidR="00EC147A" w:rsidRPr="00744858">
        <w:rPr>
          <w:rFonts w:ascii="Times New Roman" w:hAnsi="Times New Roman" w:cs="Times New Roman"/>
          <w:sz w:val="24"/>
          <w:szCs w:val="24"/>
        </w:rPr>
        <w:t xml:space="preserve"> and urban areas have </w:t>
      </w:r>
      <w:r w:rsidR="00E83F01" w:rsidRPr="00744858">
        <w:rPr>
          <w:rFonts w:ascii="Times New Roman" w:hAnsi="Times New Roman" w:cs="Times New Roman"/>
          <w:sz w:val="24"/>
          <w:szCs w:val="24"/>
        </w:rPr>
        <w:t>17</w:t>
      </w:r>
      <w:r w:rsidR="00EC147A" w:rsidRPr="00744858">
        <w:rPr>
          <w:rFonts w:ascii="Times New Roman" w:hAnsi="Times New Roman" w:cs="Times New Roman"/>
          <w:sz w:val="24"/>
          <w:szCs w:val="24"/>
        </w:rPr>
        <w:t xml:space="preserve">.3%. Regarding divorced rural </w:t>
      </w:r>
      <w:proofErr w:type="gramStart"/>
      <w:r w:rsidR="00EC147A" w:rsidRPr="00744858">
        <w:rPr>
          <w:rFonts w:ascii="Times New Roman" w:hAnsi="Times New Roman" w:cs="Times New Roman"/>
          <w:sz w:val="24"/>
          <w:szCs w:val="24"/>
        </w:rPr>
        <w:t>areas  has</w:t>
      </w:r>
      <w:proofErr w:type="gramEnd"/>
      <w:r w:rsidR="00EC147A" w:rsidRPr="00744858">
        <w:rPr>
          <w:rFonts w:ascii="Times New Roman" w:hAnsi="Times New Roman" w:cs="Times New Roman"/>
          <w:sz w:val="24"/>
          <w:szCs w:val="24"/>
        </w:rPr>
        <w:t xml:space="preserve"> reported </w:t>
      </w:r>
      <w:r w:rsidR="00E83F01" w:rsidRPr="00744858">
        <w:rPr>
          <w:rFonts w:ascii="Times New Roman" w:hAnsi="Times New Roman" w:cs="Times New Roman"/>
          <w:sz w:val="24"/>
          <w:szCs w:val="24"/>
        </w:rPr>
        <w:t>6.7</w:t>
      </w:r>
      <w:r w:rsidR="00EC147A" w:rsidRPr="00744858">
        <w:rPr>
          <w:rFonts w:ascii="Times New Roman" w:hAnsi="Times New Roman" w:cs="Times New Roman"/>
          <w:sz w:val="24"/>
          <w:szCs w:val="24"/>
        </w:rPr>
        <w:t xml:space="preserve">%, while urban areas have </w:t>
      </w:r>
      <w:r w:rsidR="00E83F01" w:rsidRPr="00744858">
        <w:rPr>
          <w:rFonts w:ascii="Times New Roman" w:hAnsi="Times New Roman" w:cs="Times New Roman"/>
          <w:sz w:val="24"/>
          <w:szCs w:val="24"/>
        </w:rPr>
        <w:t>8.7%</w:t>
      </w:r>
    </w:p>
    <w:p w14:paraId="15C07E8A" w14:textId="77777777" w:rsidR="00EC147A" w:rsidRPr="00744858" w:rsidRDefault="00EC147A" w:rsidP="00EC147A">
      <w:pPr>
        <w:pStyle w:val="ListParagraph"/>
        <w:ind w:left="0" w:firstLine="720"/>
        <w:jc w:val="both"/>
        <w:rPr>
          <w:rFonts w:ascii="Times New Roman" w:hAnsi="Times New Roman" w:cs="Times New Roman"/>
          <w:sz w:val="24"/>
          <w:szCs w:val="24"/>
        </w:rPr>
      </w:pPr>
      <w:r w:rsidRPr="00744858">
        <w:rPr>
          <w:rFonts w:ascii="Times New Roman" w:hAnsi="Times New Roman" w:cs="Times New Roman"/>
          <w:sz w:val="24"/>
          <w:szCs w:val="24"/>
        </w:rPr>
        <w:t>Monthly income distribution among post-menopausal women residing in rural an</w:t>
      </w:r>
      <w:r w:rsidR="00B7710B" w:rsidRPr="00744858">
        <w:rPr>
          <w:rFonts w:ascii="Times New Roman" w:hAnsi="Times New Roman" w:cs="Times New Roman"/>
          <w:sz w:val="24"/>
          <w:szCs w:val="24"/>
        </w:rPr>
        <w:t xml:space="preserve">d urban areas. In rural areas, </w:t>
      </w:r>
      <w:r w:rsidRPr="00744858">
        <w:rPr>
          <w:rFonts w:ascii="Times New Roman" w:hAnsi="Times New Roman" w:cs="Times New Roman"/>
          <w:sz w:val="24"/>
          <w:szCs w:val="24"/>
        </w:rPr>
        <w:t>comprising 20.7%, earn less than 15,000, whereas in urban areas,  accounting for 12.7%, fall into this income .</w:t>
      </w:r>
      <w:r w:rsidR="00962D82" w:rsidRPr="00744858">
        <w:rPr>
          <w:rFonts w:ascii="Times New Roman" w:hAnsi="Times New Roman" w:cs="Times New Roman"/>
          <w:sz w:val="24"/>
          <w:szCs w:val="24"/>
        </w:rPr>
        <w:t>Next</w:t>
      </w:r>
      <w:r w:rsidRPr="00744858">
        <w:rPr>
          <w:rFonts w:ascii="Times New Roman" w:hAnsi="Times New Roman" w:cs="Times New Roman"/>
          <w:sz w:val="24"/>
          <w:szCs w:val="24"/>
        </w:rPr>
        <w:t xml:space="preserve"> 15,000-30,000 income range, rural areas </w:t>
      </w:r>
      <w:r w:rsidR="00962D82" w:rsidRPr="00744858">
        <w:rPr>
          <w:rFonts w:ascii="Times New Roman" w:hAnsi="Times New Roman" w:cs="Times New Roman"/>
          <w:sz w:val="24"/>
          <w:szCs w:val="24"/>
        </w:rPr>
        <w:t>having</w:t>
      </w:r>
      <w:r w:rsidRPr="00744858">
        <w:rPr>
          <w:rFonts w:ascii="Times New Roman" w:hAnsi="Times New Roman" w:cs="Times New Roman"/>
          <w:sz w:val="24"/>
          <w:szCs w:val="24"/>
        </w:rPr>
        <w:t xml:space="preserve"> 34%, while urban areas </w:t>
      </w:r>
      <w:r w:rsidR="00962D82" w:rsidRPr="00744858">
        <w:rPr>
          <w:rFonts w:ascii="Times New Roman" w:hAnsi="Times New Roman" w:cs="Times New Roman"/>
          <w:sz w:val="24"/>
          <w:szCs w:val="24"/>
        </w:rPr>
        <w:t>it was</w:t>
      </w:r>
      <w:r w:rsidRPr="00744858">
        <w:rPr>
          <w:rFonts w:ascii="Times New Roman" w:hAnsi="Times New Roman" w:cs="Times New Roman"/>
          <w:sz w:val="24"/>
          <w:szCs w:val="24"/>
        </w:rPr>
        <w:t xml:space="preserve"> 24%. In the 31,000-</w:t>
      </w:r>
      <w:r w:rsidR="003D7976" w:rsidRPr="00744858">
        <w:rPr>
          <w:rFonts w:ascii="Times New Roman" w:hAnsi="Times New Roman" w:cs="Times New Roman"/>
          <w:sz w:val="24"/>
          <w:szCs w:val="24"/>
        </w:rPr>
        <w:t xml:space="preserve"> </w:t>
      </w:r>
      <w:r w:rsidRPr="00744858">
        <w:rPr>
          <w:rFonts w:ascii="Times New Roman" w:hAnsi="Times New Roman" w:cs="Times New Roman"/>
          <w:sz w:val="24"/>
          <w:szCs w:val="24"/>
        </w:rPr>
        <w:t>50,000 income rural areas representing 32%, whereas urban area, accounting for 37.3%. Lastly, in the income exceeding 50,000 to 1,00,000, rural</w:t>
      </w:r>
      <w:r w:rsidR="00962D82" w:rsidRPr="00744858">
        <w:rPr>
          <w:rFonts w:ascii="Times New Roman" w:hAnsi="Times New Roman" w:cs="Times New Roman"/>
          <w:sz w:val="24"/>
          <w:szCs w:val="24"/>
        </w:rPr>
        <w:t xml:space="preserve"> and</w:t>
      </w:r>
      <w:r w:rsidRPr="00744858">
        <w:rPr>
          <w:rFonts w:ascii="Times New Roman" w:hAnsi="Times New Roman" w:cs="Times New Roman"/>
          <w:sz w:val="24"/>
          <w:szCs w:val="24"/>
        </w:rPr>
        <w:t xml:space="preserve"> </w:t>
      </w:r>
      <w:r w:rsidR="00962D82" w:rsidRPr="00744858">
        <w:rPr>
          <w:rFonts w:ascii="Times New Roman" w:hAnsi="Times New Roman" w:cs="Times New Roman"/>
          <w:sz w:val="24"/>
          <w:szCs w:val="24"/>
        </w:rPr>
        <w:t>urban areas accounting</w:t>
      </w:r>
      <w:r w:rsidRPr="00744858">
        <w:rPr>
          <w:rFonts w:ascii="Times New Roman" w:hAnsi="Times New Roman" w:cs="Times New Roman"/>
          <w:sz w:val="24"/>
          <w:szCs w:val="24"/>
        </w:rPr>
        <w:t xml:space="preserve"> 13.3%, </w:t>
      </w:r>
      <w:r w:rsidR="00962D82" w:rsidRPr="00744858">
        <w:rPr>
          <w:rFonts w:ascii="Times New Roman" w:hAnsi="Times New Roman" w:cs="Times New Roman"/>
          <w:sz w:val="24"/>
          <w:szCs w:val="24"/>
        </w:rPr>
        <w:t xml:space="preserve">26%.respectively </w:t>
      </w:r>
      <w:r w:rsidRPr="00744858">
        <w:rPr>
          <w:rFonts w:ascii="Times New Roman" w:hAnsi="Times New Roman" w:cs="Times New Roman"/>
          <w:sz w:val="24"/>
          <w:szCs w:val="24"/>
        </w:rPr>
        <w:t xml:space="preserve">Overall data has conclude that most of the rural post -menopausal women have earn less than 15,000 while in urban area women are functional and shelf dependent 37.3%. </w:t>
      </w:r>
      <w:r w:rsidRPr="00744858">
        <w:rPr>
          <w:rFonts w:ascii="Times New Roman" w:hAnsi="Times New Roman" w:cs="Times New Roman"/>
          <w:sz w:val="24"/>
          <w:szCs w:val="24"/>
        </w:rPr>
        <w:lastRenderedPageBreak/>
        <w:t xml:space="preserve">accounting for the 31,000-50,000 income and income exceeding 50,000 to 1,00,000 in urban area while urban areas constituting 26% </w:t>
      </w:r>
      <w:proofErr w:type="gramStart"/>
      <w:r w:rsidRPr="00744858">
        <w:rPr>
          <w:rFonts w:ascii="Times New Roman" w:hAnsi="Times New Roman" w:cs="Times New Roman"/>
          <w:sz w:val="24"/>
          <w:szCs w:val="24"/>
        </w:rPr>
        <w:t>while  it</w:t>
      </w:r>
      <w:proofErr w:type="gramEnd"/>
      <w:r w:rsidRPr="00744858">
        <w:rPr>
          <w:rFonts w:ascii="Times New Roman" w:hAnsi="Times New Roman" w:cs="Times New Roman"/>
          <w:sz w:val="24"/>
          <w:szCs w:val="24"/>
        </w:rPr>
        <w:t xml:space="preserve"> was reported in rural women i.e. 13.3%.</w:t>
      </w:r>
    </w:p>
    <w:p w14:paraId="14C3219E" w14:textId="77777777" w:rsidR="00EC147A" w:rsidRPr="00744858" w:rsidRDefault="00A52355" w:rsidP="00EC147A">
      <w:pPr>
        <w:pStyle w:val="ListParagraph"/>
        <w:spacing w:line="240" w:lineRule="auto"/>
        <w:ind w:left="3600"/>
        <w:rPr>
          <w:rFonts w:ascii="Times New Roman" w:hAnsi="Times New Roman" w:cs="Times New Roman"/>
          <w:b/>
          <w:bCs/>
          <w:sz w:val="24"/>
          <w:szCs w:val="24"/>
        </w:rPr>
      </w:pPr>
      <w:r w:rsidRPr="00744858">
        <w:rPr>
          <w:rFonts w:ascii="Times New Roman" w:hAnsi="Times New Roman" w:cs="Times New Roman"/>
          <w:b/>
          <w:bCs/>
          <w:sz w:val="24"/>
          <w:szCs w:val="24"/>
        </w:rPr>
        <w:t>Table: 3</w:t>
      </w:r>
    </w:p>
    <w:p w14:paraId="1CED67B1" w14:textId="77777777" w:rsidR="006A35B0" w:rsidRPr="00744858" w:rsidRDefault="00EC147A" w:rsidP="00EC147A">
      <w:pPr>
        <w:tabs>
          <w:tab w:val="left" w:pos="1206"/>
        </w:tabs>
        <w:rPr>
          <w:rFonts w:ascii="Times New Roman" w:hAnsi="Times New Roman" w:cs="Times New Roman"/>
          <w:b/>
          <w:bCs/>
          <w:szCs w:val="22"/>
        </w:rPr>
      </w:pPr>
      <w:r w:rsidRPr="00744858">
        <w:rPr>
          <w:rFonts w:ascii="Times New Roman" w:hAnsi="Times New Roman" w:cs="Times New Roman"/>
          <w:b/>
          <w:bCs/>
          <w:szCs w:val="22"/>
        </w:rPr>
        <w:t xml:space="preserve">                  The mean of Height, Weight, and BMI between two difference groups</w:t>
      </w:r>
    </w:p>
    <w:tbl>
      <w:tblPr>
        <w:tblStyle w:val="TableGrid"/>
        <w:tblpPr w:leftFromText="180" w:rightFromText="180" w:vertAnchor="text" w:horzAnchor="margin" w:tblpXSpec="center" w:tblpY="41"/>
        <w:tblW w:w="0" w:type="auto"/>
        <w:tblLook w:val="04A0" w:firstRow="1" w:lastRow="0" w:firstColumn="1" w:lastColumn="0" w:noHBand="0" w:noVBand="1"/>
      </w:tblPr>
      <w:tblGrid>
        <w:gridCol w:w="2531"/>
        <w:gridCol w:w="2245"/>
        <w:gridCol w:w="2135"/>
        <w:gridCol w:w="2211"/>
      </w:tblGrid>
      <w:tr w:rsidR="00EC147A" w:rsidRPr="00744858" w14:paraId="30A09A20" w14:textId="77777777" w:rsidTr="00FE56C9">
        <w:tc>
          <w:tcPr>
            <w:tcW w:w="2531" w:type="dxa"/>
          </w:tcPr>
          <w:p w14:paraId="5AAFBB1B" w14:textId="77777777" w:rsidR="00EC147A" w:rsidRPr="00744858" w:rsidRDefault="00EC147A" w:rsidP="00EC147A">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Anthropometric factors</w:t>
            </w:r>
          </w:p>
        </w:tc>
        <w:tc>
          <w:tcPr>
            <w:tcW w:w="2245" w:type="dxa"/>
          </w:tcPr>
          <w:p w14:paraId="22A9D16E" w14:textId="77777777" w:rsidR="00EC147A" w:rsidRPr="00744858" w:rsidRDefault="00EC147A" w:rsidP="00EC147A">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Urban Area (N=150)</w:t>
            </w:r>
          </w:p>
        </w:tc>
        <w:tc>
          <w:tcPr>
            <w:tcW w:w="2135" w:type="dxa"/>
          </w:tcPr>
          <w:p w14:paraId="67D41B89" w14:textId="77777777" w:rsidR="00EC147A" w:rsidRPr="00744858" w:rsidRDefault="00EC147A" w:rsidP="00EC147A">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Rural Area(N=150)</w:t>
            </w:r>
          </w:p>
        </w:tc>
        <w:tc>
          <w:tcPr>
            <w:tcW w:w="2211" w:type="dxa"/>
          </w:tcPr>
          <w:p w14:paraId="4F3147E9" w14:textId="77777777" w:rsidR="00EC147A" w:rsidRPr="00744858" w:rsidRDefault="00EC147A" w:rsidP="00B20935">
            <w:pPr>
              <w:pStyle w:val="ListParagraph"/>
              <w:ind w:left="0"/>
              <w:jc w:val="center"/>
              <w:rPr>
                <w:rFonts w:ascii="Times New Roman" w:hAnsi="Times New Roman" w:cs="Times New Roman"/>
                <w:b/>
                <w:bCs/>
                <w:szCs w:val="22"/>
              </w:rPr>
            </w:pPr>
            <w:r w:rsidRPr="00744858">
              <w:rPr>
                <w:rFonts w:ascii="Times New Roman" w:hAnsi="Times New Roman" w:cs="Times New Roman"/>
                <w:b/>
                <w:bCs/>
                <w:szCs w:val="22"/>
              </w:rPr>
              <w:t>P value</w:t>
            </w:r>
          </w:p>
        </w:tc>
      </w:tr>
      <w:tr w:rsidR="00EC147A" w:rsidRPr="00744858" w14:paraId="7660F783" w14:textId="77777777" w:rsidTr="00FE56C9">
        <w:trPr>
          <w:trHeight w:val="473"/>
        </w:trPr>
        <w:tc>
          <w:tcPr>
            <w:tcW w:w="2531" w:type="dxa"/>
          </w:tcPr>
          <w:p w14:paraId="1C45875B" w14:textId="77777777" w:rsidR="00EC147A" w:rsidRPr="00744858" w:rsidRDefault="00EC147A" w:rsidP="00EC147A">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Height (cm)*</w:t>
            </w:r>
          </w:p>
        </w:tc>
        <w:tc>
          <w:tcPr>
            <w:tcW w:w="2245" w:type="dxa"/>
          </w:tcPr>
          <w:p w14:paraId="32667DB5" w14:textId="77777777" w:rsidR="00EC147A" w:rsidRPr="00744858" w:rsidRDefault="00EC147A"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154.03±4.04</w:t>
            </w:r>
          </w:p>
        </w:tc>
        <w:tc>
          <w:tcPr>
            <w:tcW w:w="2135" w:type="dxa"/>
          </w:tcPr>
          <w:p w14:paraId="20F165D1" w14:textId="77777777" w:rsidR="00EC147A" w:rsidRPr="00744858" w:rsidRDefault="00EC147A"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152.75± 4.41</w:t>
            </w:r>
          </w:p>
        </w:tc>
        <w:tc>
          <w:tcPr>
            <w:tcW w:w="2211" w:type="dxa"/>
          </w:tcPr>
          <w:p w14:paraId="67DBCD54" w14:textId="77777777" w:rsidR="00EC147A" w:rsidRPr="00744858" w:rsidRDefault="00240632"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0.04</w:t>
            </w:r>
          </w:p>
        </w:tc>
      </w:tr>
      <w:tr w:rsidR="00EC147A" w:rsidRPr="00744858" w14:paraId="4FD1C3F5" w14:textId="77777777" w:rsidTr="00FE56C9">
        <w:tc>
          <w:tcPr>
            <w:tcW w:w="2531" w:type="dxa"/>
          </w:tcPr>
          <w:p w14:paraId="0104614B" w14:textId="77777777" w:rsidR="00EC147A" w:rsidRPr="00744858" w:rsidRDefault="00EC147A" w:rsidP="00EC147A">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Weight(kg)*</w:t>
            </w:r>
          </w:p>
        </w:tc>
        <w:tc>
          <w:tcPr>
            <w:tcW w:w="2245" w:type="dxa"/>
          </w:tcPr>
          <w:p w14:paraId="201521BC" w14:textId="77777777" w:rsidR="00EC147A" w:rsidRPr="00744858" w:rsidRDefault="00EC147A"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56.95±4.14</w:t>
            </w:r>
          </w:p>
        </w:tc>
        <w:tc>
          <w:tcPr>
            <w:tcW w:w="2135" w:type="dxa"/>
          </w:tcPr>
          <w:p w14:paraId="65BBF892" w14:textId="77777777" w:rsidR="00EC147A" w:rsidRPr="00744858" w:rsidRDefault="00EC147A"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54.83± 4.48</w:t>
            </w:r>
          </w:p>
        </w:tc>
        <w:tc>
          <w:tcPr>
            <w:tcW w:w="2211" w:type="dxa"/>
          </w:tcPr>
          <w:p w14:paraId="773BE51F" w14:textId="77777777" w:rsidR="00EC147A" w:rsidRPr="00744858" w:rsidRDefault="00EC147A"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0.06</w:t>
            </w:r>
          </w:p>
        </w:tc>
      </w:tr>
      <w:tr w:rsidR="00EC147A" w:rsidRPr="00744858" w14:paraId="7D565747" w14:textId="77777777" w:rsidTr="00FE56C9">
        <w:trPr>
          <w:trHeight w:val="391"/>
        </w:trPr>
        <w:tc>
          <w:tcPr>
            <w:tcW w:w="2531" w:type="dxa"/>
          </w:tcPr>
          <w:p w14:paraId="3D5764D9" w14:textId="77777777" w:rsidR="00EC147A" w:rsidRPr="00744858" w:rsidRDefault="00EC147A" w:rsidP="00EC147A">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BMI (kg m</w:t>
            </w:r>
            <w:r w:rsidRPr="00744858">
              <w:rPr>
                <w:rFonts w:ascii="Times New Roman" w:hAnsi="Times New Roman" w:cs="Times New Roman"/>
                <w:b/>
                <w:bCs/>
                <w:szCs w:val="22"/>
                <w:vertAlign w:val="superscript"/>
              </w:rPr>
              <w:t>2</w:t>
            </w:r>
            <w:r w:rsidRPr="00744858">
              <w:rPr>
                <w:rFonts w:ascii="Times New Roman" w:hAnsi="Times New Roman" w:cs="Times New Roman"/>
                <w:b/>
                <w:bCs/>
                <w:szCs w:val="22"/>
              </w:rPr>
              <w:t>)*</w:t>
            </w:r>
          </w:p>
        </w:tc>
        <w:tc>
          <w:tcPr>
            <w:tcW w:w="2245" w:type="dxa"/>
          </w:tcPr>
          <w:p w14:paraId="5CC4A050" w14:textId="77777777" w:rsidR="00EC147A" w:rsidRPr="00744858" w:rsidRDefault="00EC147A"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24.05±2.09</w:t>
            </w:r>
          </w:p>
        </w:tc>
        <w:tc>
          <w:tcPr>
            <w:tcW w:w="2135" w:type="dxa"/>
          </w:tcPr>
          <w:p w14:paraId="7E4701D6" w14:textId="77777777" w:rsidR="00EC147A" w:rsidRPr="00744858" w:rsidRDefault="00EC147A"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23.56± 2.37</w:t>
            </w:r>
          </w:p>
        </w:tc>
        <w:tc>
          <w:tcPr>
            <w:tcW w:w="2211" w:type="dxa"/>
          </w:tcPr>
          <w:p w14:paraId="051E7AB6" w14:textId="77777777" w:rsidR="00EC147A" w:rsidRPr="00744858" w:rsidRDefault="00EC147A" w:rsidP="003D7976">
            <w:pPr>
              <w:jc w:val="center"/>
              <w:rPr>
                <w:rFonts w:ascii="Times New Roman" w:hAnsi="Times New Roman" w:cs="Times New Roman"/>
                <w:color w:val="000000"/>
                <w:szCs w:val="22"/>
              </w:rPr>
            </w:pPr>
            <w:r w:rsidRPr="00744858">
              <w:rPr>
                <w:rFonts w:ascii="Times New Roman" w:hAnsi="Times New Roman" w:cs="Times New Roman"/>
                <w:color w:val="000000"/>
                <w:szCs w:val="22"/>
              </w:rPr>
              <w:t>0.03</w:t>
            </w:r>
          </w:p>
        </w:tc>
      </w:tr>
    </w:tbl>
    <w:p w14:paraId="745F43B7" w14:textId="77777777" w:rsidR="009F7306" w:rsidRPr="00744858" w:rsidRDefault="00EC147A" w:rsidP="00FE56C9">
      <w:pPr>
        <w:pStyle w:val="ListParagraph"/>
        <w:ind w:left="0" w:firstLine="720"/>
        <w:jc w:val="both"/>
        <w:rPr>
          <w:rFonts w:ascii="Times New Roman" w:hAnsi="Times New Roman" w:cs="Times New Roman"/>
          <w:sz w:val="24"/>
          <w:szCs w:val="24"/>
        </w:rPr>
      </w:pPr>
      <w:r w:rsidRPr="00744858">
        <w:rPr>
          <w:rFonts w:ascii="Times New Roman" w:hAnsi="Times New Roman" w:cs="Times New Roman"/>
          <w:sz w:val="24"/>
          <w:szCs w:val="24"/>
        </w:rPr>
        <w:t xml:space="preserve">The data regarding anthropometric measurement of 150 menopausal women each from rural and urban areas in </w:t>
      </w:r>
      <w:proofErr w:type="spellStart"/>
      <w:r w:rsidRPr="00744858">
        <w:rPr>
          <w:rFonts w:ascii="Times New Roman" w:hAnsi="Times New Roman" w:cs="Times New Roman"/>
          <w:sz w:val="24"/>
          <w:szCs w:val="24"/>
        </w:rPr>
        <w:t>ayodhya</w:t>
      </w:r>
      <w:proofErr w:type="spellEnd"/>
      <w:r w:rsidRPr="00744858">
        <w:rPr>
          <w:rFonts w:ascii="Times New Roman" w:hAnsi="Times New Roman" w:cs="Times New Roman"/>
          <w:sz w:val="24"/>
          <w:szCs w:val="24"/>
        </w:rPr>
        <w:t xml:space="preserve"> district revealed statistically significant difference. In mean height (cm), Mean weight(kg) and BMI (kg/m</w:t>
      </w:r>
      <w:r w:rsidRPr="00744858">
        <w:rPr>
          <w:rFonts w:ascii="Times New Roman" w:hAnsi="Times New Roman" w:cs="Times New Roman"/>
          <w:sz w:val="24"/>
          <w:szCs w:val="24"/>
          <w:vertAlign w:val="superscript"/>
        </w:rPr>
        <w:t>2</w:t>
      </w:r>
      <w:r w:rsidRPr="00744858">
        <w:rPr>
          <w:rFonts w:ascii="Times New Roman" w:hAnsi="Times New Roman" w:cs="Times New Roman"/>
          <w:sz w:val="24"/>
          <w:szCs w:val="24"/>
        </w:rPr>
        <w:t xml:space="preserve">). The Height, Weight and BMI of Urban women was higher than rural women which is similar to the study by </w:t>
      </w:r>
      <w:proofErr w:type="spellStart"/>
      <w:r w:rsidRPr="00744858">
        <w:rPr>
          <w:rFonts w:ascii="Times New Roman" w:hAnsi="Times New Roman" w:cs="Times New Roman"/>
          <w:sz w:val="24"/>
          <w:szCs w:val="24"/>
        </w:rPr>
        <w:t>Kamadjue</w:t>
      </w:r>
      <w:proofErr w:type="spellEnd"/>
      <w:r w:rsidRPr="00744858">
        <w:rPr>
          <w:rFonts w:ascii="Times New Roman" w:hAnsi="Times New Roman" w:cs="Times New Roman"/>
          <w:sz w:val="24"/>
          <w:szCs w:val="24"/>
        </w:rPr>
        <w:t xml:space="preserve"> et al (2006) about obesity of urban women in </w:t>
      </w:r>
      <w:proofErr w:type="spellStart"/>
      <w:r w:rsidRPr="00744858">
        <w:rPr>
          <w:rFonts w:ascii="Times New Roman" w:hAnsi="Times New Roman" w:cs="Times New Roman"/>
          <w:sz w:val="24"/>
          <w:szCs w:val="24"/>
        </w:rPr>
        <w:t>Comren</w:t>
      </w:r>
      <w:proofErr w:type="spellEnd"/>
      <w:r w:rsidRPr="00744858">
        <w:rPr>
          <w:rFonts w:ascii="Times New Roman" w:hAnsi="Times New Roman" w:cs="Times New Roman"/>
          <w:sz w:val="24"/>
          <w:szCs w:val="24"/>
        </w:rPr>
        <w:t>.  The mean height of rural women was 152.75</w:t>
      </w:r>
      <w:r w:rsidRPr="00744858">
        <w:rPr>
          <w:rFonts w:ascii="Times New Roman" w:hAnsi="Times New Roman" w:cs="Times New Roman"/>
          <w:color w:val="000000"/>
          <w:sz w:val="24"/>
          <w:szCs w:val="24"/>
        </w:rPr>
        <w:t>±</w:t>
      </w:r>
      <w:r w:rsidRPr="00744858">
        <w:rPr>
          <w:rFonts w:ascii="Times New Roman" w:hAnsi="Times New Roman" w:cs="Times New Roman"/>
          <w:sz w:val="24"/>
          <w:szCs w:val="24"/>
        </w:rPr>
        <w:t xml:space="preserve">4.41 cm whereas for urban women mean height was 154.03 </w:t>
      </w:r>
      <w:r w:rsidRPr="00744858">
        <w:rPr>
          <w:rFonts w:ascii="Times New Roman" w:hAnsi="Times New Roman" w:cs="Times New Roman"/>
          <w:color w:val="000000"/>
          <w:sz w:val="24"/>
          <w:szCs w:val="24"/>
        </w:rPr>
        <w:t>±</w:t>
      </w:r>
      <w:r w:rsidRPr="00744858">
        <w:rPr>
          <w:rFonts w:ascii="Times New Roman" w:hAnsi="Times New Roman" w:cs="Times New Roman"/>
          <w:sz w:val="24"/>
          <w:szCs w:val="24"/>
        </w:rPr>
        <w:t xml:space="preserve"> 4.04.</w:t>
      </w:r>
      <w:r w:rsidRPr="00744858">
        <w:rPr>
          <w:rFonts w:ascii="Times New Roman" w:hAnsi="Times New Roman" w:cs="Times New Roman"/>
          <w:color w:val="0D0D0D"/>
          <w:sz w:val="24"/>
          <w:szCs w:val="24"/>
          <w:shd w:val="clear" w:color="auto" w:fill="FFFFFF"/>
        </w:rPr>
        <w:t xml:space="preserve"> In a study conducted by Nemati and </w:t>
      </w:r>
      <w:proofErr w:type="spellStart"/>
      <w:r w:rsidRPr="00744858">
        <w:rPr>
          <w:rFonts w:ascii="Times New Roman" w:hAnsi="Times New Roman" w:cs="Times New Roman"/>
          <w:color w:val="0D0D0D"/>
          <w:sz w:val="24"/>
          <w:szCs w:val="24"/>
          <w:shd w:val="clear" w:color="auto" w:fill="FFFFFF"/>
        </w:rPr>
        <w:t>Baghi</w:t>
      </w:r>
      <w:proofErr w:type="spellEnd"/>
      <w:r w:rsidRPr="00744858">
        <w:rPr>
          <w:rFonts w:ascii="Times New Roman" w:hAnsi="Times New Roman" w:cs="Times New Roman"/>
          <w:color w:val="0D0D0D"/>
          <w:sz w:val="24"/>
          <w:szCs w:val="24"/>
          <w:shd w:val="clear" w:color="auto" w:fill="FFFFFF"/>
        </w:rPr>
        <w:t xml:space="preserve"> (2008) in rural and urban in Iran found that average height in rural areas was 152.1</w:t>
      </w:r>
      <w:r w:rsidRPr="00744858">
        <w:rPr>
          <w:rFonts w:ascii="Times New Roman" w:hAnsi="Times New Roman" w:cs="Times New Roman"/>
          <w:color w:val="000000"/>
          <w:sz w:val="24"/>
          <w:szCs w:val="24"/>
        </w:rPr>
        <w:t>±</w:t>
      </w:r>
      <w:r w:rsidRPr="00744858">
        <w:rPr>
          <w:rFonts w:ascii="Times New Roman" w:hAnsi="Times New Roman" w:cs="Times New Roman"/>
          <w:color w:val="0D0D0D"/>
          <w:sz w:val="24"/>
          <w:szCs w:val="24"/>
          <w:shd w:val="clear" w:color="auto" w:fill="FFFFFF"/>
        </w:rPr>
        <w:t>7.9, while in urban area the height 155.1</w:t>
      </w:r>
      <w:r w:rsidRPr="00744858">
        <w:rPr>
          <w:rFonts w:ascii="Times New Roman" w:hAnsi="Times New Roman" w:cs="Times New Roman"/>
          <w:color w:val="000000"/>
          <w:sz w:val="24"/>
          <w:szCs w:val="24"/>
        </w:rPr>
        <w:t>±</w:t>
      </w:r>
      <w:r w:rsidRPr="00744858">
        <w:rPr>
          <w:rFonts w:ascii="Times New Roman" w:hAnsi="Times New Roman" w:cs="Times New Roman"/>
          <w:color w:val="0D0D0D"/>
          <w:sz w:val="24"/>
          <w:szCs w:val="24"/>
          <w:shd w:val="clear" w:color="auto" w:fill="FFFFFF"/>
        </w:rPr>
        <w:t>7.6. In this study the mean weight of urban women was 56.95+4.14 whereas for rural women were 54.83</w:t>
      </w:r>
      <w:r w:rsidRPr="00744858">
        <w:rPr>
          <w:rFonts w:ascii="Times New Roman" w:hAnsi="Times New Roman" w:cs="Times New Roman"/>
          <w:color w:val="000000"/>
          <w:sz w:val="24"/>
          <w:szCs w:val="24"/>
        </w:rPr>
        <w:t>±</w:t>
      </w:r>
      <w:r w:rsidRPr="00744858">
        <w:rPr>
          <w:rFonts w:ascii="Times New Roman" w:hAnsi="Times New Roman" w:cs="Times New Roman"/>
          <w:color w:val="0D0D0D"/>
          <w:sz w:val="24"/>
          <w:szCs w:val="24"/>
          <w:shd w:val="clear" w:color="auto" w:fill="FFFFFF"/>
        </w:rPr>
        <w:t>4.</w:t>
      </w:r>
      <w:proofErr w:type="gramStart"/>
      <w:r w:rsidRPr="00744858">
        <w:rPr>
          <w:rFonts w:ascii="Times New Roman" w:hAnsi="Times New Roman" w:cs="Times New Roman"/>
          <w:color w:val="0D0D0D"/>
          <w:sz w:val="24"/>
          <w:szCs w:val="24"/>
          <w:shd w:val="clear" w:color="auto" w:fill="FFFFFF"/>
        </w:rPr>
        <w:t>48.The</w:t>
      </w:r>
      <w:proofErr w:type="gramEnd"/>
      <w:r w:rsidRPr="00744858">
        <w:rPr>
          <w:rFonts w:ascii="Times New Roman" w:hAnsi="Times New Roman" w:cs="Times New Roman"/>
          <w:color w:val="0D0D0D"/>
          <w:sz w:val="24"/>
          <w:szCs w:val="24"/>
          <w:shd w:val="clear" w:color="auto" w:fill="FFFFFF"/>
        </w:rPr>
        <w:t xml:space="preserve"> BMI of urban women (24.05</w:t>
      </w:r>
      <w:r w:rsidRPr="00744858">
        <w:rPr>
          <w:rFonts w:ascii="Times New Roman" w:hAnsi="Times New Roman" w:cs="Times New Roman"/>
          <w:color w:val="000000"/>
          <w:sz w:val="24"/>
          <w:szCs w:val="24"/>
        </w:rPr>
        <w:t>±</w:t>
      </w:r>
      <w:r w:rsidRPr="00744858">
        <w:rPr>
          <w:rFonts w:ascii="Times New Roman" w:hAnsi="Times New Roman" w:cs="Times New Roman"/>
          <w:color w:val="0D0D0D"/>
          <w:sz w:val="24"/>
          <w:szCs w:val="24"/>
          <w:shd w:val="clear" w:color="auto" w:fill="FFFFFF"/>
        </w:rPr>
        <w:t>2.09) kg/m2) was significantly higher than rural women (23.56</w:t>
      </w:r>
      <w:r w:rsidRPr="00744858">
        <w:rPr>
          <w:rFonts w:ascii="Times New Roman" w:hAnsi="Times New Roman" w:cs="Times New Roman"/>
          <w:color w:val="000000"/>
          <w:sz w:val="24"/>
          <w:szCs w:val="24"/>
        </w:rPr>
        <w:t>±</w:t>
      </w:r>
      <w:r w:rsidRPr="00744858">
        <w:rPr>
          <w:rFonts w:ascii="Times New Roman" w:hAnsi="Times New Roman" w:cs="Times New Roman"/>
          <w:color w:val="0D0D0D"/>
          <w:sz w:val="24"/>
          <w:szCs w:val="24"/>
          <w:shd w:val="clear" w:color="auto" w:fill="FFFFFF"/>
        </w:rPr>
        <w:t xml:space="preserve">2.37).. Frequent eating has been reported to be associated with    increased body fat in post - menopausal women </w:t>
      </w:r>
      <w:r w:rsidRPr="00744858">
        <w:rPr>
          <w:rFonts w:ascii="Times New Roman" w:hAnsi="Times New Roman" w:cs="Times New Roman"/>
          <w:sz w:val="24"/>
          <w:szCs w:val="24"/>
          <w:shd w:val="clear" w:color="auto" w:fill="FFFFFF"/>
        </w:rPr>
        <w:t>(</w:t>
      </w:r>
      <w:proofErr w:type="spellStart"/>
      <w:r w:rsidRPr="00744858">
        <w:rPr>
          <w:rFonts w:ascii="Times New Roman" w:hAnsi="Times New Roman" w:cs="Times New Roman"/>
          <w:sz w:val="24"/>
          <w:szCs w:val="24"/>
          <w:shd w:val="clear" w:color="auto" w:fill="FFFFFF"/>
        </w:rPr>
        <w:t>Yallakoulia</w:t>
      </w:r>
      <w:proofErr w:type="spellEnd"/>
      <w:r w:rsidRPr="00744858">
        <w:rPr>
          <w:rFonts w:ascii="Times New Roman" w:hAnsi="Times New Roman" w:cs="Times New Roman"/>
          <w:sz w:val="24"/>
          <w:szCs w:val="24"/>
          <w:shd w:val="clear" w:color="auto" w:fill="FFFFFF"/>
        </w:rPr>
        <w:t xml:space="preserve"> et al)</w:t>
      </w:r>
      <w:r w:rsidRPr="00744858">
        <w:rPr>
          <w:rFonts w:ascii="Times New Roman" w:hAnsi="Times New Roman" w:cs="Times New Roman"/>
          <w:sz w:val="24"/>
          <w:szCs w:val="24"/>
        </w:rPr>
        <w:t xml:space="preserve"> 57.5%,17%,5.5% and 3.5% rural women were normal, overweight, pre obese and obese.</w:t>
      </w:r>
    </w:p>
    <w:p w14:paraId="05B5A651" w14:textId="77777777" w:rsidR="009F7306" w:rsidRPr="00744858" w:rsidRDefault="009F7306" w:rsidP="009F7306">
      <w:pPr>
        <w:pStyle w:val="ListParagraph"/>
        <w:ind w:left="0" w:firstLine="720"/>
        <w:jc w:val="both"/>
        <w:rPr>
          <w:rFonts w:ascii="Times New Roman" w:hAnsi="Times New Roman" w:cs="Times New Roman"/>
          <w:sz w:val="24"/>
          <w:szCs w:val="24"/>
        </w:rPr>
      </w:pPr>
    </w:p>
    <w:p w14:paraId="24BA1505" w14:textId="77777777" w:rsidR="005450CD" w:rsidRPr="00744858" w:rsidRDefault="005450CD" w:rsidP="009F7306">
      <w:pPr>
        <w:pStyle w:val="ListParagraph"/>
        <w:ind w:left="0" w:firstLine="720"/>
        <w:jc w:val="both"/>
        <w:rPr>
          <w:rFonts w:ascii="Times New Roman" w:hAnsi="Times New Roman" w:cs="Times New Roman"/>
          <w:sz w:val="24"/>
          <w:szCs w:val="24"/>
        </w:rPr>
      </w:pPr>
    </w:p>
    <w:p w14:paraId="11C51F03" w14:textId="77777777" w:rsidR="005450CD" w:rsidRPr="00744858" w:rsidRDefault="005450CD" w:rsidP="009F7306">
      <w:pPr>
        <w:pStyle w:val="ListParagraph"/>
        <w:ind w:left="0" w:firstLine="720"/>
        <w:jc w:val="both"/>
        <w:rPr>
          <w:rFonts w:ascii="Times New Roman" w:hAnsi="Times New Roman" w:cs="Times New Roman"/>
          <w:sz w:val="24"/>
          <w:szCs w:val="24"/>
        </w:rPr>
      </w:pPr>
    </w:p>
    <w:p w14:paraId="5243606C" w14:textId="77777777" w:rsidR="009F7306" w:rsidRPr="00744858" w:rsidRDefault="00A52355" w:rsidP="00A52355">
      <w:pPr>
        <w:jc w:val="center"/>
        <w:rPr>
          <w:rFonts w:ascii="Times New Roman" w:hAnsi="Times New Roman" w:cs="Times New Roman"/>
          <w:sz w:val="24"/>
          <w:szCs w:val="24"/>
        </w:rPr>
      </w:pPr>
      <w:r w:rsidRPr="00744858">
        <w:rPr>
          <w:rFonts w:ascii="Times New Roman" w:hAnsi="Times New Roman" w:cs="Times New Roman"/>
          <w:b/>
          <w:bCs/>
          <w:sz w:val="24"/>
          <w:szCs w:val="24"/>
        </w:rPr>
        <w:t>Table: 4</w:t>
      </w:r>
    </w:p>
    <w:p w14:paraId="7DD7011F" w14:textId="77777777" w:rsidR="005450CD" w:rsidRPr="00744858" w:rsidRDefault="009F7306" w:rsidP="00A52355">
      <w:pPr>
        <w:pStyle w:val="ListParagraph"/>
        <w:ind w:left="0" w:firstLine="720"/>
        <w:jc w:val="center"/>
        <w:rPr>
          <w:rFonts w:ascii="Times New Roman" w:hAnsi="Times New Roman" w:cs="Times New Roman"/>
          <w:b/>
          <w:bCs/>
          <w:sz w:val="24"/>
          <w:szCs w:val="24"/>
        </w:rPr>
      </w:pPr>
      <w:r w:rsidRPr="00744858">
        <w:rPr>
          <w:rFonts w:ascii="Times New Roman" w:hAnsi="Times New Roman" w:cs="Times New Roman"/>
          <w:b/>
          <w:bCs/>
          <w:sz w:val="24"/>
          <w:szCs w:val="24"/>
        </w:rPr>
        <w:t>The frequency of variables in different literacy</w:t>
      </w:r>
    </w:p>
    <w:tbl>
      <w:tblPr>
        <w:tblStyle w:val="TableGrid"/>
        <w:tblW w:w="0" w:type="auto"/>
        <w:jc w:val="center"/>
        <w:tblLook w:val="0000" w:firstRow="0" w:lastRow="0" w:firstColumn="0" w:lastColumn="0" w:noHBand="0" w:noVBand="0"/>
      </w:tblPr>
      <w:tblGrid>
        <w:gridCol w:w="1123"/>
        <w:gridCol w:w="1216"/>
        <w:gridCol w:w="1083"/>
        <w:gridCol w:w="1036"/>
        <w:gridCol w:w="1549"/>
        <w:gridCol w:w="1203"/>
        <w:gridCol w:w="1203"/>
      </w:tblGrid>
      <w:tr w:rsidR="00A52355" w:rsidRPr="00744858" w14:paraId="52D311EE" w14:textId="77777777" w:rsidTr="00285EAE">
        <w:trPr>
          <w:trHeight w:val="450"/>
          <w:jc w:val="center"/>
        </w:trPr>
        <w:tc>
          <w:tcPr>
            <w:tcW w:w="1123" w:type="dxa"/>
          </w:tcPr>
          <w:p w14:paraId="3C530610" w14:textId="77777777" w:rsidR="00A52355" w:rsidRPr="00744858" w:rsidRDefault="00A52355" w:rsidP="00285EAE">
            <w:pPr>
              <w:jc w:val="center"/>
              <w:rPr>
                <w:rFonts w:ascii="Times New Roman" w:hAnsi="Times New Roman" w:cs="Times New Roman"/>
                <w:b/>
                <w:bCs/>
                <w:sz w:val="24"/>
                <w:szCs w:val="24"/>
              </w:rPr>
            </w:pPr>
            <w:r w:rsidRPr="00744858">
              <w:rPr>
                <w:rFonts w:ascii="Times New Roman" w:hAnsi="Times New Roman" w:cs="Times New Roman"/>
                <w:b/>
                <w:bCs/>
                <w:sz w:val="24"/>
                <w:szCs w:val="24"/>
              </w:rPr>
              <w:t>Location</w:t>
            </w:r>
          </w:p>
        </w:tc>
        <w:tc>
          <w:tcPr>
            <w:tcW w:w="7290" w:type="dxa"/>
            <w:gridSpan w:val="6"/>
          </w:tcPr>
          <w:p w14:paraId="581C5AC5" w14:textId="77777777" w:rsidR="00A52355" w:rsidRPr="00744858" w:rsidRDefault="00A52355" w:rsidP="00285EAE">
            <w:pPr>
              <w:jc w:val="center"/>
              <w:rPr>
                <w:rFonts w:ascii="Times New Roman" w:hAnsi="Times New Roman" w:cs="Times New Roman"/>
                <w:b/>
                <w:bCs/>
                <w:sz w:val="24"/>
                <w:szCs w:val="24"/>
              </w:rPr>
            </w:pPr>
            <w:r w:rsidRPr="00744858">
              <w:rPr>
                <w:rFonts w:ascii="Times New Roman" w:hAnsi="Times New Roman" w:cs="Times New Roman"/>
                <w:b/>
                <w:bCs/>
                <w:sz w:val="24"/>
                <w:szCs w:val="24"/>
              </w:rPr>
              <w:t>Education</w:t>
            </w:r>
          </w:p>
        </w:tc>
      </w:tr>
      <w:tr w:rsidR="00A52355" w:rsidRPr="00744858" w14:paraId="654A7BFC" w14:textId="77777777" w:rsidTr="00285EAE">
        <w:tblPrEx>
          <w:tblLook w:val="04A0" w:firstRow="1" w:lastRow="0" w:firstColumn="1" w:lastColumn="0" w:noHBand="0" w:noVBand="1"/>
        </w:tblPrEx>
        <w:trPr>
          <w:trHeight w:val="306"/>
          <w:jc w:val="center"/>
        </w:trPr>
        <w:tc>
          <w:tcPr>
            <w:tcW w:w="1123" w:type="dxa"/>
          </w:tcPr>
          <w:p w14:paraId="0663B38D" w14:textId="77777777" w:rsidR="00A52355" w:rsidRPr="00744858" w:rsidRDefault="00A52355" w:rsidP="00285EAE">
            <w:pPr>
              <w:pStyle w:val="ListParagraph"/>
              <w:ind w:left="0"/>
              <w:jc w:val="both"/>
              <w:rPr>
                <w:rFonts w:ascii="Times New Roman" w:hAnsi="Times New Roman" w:cs="Times New Roman"/>
                <w:b/>
                <w:bCs/>
                <w:sz w:val="24"/>
                <w:szCs w:val="24"/>
              </w:rPr>
            </w:pPr>
          </w:p>
          <w:p w14:paraId="39EBE4C4" w14:textId="77777777" w:rsidR="00A52355" w:rsidRPr="00744858" w:rsidRDefault="00A52355" w:rsidP="00285EAE">
            <w:pPr>
              <w:pStyle w:val="ListParagraph"/>
              <w:ind w:left="0"/>
              <w:jc w:val="both"/>
              <w:rPr>
                <w:rFonts w:ascii="Times New Roman" w:hAnsi="Times New Roman" w:cs="Times New Roman"/>
                <w:b/>
                <w:bCs/>
                <w:sz w:val="24"/>
                <w:szCs w:val="24"/>
              </w:rPr>
            </w:pPr>
          </w:p>
        </w:tc>
        <w:tc>
          <w:tcPr>
            <w:tcW w:w="1216" w:type="dxa"/>
            <w:vAlign w:val="bottom"/>
          </w:tcPr>
          <w:p w14:paraId="29B4040D" w14:textId="77777777" w:rsidR="00A52355" w:rsidRPr="00744858" w:rsidRDefault="00A52355" w:rsidP="00285EAE">
            <w:pPr>
              <w:jc w:val="both"/>
              <w:rPr>
                <w:rFonts w:ascii="Times New Roman" w:eastAsia="Times New Roman" w:hAnsi="Times New Roman" w:cs="Times New Roman"/>
                <w:b/>
                <w:bCs/>
                <w:color w:val="000000"/>
                <w:sz w:val="24"/>
                <w:szCs w:val="24"/>
                <w:lang w:eastAsia="en-IN"/>
              </w:rPr>
            </w:pPr>
            <w:proofErr w:type="spellStart"/>
            <w:r w:rsidRPr="00744858">
              <w:rPr>
                <w:rFonts w:ascii="Times New Roman" w:eastAsia="Times New Roman" w:hAnsi="Times New Roman" w:cs="Times New Roman"/>
                <w:b/>
                <w:bCs/>
                <w:color w:val="000000"/>
                <w:sz w:val="24"/>
                <w:szCs w:val="24"/>
                <w:lang w:eastAsia="en-IN"/>
              </w:rPr>
              <w:t>Illiterarte</w:t>
            </w:r>
            <w:proofErr w:type="spellEnd"/>
          </w:p>
        </w:tc>
        <w:tc>
          <w:tcPr>
            <w:tcW w:w="1083" w:type="dxa"/>
            <w:vAlign w:val="bottom"/>
          </w:tcPr>
          <w:p w14:paraId="7A0C402F" w14:textId="77777777" w:rsidR="00A52355" w:rsidRPr="00744858" w:rsidRDefault="00A52355" w:rsidP="00285EAE">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Primary</w:t>
            </w:r>
          </w:p>
        </w:tc>
        <w:tc>
          <w:tcPr>
            <w:tcW w:w="1036" w:type="dxa"/>
            <w:vAlign w:val="bottom"/>
          </w:tcPr>
          <w:p w14:paraId="430746A2" w14:textId="77777777" w:rsidR="00A52355" w:rsidRPr="00744858" w:rsidRDefault="00A52355" w:rsidP="00285EAE">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Metric</w:t>
            </w:r>
          </w:p>
        </w:tc>
        <w:tc>
          <w:tcPr>
            <w:tcW w:w="1549" w:type="dxa"/>
            <w:vAlign w:val="bottom"/>
          </w:tcPr>
          <w:p w14:paraId="092D7C90" w14:textId="77777777" w:rsidR="00A52355" w:rsidRPr="00744858" w:rsidRDefault="00A52355" w:rsidP="00285EAE">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Intermediate</w:t>
            </w:r>
          </w:p>
        </w:tc>
        <w:tc>
          <w:tcPr>
            <w:tcW w:w="1203" w:type="dxa"/>
            <w:vAlign w:val="bottom"/>
          </w:tcPr>
          <w:p w14:paraId="31104D45" w14:textId="77777777" w:rsidR="00A52355" w:rsidRPr="00744858" w:rsidRDefault="00A52355" w:rsidP="00285EAE">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Graduate</w:t>
            </w:r>
          </w:p>
        </w:tc>
        <w:tc>
          <w:tcPr>
            <w:tcW w:w="1203" w:type="dxa"/>
            <w:vAlign w:val="bottom"/>
          </w:tcPr>
          <w:p w14:paraId="5971294E" w14:textId="77777777" w:rsidR="00A52355" w:rsidRPr="00744858" w:rsidRDefault="00A52355" w:rsidP="00285EAE">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Post Graduate</w:t>
            </w:r>
          </w:p>
        </w:tc>
      </w:tr>
      <w:tr w:rsidR="00A52355" w:rsidRPr="00744858" w14:paraId="4F5B2727" w14:textId="77777777" w:rsidTr="00285EAE">
        <w:tblPrEx>
          <w:tblLook w:val="04A0" w:firstRow="1" w:lastRow="0" w:firstColumn="1" w:lastColumn="0" w:noHBand="0" w:noVBand="1"/>
        </w:tblPrEx>
        <w:trPr>
          <w:jc w:val="center"/>
        </w:trPr>
        <w:tc>
          <w:tcPr>
            <w:tcW w:w="1123" w:type="dxa"/>
          </w:tcPr>
          <w:p w14:paraId="75836CE7" w14:textId="77777777" w:rsidR="00A52355" w:rsidRPr="00744858" w:rsidRDefault="00A52355" w:rsidP="00285EAE">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Rural</w:t>
            </w:r>
          </w:p>
        </w:tc>
        <w:tc>
          <w:tcPr>
            <w:tcW w:w="1216" w:type="dxa"/>
          </w:tcPr>
          <w:p w14:paraId="4DF5CB82"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2(1.3)</w:t>
            </w:r>
          </w:p>
        </w:tc>
        <w:tc>
          <w:tcPr>
            <w:tcW w:w="1083" w:type="dxa"/>
          </w:tcPr>
          <w:p w14:paraId="698D2226"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16(10.7)</w:t>
            </w:r>
          </w:p>
        </w:tc>
        <w:tc>
          <w:tcPr>
            <w:tcW w:w="1036" w:type="dxa"/>
          </w:tcPr>
          <w:p w14:paraId="66640988"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22(14.7)</w:t>
            </w:r>
          </w:p>
        </w:tc>
        <w:tc>
          <w:tcPr>
            <w:tcW w:w="1549" w:type="dxa"/>
          </w:tcPr>
          <w:p w14:paraId="26CE9EAB"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42(28.0)</w:t>
            </w:r>
          </w:p>
        </w:tc>
        <w:tc>
          <w:tcPr>
            <w:tcW w:w="1203" w:type="dxa"/>
          </w:tcPr>
          <w:p w14:paraId="5FA9CE0D"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36(24.0)</w:t>
            </w:r>
          </w:p>
        </w:tc>
        <w:tc>
          <w:tcPr>
            <w:tcW w:w="1203" w:type="dxa"/>
          </w:tcPr>
          <w:p w14:paraId="1052B0F3"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32(21.3)</w:t>
            </w:r>
          </w:p>
        </w:tc>
      </w:tr>
      <w:tr w:rsidR="00A52355" w:rsidRPr="00744858" w14:paraId="1AAA4782" w14:textId="77777777" w:rsidTr="00285EAE">
        <w:tblPrEx>
          <w:tblLook w:val="04A0" w:firstRow="1" w:lastRow="0" w:firstColumn="1" w:lastColumn="0" w:noHBand="0" w:noVBand="1"/>
        </w:tblPrEx>
        <w:trPr>
          <w:jc w:val="center"/>
        </w:trPr>
        <w:tc>
          <w:tcPr>
            <w:tcW w:w="1123" w:type="dxa"/>
          </w:tcPr>
          <w:p w14:paraId="76F9EAF1" w14:textId="77777777" w:rsidR="00A52355" w:rsidRPr="00744858" w:rsidRDefault="00A52355" w:rsidP="00285EAE">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lastRenderedPageBreak/>
              <w:t>Urban</w:t>
            </w:r>
          </w:p>
        </w:tc>
        <w:tc>
          <w:tcPr>
            <w:tcW w:w="1216" w:type="dxa"/>
          </w:tcPr>
          <w:p w14:paraId="6CB70F57"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1(0.7)</w:t>
            </w:r>
          </w:p>
        </w:tc>
        <w:tc>
          <w:tcPr>
            <w:tcW w:w="1083" w:type="dxa"/>
          </w:tcPr>
          <w:p w14:paraId="45D47D1C"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14(9.3)</w:t>
            </w:r>
          </w:p>
        </w:tc>
        <w:tc>
          <w:tcPr>
            <w:tcW w:w="1036" w:type="dxa"/>
          </w:tcPr>
          <w:p w14:paraId="03D0626F"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19(12.7)</w:t>
            </w:r>
          </w:p>
        </w:tc>
        <w:tc>
          <w:tcPr>
            <w:tcW w:w="1549" w:type="dxa"/>
          </w:tcPr>
          <w:p w14:paraId="6C5CE5D5"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32(21.3)</w:t>
            </w:r>
          </w:p>
        </w:tc>
        <w:tc>
          <w:tcPr>
            <w:tcW w:w="1203" w:type="dxa"/>
          </w:tcPr>
          <w:p w14:paraId="42EA0E58"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43(26.7)</w:t>
            </w:r>
          </w:p>
        </w:tc>
        <w:tc>
          <w:tcPr>
            <w:tcW w:w="1203" w:type="dxa"/>
          </w:tcPr>
          <w:p w14:paraId="28352A73" w14:textId="77777777" w:rsidR="00A52355" w:rsidRPr="00744858" w:rsidRDefault="00A52355" w:rsidP="00285EAE">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41(27.3)</w:t>
            </w:r>
          </w:p>
        </w:tc>
      </w:tr>
    </w:tbl>
    <w:p w14:paraId="118615E1" w14:textId="77777777" w:rsidR="00A52355" w:rsidRPr="00744858" w:rsidRDefault="00A52355" w:rsidP="00A52355">
      <w:pPr>
        <w:pStyle w:val="ListParagraph"/>
        <w:ind w:left="0" w:firstLine="720"/>
        <w:jc w:val="center"/>
        <w:rPr>
          <w:rFonts w:ascii="Times New Roman" w:hAnsi="Times New Roman" w:cs="Times New Roman"/>
          <w:b/>
          <w:bCs/>
          <w:sz w:val="24"/>
          <w:szCs w:val="24"/>
        </w:rPr>
      </w:pPr>
    </w:p>
    <w:p w14:paraId="3C4E958B" w14:textId="77777777" w:rsidR="00A52355" w:rsidRPr="00744858" w:rsidRDefault="00A52355" w:rsidP="00EC147A">
      <w:pPr>
        <w:ind w:firstLine="720"/>
        <w:jc w:val="both"/>
        <w:rPr>
          <w:rFonts w:ascii="Times New Roman" w:hAnsi="Times New Roman" w:cs="Times New Roman"/>
          <w:b/>
          <w:bCs/>
          <w:color w:val="000000"/>
          <w:sz w:val="24"/>
          <w:szCs w:val="24"/>
        </w:rPr>
      </w:pPr>
    </w:p>
    <w:p w14:paraId="2DCBC4C6" w14:textId="77777777" w:rsidR="00EC147A" w:rsidRPr="00744858" w:rsidRDefault="00240632" w:rsidP="00EC147A">
      <w:pPr>
        <w:ind w:firstLine="720"/>
        <w:jc w:val="both"/>
        <w:rPr>
          <w:rFonts w:ascii="Times New Roman" w:hAnsi="Times New Roman" w:cs="Times New Roman"/>
          <w:color w:val="000000"/>
          <w:sz w:val="24"/>
          <w:szCs w:val="24"/>
        </w:rPr>
      </w:pPr>
      <w:r w:rsidRPr="00744858">
        <w:rPr>
          <w:rFonts w:ascii="Times New Roman" w:hAnsi="Times New Roman" w:cs="Times New Roman"/>
          <w:b/>
          <w:bCs/>
          <w:color w:val="000000"/>
          <w:sz w:val="24"/>
          <w:szCs w:val="24"/>
        </w:rPr>
        <w:t>T</w:t>
      </w:r>
      <w:r w:rsidR="00EC147A" w:rsidRPr="00744858">
        <w:rPr>
          <w:rFonts w:ascii="Times New Roman" w:hAnsi="Times New Roman" w:cs="Times New Roman"/>
          <w:b/>
          <w:bCs/>
          <w:color w:val="000000"/>
          <w:sz w:val="24"/>
          <w:szCs w:val="24"/>
        </w:rPr>
        <w:t xml:space="preserve">able 4 </w:t>
      </w:r>
      <w:r w:rsidR="00A52355" w:rsidRPr="00744858">
        <w:rPr>
          <w:rFonts w:ascii="Times New Roman" w:hAnsi="Times New Roman" w:cs="Times New Roman"/>
          <w:b/>
          <w:bCs/>
          <w:color w:val="000000"/>
          <w:sz w:val="24"/>
          <w:szCs w:val="24"/>
        </w:rPr>
        <w:t>I</w:t>
      </w:r>
      <w:r w:rsidR="00EC147A" w:rsidRPr="00744858">
        <w:rPr>
          <w:rFonts w:ascii="Times New Roman" w:hAnsi="Times New Roman" w:cs="Times New Roman"/>
          <w:color w:val="000000"/>
          <w:sz w:val="24"/>
          <w:szCs w:val="24"/>
        </w:rPr>
        <w:t>ndicate educational status of rural and urban women in the rural areas the percentage of illiterate, primary. In urban areas higher percentage of women were graduates (26.7%) post</w:t>
      </w:r>
      <w:r w:rsidR="00EC147A" w:rsidRPr="00744858">
        <w:rPr>
          <w:rFonts w:ascii="Times New Roman" w:eastAsia="Times New Roman" w:hAnsi="Times New Roman" w:cs="Times New Roman"/>
          <w:b/>
          <w:bCs/>
          <w:color w:val="000000"/>
          <w:sz w:val="20"/>
          <w:lang w:eastAsia="en-IN"/>
        </w:rPr>
        <w:t xml:space="preserve"> </w:t>
      </w:r>
      <w:proofErr w:type="spellStart"/>
      <w:r w:rsidR="00EC147A" w:rsidRPr="00744858">
        <w:rPr>
          <w:rFonts w:ascii="Times New Roman" w:eastAsia="Times New Roman" w:hAnsi="Times New Roman" w:cs="Times New Roman"/>
          <w:color w:val="000000"/>
          <w:sz w:val="20"/>
          <w:lang w:eastAsia="en-IN"/>
        </w:rPr>
        <w:t>Post</w:t>
      </w:r>
      <w:proofErr w:type="spellEnd"/>
      <w:r w:rsidR="00EC147A" w:rsidRPr="00744858">
        <w:rPr>
          <w:rFonts w:ascii="Times New Roman" w:eastAsia="Times New Roman" w:hAnsi="Times New Roman" w:cs="Times New Roman"/>
          <w:color w:val="000000"/>
          <w:sz w:val="20"/>
          <w:lang w:eastAsia="en-IN"/>
        </w:rPr>
        <w:t xml:space="preserve"> Graduate</w:t>
      </w:r>
      <w:r w:rsidR="00EC147A" w:rsidRPr="00744858">
        <w:rPr>
          <w:rFonts w:ascii="Times New Roman" w:eastAsia="Times New Roman" w:hAnsi="Times New Roman" w:cs="Times New Roman"/>
          <w:b/>
          <w:bCs/>
          <w:color w:val="000000"/>
          <w:sz w:val="20"/>
          <w:lang w:eastAsia="en-IN"/>
        </w:rPr>
        <w:t xml:space="preserve"> </w:t>
      </w:r>
      <w:r w:rsidR="00EC147A" w:rsidRPr="00744858">
        <w:rPr>
          <w:rFonts w:ascii="Times New Roman" w:hAnsi="Times New Roman" w:cs="Times New Roman"/>
          <w:color w:val="000000"/>
          <w:sz w:val="24"/>
          <w:szCs w:val="24"/>
        </w:rPr>
        <w:t>(27.3). The percentage of illiterates, primary, metric and Intermediates pass rural women was 1.3,10.7,14.7 and 28% respectively while in urban areas the values were 0.7,9.3,12.7 and 21.3%.Goyal,et al in 2017 reported 86% illiteracy among rural women from rural blocks of  Allahabad districts. It shows that the literacy level of rural women in Ayodhya district is much better than Allahabad.</w:t>
      </w:r>
    </w:p>
    <w:p w14:paraId="7D48B126" w14:textId="77777777" w:rsidR="00EC147A" w:rsidRPr="00744858" w:rsidRDefault="00A52355" w:rsidP="00EC147A">
      <w:pPr>
        <w:jc w:val="center"/>
        <w:rPr>
          <w:rFonts w:ascii="Times New Roman" w:hAnsi="Times New Roman" w:cs="Times New Roman"/>
          <w:b/>
          <w:bCs/>
          <w:sz w:val="24"/>
          <w:szCs w:val="24"/>
        </w:rPr>
      </w:pPr>
      <w:r w:rsidRPr="00744858">
        <w:rPr>
          <w:rFonts w:ascii="Times New Roman" w:hAnsi="Times New Roman" w:cs="Times New Roman"/>
          <w:b/>
          <w:bCs/>
          <w:sz w:val="24"/>
          <w:szCs w:val="24"/>
        </w:rPr>
        <w:t>Table: 5</w:t>
      </w:r>
    </w:p>
    <w:p w14:paraId="68C0FB1C" w14:textId="77777777" w:rsidR="00EC147A" w:rsidRPr="00744858" w:rsidRDefault="00EC147A" w:rsidP="00A52355">
      <w:pPr>
        <w:tabs>
          <w:tab w:val="left" w:pos="1206"/>
        </w:tabs>
        <w:jc w:val="center"/>
        <w:rPr>
          <w:rFonts w:ascii="Times New Roman" w:hAnsi="Times New Roman" w:cs="Times New Roman"/>
          <w:b/>
          <w:bCs/>
          <w:sz w:val="24"/>
          <w:szCs w:val="24"/>
        </w:rPr>
      </w:pPr>
      <w:r w:rsidRPr="00744858">
        <w:rPr>
          <w:rFonts w:ascii="Times New Roman" w:hAnsi="Times New Roman" w:cs="Times New Roman"/>
          <w:b/>
          <w:bCs/>
          <w:sz w:val="24"/>
          <w:szCs w:val="24"/>
        </w:rPr>
        <w:t>Categorization of rural urban menopause women BMI as per WHO</w:t>
      </w:r>
    </w:p>
    <w:tbl>
      <w:tblPr>
        <w:tblStyle w:val="TableGrid"/>
        <w:tblW w:w="9278" w:type="dxa"/>
        <w:jc w:val="center"/>
        <w:tblLook w:val="04A0" w:firstRow="1" w:lastRow="0" w:firstColumn="1" w:lastColumn="0" w:noHBand="0" w:noVBand="1"/>
      </w:tblPr>
      <w:tblGrid>
        <w:gridCol w:w="883"/>
        <w:gridCol w:w="1710"/>
        <w:gridCol w:w="1263"/>
        <w:gridCol w:w="1576"/>
        <w:gridCol w:w="1370"/>
        <w:gridCol w:w="1532"/>
        <w:gridCol w:w="944"/>
      </w:tblGrid>
      <w:tr w:rsidR="00EC147A" w:rsidRPr="00744858" w14:paraId="085EDE6D" w14:textId="77777777" w:rsidTr="00EC147A">
        <w:trPr>
          <w:trHeight w:val="313"/>
          <w:jc w:val="center"/>
        </w:trPr>
        <w:tc>
          <w:tcPr>
            <w:tcW w:w="857" w:type="dxa"/>
          </w:tcPr>
          <w:p w14:paraId="4E6E4833" w14:textId="77777777" w:rsidR="00EC147A" w:rsidRPr="00744858" w:rsidRDefault="00EC147A" w:rsidP="00EC147A">
            <w:pPr>
              <w:pStyle w:val="ListParagraph"/>
              <w:ind w:left="0"/>
              <w:jc w:val="both"/>
              <w:rPr>
                <w:rFonts w:ascii="Times New Roman" w:hAnsi="Times New Roman" w:cs="Times New Roman"/>
                <w:b/>
                <w:bCs/>
                <w:sz w:val="24"/>
                <w:szCs w:val="24"/>
              </w:rPr>
            </w:pPr>
            <w:r w:rsidRPr="00744858">
              <w:rPr>
                <w:rFonts w:ascii="Times New Roman" w:hAnsi="Times New Roman" w:cs="Times New Roman"/>
                <w:b/>
                <w:bCs/>
                <w:sz w:val="24"/>
                <w:szCs w:val="24"/>
              </w:rPr>
              <w:t xml:space="preserve">     </w:t>
            </w:r>
          </w:p>
          <w:p w14:paraId="77D49CFF" w14:textId="77777777" w:rsidR="00EC147A" w:rsidRPr="00744858" w:rsidRDefault="00EC147A" w:rsidP="00EC147A">
            <w:pPr>
              <w:pStyle w:val="ListParagraph"/>
              <w:ind w:left="0"/>
              <w:jc w:val="both"/>
              <w:rPr>
                <w:rFonts w:ascii="Times New Roman" w:hAnsi="Times New Roman" w:cs="Times New Roman"/>
                <w:b/>
                <w:bCs/>
                <w:sz w:val="24"/>
                <w:szCs w:val="24"/>
              </w:rPr>
            </w:pPr>
            <w:r w:rsidRPr="00744858">
              <w:rPr>
                <w:rFonts w:ascii="Times New Roman" w:hAnsi="Times New Roman" w:cs="Times New Roman"/>
                <w:b/>
                <w:bCs/>
                <w:sz w:val="24"/>
                <w:szCs w:val="24"/>
              </w:rPr>
              <w:t>Local</w:t>
            </w:r>
          </w:p>
        </w:tc>
        <w:tc>
          <w:tcPr>
            <w:tcW w:w="8421" w:type="dxa"/>
            <w:gridSpan w:val="6"/>
          </w:tcPr>
          <w:p w14:paraId="3297E5FD" w14:textId="77777777" w:rsidR="00EC147A" w:rsidRPr="00744858" w:rsidRDefault="00EC147A" w:rsidP="00EC147A">
            <w:pPr>
              <w:pStyle w:val="ListParagraph"/>
              <w:ind w:left="0"/>
              <w:jc w:val="center"/>
              <w:rPr>
                <w:rFonts w:ascii="Times New Roman" w:hAnsi="Times New Roman" w:cs="Times New Roman"/>
                <w:b/>
                <w:bCs/>
                <w:sz w:val="24"/>
                <w:szCs w:val="24"/>
              </w:rPr>
            </w:pPr>
            <w:r w:rsidRPr="00744858">
              <w:rPr>
                <w:rFonts w:ascii="Times New Roman" w:hAnsi="Times New Roman" w:cs="Times New Roman"/>
                <w:b/>
                <w:bCs/>
                <w:sz w:val="24"/>
                <w:szCs w:val="24"/>
              </w:rPr>
              <w:t>Body Mass Index Score</w:t>
            </w:r>
          </w:p>
        </w:tc>
      </w:tr>
      <w:tr w:rsidR="00EC147A" w:rsidRPr="00744858" w14:paraId="50BBB9C6" w14:textId="77777777" w:rsidTr="00EC147A">
        <w:trPr>
          <w:trHeight w:val="802"/>
          <w:jc w:val="center"/>
        </w:trPr>
        <w:tc>
          <w:tcPr>
            <w:tcW w:w="857" w:type="dxa"/>
          </w:tcPr>
          <w:p w14:paraId="3A87A1F6" w14:textId="77777777" w:rsidR="00EC147A" w:rsidRPr="00744858" w:rsidRDefault="00EC147A" w:rsidP="00EC147A">
            <w:pPr>
              <w:pStyle w:val="ListParagraph"/>
              <w:ind w:left="0"/>
              <w:jc w:val="both"/>
              <w:rPr>
                <w:rFonts w:ascii="Times New Roman" w:hAnsi="Times New Roman" w:cs="Times New Roman"/>
                <w:b/>
                <w:bCs/>
                <w:sz w:val="24"/>
                <w:szCs w:val="24"/>
              </w:rPr>
            </w:pPr>
          </w:p>
        </w:tc>
        <w:tc>
          <w:tcPr>
            <w:tcW w:w="1642" w:type="dxa"/>
            <w:vAlign w:val="bottom"/>
          </w:tcPr>
          <w:p w14:paraId="005D3436"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&lt;18.5</w:t>
            </w:r>
          </w:p>
          <w:p w14:paraId="12A8A6EE"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(Underweight)</w:t>
            </w:r>
          </w:p>
        </w:tc>
        <w:tc>
          <w:tcPr>
            <w:tcW w:w="1276" w:type="dxa"/>
            <w:vAlign w:val="bottom"/>
          </w:tcPr>
          <w:p w14:paraId="6B18AB7C"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18.5-24.9</w:t>
            </w:r>
          </w:p>
          <w:p w14:paraId="2C77B701"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(Normal)</w:t>
            </w:r>
          </w:p>
        </w:tc>
        <w:tc>
          <w:tcPr>
            <w:tcW w:w="1559" w:type="dxa"/>
            <w:vAlign w:val="bottom"/>
          </w:tcPr>
          <w:p w14:paraId="07B47044"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25.0-29.9</w:t>
            </w:r>
          </w:p>
          <w:p w14:paraId="30439E72"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(Overweight)</w:t>
            </w:r>
          </w:p>
        </w:tc>
        <w:tc>
          <w:tcPr>
            <w:tcW w:w="1417" w:type="dxa"/>
            <w:vAlign w:val="bottom"/>
          </w:tcPr>
          <w:p w14:paraId="2D2248AB"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&gt;30.0</w:t>
            </w:r>
          </w:p>
          <w:p w14:paraId="174A8604"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(Obese)</w:t>
            </w:r>
          </w:p>
        </w:tc>
        <w:tc>
          <w:tcPr>
            <w:tcW w:w="1560" w:type="dxa"/>
          </w:tcPr>
          <w:p w14:paraId="2103FC48" w14:textId="77777777" w:rsidR="00EC147A" w:rsidRPr="00744858" w:rsidRDefault="00EC147A" w:rsidP="00EC147A">
            <w:pPr>
              <w:tabs>
                <w:tab w:val="center" w:pos="610"/>
              </w:tabs>
              <w:jc w:val="both"/>
              <w:rPr>
                <w:rFonts w:ascii="Times New Roman" w:hAnsi="Times New Roman" w:cs="Times New Roman"/>
                <w:b/>
                <w:bCs/>
                <w:color w:val="000000"/>
                <w:sz w:val="24"/>
                <w:szCs w:val="24"/>
              </w:rPr>
            </w:pPr>
            <w:proofErr w:type="spellStart"/>
            <w:r w:rsidRPr="00744858">
              <w:rPr>
                <w:rFonts w:ascii="Times New Roman" w:hAnsi="Times New Roman" w:cs="Times New Roman"/>
                <w:b/>
                <w:bCs/>
                <w:color w:val="000000"/>
                <w:sz w:val="24"/>
                <w:szCs w:val="24"/>
              </w:rPr>
              <w:t>Mean±</w:t>
            </w:r>
            <w:r w:rsidRPr="00744858">
              <w:rPr>
                <w:rFonts w:ascii="Times New Roman" w:eastAsia="Times New Roman" w:hAnsi="Times New Roman" w:cs="Times New Roman"/>
                <w:b/>
                <w:bCs/>
                <w:color w:val="000000"/>
                <w:sz w:val="24"/>
                <w:szCs w:val="24"/>
                <w:lang w:eastAsia="en-IN"/>
              </w:rPr>
              <w:t>SD</w:t>
            </w:r>
            <w:proofErr w:type="spellEnd"/>
          </w:p>
        </w:tc>
        <w:tc>
          <w:tcPr>
            <w:tcW w:w="967" w:type="dxa"/>
          </w:tcPr>
          <w:p w14:paraId="30F20BCE"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P value</w:t>
            </w:r>
          </w:p>
        </w:tc>
      </w:tr>
      <w:tr w:rsidR="00EC147A" w:rsidRPr="00744858" w14:paraId="2CAFF0D5" w14:textId="77777777" w:rsidTr="00EC147A">
        <w:trPr>
          <w:trHeight w:val="115"/>
          <w:jc w:val="center"/>
        </w:trPr>
        <w:tc>
          <w:tcPr>
            <w:tcW w:w="857" w:type="dxa"/>
          </w:tcPr>
          <w:p w14:paraId="4CD2B5E6"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Rural</w:t>
            </w:r>
          </w:p>
        </w:tc>
        <w:tc>
          <w:tcPr>
            <w:tcW w:w="1642" w:type="dxa"/>
          </w:tcPr>
          <w:p w14:paraId="4A9911A5"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 xml:space="preserve">       5(3.3)</w:t>
            </w:r>
          </w:p>
        </w:tc>
        <w:tc>
          <w:tcPr>
            <w:tcW w:w="1276" w:type="dxa"/>
          </w:tcPr>
          <w:p w14:paraId="6D46BFA7"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96(64.0)</w:t>
            </w:r>
          </w:p>
        </w:tc>
        <w:tc>
          <w:tcPr>
            <w:tcW w:w="1559" w:type="dxa"/>
          </w:tcPr>
          <w:p w14:paraId="4E336C44"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47(31.3)</w:t>
            </w:r>
          </w:p>
        </w:tc>
        <w:tc>
          <w:tcPr>
            <w:tcW w:w="1417" w:type="dxa"/>
          </w:tcPr>
          <w:p w14:paraId="25CD5D9F"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2(1.3)</w:t>
            </w:r>
          </w:p>
        </w:tc>
        <w:tc>
          <w:tcPr>
            <w:tcW w:w="1560" w:type="dxa"/>
            <w:vAlign w:val="bottom"/>
          </w:tcPr>
          <w:p w14:paraId="528D6C56"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23.56</w:t>
            </w:r>
            <w:r w:rsidRPr="00744858">
              <w:rPr>
                <w:rFonts w:ascii="Times New Roman" w:hAnsi="Times New Roman" w:cs="Times New Roman"/>
                <w:color w:val="000000"/>
                <w:sz w:val="24"/>
                <w:szCs w:val="24"/>
              </w:rPr>
              <w:t>±</w:t>
            </w:r>
            <w:r w:rsidRPr="00744858">
              <w:rPr>
                <w:rFonts w:ascii="Times New Roman" w:eastAsia="Times New Roman" w:hAnsi="Times New Roman" w:cs="Times New Roman"/>
                <w:color w:val="000000"/>
                <w:sz w:val="24"/>
                <w:szCs w:val="24"/>
                <w:lang w:eastAsia="en-IN"/>
              </w:rPr>
              <w:t>2.37</w:t>
            </w:r>
          </w:p>
        </w:tc>
        <w:tc>
          <w:tcPr>
            <w:tcW w:w="967" w:type="dxa"/>
            <w:vMerge w:val="restart"/>
          </w:tcPr>
          <w:p w14:paraId="1681F556" w14:textId="77777777" w:rsidR="00EC147A" w:rsidRPr="00744858" w:rsidRDefault="00EC147A" w:rsidP="00EC147A">
            <w:pPr>
              <w:jc w:val="both"/>
              <w:rPr>
                <w:rFonts w:ascii="Times New Roman" w:hAnsi="Times New Roman" w:cs="Times New Roman"/>
                <w:color w:val="000000"/>
                <w:sz w:val="24"/>
                <w:szCs w:val="24"/>
              </w:rPr>
            </w:pPr>
          </w:p>
          <w:p w14:paraId="12ADB2C5" w14:textId="77777777" w:rsidR="00EC147A" w:rsidRPr="00744858" w:rsidRDefault="00EC147A" w:rsidP="00EC147A">
            <w:pPr>
              <w:jc w:val="both"/>
              <w:rPr>
                <w:rFonts w:ascii="Times New Roman" w:hAnsi="Times New Roman" w:cs="Times New Roman"/>
                <w:b/>
                <w:bCs/>
                <w:color w:val="000000"/>
                <w:sz w:val="24"/>
                <w:szCs w:val="24"/>
              </w:rPr>
            </w:pPr>
            <w:r w:rsidRPr="00744858">
              <w:rPr>
                <w:rFonts w:ascii="Times New Roman" w:hAnsi="Times New Roman" w:cs="Times New Roman"/>
                <w:b/>
                <w:bCs/>
                <w:color w:val="000000"/>
                <w:sz w:val="24"/>
                <w:szCs w:val="24"/>
              </w:rPr>
              <w:t>0.032</w:t>
            </w:r>
          </w:p>
        </w:tc>
      </w:tr>
      <w:tr w:rsidR="00EC147A" w:rsidRPr="00744858" w14:paraId="7F3E03C9" w14:textId="77777777" w:rsidTr="00EC147A">
        <w:trPr>
          <w:trHeight w:val="178"/>
          <w:jc w:val="center"/>
        </w:trPr>
        <w:tc>
          <w:tcPr>
            <w:tcW w:w="857" w:type="dxa"/>
          </w:tcPr>
          <w:p w14:paraId="74B6D6DE" w14:textId="77777777" w:rsidR="00EC147A" w:rsidRPr="00744858" w:rsidRDefault="00EC147A" w:rsidP="00EC147A">
            <w:pPr>
              <w:jc w:val="both"/>
              <w:rPr>
                <w:rFonts w:ascii="Times New Roman" w:eastAsia="Times New Roman" w:hAnsi="Times New Roman" w:cs="Times New Roman"/>
                <w:b/>
                <w:bCs/>
                <w:color w:val="000000"/>
                <w:sz w:val="24"/>
                <w:szCs w:val="24"/>
                <w:lang w:eastAsia="en-IN"/>
              </w:rPr>
            </w:pPr>
            <w:r w:rsidRPr="00744858">
              <w:rPr>
                <w:rFonts w:ascii="Times New Roman" w:eastAsia="Times New Roman" w:hAnsi="Times New Roman" w:cs="Times New Roman"/>
                <w:b/>
                <w:bCs/>
                <w:color w:val="000000"/>
                <w:sz w:val="24"/>
                <w:szCs w:val="24"/>
                <w:lang w:eastAsia="en-IN"/>
              </w:rPr>
              <w:t>Urban</w:t>
            </w:r>
          </w:p>
        </w:tc>
        <w:tc>
          <w:tcPr>
            <w:tcW w:w="1642" w:type="dxa"/>
          </w:tcPr>
          <w:p w14:paraId="255E0B65"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 xml:space="preserve">          1(0.7)</w:t>
            </w:r>
          </w:p>
        </w:tc>
        <w:tc>
          <w:tcPr>
            <w:tcW w:w="1276" w:type="dxa"/>
          </w:tcPr>
          <w:p w14:paraId="23E7E833"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94(62.7)</w:t>
            </w:r>
          </w:p>
        </w:tc>
        <w:tc>
          <w:tcPr>
            <w:tcW w:w="1559" w:type="dxa"/>
          </w:tcPr>
          <w:p w14:paraId="12C3C372"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53(35.3)</w:t>
            </w:r>
          </w:p>
        </w:tc>
        <w:tc>
          <w:tcPr>
            <w:tcW w:w="1417" w:type="dxa"/>
          </w:tcPr>
          <w:p w14:paraId="7B2DBADC"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r w:rsidRPr="00744858">
              <w:rPr>
                <w:rFonts w:ascii="Times New Roman" w:eastAsia="Times New Roman" w:hAnsi="Times New Roman" w:cs="Times New Roman"/>
                <w:color w:val="000000"/>
                <w:sz w:val="24"/>
                <w:szCs w:val="24"/>
                <w:lang w:eastAsia="en-IN"/>
              </w:rPr>
              <w:t>2(1.3)</w:t>
            </w:r>
          </w:p>
        </w:tc>
        <w:tc>
          <w:tcPr>
            <w:tcW w:w="1560" w:type="dxa"/>
          </w:tcPr>
          <w:p w14:paraId="246690F2" w14:textId="77777777" w:rsidR="00EC147A" w:rsidRPr="00744858" w:rsidRDefault="00EC147A" w:rsidP="00EC147A">
            <w:pPr>
              <w:jc w:val="both"/>
              <w:rPr>
                <w:rFonts w:ascii="Times New Roman" w:hAnsi="Times New Roman" w:cs="Times New Roman"/>
                <w:color w:val="000000"/>
                <w:sz w:val="24"/>
                <w:szCs w:val="24"/>
              </w:rPr>
            </w:pPr>
            <w:r w:rsidRPr="00744858">
              <w:rPr>
                <w:rFonts w:ascii="Times New Roman" w:hAnsi="Times New Roman" w:cs="Times New Roman"/>
                <w:color w:val="000000"/>
                <w:sz w:val="24"/>
                <w:szCs w:val="24"/>
              </w:rPr>
              <w:t>24.05±2.09</w:t>
            </w:r>
          </w:p>
        </w:tc>
        <w:tc>
          <w:tcPr>
            <w:tcW w:w="967" w:type="dxa"/>
            <w:vMerge/>
          </w:tcPr>
          <w:p w14:paraId="0DD353AE" w14:textId="77777777" w:rsidR="00EC147A" w:rsidRPr="00744858" w:rsidRDefault="00EC147A" w:rsidP="00EC147A">
            <w:pPr>
              <w:jc w:val="both"/>
              <w:rPr>
                <w:rFonts w:ascii="Times New Roman" w:eastAsia="Times New Roman" w:hAnsi="Times New Roman" w:cs="Times New Roman"/>
                <w:color w:val="000000"/>
                <w:sz w:val="24"/>
                <w:szCs w:val="24"/>
                <w:lang w:eastAsia="en-IN"/>
              </w:rPr>
            </w:pPr>
          </w:p>
        </w:tc>
      </w:tr>
    </w:tbl>
    <w:p w14:paraId="09244476" w14:textId="77777777" w:rsidR="00EC147A" w:rsidRPr="00744858" w:rsidRDefault="00EC147A" w:rsidP="00EC147A">
      <w:pPr>
        <w:pStyle w:val="ListParagraph"/>
        <w:ind w:left="0"/>
        <w:jc w:val="both"/>
        <w:rPr>
          <w:rFonts w:ascii="Times New Roman" w:hAnsi="Times New Roman" w:cs="Times New Roman"/>
          <w:b/>
          <w:bCs/>
          <w:color w:val="000000"/>
          <w:sz w:val="18"/>
          <w:szCs w:val="18"/>
        </w:rPr>
      </w:pPr>
      <w:r w:rsidRPr="00744858">
        <w:rPr>
          <w:rFonts w:ascii="Times New Roman" w:hAnsi="Times New Roman" w:cs="Times New Roman"/>
          <w:b/>
          <w:bCs/>
          <w:sz w:val="18"/>
          <w:szCs w:val="18"/>
        </w:rPr>
        <w:t xml:space="preserve">Value in percent Parenthesis is in percentage, Different is Significant at the 0.05 level (2tailed): All Values are </w:t>
      </w:r>
      <w:proofErr w:type="spellStart"/>
      <w:r w:rsidRPr="00744858">
        <w:rPr>
          <w:rFonts w:ascii="Times New Roman" w:hAnsi="Times New Roman" w:cs="Times New Roman"/>
          <w:b/>
          <w:bCs/>
          <w:sz w:val="18"/>
          <w:szCs w:val="18"/>
        </w:rPr>
        <w:t>mean</w:t>
      </w:r>
      <w:r w:rsidRPr="00744858">
        <w:rPr>
          <w:rFonts w:ascii="Times New Roman" w:hAnsi="Times New Roman" w:cs="Times New Roman"/>
          <w:b/>
          <w:bCs/>
          <w:color w:val="000000"/>
          <w:sz w:val="18"/>
          <w:szCs w:val="18"/>
        </w:rPr>
        <w:t>±SD</w:t>
      </w:r>
      <w:proofErr w:type="spellEnd"/>
      <w:r w:rsidRPr="00744858">
        <w:rPr>
          <w:rFonts w:ascii="Times New Roman" w:hAnsi="Times New Roman" w:cs="Times New Roman"/>
          <w:b/>
          <w:bCs/>
          <w:color w:val="000000"/>
          <w:sz w:val="18"/>
          <w:szCs w:val="18"/>
        </w:rPr>
        <w:t xml:space="preserve"> </w:t>
      </w:r>
    </w:p>
    <w:p w14:paraId="4F6321E2" w14:textId="77777777" w:rsidR="00EC147A" w:rsidRPr="00744858" w:rsidRDefault="00EC147A" w:rsidP="00EC147A">
      <w:pPr>
        <w:jc w:val="both"/>
        <w:rPr>
          <w:rFonts w:ascii="Times New Roman" w:hAnsi="Times New Roman" w:cs="Times New Roman"/>
          <w:sz w:val="24"/>
          <w:szCs w:val="24"/>
        </w:rPr>
      </w:pPr>
      <w:r w:rsidRPr="00744858">
        <w:rPr>
          <w:rFonts w:ascii="Times New Roman" w:hAnsi="Times New Roman" w:cs="Times New Roman"/>
          <w:sz w:val="24"/>
          <w:szCs w:val="24"/>
        </w:rPr>
        <w:t>Categorization of urban and rural post -menopausal women BMI as per WHO BMI score showed that significant difference. Incas of rural area 3.3 % women were underweight (&lt;18.5, Underweight) as compare to only 0.7 % urban women. The women who were having normal BMI was 64 and 62.7% in rural and urban areas, respectively. The percent of women weighing overweight were 31.3 % in rural areas and 35.3% in urban areas. Goyal et.al (2017) reported distribution of Post- menopausal urban and rural women and found significant differences in the BMI Score. Incas of rural areas 16.5% women were underweight while in urban areas only 9 % were under weight.</w:t>
      </w:r>
    </w:p>
    <w:p w14:paraId="7D66BDB3" w14:textId="77777777" w:rsidR="00EC147A" w:rsidRDefault="00EC147A" w:rsidP="00EC147A">
      <w:pPr>
        <w:jc w:val="both"/>
        <w:rPr>
          <w:rStyle w:val="fontstyle01"/>
          <w:rFonts w:ascii="Times New Roman" w:hAnsi="Times New Roman" w:cs="Times New Roman"/>
          <w:b w:val="0"/>
          <w:bCs w:val="0"/>
        </w:rPr>
      </w:pPr>
      <w:r w:rsidRPr="00744858">
        <w:rPr>
          <w:rFonts w:ascii="Times New Roman" w:eastAsia="Times New Roman" w:hAnsi="Times New Roman" w:cs="Times New Roman"/>
          <w:color w:val="000000"/>
          <w:sz w:val="24"/>
          <w:szCs w:val="24"/>
          <w:lang w:eastAsia="en-IN"/>
        </w:rPr>
        <w:t>According to Kozakowski</w:t>
      </w:r>
      <w:r w:rsidRPr="00744858">
        <w:rPr>
          <w:rFonts w:ascii="Times New Roman" w:eastAsia="Times New Roman" w:hAnsi="Times New Roman" w:cs="Times New Roman"/>
          <w:i/>
          <w:iCs/>
          <w:color w:val="000000"/>
          <w:sz w:val="24"/>
          <w:szCs w:val="24"/>
          <w:lang w:eastAsia="en-IN"/>
        </w:rPr>
        <w:t xml:space="preserve"> al. </w:t>
      </w:r>
      <w:r w:rsidRPr="00744858">
        <w:rPr>
          <w:rFonts w:ascii="Times New Roman" w:eastAsia="Times New Roman" w:hAnsi="Times New Roman" w:cs="Times New Roman"/>
          <w:color w:val="000000"/>
          <w:sz w:val="24"/>
          <w:szCs w:val="24"/>
          <w:lang w:eastAsia="en-IN"/>
        </w:rPr>
        <w:t xml:space="preserve">(2017) Weight gain frequently occurs during menopause, primarily as a result of hormonal fluctuations, although factors such as genetic </w:t>
      </w:r>
      <w:r w:rsidRPr="00744858">
        <w:rPr>
          <w:rFonts w:ascii="Times New Roman" w:eastAsia="Times New Roman" w:hAnsi="Times New Roman" w:cs="Times New Roman"/>
          <w:color w:val="000000"/>
          <w:sz w:val="24"/>
          <w:szCs w:val="24"/>
          <w:lang w:eastAsia="en-IN"/>
        </w:rPr>
        <w:lastRenderedPageBreak/>
        <w:t>predisposition, poor dietary choices, and a sedentary lifestyle also play significant roles. In both clinical and epidemiological contexts, BMI serves as the predominant indicator for assessing both individual and population-wide nutritional status.</w:t>
      </w:r>
      <w:r w:rsidRPr="00744858">
        <w:rPr>
          <w:rStyle w:val="fontstyle01"/>
          <w:rFonts w:ascii="Times New Roman" w:hAnsi="Times New Roman" w:cs="Times New Roman"/>
          <w:b w:val="0"/>
          <w:bCs w:val="0"/>
        </w:rPr>
        <w:t xml:space="preserve"> This research broadens our understanding of dietary habits among women in the initial phase of menopause.</w:t>
      </w:r>
    </w:p>
    <w:tbl>
      <w:tblPr>
        <w:tblStyle w:val="TableGrid"/>
        <w:tblW w:w="0" w:type="auto"/>
        <w:jc w:val="center"/>
        <w:tblLook w:val="04A0" w:firstRow="1" w:lastRow="0" w:firstColumn="1" w:lastColumn="0" w:noHBand="0" w:noVBand="1"/>
      </w:tblPr>
      <w:tblGrid>
        <w:gridCol w:w="1507"/>
        <w:gridCol w:w="777"/>
        <w:gridCol w:w="1577"/>
        <w:gridCol w:w="840"/>
        <w:gridCol w:w="938"/>
        <w:gridCol w:w="1665"/>
        <w:gridCol w:w="876"/>
        <w:gridCol w:w="942"/>
      </w:tblGrid>
      <w:tr w:rsidR="00285EAE" w:rsidRPr="00744858" w14:paraId="3322F6D2" w14:textId="77777777" w:rsidTr="00285EAE">
        <w:trPr>
          <w:trHeight w:val="403"/>
          <w:jc w:val="center"/>
        </w:trPr>
        <w:tc>
          <w:tcPr>
            <w:tcW w:w="1507" w:type="dxa"/>
          </w:tcPr>
          <w:p w14:paraId="2A35D2EA" w14:textId="77777777" w:rsidR="00285EAE" w:rsidRPr="00744858" w:rsidRDefault="00285EAE" w:rsidP="00285EAE">
            <w:pPr>
              <w:pStyle w:val="ListParagraph"/>
              <w:ind w:left="0"/>
              <w:jc w:val="center"/>
              <w:rPr>
                <w:rFonts w:ascii="Times New Roman" w:hAnsi="Times New Roman" w:cs="Times New Roman"/>
                <w:b/>
                <w:bCs/>
                <w:szCs w:val="22"/>
              </w:rPr>
            </w:pPr>
            <w:r w:rsidRPr="00744858">
              <w:rPr>
                <w:rFonts w:ascii="Times New Roman" w:hAnsi="Times New Roman" w:cs="Times New Roman"/>
                <w:b/>
                <w:bCs/>
                <w:szCs w:val="22"/>
              </w:rPr>
              <w:t>Nutrient</w:t>
            </w:r>
          </w:p>
        </w:tc>
        <w:tc>
          <w:tcPr>
            <w:tcW w:w="777" w:type="dxa"/>
          </w:tcPr>
          <w:p w14:paraId="6DE928EE" w14:textId="77777777" w:rsidR="00285EAE" w:rsidRPr="00744858" w:rsidRDefault="00285EAE" w:rsidP="00285EAE">
            <w:pPr>
              <w:pStyle w:val="ListParagraph"/>
              <w:ind w:left="0"/>
              <w:jc w:val="center"/>
              <w:rPr>
                <w:rFonts w:ascii="Times New Roman" w:hAnsi="Times New Roman" w:cs="Times New Roman"/>
                <w:b/>
                <w:bCs/>
                <w:szCs w:val="22"/>
              </w:rPr>
            </w:pPr>
            <w:r w:rsidRPr="00744858">
              <w:rPr>
                <w:rFonts w:ascii="Times New Roman" w:hAnsi="Times New Roman" w:cs="Times New Roman"/>
                <w:b/>
                <w:bCs/>
                <w:szCs w:val="22"/>
              </w:rPr>
              <w:t>RDA</w:t>
            </w:r>
          </w:p>
        </w:tc>
        <w:tc>
          <w:tcPr>
            <w:tcW w:w="1577" w:type="dxa"/>
          </w:tcPr>
          <w:p w14:paraId="24D42F12" w14:textId="77777777" w:rsidR="00285EAE" w:rsidRPr="00744858" w:rsidRDefault="00285EAE" w:rsidP="00285EAE">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Rural</w:t>
            </w:r>
          </w:p>
        </w:tc>
        <w:tc>
          <w:tcPr>
            <w:tcW w:w="840" w:type="dxa"/>
          </w:tcPr>
          <w:p w14:paraId="7B1E7BB5" w14:textId="77777777" w:rsidR="00285EAE" w:rsidRPr="00744858" w:rsidRDefault="00285EAE" w:rsidP="00285EAE">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NAR</w:t>
            </w:r>
          </w:p>
        </w:tc>
        <w:tc>
          <w:tcPr>
            <w:tcW w:w="938" w:type="dxa"/>
          </w:tcPr>
          <w:p w14:paraId="5B7CDB78" w14:textId="77777777" w:rsidR="00285EAE" w:rsidRPr="00744858" w:rsidRDefault="00285EAE" w:rsidP="00285EAE">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Scoring</w:t>
            </w:r>
          </w:p>
        </w:tc>
        <w:tc>
          <w:tcPr>
            <w:tcW w:w="1665" w:type="dxa"/>
          </w:tcPr>
          <w:p w14:paraId="5FFC693A" w14:textId="77777777" w:rsidR="00285EAE" w:rsidRPr="00744858" w:rsidRDefault="00285EAE" w:rsidP="00285EAE">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Urban</w:t>
            </w:r>
          </w:p>
        </w:tc>
        <w:tc>
          <w:tcPr>
            <w:tcW w:w="876" w:type="dxa"/>
          </w:tcPr>
          <w:p w14:paraId="715DBFB7" w14:textId="77777777" w:rsidR="00285EAE" w:rsidRPr="00744858" w:rsidRDefault="00285EAE" w:rsidP="00285EAE">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NAR</w:t>
            </w:r>
          </w:p>
        </w:tc>
        <w:tc>
          <w:tcPr>
            <w:tcW w:w="942" w:type="dxa"/>
          </w:tcPr>
          <w:p w14:paraId="3490D408" w14:textId="77777777" w:rsidR="00285EAE" w:rsidRPr="00744858" w:rsidRDefault="00285EAE" w:rsidP="00285EAE">
            <w:pPr>
              <w:pStyle w:val="ListParagraph"/>
              <w:ind w:left="0"/>
              <w:jc w:val="both"/>
              <w:rPr>
                <w:rFonts w:ascii="Times New Roman" w:hAnsi="Times New Roman" w:cs="Times New Roman"/>
                <w:b/>
                <w:bCs/>
                <w:szCs w:val="22"/>
              </w:rPr>
            </w:pPr>
            <w:r w:rsidRPr="00744858">
              <w:rPr>
                <w:rFonts w:ascii="Times New Roman" w:hAnsi="Times New Roman" w:cs="Times New Roman"/>
                <w:b/>
                <w:bCs/>
                <w:szCs w:val="22"/>
              </w:rPr>
              <w:t>Scoring</w:t>
            </w:r>
          </w:p>
        </w:tc>
      </w:tr>
      <w:tr w:rsidR="00285EAE" w:rsidRPr="00744858" w14:paraId="3DD7F756" w14:textId="77777777" w:rsidTr="00285EAE">
        <w:trPr>
          <w:trHeight w:val="487"/>
          <w:jc w:val="center"/>
        </w:trPr>
        <w:tc>
          <w:tcPr>
            <w:tcW w:w="1507" w:type="dxa"/>
          </w:tcPr>
          <w:p w14:paraId="5F63ADCE" w14:textId="77777777" w:rsidR="00285EAE" w:rsidRPr="00744858" w:rsidRDefault="00285EAE" w:rsidP="00285EAE">
            <w:pPr>
              <w:pStyle w:val="ListParagraph"/>
              <w:ind w:left="0"/>
              <w:jc w:val="both"/>
              <w:rPr>
                <w:rFonts w:ascii="Times New Roman" w:hAnsi="Times New Roman" w:cs="Times New Roman"/>
                <w:szCs w:val="22"/>
              </w:rPr>
            </w:pPr>
            <w:proofErr w:type="gramStart"/>
            <w:r w:rsidRPr="00744858">
              <w:rPr>
                <w:rFonts w:ascii="Times New Roman" w:hAnsi="Times New Roman" w:cs="Times New Roman"/>
                <w:szCs w:val="22"/>
              </w:rPr>
              <w:t>Energy(</w:t>
            </w:r>
            <w:proofErr w:type="gramEnd"/>
            <w:r w:rsidRPr="00744858">
              <w:rPr>
                <w:rFonts w:ascii="Times New Roman" w:hAnsi="Times New Roman" w:cs="Times New Roman"/>
                <w:szCs w:val="22"/>
              </w:rPr>
              <w:t>Kcal)</w:t>
            </w:r>
          </w:p>
        </w:tc>
        <w:tc>
          <w:tcPr>
            <w:tcW w:w="777" w:type="dxa"/>
          </w:tcPr>
          <w:p w14:paraId="0E0F97AC"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2130</w:t>
            </w:r>
          </w:p>
        </w:tc>
        <w:tc>
          <w:tcPr>
            <w:tcW w:w="1577" w:type="dxa"/>
          </w:tcPr>
          <w:p w14:paraId="073A612D"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1838.78±479.1</w:t>
            </w:r>
          </w:p>
        </w:tc>
        <w:tc>
          <w:tcPr>
            <w:tcW w:w="840" w:type="dxa"/>
          </w:tcPr>
          <w:p w14:paraId="65AEBDF5"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86.29</w:t>
            </w:r>
          </w:p>
        </w:tc>
        <w:tc>
          <w:tcPr>
            <w:tcW w:w="938" w:type="dxa"/>
          </w:tcPr>
          <w:p w14:paraId="7BBA4C32"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c>
          <w:tcPr>
            <w:tcW w:w="1665" w:type="dxa"/>
          </w:tcPr>
          <w:p w14:paraId="350A2575"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1941.72±367.07</w:t>
            </w:r>
          </w:p>
        </w:tc>
        <w:tc>
          <w:tcPr>
            <w:tcW w:w="876" w:type="dxa"/>
          </w:tcPr>
          <w:p w14:paraId="614BC6C1"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91.16</w:t>
            </w:r>
          </w:p>
        </w:tc>
        <w:tc>
          <w:tcPr>
            <w:tcW w:w="942" w:type="dxa"/>
          </w:tcPr>
          <w:p w14:paraId="3314BE5E"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r>
      <w:tr w:rsidR="00285EAE" w:rsidRPr="00744858" w14:paraId="04B309C6" w14:textId="77777777" w:rsidTr="00285EAE">
        <w:trPr>
          <w:trHeight w:val="330"/>
          <w:jc w:val="center"/>
        </w:trPr>
        <w:tc>
          <w:tcPr>
            <w:tcW w:w="1507" w:type="dxa"/>
          </w:tcPr>
          <w:p w14:paraId="21387A42"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Protein(g)</w:t>
            </w:r>
          </w:p>
        </w:tc>
        <w:tc>
          <w:tcPr>
            <w:tcW w:w="777" w:type="dxa"/>
          </w:tcPr>
          <w:p w14:paraId="0EB6EB8E"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45</w:t>
            </w:r>
          </w:p>
        </w:tc>
        <w:tc>
          <w:tcPr>
            <w:tcW w:w="1577" w:type="dxa"/>
          </w:tcPr>
          <w:p w14:paraId="1A775532" w14:textId="77777777" w:rsidR="00285EAE" w:rsidRPr="00744858" w:rsidRDefault="00285EAE" w:rsidP="00285EAE">
            <w:pPr>
              <w:jc w:val="both"/>
              <w:rPr>
                <w:rFonts w:ascii="Times New Roman" w:hAnsi="Times New Roman" w:cs="Times New Roman"/>
                <w:szCs w:val="22"/>
              </w:rPr>
            </w:pPr>
            <w:r w:rsidRPr="00744858">
              <w:rPr>
                <w:rFonts w:ascii="Times New Roman" w:hAnsi="Times New Roman" w:cs="Times New Roman"/>
                <w:color w:val="000000"/>
                <w:szCs w:val="22"/>
              </w:rPr>
              <w:t>45.15±8.0</w:t>
            </w:r>
          </w:p>
        </w:tc>
        <w:tc>
          <w:tcPr>
            <w:tcW w:w="840" w:type="dxa"/>
          </w:tcPr>
          <w:p w14:paraId="6F0C11E3"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100.33</w:t>
            </w:r>
          </w:p>
        </w:tc>
        <w:tc>
          <w:tcPr>
            <w:tcW w:w="938" w:type="dxa"/>
          </w:tcPr>
          <w:p w14:paraId="3D17308B"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w:t>
            </w:r>
          </w:p>
        </w:tc>
        <w:tc>
          <w:tcPr>
            <w:tcW w:w="1665" w:type="dxa"/>
          </w:tcPr>
          <w:p w14:paraId="3DAE20BC"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47.24±7.2</w:t>
            </w:r>
          </w:p>
        </w:tc>
        <w:tc>
          <w:tcPr>
            <w:tcW w:w="876" w:type="dxa"/>
          </w:tcPr>
          <w:p w14:paraId="5C2A96C6"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104.97</w:t>
            </w:r>
          </w:p>
        </w:tc>
        <w:tc>
          <w:tcPr>
            <w:tcW w:w="942" w:type="dxa"/>
          </w:tcPr>
          <w:p w14:paraId="68E718E5"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w:t>
            </w:r>
          </w:p>
        </w:tc>
      </w:tr>
      <w:tr w:rsidR="00285EAE" w:rsidRPr="00744858" w14:paraId="6DCC3192" w14:textId="77777777" w:rsidTr="00285EAE">
        <w:trPr>
          <w:trHeight w:val="290"/>
          <w:jc w:val="center"/>
        </w:trPr>
        <w:tc>
          <w:tcPr>
            <w:tcW w:w="1507" w:type="dxa"/>
          </w:tcPr>
          <w:p w14:paraId="638A98B7"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CHO(g)</w:t>
            </w:r>
          </w:p>
        </w:tc>
        <w:tc>
          <w:tcPr>
            <w:tcW w:w="777" w:type="dxa"/>
          </w:tcPr>
          <w:p w14:paraId="57118FA0"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175</w:t>
            </w:r>
          </w:p>
        </w:tc>
        <w:tc>
          <w:tcPr>
            <w:tcW w:w="1577" w:type="dxa"/>
          </w:tcPr>
          <w:p w14:paraId="57BFE396"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138.21±5.6</w:t>
            </w:r>
          </w:p>
        </w:tc>
        <w:tc>
          <w:tcPr>
            <w:tcW w:w="840" w:type="dxa"/>
          </w:tcPr>
          <w:p w14:paraId="778AD1FF"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78.85</w:t>
            </w:r>
          </w:p>
        </w:tc>
        <w:tc>
          <w:tcPr>
            <w:tcW w:w="938" w:type="dxa"/>
          </w:tcPr>
          <w:p w14:paraId="23A7220B"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c>
          <w:tcPr>
            <w:tcW w:w="1665" w:type="dxa"/>
          </w:tcPr>
          <w:p w14:paraId="5DD1C3F4"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141.22±4.4</w:t>
            </w:r>
          </w:p>
        </w:tc>
        <w:tc>
          <w:tcPr>
            <w:tcW w:w="876" w:type="dxa"/>
          </w:tcPr>
          <w:p w14:paraId="53575E2D"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80.69</w:t>
            </w:r>
          </w:p>
        </w:tc>
        <w:tc>
          <w:tcPr>
            <w:tcW w:w="942" w:type="dxa"/>
          </w:tcPr>
          <w:p w14:paraId="59C4CBD3"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w:t>
            </w:r>
          </w:p>
        </w:tc>
      </w:tr>
      <w:tr w:rsidR="00285EAE" w:rsidRPr="00744858" w14:paraId="54EDD0A4" w14:textId="77777777" w:rsidTr="00285EAE">
        <w:trPr>
          <w:trHeight w:val="380"/>
          <w:jc w:val="center"/>
        </w:trPr>
        <w:tc>
          <w:tcPr>
            <w:tcW w:w="1507" w:type="dxa"/>
          </w:tcPr>
          <w:p w14:paraId="4D9698A9"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Fat</w:t>
            </w:r>
          </w:p>
        </w:tc>
        <w:tc>
          <w:tcPr>
            <w:tcW w:w="777" w:type="dxa"/>
          </w:tcPr>
          <w:p w14:paraId="256B7785"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25</w:t>
            </w:r>
          </w:p>
        </w:tc>
        <w:tc>
          <w:tcPr>
            <w:tcW w:w="1577" w:type="dxa"/>
          </w:tcPr>
          <w:p w14:paraId="26D4E0EA"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31.68±4.0</w:t>
            </w:r>
          </w:p>
        </w:tc>
        <w:tc>
          <w:tcPr>
            <w:tcW w:w="840" w:type="dxa"/>
          </w:tcPr>
          <w:p w14:paraId="4FC5424E"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126.72</w:t>
            </w:r>
          </w:p>
        </w:tc>
        <w:tc>
          <w:tcPr>
            <w:tcW w:w="938" w:type="dxa"/>
          </w:tcPr>
          <w:p w14:paraId="5D8D873F"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w:t>
            </w:r>
          </w:p>
        </w:tc>
        <w:tc>
          <w:tcPr>
            <w:tcW w:w="1665" w:type="dxa"/>
          </w:tcPr>
          <w:p w14:paraId="198A5EB8"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30.04±4.9</w:t>
            </w:r>
          </w:p>
        </w:tc>
        <w:tc>
          <w:tcPr>
            <w:tcW w:w="876" w:type="dxa"/>
          </w:tcPr>
          <w:p w14:paraId="6C6082B8"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120.16</w:t>
            </w:r>
          </w:p>
        </w:tc>
        <w:tc>
          <w:tcPr>
            <w:tcW w:w="942" w:type="dxa"/>
          </w:tcPr>
          <w:p w14:paraId="4D83D0CB"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w:t>
            </w:r>
          </w:p>
        </w:tc>
      </w:tr>
      <w:tr w:rsidR="00285EAE" w:rsidRPr="00744858" w14:paraId="79BD1DC2" w14:textId="77777777" w:rsidTr="00285EAE">
        <w:trPr>
          <w:trHeight w:val="330"/>
          <w:jc w:val="center"/>
        </w:trPr>
        <w:tc>
          <w:tcPr>
            <w:tcW w:w="1507" w:type="dxa"/>
          </w:tcPr>
          <w:p w14:paraId="4269F5B3"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Fibre</w:t>
            </w:r>
          </w:p>
        </w:tc>
        <w:tc>
          <w:tcPr>
            <w:tcW w:w="777" w:type="dxa"/>
          </w:tcPr>
          <w:p w14:paraId="7603B0DC"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40</w:t>
            </w:r>
          </w:p>
        </w:tc>
        <w:tc>
          <w:tcPr>
            <w:tcW w:w="1577" w:type="dxa"/>
          </w:tcPr>
          <w:p w14:paraId="06A4EA27"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41.14±3.6</w:t>
            </w:r>
          </w:p>
        </w:tc>
        <w:tc>
          <w:tcPr>
            <w:tcW w:w="840" w:type="dxa"/>
          </w:tcPr>
          <w:p w14:paraId="7FB781F4"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102.5</w:t>
            </w:r>
          </w:p>
        </w:tc>
        <w:tc>
          <w:tcPr>
            <w:tcW w:w="938" w:type="dxa"/>
          </w:tcPr>
          <w:p w14:paraId="3E0158CA"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w:t>
            </w:r>
          </w:p>
        </w:tc>
        <w:tc>
          <w:tcPr>
            <w:tcW w:w="1665" w:type="dxa"/>
          </w:tcPr>
          <w:p w14:paraId="54B80DA1"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39.2±4.6</w:t>
            </w:r>
          </w:p>
        </w:tc>
        <w:tc>
          <w:tcPr>
            <w:tcW w:w="876" w:type="dxa"/>
          </w:tcPr>
          <w:p w14:paraId="33EFC7EF"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98</w:t>
            </w:r>
          </w:p>
        </w:tc>
        <w:tc>
          <w:tcPr>
            <w:tcW w:w="942" w:type="dxa"/>
          </w:tcPr>
          <w:p w14:paraId="10D5EBA0"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r>
      <w:tr w:rsidR="00285EAE" w:rsidRPr="00744858" w14:paraId="0C555909" w14:textId="77777777" w:rsidTr="00285EAE">
        <w:trPr>
          <w:trHeight w:val="330"/>
          <w:jc w:val="center"/>
        </w:trPr>
        <w:tc>
          <w:tcPr>
            <w:tcW w:w="1507" w:type="dxa"/>
          </w:tcPr>
          <w:p w14:paraId="672B8400"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Calcium(mg)</w:t>
            </w:r>
          </w:p>
        </w:tc>
        <w:tc>
          <w:tcPr>
            <w:tcW w:w="777" w:type="dxa"/>
          </w:tcPr>
          <w:p w14:paraId="0B73DCD4"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1000</w:t>
            </w:r>
          </w:p>
        </w:tc>
        <w:tc>
          <w:tcPr>
            <w:tcW w:w="1577" w:type="dxa"/>
          </w:tcPr>
          <w:p w14:paraId="76EB68E9"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972.68±225.9</w:t>
            </w:r>
          </w:p>
        </w:tc>
        <w:tc>
          <w:tcPr>
            <w:tcW w:w="840" w:type="dxa"/>
          </w:tcPr>
          <w:p w14:paraId="40249FD1"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97.26</w:t>
            </w:r>
          </w:p>
        </w:tc>
        <w:tc>
          <w:tcPr>
            <w:tcW w:w="938" w:type="dxa"/>
          </w:tcPr>
          <w:p w14:paraId="5813E16D"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c>
          <w:tcPr>
            <w:tcW w:w="1665" w:type="dxa"/>
          </w:tcPr>
          <w:p w14:paraId="0DBBFDE6"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1011.52±238.4</w:t>
            </w:r>
          </w:p>
        </w:tc>
        <w:tc>
          <w:tcPr>
            <w:tcW w:w="876" w:type="dxa"/>
          </w:tcPr>
          <w:p w14:paraId="0008183B"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101.15</w:t>
            </w:r>
          </w:p>
        </w:tc>
        <w:tc>
          <w:tcPr>
            <w:tcW w:w="942" w:type="dxa"/>
          </w:tcPr>
          <w:p w14:paraId="51964156"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w:t>
            </w:r>
          </w:p>
        </w:tc>
      </w:tr>
      <w:tr w:rsidR="00285EAE" w:rsidRPr="00744858" w14:paraId="58F4F97B" w14:textId="77777777" w:rsidTr="00285EAE">
        <w:trPr>
          <w:trHeight w:val="381"/>
          <w:jc w:val="center"/>
        </w:trPr>
        <w:tc>
          <w:tcPr>
            <w:tcW w:w="1507" w:type="dxa"/>
          </w:tcPr>
          <w:p w14:paraId="414578C0"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Iron</w:t>
            </w:r>
          </w:p>
        </w:tc>
        <w:tc>
          <w:tcPr>
            <w:tcW w:w="777" w:type="dxa"/>
          </w:tcPr>
          <w:p w14:paraId="2136265C"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29</w:t>
            </w:r>
          </w:p>
        </w:tc>
        <w:tc>
          <w:tcPr>
            <w:tcW w:w="1577" w:type="dxa"/>
          </w:tcPr>
          <w:p w14:paraId="356A4B46"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24.80±4.9</w:t>
            </w:r>
          </w:p>
        </w:tc>
        <w:tc>
          <w:tcPr>
            <w:tcW w:w="840" w:type="dxa"/>
          </w:tcPr>
          <w:p w14:paraId="49D68A94"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85.51</w:t>
            </w:r>
          </w:p>
        </w:tc>
        <w:tc>
          <w:tcPr>
            <w:tcW w:w="938" w:type="dxa"/>
          </w:tcPr>
          <w:p w14:paraId="468F3AEA"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c>
          <w:tcPr>
            <w:tcW w:w="1665" w:type="dxa"/>
          </w:tcPr>
          <w:p w14:paraId="7FD3F31A"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27.20±3.8</w:t>
            </w:r>
          </w:p>
        </w:tc>
        <w:tc>
          <w:tcPr>
            <w:tcW w:w="876" w:type="dxa"/>
          </w:tcPr>
          <w:p w14:paraId="01223352"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93.79</w:t>
            </w:r>
          </w:p>
        </w:tc>
        <w:tc>
          <w:tcPr>
            <w:tcW w:w="942" w:type="dxa"/>
          </w:tcPr>
          <w:p w14:paraId="18178278"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r>
      <w:tr w:rsidR="00285EAE" w:rsidRPr="00744858" w14:paraId="09A33EE2" w14:textId="77777777" w:rsidTr="00285EAE">
        <w:trPr>
          <w:trHeight w:val="135"/>
          <w:jc w:val="center"/>
        </w:trPr>
        <w:tc>
          <w:tcPr>
            <w:tcW w:w="1507" w:type="dxa"/>
          </w:tcPr>
          <w:p w14:paraId="4913B864"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Vit. C</w:t>
            </w:r>
          </w:p>
        </w:tc>
        <w:tc>
          <w:tcPr>
            <w:tcW w:w="777" w:type="dxa"/>
          </w:tcPr>
          <w:p w14:paraId="1495A840"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65</w:t>
            </w:r>
          </w:p>
        </w:tc>
        <w:tc>
          <w:tcPr>
            <w:tcW w:w="1577" w:type="dxa"/>
          </w:tcPr>
          <w:p w14:paraId="4C646382"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59.14±7.0</w:t>
            </w:r>
          </w:p>
        </w:tc>
        <w:tc>
          <w:tcPr>
            <w:tcW w:w="840" w:type="dxa"/>
          </w:tcPr>
          <w:p w14:paraId="424A5E46"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90.98</w:t>
            </w:r>
          </w:p>
        </w:tc>
        <w:tc>
          <w:tcPr>
            <w:tcW w:w="938" w:type="dxa"/>
          </w:tcPr>
          <w:p w14:paraId="3A0F7A6C"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c>
          <w:tcPr>
            <w:tcW w:w="1665" w:type="dxa"/>
          </w:tcPr>
          <w:p w14:paraId="7ED856A6"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61.40±4.6</w:t>
            </w:r>
          </w:p>
        </w:tc>
        <w:tc>
          <w:tcPr>
            <w:tcW w:w="876" w:type="dxa"/>
          </w:tcPr>
          <w:p w14:paraId="4C812134"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94.46</w:t>
            </w:r>
          </w:p>
        </w:tc>
        <w:tc>
          <w:tcPr>
            <w:tcW w:w="942" w:type="dxa"/>
          </w:tcPr>
          <w:p w14:paraId="10E3AE52"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r>
      <w:tr w:rsidR="00285EAE" w:rsidRPr="00744858" w14:paraId="5781394E" w14:textId="77777777" w:rsidTr="00285EAE">
        <w:trPr>
          <w:trHeight w:val="330"/>
          <w:jc w:val="center"/>
        </w:trPr>
        <w:tc>
          <w:tcPr>
            <w:tcW w:w="1507" w:type="dxa"/>
          </w:tcPr>
          <w:p w14:paraId="56B01554"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Zinc</w:t>
            </w:r>
          </w:p>
        </w:tc>
        <w:tc>
          <w:tcPr>
            <w:tcW w:w="777" w:type="dxa"/>
          </w:tcPr>
          <w:p w14:paraId="3C2F1E51"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1577" w:type="dxa"/>
          </w:tcPr>
          <w:p w14:paraId="76AAEB5B"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10.78±2.2</w:t>
            </w:r>
          </w:p>
        </w:tc>
        <w:tc>
          <w:tcPr>
            <w:tcW w:w="840" w:type="dxa"/>
          </w:tcPr>
          <w:p w14:paraId="1613EB69"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82.92</w:t>
            </w:r>
          </w:p>
        </w:tc>
        <w:tc>
          <w:tcPr>
            <w:tcW w:w="938" w:type="dxa"/>
          </w:tcPr>
          <w:p w14:paraId="153ADD9C"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c>
          <w:tcPr>
            <w:tcW w:w="1665" w:type="dxa"/>
          </w:tcPr>
          <w:p w14:paraId="0E546192"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12.77±2.0</w:t>
            </w:r>
          </w:p>
        </w:tc>
        <w:tc>
          <w:tcPr>
            <w:tcW w:w="876" w:type="dxa"/>
          </w:tcPr>
          <w:p w14:paraId="562FE4D8"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75.11</w:t>
            </w:r>
          </w:p>
        </w:tc>
        <w:tc>
          <w:tcPr>
            <w:tcW w:w="942" w:type="dxa"/>
          </w:tcPr>
          <w:p w14:paraId="066B2543"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r>
      <w:tr w:rsidR="00285EAE" w:rsidRPr="00744858" w14:paraId="60ED1B48" w14:textId="77777777" w:rsidTr="00285EAE">
        <w:trPr>
          <w:trHeight w:val="330"/>
          <w:jc w:val="center"/>
        </w:trPr>
        <w:tc>
          <w:tcPr>
            <w:tcW w:w="1507" w:type="dxa"/>
          </w:tcPr>
          <w:p w14:paraId="1380477F" w14:textId="77777777" w:rsidR="00285EAE" w:rsidRPr="00744858" w:rsidRDefault="00285EAE" w:rsidP="00285EAE">
            <w:pPr>
              <w:pStyle w:val="ListParagraph"/>
              <w:ind w:left="0"/>
              <w:jc w:val="both"/>
              <w:rPr>
                <w:rFonts w:ascii="Times New Roman" w:hAnsi="Times New Roman" w:cs="Times New Roman"/>
                <w:szCs w:val="22"/>
              </w:rPr>
            </w:pPr>
            <w:r w:rsidRPr="00744858">
              <w:rPr>
                <w:rFonts w:ascii="Times New Roman" w:hAnsi="Times New Roman" w:cs="Times New Roman"/>
                <w:szCs w:val="22"/>
              </w:rPr>
              <w:t xml:space="preserve">Phosphorous </w:t>
            </w:r>
          </w:p>
        </w:tc>
        <w:tc>
          <w:tcPr>
            <w:tcW w:w="777" w:type="dxa"/>
          </w:tcPr>
          <w:p w14:paraId="3B4384AA"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1000</w:t>
            </w:r>
          </w:p>
        </w:tc>
        <w:tc>
          <w:tcPr>
            <w:tcW w:w="1577" w:type="dxa"/>
          </w:tcPr>
          <w:p w14:paraId="28454A12"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893.63±183.2</w:t>
            </w:r>
          </w:p>
        </w:tc>
        <w:tc>
          <w:tcPr>
            <w:tcW w:w="840" w:type="dxa"/>
          </w:tcPr>
          <w:p w14:paraId="053765FD"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89.36</w:t>
            </w:r>
          </w:p>
        </w:tc>
        <w:tc>
          <w:tcPr>
            <w:tcW w:w="938" w:type="dxa"/>
          </w:tcPr>
          <w:p w14:paraId="39505F65"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c>
          <w:tcPr>
            <w:tcW w:w="1665" w:type="dxa"/>
          </w:tcPr>
          <w:p w14:paraId="5B688047"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927±197.2</w:t>
            </w:r>
          </w:p>
        </w:tc>
        <w:tc>
          <w:tcPr>
            <w:tcW w:w="876" w:type="dxa"/>
          </w:tcPr>
          <w:p w14:paraId="530E14C9" w14:textId="77777777" w:rsidR="00285EAE" w:rsidRPr="00744858" w:rsidRDefault="00285EAE" w:rsidP="00285EAE">
            <w:pPr>
              <w:jc w:val="both"/>
              <w:rPr>
                <w:rFonts w:ascii="Times New Roman" w:hAnsi="Times New Roman" w:cs="Times New Roman"/>
                <w:color w:val="000000"/>
                <w:szCs w:val="22"/>
              </w:rPr>
            </w:pPr>
            <w:r w:rsidRPr="00744858">
              <w:rPr>
                <w:rFonts w:ascii="Times New Roman" w:hAnsi="Times New Roman" w:cs="Times New Roman"/>
                <w:color w:val="000000"/>
                <w:szCs w:val="22"/>
              </w:rPr>
              <w:t>92.7</w:t>
            </w:r>
          </w:p>
        </w:tc>
        <w:tc>
          <w:tcPr>
            <w:tcW w:w="942" w:type="dxa"/>
          </w:tcPr>
          <w:p w14:paraId="5E40398F" w14:textId="77777777" w:rsidR="00285EAE" w:rsidRPr="00744858" w:rsidRDefault="00285EAE" w:rsidP="00285EAE">
            <w:pPr>
              <w:jc w:val="center"/>
              <w:rPr>
                <w:rFonts w:ascii="Times New Roman" w:hAnsi="Times New Roman" w:cs="Times New Roman"/>
                <w:color w:val="000000"/>
                <w:szCs w:val="22"/>
              </w:rPr>
            </w:pPr>
            <w:r w:rsidRPr="00744858">
              <w:rPr>
                <w:rFonts w:ascii="Times New Roman" w:hAnsi="Times New Roman" w:cs="Times New Roman"/>
                <w:color w:val="000000"/>
                <w:szCs w:val="22"/>
              </w:rPr>
              <w:t>II</w:t>
            </w:r>
          </w:p>
        </w:tc>
      </w:tr>
    </w:tbl>
    <w:p w14:paraId="5FDE9D75" w14:textId="77777777" w:rsidR="00285EAE" w:rsidRPr="00744858" w:rsidRDefault="00285EAE" w:rsidP="00EC147A">
      <w:pPr>
        <w:jc w:val="both"/>
        <w:rPr>
          <w:rFonts w:ascii="Times New Roman" w:hAnsi="Times New Roman" w:cs="Times New Roman"/>
          <w:color w:val="000000"/>
          <w:sz w:val="24"/>
          <w:szCs w:val="24"/>
        </w:rPr>
      </w:pPr>
    </w:p>
    <w:p w14:paraId="698884D8" w14:textId="77777777" w:rsidR="00EC147A" w:rsidRPr="00744858" w:rsidRDefault="00A52355" w:rsidP="00EC147A">
      <w:pPr>
        <w:tabs>
          <w:tab w:val="left" w:pos="5970"/>
        </w:tabs>
        <w:jc w:val="center"/>
        <w:rPr>
          <w:rFonts w:ascii="Times New Roman" w:hAnsi="Times New Roman" w:cs="Times New Roman"/>
          <w:b/>
          <w:bCs/>
          <w:color w:val="000000"/>
          <w:sz w:val="24"/>
          <w:szCs w:val="24"/>
        </w:rPr>
      </w:pPr>
      <w:r w:rsidRPr="00744858">
        <w:rPr>
          <w:rFonts w:ascii="Times New Roman" w:hAnsi="Times New Roman" w:cs="Times New Roman"/>
          <w:b/>
          <w:bCs/>
          <w:color w:val="000000"/>
          <w:sz w:val="24"/>
          <w:szCs w:val="24"/>
        </w:rPr>
        <w:t>Table: 6</w:t>
      </w:r>
    </w:p>
    <w:p w14:paraId="355D4662" w14:textId="77777777" w:rsidR="00EC147A" w:rsidRPr="00744858" w:rsidRDefault="00EC147A" w:rsidP="00EC147A">
      <w:pPr>
        <w:tabs>
          <w:tab w:val="left" w:pos="1206"/>
        </w:tabs>
        <w:rPr>
          <w:rFonts w:ascii="Times New Roman" w:hAnsi="Times New Roman" w:cs="Times New Roman"/>
          <w:b/>
          <w:bCs/>
          <w:color w:val="000000"/>
          <w:sz w:val="24"/>
          <w:szCs w:val="24"/>
        </w:rPr>
      </w:pPr>
      <w:r w:rsidRPr="00744858">
        <w:rPr>
          <w:rFonts w:ascii="Times New Roman" w:hAnsi="Times New Roman" w:cs="Times New Roman"/>
          <w:b/>
          <w:bCs/>
          <w:color w:val="000000"/>
          <w:sz w:val="24"/>
          <w:szCs w:val="24"/>
        </w:rPr>
        <w:t>Nutrient adequacy of rural and urban post -menopausal women of Ayodhya district</w:t>
      </w:r>
    </w:p>
    <w:p w14:paraId="5661F75D" w14:textId="77777777" w:rsidR="00D41649" w:rsidRPr="00744858" w:rsidRDefault="00EC147A" w:rsidP="00EC147A">
      <w:pPr>
        <w:tabs>
          <w:tab w:val="left" w:pos="5970"/>
        </w:tabs>
        <w:jc w:val="both"/>
        <w:rPr>
          <w:rFonts w:ascii="Times New Roman" w:hAnsi="Times New Roman" w:cs="Times New Roman"/>
          <w:color w:val="000000"/>
          <w:sz w:val="24"/>
          <w:szCs w:val="24"/>
        </w:rPr>
      </w:pPr>
      <w:r w:rsidRPr="00744858">
        <w:rPr>
          <w:rFonts w:ascii="Times New Roman" w:hAnsi="Times New Roman" w:cs="Times New Roman"/>
          <w:color w:val="000000"/>
          <w:sz w:val="24"/>
          <w:szCs w:val="24"/>
        </w:rPr>
        <w:t xml:space="preserve">The nutrient intake with respect to energy, protein, CHO, Fat, Fibre, Calcium, Iron, Vitamin C, Zinc and Phosphorus of rural and urban women of Ayodhya district was calculated by using </w:t>
      </w:r>
      <w:proofErr w:type="gramStart"/>
      <w:r w:rsidRPr="00744858">
        <w:rPr>
          <w:rFonts w:ascii="Times New Roman" w:hAnsi="Times New Roman" w:cs="Times New Roman"/>
          <w:color w:val="000000"/>
          <w:sz w:val="24"/>
          <w:szCs w:val="24"/>
        </w:rPr>
        <w:t>24 hour</w:t>
      </w:r>
      <w:proofErr w:type="gramEnd"/>
      <w:r w:rsidRPr="00744858">
        <w:rPr>
          <w:rFonts w:ascii="Times New Roman" w:hAnsi="Times New Roman" w:cs="Times New Roman"/>
          <w:color w:val="000000"/>
          <w:sz w:val="24"/>
          <w:szCs w:val="24"/>
        </w:rPr>
        <w:t xml:space="preserve"> recall method. The nutrient adequacy ratio was calculated and it was found that the energy, protein, fat, iron, </w:t>
      </w:r>
      <w:proofErr w:type="spellStart"/>
      <w:r w:rsidRPr="00744858">
        <w:rPr>
          <w:rFonts w:ascii="Times New Roman" w:hAnsi="Times New Roman" w:cs="Times New Roman"/>
          <w:color w:val="000000"/>
          <w:sz w:val="24"/>
          <w:szCs w:val="24"/>
        </w:rPr>
        <w:t>vit.C</w:t>
      </w:r>
      <w:proofErr w:type="spellEnd"/>
      <w:r w:rsidRPr="00744858">
        <w:rPr>
          <w:rFonts w:ascii="Times New Roman" w:hAnsi="Times New Roman" w:cs="Times New Roman"/>
          <w:color w:val="000000"/>
          <w:sz w:val="24"/>
          <w:szCs w:val="24"/>
        </w:rPr>
        <w:t xml:space="preserve">, zinc and phosphorus was same and they fall in the </w:t>
      </w:r>
    </w:p>
    <w:p w14:paraId="075B9BDB" w14:textId="77777777" w:rsidR="00744858" w:rsidRDefault="00744858" w:rsidP="00D41649">
      <w:pPr>
        <w:tabs>
          <w:tab w:val="left" w:pos="5970"/>
        </w:tabs>
        <w:jc w:val="center"/>
        <w:rPr>
          <w:rFonts w:ascii="Times New Roman" w:hAnsi="Times New Roman" w:cs="Times New Roman"/>
          <w:color w:val="000000"/>
          <w:szCs w:val="22"/>
        </w:rPr>
      </w:pPr>
    </w:p>
    <w:p w14:paraId="6076D7B4" w14:textId="77777777" w:rsidR="00D41649" w:rsidRPr="00744858" w:rsidRDefault="00D41649" w:rsidP="00D41649">
      <w:pPr>
        <w:tabs>
          <w:tab w:val="left" w:pos="5970"/>
        </w:tabs>
        <w:jc w:val="center"/>
        <w:rPr>
          <w:rFonts w:ascii="Times New Roman" w:hAnsi="Times New Roman" w:cs="Times New Roman"/>
          <w:color w:val="000000"/>
          <w:szCs w:val="22"/>
        </w:rPr>
      </w:pPr>
      <w:r w:rsidRPr="00744858">
        <w:rPr>
          <w:rFonts w:ascii="Times New Roman" w:hAnsi="Times New Roman" w:cs="Times New Roman"/>
          <w:color w:val="000000"/>
          <w:szCs w:val="22"/>
        </w:rPr>
        <w:t xml:space="preserve">NAR* Nutrient </w:t>
      </w:r>
      <w:proofErr w:type="spellStart"/>
      <w:r w:rsidRPr="00744858">
        <w:rPr>
          <w:rFonts w:ascii="Times New Roman" w:hAnsi="Times New Roman" w:cs="Times New Roman"/>
          <w:color w:val="000000"/>
          <w:szCs w:val="22"/>
        </w:rPr>
        <w:t>adequecy</w:t>
      </w:r>
      <w:proofErr w:type="spellEnd"/>
      <w:r w:rsidRPr="00744858">
        <w:rPr>
          <w:rFonts w:ascii="Times New Roman" w:hAnsi="Times New Roman" w:cs="Times New Roman"/>
          <w:color w:val="000000"/>
          <w:szCs w:val="22"/>
        </w:rPr>
        <w:t xml:space="preserve"> </w:t>
      </w:r>
      <w:proofErr w:type="gramStart"/>
      <w:r w:rsidRPr="00744858">
        <w:rPr>
          <w:rFonts w:ascii="Times New Roman" w:hAnsi="Times New Roman" w:cs="Times New Roman"/>
          <w:color w:val="000000"/>
          <w:szCs w:val="22"/>
        </w:rPr>
        <w:t>ratio ,</w:t>
      </w:r>
      <w:proofErr w:type="gramEnd"/>
      <w:r w:rsidRPr="00744858">
        <w:rPr>
          <w:rFonts w:ascii="Times New Roman" w:hAnsi="Times New Roman" w:cs="Times New Roman"/>
          <w:color w:val="000000"/>
          <w:szCs w:val="22"/>
        </w:rPr>
        <w:t xml:space="preserve"> CHO* Carbohydrate</w:t>
      </w:r>
    </w:p>
    <w:p w14:paraId="4A3E089B" w14:textId="77777777" w:rsidR="00D41649" w:rsidRPr="00744858" w:rsidRDefault="00D41649" w:rsidP="00EC147A">
      <w:pPr>
        <w:tabs>
          <w:tab w:val="left" w:pos="5970"/>
        </w:tabs>
        <w:jc w:val="both"/>
        <w:rPr>
          <w:rFonts w:ascii="Times New Roman" w:hAnsi="Times New Roman" w:cs="Times New Roman"/>
          <w:color w:val="000000"/>
          <w:sz w:val="24"/>
          <w:szCs w:val="24"/>
        </w:rPr>
      </w:pPr>
    </w:p>
    <w:p w14:paraId="48DCF195" w14:textId="77777777" w:rsidR="00D41649" w:rsidRPr="00744858" w:rsidRDefault="00EC147A" w:rsidP="00EC147A">
      <w:pPr>
        <w:tabs>
          <w:tab w:val="left" w:pos="5970"/>
        </w:tabs>
        <w:jc w:val="both"/>
        <w:rPr>
          <w:rFonts w:ascii="Times New Roman" w:hAnsi="Times New Roman" w:cs="Times New Roman"/>
          <w:color w:val="000000"/>
          <w:sz w:val="24"/>
          <w:szCs w:val="24"/>
        </w:rPr>
      </w:pPr>
      <w:r w:rsidRPr="00744858">
        <w:rPr>
          <w:rFonts w:ascii="Times New Roman" w:hAnsi="Times New Roman" w:cs="Times New Roman"/>
          <w:color w:val="000000"/>
          <w:sz w:val="24"/>
          <w:szCs w:val="24"/>
        </w:rPr>
        <w:t xml:space="preserve">score II that was 75-99.9% adequacy. The intake of rural population Scored II for CHO and </w:t>
      </w:r>
    </w:p>
    <w:p w14:paraId="5F2CC1B6" w14:textId="77777777" w:rsidR="00EC147A" w:rsidRPr="00744858" w:rsidRDefault="00EC147A" w:rsidP="00EC147A">
      <w:pPr>
        <w:tabs>
          <w:tab w:val="left" w:pos="5970"/>
        </w:tabs>
        <w:jc w:val="both"/>
        <w:rPr>
          <w:rFonts w:ascii="Times New Roman" w:hAnsi="Times New Roman" w:cs="Times New Roman"/>
          <w:color w:val="000000"/>
          <w:sz w:val="24"/>
          <w:szCs w:val="24"/>
        </w:rPr>
      </w:pPr>
      <w:r w:rsidRPr="00744858">
        <w:rPr>
          <w:rFonts w:ascii="Times New Roman" w:hAnsi="Times New Roman" w:cs="Times New Roman"/>
          <w:color w:val="000000"/>
          <w:sz w:val="24"/>
          <w:szCs w:val="24"/>
        </w:rPr>
        <w:t xml:space="preserve">calcium intake of rural women was higher </w:t>
      </w:r>
      <w:proofErr w:type="gramStart"/>
      <w:r w:rsidRPr="00744858">
        <w:rPr>
          <w:rFonts w:ascii="Times New Roman" w:hAnsi="Times New Roman" w:cs="Times New Roman"/>
          <w:color w:val="000000"/>
          <w:sz w:val="24"/>
          <w:szCs w:val="24"/>
        </w:rPr>
        <w:t xml:space="preserve">as  </w:t>
      </w:r>
      <w:proofErr w:type="spellStart"/>
      <w:r w:rsidRPr="00744858">
        <w:rPr>
          <w:rFonts w:ascii="Times New Roman" w:hAnsi="Times New Roman" w:cs="Times New Roman"/>
          <w:color w:val="000000"/>
          <w:sz w:val="24"/>
          <w:szCs w:val="24"/>
        </w:rPr>
        <w:t>wherase</w:t>
      </w:r>
      <w:proofErr w:type="spellEnd"/>
      <w:proofErr w:type="gramEnd"/>
      <w:r w:rsidRPr="00744858">
        <w:rPr>
          <w:rFonts w:ascii="Times New Roman" w:hAnsi="Times New Roman" w:cs="Times New Roman"/>
          <w:color w:val="000000"/>
          <w:sz w:val="24"/>
          <w:szCs w:val="24"/>
        </w:rPr>
        <w:t xml:space="preserve"> fibre score of rural population was higher(Score I) 100 as compare to urban population </w:t>
      </w:r>
      <w:proofErr w:type="spellStart"/>
      <w:r w:rsidRPr="00744858">
        <w:rPr>
          <w:rFonts w:ascii="Times New Roman" w:hAnsi="Times New Roman" w:cs="Times New Roman"/>
          <w:color w:val="000000"/>
          <w:sz w:val="24"/>
          <w:szCs w:val="24"/>
        </w:rPr>
        <w:t>i,e</w:t>
      </w:r>
      <w:proofErr w:type="spellEnd"/>
      <w:r w:rsidRPr="00744858">
        <w:rPr>
          <w:rFonts w:ascii="Times New Roman" w:hAnsi="Times New Roman" w:cs="Times New Roman"/>
          <w:color w:val="000000"/>
          <w:sz w:val="24"/>
          <w:szCs w:val="24"/>
        </w:rPr>
        <w:t xml:space="preserve">. 75.9-99.9%. Nemati and </w:t>
      </w:r>
      <w:proofErr w:type="spellStart"/>
      <w:r w:rsidRPr="00744858">
        <w:rPr>
          <w:rFonts w:ascii="Times New Roman" w:hAnsi="Times New Roman" w:cs="Times New Roman"/>
          <w:color w:val="000000"/>
          <w:sz w:val="24"/>
          <w:szCs w:val="24"/>
        </w:rPr>
        <w:t>Baghi</w:t>
      </w:r>
      <w:proofErr w:type="spellEnd"/>
      <w:r w:rsidRPr="00744858">
        <w:rPr>
          <w:rFonts w:ascii="Times New Roman" w:hAnsi="Times New Roman" w:cs="Times New Roman"/>
          <w:color w:val="000000"/>
          <w:sz w:val="24"/>
          <w:szCs w:val="24"/>
        </w:rPr>
        <w:t xml:space="preserve"> They reported Mean daily calories and nutrient inta</w:t>
      </w:r>
      <w:r w:rsidR="00E60924" w:rsidRPr="00744858">
        <w:rPr>
          <w:rFonts w:ascii="Times New Roman" w:hAnsi="Times New Roman" w:cs="Times New Roman"/>
          <w:color w:val="000000"/>
          <w:sz w:val="24"/>
          <w:szCs w:val="24"/>
        </w:rPr>
        <w:t xml:space="preserve">ke of </w:t>
      </w:r>
      <w:proofErr w:type="spellStart"/>
      <w:r w:rsidR="00E60924" w:rsidRPr="00744858">
        <w:rPr>
          <w:rFonts w:ascii="Times New Roman" w:hAnsi="Times New Roman" w:cs="Times New Roman"/>
          <w:color w:val="000000"/>
          <w:sz w:val="24"/>
          <w:szCs w:val="24"/>
        </w:rPr>
        <w:t>Ardebile</w:t>
      </w:r>
      <w:proofErr w:type="spellEnd"/>
      <w:r w:rsidR="00E60924" w:rsidRPr="00744858">
        <w:rPr>
          <w:rFonts w:ascii="Times New Roman" w:hAnsi="Times New Roman" w:cs="Times New Roman"/>
          <w:color w:val="000000"/>
          <w:sz w:val="24"/>
          <w:szCs w:val="24"/>
          <w:cs/>
        </w:rPr>
        <w:t xml:space="preserve"> </w:t>
      </w:r>
      <w:r w:rsidRPr="00744858">
        <w:rPr>
          <w:rFonts w:ascii="Times New Roman" w:hAnsi="Times New Roman" w:cs="Times New Roman"/>
          <w:color w:val="000000"/>
          <w:sz w:val="24"/>
          <w:szCs w:val="24"/>
        </w:rPr>
        <w:t xml:space="preserve">women in different area </w:t>
      </w:r>
      <w:r w:rsidRPr="00744858">
        <w:rPr>
          <w:rFonts w:ascii="Times New Roman" w:hAnsi="Times New Roman" w:cs="Times New Roman"/>
          <w:color w:val="000000"/>
          <w:sz w:val="24"/>
          <w:szCs w:val="24"/>
        </w:rPr>
        <w:lastRenderedPageBreak/>
        <w:t xml:space="preserve">of Iran. The calories, Protein, carbohydrates, </w:t>
      </w:r>
      <w:proofErr w:type="spellStart"/>
      <w:r w:rsidRPr="00744858">
        <w:rPr>
          <w:rFonts w:ascii="Times New Roman" w:hAnsi="Times New Roman" w:cs="Times New Roman"/>
          <w:color w:val="000000"/>
          <w:sz w:val="24"/>
          <w:szCs w:val="24"/>
        </w:rPr>
        <w:t>fiber</w:t>
      </w:r>
      <w:proofErr w:type="spellEnd"/>
      <w:r w:rsidRPr="00744858">
        <w:rPr>
          <w:rFonts w:ascii="Times New Roman" w:hAnsi="Times New Roman" w:cs="Times New Roman"/>
          <w:color w:val="000000"/>
          <w:sz w:val="24"/>
          <w:szCs w:val="24"/>
        </w:rPr>
        <w:t xml:space="preserve">, total fat, saturated fat, vit B1, vit B2, Vit. B3, Vit. B6, folic acid, Calcium, Iron, zinc and selenium of rural women was higher than urban women. </w:t>
      </w:r>
    </w:p>
    <w:p w14:paraId="53104220" w14:textId="77777777" w:rsidR="00D41649" w:rsidRPr="00744858" w:rsidRDefault="00EC147A" w:rsidP="00EC147A">
      <w:pPr>
        <w:tabs>
          <w:tab w:val="left" w:pos="5970"/>
        </w:tabs>
        <w:jc w:val="both"/>
        <w:rPr>
          <w:rFonts w:ascii="Times New Roman" w:hAnsi="Times New Roman" w:cs="Times New Roman"/>
          <w:color w:val="000000"/>
          <w:sz w:val="24"/>
          <w:szCs w:val="24"/>
        </w:rPr>
      </w:pPr>
      <w:r w:rsidRPr="00744858">
        <w:rPr>
          <w:rFonts w:ascii="Times New Roman" w:hAnsi="Times New Roman" w:cs="Times New Roman"/>
          <w:color w:val="000000"/>
          <w:sz w:val="24"/>
          <w:szCs w:val="24"/>
        </w:rPr>
        <w:t>In the present study it was found that energy intake of both rural and urban population was slightly less than the RDA whereas the protein intake was slightly higher than the RDA. The fat intake of post -menopausal of rural and urban women was (31.68</w:t>
      </w:r>
      <w:r w:rsidRPr="00744858">
        <w:rPr>
          <w:rFonts w:ascii="Times New Roman" w:hAnsi="Times New Roman" w:cs="Times New Roman"/>
          <w:color w:val="000000"/>
          <w:szCs w:val="22"/>
        </w:rPr>
        <w:t>±</w:t>
      </w:r>
      <w:r w:rsidRPr="00744858">
        <w:rPr>
          <w:rFonts w:ascii="Times New Roman" w:hAnsi="Times New Roman" w:cs="Times New Roman"/>
          <w:color w:val="000000"/>
          <w:sz w:val="24"/>
          <w:szCs w:val="24"/>
        </w:rPr>
        <w:t>4.0) and 30.4</w:t>
      </w:r>
      <w:r w:rsidRPr="00744858">
        <w:rPr>
          <w:rFonts w:ascii="Times New Roman" w:hAnsi="Times New Roman" w:cs="Times New Roman"/>
          <w:color w:val="000000"/>
          <w:szCs w:val="22"/>
        </w:rPr>
        <w:t>±</w:t>
      </w:r>
      <w:r w:rsidRPr="00744858">
        <w:rPr>
          <w:rFonts w:ascii="Times New Roman" w:hAnsi="Times New Roman" w:cs="Times New Roman"/>
          <w:color w:val="000000"/>
          <w:sz w:val="24"/>
          <w:szCs w:val="24"/>
        </w:rPr>
        <w:t xml:space="preserve">4.9 which is much higher than the recommended that is 25 g per day. The intake of almost all other nutrients i.e. Iron vit. C Zinc and phosphorus less than the RDA both in rural and urban population </w:t>
      </w:r>
      <w:proofErr w:type="spellStart"/>
      <w:r w:rsidRPr="00744858">
        <w:rPr>
          <w:rFonts w:ascii="Times New Roman" w:hAnsi="Times New Roman" w:cs="Times New Roman"/>
          <w:color w:val="000000"/>
          <w:sz w:val="24"/>
          <w:szCs w:val="24"/>
        </w:rPr>
        <w:t>villarino</w:t>
      </w:r>
      <w:proofErr w:type="spellEnd"/>
      <w:r w:rsidRPr="00744858">
        <w:rPr>
          <w:rFonts w:ascii="Times New Roman" w:hAnsi="Times New Roman" w:cs="Times New Roman"/>
          <w:color w:val="000000"/>
          <w:sz w:val="24"/>
          <w:szCs w:val="24"/>
        </w:rPr>
        <w:t xml:space="preserve"> -Rodriguez et al. (2002) was showed regarding the vitamin intake, the mean dietetic content of thiamine, niacin and vitamin C supplies the 100% of the recommended intake of the population in study women similarly is our study. Several minerals other than calcium and phosphorus play essential roles in bone health (Bunker, 1994). The food frequency </w:t>
      </w:r>
      <w:proofErr w:type="spellStart"/>
      <w:r w:rsidRPr="00744858">
        <w:rPr>
          <w:rFonts w:ascii="Times New Roman" w:hAnsi="Times New Roman" w:cs="Times New Roman"/>
          <w:color w:val="000000"/>
          <w:sz w:val="24"/>
          <w:szCs w:val="24"/>
        </w:rPr>
        <w:t>questioinnaire</w:t>
      </w:r>
      <w:proofErr w:type="spellEnd"/>
      <w:r w:rsidRPr="00744858">
        <w:rPr>
          <w:rFonts w:ascii="Times New Roman" w:hAnsi="Times New Roman" w:cs="Times New Roman"/>
          <w:color w:val="000000"/>
          <w:sz w:val="24"/>
          <w:szCs w:val="24"/>
        </w:rPr>
        <w:t xml:space="preserve"> correctly identified subjects with calcium intakes below the Malaysian recommended daily allowance (450 mg day¹) with 60% specificity and with 92% specificity for women consuming less than 800 mg calcium day (Chee et al, 2002). Postmenopausal women in this study, having dietary calcium intakes far below the recommendations for their age, may be at increased risk of osteoporotic hip fract</w:t>
      </w:r>
      <w:r w:rsidR="00D41649" w:rsidRPr="00744858">
        <w:rPr>
          <w:rFonts w:ascii="Times New Roman" w:hAnsi="Times New Roman" w:cs="Times New Roman"/>
          <w:color w:val="000000"/>
          <w:sz w:val="24"/>
          <w:szCs w:val="24"/>
        </w:rPr>
        <w:t>ure later in life.</w:t>
      </w:r>
    </w:p>
    <w:p w14:paraId="31C5ABC1" w14:textId="77777777" w:rsidR="00EC147A" w:rsidRPr="00744858" w:rsidRDefault="00744858" w:rsidP="00240632">
      <w:pPr>
        <w:tabs>
          <w:tab w:val="left" w:pos="5970"/>
        </w:tabs>
        <w:jc w:val="center"/>
        <w:rPr>
          <w:rFonts w:ascii="Times New Roman" w:hAnsi="Times New Roman" w:cs="Times New Roman"/>
          <w:b/>
          <w:bCs/>
          <w:color w:val="000000"/>
          <w:sz w:val="28"/>
          <w:szCs w:val="28"/>
        </w:rPr>
      </w:pPr>
      <w:r w:rsidRPr="00744858">
        <w:rPr>
          <w:rFonts w:ascii="Times New Roman" w:hAnsi="Times New Roman" w:cs="Times New Roman"/>
          <w:b/>
          <w:bCs/>
          <w:color w:val="000000"/>
          <w:sz w:val="28"/>
          <w:szCs w:val="28"/>
        </w:rPr>
        <w:t>Table:</w:t>
      </w:r>
      <w:r w:rsidR="00D41649" w:rsidRPr="00744858">
        <w:rPr>
          <w:rFonts w:ascii="Times New Roman" w:hAnsi="Times New Roman" w:cs="Times New Roman"/>
          <w:b/>
          <w:bCs/>
          <w:color w:val="000000"/>
          <w:sz w:val="28"/>
          <w:szCs w:val="28"/>
        </w:rPr>
        <w:t xml:space="preserve"> 7</w:t>
      </w:r>
    </w:p>
    <w:p w14:paraId="075AD4B2" w14:textId="77777777" w:rsidR="00D41649" w:rsidRPr="00744858" w:rsidRDefault="00D41649" w:rsidP="00D41649">
      <w:pPr>
        <w:tabs>
          <w:tab w:val="left" w:pos="5970"/>
        </w:tabs>
        <w:jc w:val="center"/>
        <w:rPr>
          <w:rFonts w:ascii="Times New Roman" w:hAnsi="Times New Roman" w:cs="Times New Roman"/>
          <w:b/>
          <w:bCs/>
          <w:color w:val="000000"/>
          <w:sz w:val="28"/>
          <w:szCs w:val="28"/>
        </w:rPr>
      </w:pPr>
    </w:p>
    <w:p w14:paraId="429E7260" w14:textId="77777777" w:rsidR="00D41649" w:rsidRPr="00744858" w:rsidRDefault="00EC147A" w:rsidP="00D41649">
      <w:pPr>
        <w:tabs>
          <w:tab w:val="left" w:pos="5970"/>
        </w:tabs>
        <w:jc w:val="center"/>
        <w:rPr>
          <w:rFonts w:ascii="Times New Roman" w:hAnsi="Times New Roman" w:cs="Times New Roman"/>
          <w:b/>
          <w:bCs/>
          <w:color w:val="000000"/>
          <w:sz w:val="28"/>
          <w:szCs w:val="28"/>
        </w:rPr>
      </w:pPr>
      <w:r w:rsidRPr="00744858">
        <w:rPr>
          <w:rFonts w:ascii="Times New Roman" w:hAnsi="Times New Roman" w:cs="Times New Roman"/>
          <w:b/>
          <w:bCs/>
          <w:color w:val="000000"/>
          <w:sz w:val="28"/>
          <w:szCs w:val="28"/>
        </w:rPr>
        <w:t>Food Frequency consu</w:t>
      </w:r>
      <w:r w:rsidR="00D41649" w:rsidRPr="00744858">
        <w:rPr>
          <w:rFonts w:ascii="Times New Roman" w:hAnsi="Times New Roman" w:cs="Times New Roman"/>
          <w:b/>
          <w:bCs/>
          <w:color w:val="000000"/>
          <w:sz w:val="28"/>
          <w:szCs w:val="28"/>
        </w:rPr>
        <w:t>mption of Post- menopausal women</w:t>
      </w:r>
    </w:p>
    <w:tbl>
      <w:tblPr>
        <w:tblStyle w:val="TableGrid"/>
        <w:tblpPr w:leftFromText="180" w:rightFromText="180" w:vertAnchor="page" w:horzAnchor="margin" w:tblpXSpec="right" w:tblpY="13631"/>
        <w:tblW w:w="8728" w:type="dxa"/>
        <w:tblLayout w:type="fixed"/>
        <w:tblLook w:val="04A0" w:firstRow="1" w:lastRow="0" w:firstColumn="1" w:lastColumn="0" w:noHBand="0" w:noVBand="1"/>
      </w:tblPr>
      <w:tblGrid>
        <w:gridCol w:w="844"/>
        <w:gridCol w:w="851"/>
        <w:gridCol w:w="485"/>
        <w:gridCol w:w="763"/>
        <w:gridCol w:w="851"/>
        <w:gridCol w:w="1134"/>
        <w:gridCol w:w="992"/>
        <w:gridCol w:w="1134"/>
        <w:gridCol w:w="992"/>
        <w:gridCol w:w="682"/>
      </w:tblGrid>
      <w:tr w:rsidR="00D41649" w:rsidRPr="00744858" w14:paraId="0BC83A8A" w14:textId="77777777" w:rsidTr="00D41649">
        <w:trPr>
          <w:trHeight w:val="510"/>
        </w:trPr>
        <w:tc>
          <w:tcPr>
            <w:tcW w:w="2180" w:type="dxa"/>
            <w:gridSpan w:val="3"/>
          </w:tcPr>
          <w:p w14:paraId="5396B22D" w14:textId="77777777" w:rsidR="00D41649" w:rsidRPr="00744858" w:rsidRDefault="00D41649" w:rsidP="00D41649">
            <w:pPr>
              <w:tabs>
                <w:tab w:val="left" w:pos="5970"/>
              </w:tabs>
              <w:spacing w:after="0"/>
              <w:jc w:val="center"/>
              <w:rPr>
                <w:rFonts w:ascii="Times New Roman" w:hAnsi="Times New Roman" w:cs="Times New Roman"/>
                <w:color w:val="000000"/>
                <w:szCs w:val="22"/>
              </w:rPr>
            </w:pPr>
            <w:bookmarkStart w:id="0" w:name="OLE_LINK1"/>
          </w:p>
        </w:tc>
        <w:tc>
          <w:tcPr>
            <w:tcW w:w="763" w:type="dxa"/>
          </w:tcPr>
          <w:p w14:paraId="573E585D" w14:textId="77777777" w:rsidR="00D41649" w:rsidRPr="00744858" w:rsidRDefault="00D41649" w:rsidP="00D41649">
            <w:pPr>
              <w:tabs>
                <w:tab w:val="left" w:pos="5970"/>
              </w:tabs>
              <w:spacing w:after="0"/>
              <w:jc w:val="center"/>
              <w:rPr>
                <w:rFonts w:ascii="Times New Roman" w:hAnsi="Times New Roman" w:cs="Times New Roman"/>
                <w:color w:val="000000"/>
                <w:szCs w:val="22"/>
              </w:rPr>
            </w:pPr>
          </w:p>
          <w:p w14:paraId="0DD0D6D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Daily</w:t>
            </w:r>
          </w:p>
        </w:tc>
        <w:tc>
          <w:tcPr>
            <w:tcW w:w="851" w:type="dxa"/>
          </w:tcPr>
          <w:p w14:paraId="1FCE6433" w14:textId="77777777" w:rsidR="00D41649" w:rsidRPr="00744858" w:rsidRDefault="00D41649" w:rsidP="00D41649">
            <w:pPr>
              <w:tabs>
                <w:tab w:val="left" w:pos="5970"/>
              </w:tabs>
              <w:spacing w:after="0"/>
              <w:jc w:val="center"/>
              <w:rPr>
                <w:rFonts w:ascii="Times New Roman" w:hAnsi="Times New Roman" w:cs="Times New Roman"/>
                <w:color w:val="000000"/>
                <w:szCs w:val="22"/>
              </w:rPr>
            </w:pPr>
          </w:p>
          <w:p w14:paraId="4BE6C28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Weekly</w:t>
            </w:r>
          </w:p>
        </w:tc>
        <w:tc>
          <w:tcPr>
            <w:tcW w:w="1134" w:type="dxa"/>
          </w:tcPr>
          <w:p w14:paraId="6EC2AD1B" w14:textId="77777777" w:rsidR="00D41649" w:rsidRPr="00744858" w:rsidRDefault="00D41649" w:rsidP="00D41649">
            <w:pPr>
              <w:tabs>
                <w:tab w:val="left" w:pos="5970"/>
              </w:tabs>
              <w:spacing w:after="0"/>
              <w:jc w:val="center"/>
              <w:rPr>
                <w:rFonts w:ascii="Times New Roman" w:hAnsi="Times New Roman" w:cs="Times New Roman"/>
                <w:color w:val="000000"/>
                <w:szCs w:val="22"/>
              </w:rPr>
            </w:pPr>
          </w:p>
          <w:p w14:paraId="3D77D7C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Fortnightly</w:t>
            </w:r>
          </w:p>
        </w:tc>
        <w:tc>
          <w:tcPr>
            <w:tcW w:w="992" w:type="dxa"/>
          </w:tcPr>
          <w:p w14:paraId="399CACCE" w14:textId="77777777" w:rsidR="00D41649" w:rsidRPr="00744858" w:rsidRDefault="00D41649" w:rsidP="00D41649">
            <w:pPr>
              <w:tabs>
                <w:tab w:val="left" w:pos="5970"/>
              </w:tabs>
              <w:spacing w:after="0"/>
              <w:jc w:val="center"/>
              <w:rPr>
                <w:rFonts w:ascii="Times New Roman" w:hAnsi="Times New Roman" w:cs="Times New Roman"/>
                <w:color w:val="000000"/>
                <w:szCs w:val="22"/>
              </w:rPr>
            </w:pPr>
          </w:p>
          <w:p w14:paraId="4A9E1C5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Monthly</w:t>
            </w:r>
          </w:p>
        </w:tc>
        <w:tc>
          <w:tcPr>
            <w:tcW w:w="1134" w:type="dxa"/>
          </w:tcPr>
          <w:p w14:paraId="2EB16C8D" w14:textId="77777777" w:rsidR="00D41649" w:rsidRPr="00744858" w:rsidRDefault="00D41649" w:rsidP="00D41649">
            <w:pPr>
              <w:tabs>
                <w:tab w:val="left" w:pos="5970"/>
              </w:tabs>
              <w:spacing w:after="0"/>
              <w:jc w:val="center"/>
              <w:rPr>
                <w:rFonts w:ascii="Times New Roman" w:hAnsi="Times New Roman" w:cs="Times New Roman"/>
                <w:color w:val="000000"/>
                <w:szCs w:val="22"/>
              </w:rPr>
            </w:pPr>
          </w:p>
          <w:p w14:paraId="679E333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Seasonally</w:t>
            </w:r>
          </w:p>
        </w:tc>
        <w:tc>
          <w:tcPr>
            <w:tcW w:w="992" w:type="dxa"/>
          </w:tcPr>
          <w:p w14:paraId="3B209915" w14:textId="77777777" w:rsidR="00D41649" w:rsidRPr="00744858" w:rsidRDefault="00D41649" w:rsidP="00D41649">
            <w:pPr>
              <w:tabs>
                <w:tab w:val="left" w:pos="5970"/>
              </w:tabs>
              <w:spacing w:after="0"/>
              <w:jc w:val="center"/>
              <w:rPr>
                <w:rFonts w:ascii="Times New Roman" w:hAnsi="Times New Roman" w:cs="Times New Roman"/>
                <w:color w:val="000000"/>
                <w:szCs w:val="22"/>
              </w:rPr>
            </w:pPr>
          </w:p>
          <w:p w14:paraId="6C9D800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Occasionally</w:t>
            </w:r>
          </w:p>
        </w:tc>
        <w:tc>
          <w:tcPr>
            <w:tcW w:w="682" w:type="dxa"/>
          </w:tcPr>
          <w:p w14:paraId="7144D492" w14:textId="77777777" w:rsidR="00D41649" w:rsidRPr="00744858" w:rsidRDefault="00D41649" w:rsidP="00D41649">
            <w:pPr>
              <w:tabs>
                <w:tab w:val="left" w:pos="5970"/>
              </w:tabs>
              <w:spacing w:after="0"/>
              <w:jc w:val="center"/>
              <w:rPr>
                <w:rFonts w:ascii="Times New Roman" w:hAnsi="Times New Roman" w:cs="Times New Roman"/>
                <w:color w:val="000000"/>
                <w:szCs w:val="22"/>
              </w:rPr>
            </w:pPr>
          </w:p>
          <w:p w14:paraId="789BCB0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Never</w:t>
            </w:r>
          </w:p>
        </w:tc>
      </w:tr>
      <w:tr w:rsidR="00D41649" w:rsidRPr="00744858" w14:paraId="58EC6A1A" w14:textId="77777777" w:rsidTr="00D41649">
        <w:trPr>
          <w:trHeight w:val="182"/>
        </w:trPr>
        <w:tc>
          <w:tcPr>
            <w:tcW w:w="844" w:type="dxa"/>
            <w:vMerge w:val="restart"/>
            <w:hideMark/>
          </w:tcPr>
          <w:p w14:paraId="1B7A6AC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425EC89B"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4942AF4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Wheat</w:t>
            </w:r>
          </w:p>
        </w:tc>
        <w:tc>
          <w:tcPr>
            <w:tcW w:w="851" w:type="dxa"/>
            <w:vMerge w:val="restart"/>
            <w:hideMark/>
          </w:tcPr>
          <w:p w14:paraId="1E4A65B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hideMark/>
          </w:tcPr>
          <w:p w14:paraId="272D2F8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 xml:space="preserve">  n</w:t>
            </w:r>
          </w:p>
        </w:tc>
        <w:tc>
          <w:tcPr>
            <w:tcW w:w="763" w:type="dxa"/>
            <w:noWrap/>
            <w:hideMark/>
          </w:tcPr>
          <w:p w14:paraId="0B84B57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146</w:t>
            </w:r>
          </w:p>
        </w:tc>
        <w:tc>
          <w:tcPr>
            <w:tcW w:w="851" w:type="dxa"/>
            <w:noWrap/>
            <w:hideMark/>
          </w:tcPr>
          <w:p w14:paraId="7D32804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w:t>
            </w:r>
          </w:p>
        </w:tc>
        <w:tc>
          <w:tcPr>
            <w:tcW w:w="1134" w:type="dxa"/>
            <w:noWrap/>
          </w:tcPr>
          <w:p w14:paraId="156F184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2032D8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2EF6E77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511B96E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hideMark/>
          </w:tcPr>
          <w:p w14:paraId="2A7801D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0AD979CA" w14:textId="77777777" w:rsidTr="00D41649">
        <w:trPr>
          <w:trHeight w:val="336"/>
        </w:trPr>
        <w:tc>
          <w:tcPr>
            <w:tcW w:w="844" w:type="dxa"/>
            <w:vMerge/>
            <w:hideMark/>
          </w:tcPr>
          <w:p w14:paraId="00AF5A17"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hideMark/>
          </w:tcPr>
          <w:p w14:paraId="621FD46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hideMark/>
          </w:tcPr>
          <w:p w14:paraId="7A239DF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hideMark/>
          </w:tcPr>
          <w:p w14:paraId="4371489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97.3</w:t>
            </w:r>
          </w:p>
        </w:tc>
        <w:tc>
          <w:tcPr>
            <w:tcW w:w="851" w:type="dxa"/>
            <w:noWrap/>
            <w:hideMark/>
          </w:tcPr>
          <w:p w14:paraId="6BFB3DA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2.7</w:t>
            </w:r>
          </w:p>
        </w:tc>
        <w:tc>
          <w:tcPr>
            <w:tcW w:w="1134" w:type="dxa"/>
            <w:noWrap/>
          </w:tcPr>
          <w:p w14:paraId="2078CCE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55591AA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56611C2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6815AE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hideMark/>
          </w:tcPr>
          <w:p w14:paraId="0B8866B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4AAA8B94" w14:textId="77777777" w:rsidTr="00D41649">
        <w:trPr>
          <w:trHeight w:val="148"/>
        </w:trPr>
        <w:tc>
          <w:tcPr>
            <w:tcW w:w="844" w:type="dxa"/>
            <w:vMerge/>
            <w:hideMark/>
          </w:tcPr>
          <w:p w14:paraId="5421DEC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val="restart"/>
            <w:hideMark/>
          </w:tcPr>
          <w:p w14:paraId="326D1C97"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hideMark/>
          </w:tcPr>
          <w:p w14:paraId="1EEE969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 xml:space="preserve">  n</w:t>
            </w:r>
          </w:p>
        </w:tc>
        <w:tc>
          <w:tcPr>
            <w:tcW w:w="763" w:type="dxa"/>
            <w:noWrap/>
            <w:hideMark/>
          </w:tcPr>
          <w:p w14:paraId="4213C82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145</w:t>
            </w:r>
          </w:p>
        </w:tc>
        <w:tc>
          <w:tcPr>
            <w:tcW w:w="851" w:type="dxa"/>
            <w:noWrap/>
            <w:hideMark/>
          </w:tcPr>
          <w:p w14:paraId="0BF1EA2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w:t>
            </w:r>
          </w:p>
        </w:tc>
        <w:tc>
          <w:tcPr>
            <w:tcW w:w="1134" w:type="dxa"/>
            <w:noWrap/>
          </w:tcPr>
          <w:p w14:paraId="5AB0317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346723A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73D0CEE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2C9E8E6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hideMark/>
          </w:tcPr>
          <w:p w14:paraId="59CA8DB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744EA320" w14:textId="77777777" w:rsidTr="00D41649">
        <w:trPr>
          <w:trHeight w:val="181"/>
        </w:trPr>
        <w:tc>
          <w:tcPr>
            <w:tcW w:w="844" w:type="dxa"/>
            <w:vMerge/>
            <w:hideMark/>
          </w:tcPr>
          <w:p w14:paraId="0BB9832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hideMark/>
          </w:tcPr>
          <w:p w14:paraId="66E97FE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hideMark/>
          </w:tcPr>
          <w:p w14:paraId="26DDA49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hideMark/>
          </w:tcPr>
          <w:p w14:paraId="20008B4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96.7</w:t>
            </w:r>
          </w:p>
        </w:tc>
        <w:tc>
          <w:tcPr>
            <w:tcW w:w="851" w:type="dxa"/>
            <w:noWrap/>
            <w:hideMark/>
          </w:tcPr>
          <w:p w14:paraId="4FECDD4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w:t>
            </w:r>
          </w:p>
        </w:tc>
        <w:tc>
          <w:tcPr>
            <w:tcW w:w="1134" w:type="dxa"/>
            <w:noWrap/>
          </w:tcPr>
          <w:p w14:paraId="4CF160C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31B964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3460FAA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077CE93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hideMark/>
          </w:tcPr>
          <w:p w14:paraId="5E0B587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373C179C" w14:textId="77777777" w:rsidTr="00D41649">
        <w:trPr>
          <w:trHeight w:val="77"/>
        </w:trPr>
        <w:tc>
          <w:tcPr>
            <w:tcW w:w="844" w:type="dxa"/>
            <w:vMerge w:val="restart"/>
            <w:hideMark/>
          </w:tcPr>
          <w:p w14:paraId="07D4FC2A"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10DA7C5A"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28E138C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Rice</w:t>
            </w:r>
          </w:p>
        </w:tc>
        <w:tc>
          <w:tcPr>
            <w:tcW w:w="851" w:type="dxa"/>
            <w:vMerge w:val="restart"/>
            <w:hideMark/>
          </w:tcPr>
          <w:p w14:paraId="634CDB7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hideMark/>
          </w:tcPr>
          <w:p w14:paraId="168CAA5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hideMark/>
          </w:tcPr>
          <w:p w14:paraId="2D6FAF5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144</w:t>
            </w:r>
          </w:p>
        </w:tc>
        <w:tc>
          <w:tcPr>
            <w:tcW w:w="851" w:type="dxa"/>
            <w:noWrap/>
            <w:hideMark/>
          </w:tcPr>
          <w:p w14:paraId="30A6470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w:t>
            </w:r>
          </w:p>
        </w:tc>
        <w:tc>
          <w:tcPr>
            <w:tcW w:w="1134" w:type="dxa"/>
            <w:noWrap/>
          </w:tcPr>
          <w:p w14:paraId="75FF36F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5AEBE19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263A4B7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256E573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hideMark/>
          </w:tcPr>
          <w:p w14:paraId="1513E4C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48FEE0AD" w14:textId="77777777" w:rsidTr="00D41649">
        <w:trPr>
          <w:trHeight w:val="176"/>
        </w:trPr>
        <w:tc>
          <w:tcPr>
            <w:tcW w:w="844" w:type="dxa"/>
            <w:vMerge/>
            <w:hideMark/>
          </w:tcPr>
          <w:p w14:paraId="17627E70"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hideMark/>
          </w:tcPr>
          <w:p w14:paraId="38993C1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hideMark/>
          </w:tcPr>
          <w:p w14:paraId="69A3416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hideMark/>
          </w:tcPr>
          <w:p w14:paraId="371100B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96.0</w:t>
            </w:r>
          </w:p>
        </w:tc>
        <w:tc>
          <w:tcPr>
            <w:tcW w:w="851" w:type="dxa"/>
            <w:noWrap/>
            <w:hideMark/>
          </w:tcPr>
          <w:p w14:paraId="2254F60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4.0</w:t>
            </w:r>
          </w:p>
        </w:tc>
        <w:tc>
          <w:tcPr>
            <w:tcW w:w="1134" w:type="dxa"/>
            <w:noWrap/>
          </w:tcPr>
          <w:p w14:paraId="306E141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0A05E27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1ECDD1D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58F7DA1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hideMark/>
          </w:tcPr>
          <w:p w14:paraId="37761B3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02987FCD" w14:textId="77777777" w:rsidTr="00D41649">
        <w:trPr>
          <w:trHeight w:val="77"/>
        </w:trPr>
        <w:tc>
          <w:tcPr>
            <w:tcW w:w="844" w:type="dxa"/>
            <w:vMerge/>
            <w:hideMark/>
          </w:tcPr>
          <w:p w14:paraId="74FE2290"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val="restart"/>
            <w:hideMark/>
          </w:tcPr>
          <w:p w14:paraId="5480E6B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hideMark/>
          </w:tcPr>
          <w:p w14:paraId="70201D2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hideMark/>
          </w:tcPr>
          <w:p w14:paraId="1B0B21C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142</w:t>
            </w:r>
          </w:p>
        </w:tc>
        <w:tc>
          <w:tcPr>
            <w:tcW w:w="851" w:type="dxa"/>
            <w:noWrap/>
            <w:hideMark/>
          </w:tcPr>
          <w:p w14:paraId="151AD92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w:t>
            </w:r>
          </w:p>
        </w:tc>
        <w:tc>
          <w:tcPr>
            <w:tcW w:w="1134" w:type="dxa"/>
            <w:noWrap/>
          </w:tcPr>
          <w:p w14:paraId="4208B60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33C321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175A666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0216A92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hideMark/>
          </w:tcPr>
          <w:p w14:paraId="3A62FD3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4A1C95E0" w14:textId="77777777" w:rsidTr="00D41649">
        <w:trPr>
          <w:trHeight w:val="255"/>
        </w:trPr>
        <w:tc>
          <w:tcPr>
            <w:tcW w:w="844" w:type="dxa"/>
            <w:vMerge/>
            <w:hideMark/>
          </w:tcPr>
          <w:p w14:paraId="2F6B7FAA"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hideMark/>
          </w:tcPr>
          <w:p w14:paraId="4A0D6C5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hideMark/>
          </w:tcPr>
          <w:p w14:paraId="0001E5F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hideMark/>
          </w:tcPr>
          <w:p w14:paraId="63E06D4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94.7</w:t>
            </w:r>
          </w:p>
        </w:tc>
        <w:tc>
          <w:tcPr>
            <w:tcW w:w="851" w:type="dxa"/>
            <w:noWrap/>
            <w:hideMark/>
          </w:tcPr>
          <w:p w14:paraId="33CD253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5.3</w:t>
            </w:r>
          </w:p>
        </w:tc>
        <w:tc>
          <w:tcPr>
            <w:tcW w:w="1134" w:type="dxa"/>
            <w:noWrap/>
          </w:tcPr>
          <w:p w14:paraId="601AAB2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7A255CD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0666DA1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32C8F96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hideMark/>
          </w:tcPr>
          <w:p w14:paraId="63157B0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6F8ED538" w14:textId="77777777" w:rsidTr="00D41649">
        <w:trPr>
          <w:trHeight w:val="77"/>
        </w:trPr>
        <w:tc>
          <w:tcPr>
            <w:tcW w:w="844" w:type="dxa"/>
            <w:vMerge w:val="restart"/>
            <w:hideMark/>
          </w:tcPr>
          <w:p w14:paraId="45AE9B46"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5687B1A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Ragi</w:t>
            </w:r>
          </w:p>
        </w:tc>
        <w:tc>
          <w:tcPr>
            <w:tcW w:w="851" w:type="dxa"/>
            <w:vMerge w:val="restart"/>
            <w:hideMark/>
          </w:tcPr>
          <w:p w14:paraId="2EB7631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hideMark/>
          </w:tcPr>
          <w:p w14:paraId="4C60E96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hideMark/>
          </w:tcPr>
          <w:p w14:paraId="3CE801C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w:t>
            </w:r>
          </w:p>
        </w:tc>
        <w:tc>
          <w:tcPr>
            <w:tcW w:w="851" w:type="dxa"/>
            <w:noWrap/>
            <w:hideMark/>
          </w:tcPr>
          <w:p w14:paraId="2B98B01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w:t>
            </w:r>
          </w:p>
        </w:tc>
        <w:tc>
          <w:tcPr>
            <w:tcW w:w="1134" w:type="dxa"/>
            <w:noWrap/>
            <w:hideMark/>
          </w:tcPr>
          <w:p w14:paraId="1BA948A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hideMark/>
          </w:tcPr>
          <w:p w14:paraId="48556C7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w:t>
            </w:r>
          </w:p>
        </w:tc>
        <w:tc>
          <w:tcPr>
            <w:tcW w:w="1134" w:type="dxa"/>
            <w:noWrap/>
            <w:hideMark/>
          </w:tcPr>
          <w:p w14:paraId="102EC86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32</w:t>
            </w:r>
          </w:p>
        </w:tc>
        <w:tc>
          <w:tcPr>
            <w:tcW w:w="992" w:type="dxa"/>
            <w:noWrap/>
            <w:hideMark/>
          </w:tcPr>
          <w:p w14:paraId="6DC9FF1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36</w:t>
            </w:r>
          </w:p>
        </w:tc>
        <w:tc>
          <w:tcPr>
            <w:tcW w:w="682" w:type="dxa"/>
            <w:noWrap/>
            <w:hideMark/>
          </w:tcPr>
          <w:p w14:paraId="794BE4A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78</w:t>
            </w:r>
          </w:p>
        </w:tc>
      </w:tr>
      <w:tr w:rsidR="00D41649" w:rsidRPr="00744858" w14:paraId="52E76A0D" w14:textId="77777777" w:rsidTr="00D41649">
        <w:trPr>
          <w:trHeight w:val="235"/>
        </w:trPr>
        <w:tc>
          <w:tcPr>
            <w:tcW w:w="844" w:type="dxa"/>
            <w:vMerge/>
            <w:hideMark/>
          </w:tcPr>
          <w:p w14:paraId="5596B25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hideMark/>
          </w:tcPr>
          <w:p w14:paraId="11457EB7"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hideMark/>
          </w:tcPr>
          <w:p w14:paraId="321AFFA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hideMark/>
          </w:tcPr>
          <w:p w14:paraId="50CEAD5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0.7</w:t>
            </w:r>
          </w:p>
        </w:tc>
        <w:tc>
          <w:tcPr>
            <w:tcW w:w="851" w:type="dxa"/>
            <w:noWrap/>
            <w:hideMark/>
          </w:tcPr>
          <w:p w14:paraId="23DBDBB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1134" w:type="dxa"/>
            <w:noWrap/>
            <w:hideMark/>
          </w:tcPr>
          <w:p w14:paraId="448996E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0.0</w:t>
            </w:r>
          </w:p>
        </w:tc>
        <w:tc>
          <w:tcPr>
            <w:tcW w:w="992" w:type="dxa"/>
            <w:noWrap/>
            <w:hideMark/>
          </w:tcPr>
          <w:p w14:paraId="6D702E4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0.7</w:t>
            </w:r>
          </w:p>
        </w:tc>
        <w:tc>
          <w:tcPr>
            <w:tcW w:w="1134" w:type="dxa"/>
            <w:noWrap/>
            <w:hideMark/>
          </w:tcPr>
          <w:p w14:paraId="03AC69B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21.3</w:t>
            </w:r>
          </w:p>
        </w:tc>
        <w:tc>
          <w:tcPr>
            <w:tcW w:w="992" w:type="dxa"/>
            <w:noWrap/>
            <w:hideMark/>
          </w:tcPr>
          <w:p w14:paraId="0861023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24.0</w:t>
            </w:r>
          </w:p>
        </w:tc>
        <w:tc>
          <w:tcPr>
            <w:tcW w:w="682" w:type="dxa"/>
            <w:noWrap/>
            <w:hideMark/>
          </w:tcPr>
          <w:p w14:paraId="0C9F360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52.0</w:t>
            </w:r>
          </w:p>
        </w:tc>
      </w:tr>
      <w:tr w:rsidR="00D41649" w:rsidRPr="00744858" w14:paraId="5DDAA1F0" w14:textId="77777777" w:rsidTr="00D41649">
        <w:trPr>
          <w:trHeight w:val="77"/>
        </w:trPr>
        <w:tc>
          <w:tcPr>
            <w:tcW w:w="844" w:type="dxa"/>
            <w:vMerge/>
            <w:hideMark/>
          </w:tcPr>
          <w:p w14:paraId="12DC5C94"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val="restart"/>
            <w:hideMark/>
          </w:tcPr>
          <w:p w14:paraId="2AD843C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hideMark/>
          </w:tcPr>
          <w:p w14:paraId="45ADE57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hideMark/>
          </w:tcPr>
          <w:p w14:paraId="3B49DA5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hideMark/>
          </w:tcPr>
          <w:p w14:paraId="1B49B44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w:t>
            </w:r>
          </w:p>
        </w:tc>
        <w:tc>
          <w:tcPr>
            <w:tcW w:w="1134" w:type="dxa"/>
            <w:noWrap/>
            <w:hideMark/>
          </w:tcPr>
          <w:p w14:paraId="75954FD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w:t>
            </w:r>
          </w:p>
        </w:tc>
        <w:tc>
          <w:tcPr>
            <w:tcW w:w="992" w:type="dxa"/>
            <w:noWrap/>
            <w:hideMark/>
          </w:tcPr>
          <w:p w14:paraId="7C24113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w:t>
            </w:r>
          </w:p>
        </w:tc>
        <w:tc>
          <w:tcPr>
            <w:tcW w:w="1134" w:type="dxa"/>
            <w:noWrap/>
            <w:hideMark/>
          </w:tcPr>
          <w:p w14:paraId="0EB45FD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29</w:t>
            </w:r>
          </w:p>
        </w:tc>
        <w:tc>
          <w:tcPr>
            <w:tcW w:w="992" w:type="dxa"/>
            <w:noWrap/>
            <w:hideMark/>
          </w:tcPr>
          <w:p w14:paraId="38CD894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30</w:t>
            </w:r>
          </w:p>
        </w:tc>
        <w:tc>
          <w:tcPr>
            <w:tcW w:w="682" w:type="dxa"/>
            <w:noWrap/>
            <w:hideMark/>
          </w:tcPr>
          <w:p w14:paraId="40176DC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78</w:t>
            </w:r>
          </w:p>
        </w:tc>
      </w:tr>
      <w:tr w:rsidR="00D41649" w:rsidRPr="00744858" w14:paraId="0ACC1689" w14:textId="77777777" w:rsidTr="00D41649">
        <w:trPr>
          <w:trHeight w:val="165"/>
        </w:trPr>
        <w:tc>
          <w:tcPr>
            <w:tcW w:w="844" w:type="dxa"/>
            <w:vMerge/>
            <w:hideMark/>
          </w:tcPr>
          <w:p w14:paraId="278354B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Merge/>
            <w:hideMark/>
          </w:tcPr>
          <w:p w14:paraId="745508B4"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hideMark/>
          </w:tcPr>
          <w:p w14:paraId="7D3BCBA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hideMark/>
          </w:tcPr>
          <w:p w14:paraId="7A001BE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hideMark/>
          </w:tcPr>
          <w:p w14:paraId="713C731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w:t>
            </w:r>
          </w:p>
        </w:tc>
        <w:tc>
          <w:tcPr>
            <w:tcW w:w="1134" w:type="dxa"/>
            <w:noWrap/>
            <w:hideMark/>
          </w:tcPr>
          <w:p w14:paraId="37174BE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2.7</w:t>
            </w:r>
          </w:p>
        </w:tc>
        <w:tc>
          <w:tcPr>
            <w:tcW w:w="992" w:type="dxa"/>
            <w:noWrap/>
            <w:hideMark/>
          </w:tcPr>
          <w:p w14:paraId="13C70EE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5.3</w:t>
            </w:r>
          </w:p>
        </w:tc>
        <w:tc>
          <w:tcPr>
            <w:tcW w:w="1134" w:type="dxa"/>
            <w:noWrap/>
            <w:hideMark/>
          </w:tcPr>
          <w:p w14:paraId="569423D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19.3</w:t>
            </w:r>
          </w:p>
        </w:tc>
        <w:tc>
          <w:tcPr>
            <w:tcW w:w="992" w:type="dxa"/>
            <w:noWrap/>
            <w:hideMark/>
          </w:tcPr>
          <w:p w14:paraId="0C2FBA1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20.0</w:t>
            </w:r>
          </w:p>
        </w:tc>
        <w:tc>
          <w:tcPr>
            <w:tcW w:w="682" w:type="dxa"/>
            <w:noWrap/>
            <w:hideMark/>
          </w:tcPr>
          <w:p w14:paraId="1E03973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52.0</w:t>
            </w:r>
          </w:p>
        </w:tc>
      </w:tr>
      <w:tr w:rsidR="00D41649" w:rsidRPr="00744858" w14:paraId="0F5C7759" w14:textId="77777777" w:rsidTr="00D41649">
        <w:trPr>
          <w:trHeight w:val="172"/>
        </w:trPr>
        <w:tc>
          <w:tcPr>
            <w:tcW w:w="844" w:type="dxa"/>
            <w:vMerge w:val="restart"/>
          </w:tcPr>
          <w:p w14:paraId="5289302E"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740A2734"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Rajma</w:t>
            </w:r>
          </w:p>
        </w:tc>
        <w:tc>
          <w:tcPr>
            <w:tcW w:w="851" w:type="dxa"/>
          </w:tcPr>
          <w:p w14:paraId="448EF59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3B6FA94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tcPr>
          <w:p w14:paraId="45BE987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3BEC98A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27</w:t>
            </w:r>
          </w:p>
        </w:tc>
        <w:tc>
          <w:tcPr>
            <w:tcW w:w="1134" w:type="dxa"/>
            <w:noWrap/>
          </w:tcPr>
          <w:p w14:paraId="7EA8FCB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36</w:t>
            </w:r>
          </w:p>
        </w:tc>
        <w:tc>
          <w:tcPr>
            <w:tcW w:w="992" w:type="dxa"/>
            <w:noWrap/>
          </w:tcPr>
          <w:p w14:paraId="33F394E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42</w:t>
            </w:r>
          </w:p>
        </w:tc>
        <w:tc>
          <w:tcPr>
            <w:tcW w:w="1134" w:type="dxa"/>
            <w:noWrap/>
          </w:tcPr>
          <w:p w14:paraId="22A34F9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E30EAC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21</w:t>
            </w:r>
          </w:p>
        </w:tc>
        <w:tc>
          <w:tcPr>
            <w:tcW w:w="682" w:type="dxa"/>
            <w:noWrap/>
          </w:tcPr>
          <w:p w14:paraId="65ABEAD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24</w:t>
            </w:r>
          </w:p>
        </w:tc>
      </w:tr>
      <w:tr w:rsidR="00D41649" w:rsidRPr="00744858" w14:paraId="06A98429" w14:textId="77777777" w:rsidTr="00D41649">
        <w:trPr>
          <w:trHeight w:val="77"/>
        </w:trPr>
        <w:tc>
          <w:tcPr>
            <w:tcW w:w="844" w:type="dxa"/>
            <w:vMerge/>
          </w:tcPr>
          <w:p w14:paraId="695B4AE0"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tcPr>
          <w:p w14:paraId="6E54606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3602E78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tcPr>
          <w:p w14:paraId="2879AC3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5ED0A95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18.0</w:t>
            </w:r>
          </w:p>
        </w:tc>
        <w:tc>
          <w:tcPr>
            <w:tcW w:w="1134" w:type="dxa"/>
            <w:noWrap/>
          </w:tcPr>
          <w:p w14:paraId="05FCABD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24.0</w:t>
            </w:r>
          </w:p>
        </w:tc>
        <w:tc>
          <w:tcPr>
            <w:tcW w:w="992" w:type="dxa"/>
            <w:noWrap/>
          </w:tcPr>
          <w:p w14:paraId="49595D6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28.0</w:t>
            </w:r>
          </w:p>
        </w:tc>
        <w:tc>
          <w:tcPr>
            <w:tcW w:w="1134" w:type="dxa"/>
            <w:noWrap/>
          </w:tcPr>
          <w:p w14:paraId="046018E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75A7EE0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14.0</w:t>
            </w:r>
          </w:p>
        </w:tc>
        <w:tc>
          <w:tcPr>
            <w:tcW w:w="682" w:type="dxa"/>
            <w:noWrap/>
          </w:tcPr>
          <w:p w14:paraId="4664089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16.0</w:t>
            </w:r>
          </w:p>
        </w:tc>
      </w:tr>
      <w:tr w:rsidR="00D41649" w:rsidRPr="00744858" w14:paraId="01AF8003" w14:textId="77777777" w:rsidTr="00D41649">
        <w:trPr>
          <w:trHeight w:val="70"/>
        </w:trPr>
        <w:tc>
          <w:tcPr>
            <w:tcW w:w="844" w:type="dxa"/>
            <w:vMerge/>
          </w:tcPr>
          <w:p w14:paraId="303FD86F"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tcPr>
          <w:p w14:paraId="1C5EF55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01F7BED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tcPr>
          <w:p w14:paraId="1861E21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7E2BD3A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w:t>
            </w:r>
          </w:p>
        </w:tc>
        <w:tc>
          <w:tcPr>
            <w:tcW w:w="1134" w:type="dxa"/>
            <w:noWrap/>
          </w:tcPr>
          <w:p w14:paraId="726417E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28</w:t>
            </w:r>
          </w:p>
        </w:tc>
        <w:tc>
          <w:tcPr>
            <w:tcW w:w="992" w:type="dxa"/>
            <w:noWrap/>
          </w:tcPr>
          <w:p w14:paraId="04F57ED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42</w:t>
            </w:r>
          </w:p>
        </w:tc>
        <w:tc>
          <w:tcPr>
            <w:tcW w:w="1134" w:type="dxa"/>
            <w:noWrap/>
          </w:tcPr>
          <w:p w14:paraId="590FBF1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4C21DB8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23</w:t>
            </w:r>
          </w:p>
        </w:tc>
        <w:tc>
          <w:tcPr>
            <w:tcW w:w="682" w:type="dxa"/>
            <w:noWrap/>
          </w:tcPr>
          <w:p w14:paraId="49EF702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24</w:t>
            </w:r>
          </w:p>
        </w:tc>
      </w:tr>
      <w:tr w:rsidR="00D41649" w:rsidRPr="00744858" w14:paraId="2608D17A" w14:textId="77777777" w:rsidTr="00D41649">
        <w:trPr>
          <w:trHeight w:val="79"/>
        </w:trPr>
        <w:tc>
          <w:tcPr>
            <w:tcW w:w="844" w:type="dxa"/>
            <w:vMerge/>
          </w:tcPr>
          <w:p w14:paraId="44CEAAC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tcPr>
          <w:p w14:paraId="4779D31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27A4A29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tcPr>
          <w:p w14:paraId="71FEC81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564EBB2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22.0</w:t>
            </w:r>
          </w:p>
        </w:tc>
        <w:tc>
          <w:tcPr>
            <w:tcW w:w="1134" w:type="dxa"/>
            <w:noWrap/>
          </w:tcPr>
          <w:p w14:paraId="256F766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18.7</w:t>
            </w:r>
          </w:p>
        </w:tc>
        <w:tc>
          <w:tcPr>
            <w:tcW w:w="992" w:type="dxa"/>
            <w:noWrap/>
          </w:tcPr>
          <w:p w14:paraId="401E2B1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28.0</w:t>
            </w:r>
          </w:p>
        </w:tc>
        <w:tc>
          <w:tcPr>
            <w:tcW w:w="1134" w:type="dxa"/>
            <w:noWrap/>
          </w:tcPr>
          <w:p w14:paraId="60677A0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7CC2321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15.3</w:t>
            </w:r>
          </w:p>
        </w:tc>
        <w:tc>
          <w:tcPr>
            <w:tcW w:w="682" w:type="dxa"/>
            <w:noWrap/>
          </w:tcPr>
          <w:p w14:paraId="41098A3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16.0</w:t>
            </w:r>
          </w:p>
        </w:tc>
      </w:tr>
      <w:tr w:rsidR="00D41649" w:rsidRPr="00744858" w14:paraId="0BCDE07C" w14:textId="77777777" w:rsidTr="00D41649">
        <w:trPr>
          <w:trHeight w:val="121"/>
        </w:trPr>
        <w:tc>
          <w:tcPr>
            <w:tcW w:w="844" w:type="dxa"/>
            <w:vMerge w:val="restart"/>
          </w:tcPr>
          <w:p w14:paraId="3B58F93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5F5D2F7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Paneer</w:t>
            </w:r>
          </w:p>
        </w:tc>
        <w:tc>
          <w:tcPr>
            <w:tcW w:w="851" w:type="dxa"/>
          </w:tcPr>
          <w:p w14:paraId="14F2871B"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3735C3F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tcPr>
          <w:p w14:paraId="24ACAF0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0FC4866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12</w:t>
            </w:r>
          </w:p>
        </w:tc>
        <w:tc>
          <w:tcPr>
            <w:tcW w:w="1134" w:type="dxa"/>
            <w:noWrap/>
          </w:tcPr>
          <w:p w14:paraId="0163E5F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21</w:t>
            </w:r>
          </w:p>
        </w:tc>
        <w:tc>
          <w:tcPr>
            <w:tcW w:w="992" w:type="dxa"/>
            <w:noWrap/>
          </w:tcPr>
          <w:p w14:paraId="707B284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41</w:t>
            </w:r>
          </w:p>
        </w:tc>
        <w:tc>
          <w:tcPr>
            <w:tcW w:w="1134" w:type="dxa"/>
            <w:noWrap/>
          </w:tcPr>
          <w:p w14:paraId="3FC5E27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258D17F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48</w:t>
            </w:r>
          </w:p>
        </w:tc>
        <w:tc>
          <w:tcPr>
            <w:tcW w:w="682" w:type="dxa"/>
            <w:noWrap/>
          </w:tcPr>
          <w:p w14:paraId="30DC3AF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28</w:t>
            </w:r>
          </w:p>
        </w:tc>
      </w:tr>
      <w:tr w:rsidR="00D41649" w:rsidRPr="00744858" w14:paraId="4BDA9E52" w14:textId="77777777" w:rsidTr="00D41649">
        <w:trPr>
          <w:trHeight w:val="85"/>
        </w:trPr>
        <w:tc>
          <w:tcPr>
            <w:tcW w:w="844" w:type="dxa"/>
            <w:vMerge/>
          </w:tcPr>
          <w:p w14:paraId="7429999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7AF6E816"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6D327BE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tcPr>
          <w:p w14:paraId="44C8BDD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6426AD8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8.0</w:t>
            </w:r>
          </w:p>
        </w:tc>
        <w:tc>
          <w:tcPr>
            <w:tcW w:w="1134" w:type="dxa"/>
            <w:noWrap/>
          </w:tcPr>
          <w:p w14:paraId="3ADAF8A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14.0</w:t>
            </w:r>
          </w:p>
        </w:tc>
        <w:tc>
          <w:tcPr>
            <w:tcW w:w="992" w:type="dxa"/>
            <w:noWrap/>
          </w:tcPr>
          <w:p w14:paraId="7D81900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27.3</w:t>
            </w:r>
          </w:p>
        </w:tc>
        <w:tc>
          <w:tcPr>
            <w:tcW w:w="1134" w:type="dxa"/>
            <w:noWrap/>
          </w:tcPr>
          <w:p w14:paraId="6E80592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4CEA095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32</w:t>
            </w:r>
          </w:p>
        </w:tc>
        <w:tc>
          <w:tcPr>
            <w:tcW w:w="682" w:type="dxa"/>
            <w:noWrap/>
          </w:tcPr>
          <w:p w14:paraId="4975EB8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18.7</w:t>
            </w:r>
          </w:p>
        </w:tc>
      </w:tr>
      <w:tr w:rsidR="00D41649" w:rsidRPr="00744858" w14:paraId="7CB027B1" w14:textId="77777777" w:rsidTr="00D41649">
        <w:trPr>
          <w:trHeight w:val="255"/>
        </w:trPr>
        <w:tc>
          <w:tcPr>
            <w:tcW w:w="844" w:type="dxa"/>
            <w:vMerge/>
          </w:tcPr>
          <w:p w14:paraId="1CF893A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tcPr>
          <w:p w14:paraId="0745E5D6"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1F8EE6A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tcPr>
          <w:p w14:paraId="4832AEE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5B6D2D9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16</w:t>
            </w:r>
          </w:p>
        </w:tc>
        <w:tc>
          <w:tcPr>
            <w:tcW w:w="1134" w:type="dxa"/>
            <w:noWrap/>
          </w:tcPr>
          <w:p w14:paraId="067AA08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24</w:t>
            </w:r>
          </w:p>
        </w:tc>
        <w:tc>
          <w:tcPr>
            <w:tcW w:w="992" w:type="dxa"/>
            <w:noWrap/>
          </w:tcPr>
          <w:p w14:paraId="296CDDA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37</w:t>
            </w:r>
          </w:p>
        </w:tc>
        <w:tc>
          <w:tcPr>
            <w:tcW w:w="1134" w:type="dxa"/>
            <w:noWrap/>
          </w:tcPr>
          <w:p w14:paraId="5080AA4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7312739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42</w:t>
            </w:r>
          </w:p>
        </w:tc>
        <w:tc>
          <w:tcPr>
            <w:tcW w:w="682" w:type="dxa"/>
            <w:noWrap/>
          </w:tcPr>
          <w:p w14:paraId="25E927F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31</w:t>
            </w:r>
          </w:p>
        </w:tc>
      </w:tr>
      <w:tr w:rsidR="00D41649" w:rsidRPr="00744858" w14:paraId="16546E8C" w14:textId="77777777" w:rsidTr="00D41649">
        <w:trPr>
          <w:trHeight w:val="85"/>
        </w:trPr>
        <w:tc>
          <w:tcPr>
            <w:tcW w:w="844" w:type="dxa"/>
            <w:vMerge/>
          </w:tcPr>
          <w:p w14:paraId="0CEFAB2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61851EA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4AF6BF3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tcPr>
          <w:p w14:paraId="7711ADA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7C403E0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10.7</w:t>
            </w:r>
          </w:p>
        </w:tc>
        <w:tc>
          <w:tcPr>
            <w:tcW w:w="1134" w:type="dxa"/>
            <w:noWrap/>
          </w:tcPr>
          <w:p w14:paraId="47997D1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16.0</w:t>
            </w:r>
          </w:p>
        </w:tc>
        <w:tc>
          <w:tcPr>
            <w:tcW w:w="992" w:type="dxa"/>
            <w:noWrap/>
          </w:tcPr>
          <w:p w14:paraId="6661E69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24.7</w:t>
            </w:r>
          </w:p>
        </w:tc>
        <w:tc>
          <w:tcPr>
            <w:tcW w:w="1134" w:type="dxa"/>
            <w:noWrap/>
          </w:tcPr>
          <w:p w14:paraId="54D881B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10F4B57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28.0</w:t>
            </w:r>
          </w:p>
        </w:tc>
        <w:tc>
          <w:tcPr>
            <w:tcW w:w="682" w:type="dxa"/>
            <w:noWrap/>
          </w:tcPr>
          <w:p w14:paraId="16E2D00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20.7</w:t>
            </w:r>
          </w:p>
        </w:tc>
      </w:tr>
      <w:tr w:rsidR="00D41649" w:rsidRPr="00744858" w14:paraId="712296D9" w14:textId="77777777" w:rsidTr="00D41649">
        <w:trPr>
          <w:trHeight w:val="85"/>
        </w:trPr>
        <w:tc>
          <w:tcPr>
            <w:tcW w:w="844" w:type="dxa"/>
            <w:vMerge w:val="restart"/>
          </w:tcPr>
          <w:p w14:paraId="4021B2F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67DACFB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Egg</w:t>
            </w:r>
          </w:p>
        </w:tc>
        <w:tc>
          <w:tcPr>
            <w:tcW w:w="851" w:type="dxa"/>
          </w:tcPr>
          <w:p w14:paraId="505EBB1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5D3BB8D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tcPr>
          <w:p w14:paraId="572E1FD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1F89376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1134" w:type="dxa"/>
            <w:noWrap/>
          </w:tcPr>
          <w:p w14:paraId="6E1E52C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10</w:t>
            </w:r>
          </w:p>
        </w:tc>
        <w:tc>
          <w:tcPr>
            <w:tcW w:w="992" w:type="dxa"/>
            <w:noWrap/>
          </w:tcPr>
          <w:p w14:paraId="1C59EA7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16</w:t>
            </w:r>
          </w:p>
        </w:tc>
        <w:tc>
          <w:tcPr>
            <w:tcW w:w="1134" w:type="dxa"/>
            <w:noWrap/>
          </w:tcPr>
          <w:p w14:paraId="4084B92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3EC0433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w:t>
            </w:r>
          </w:p>
        </w:tc>
        <w:tc>
          <w:tcPr>
            <w:tcW w:w="682" w:type="dxa"/>
            <w:noWrap/>
          </w:tcPr>
          <w:p w14:paraId="70E08A3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91</w:t>
            </w:r>
          </w:p>
        </w:tc>
      </w:tr>
      <w:tr w:rsidR="00D41649" w:rsidRPr="00744858" w14:paraId="1F8C4AE2" w14:textId="77777777" w:rsidTr="00D41649">
        <w:trPr>
          <w:trHeight w:val="109"/>
        </w:trPr>
        <w:tc>
          <w:tcPr>
            <w:tcW w:w="844" w:type="dxa"/>
            <w:vMerge/>
          </w:tcPr>
          <w:p w14:paraId="5701F83E"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019D54A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0BC4E38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w:t>
            </w:r>
          </w:p>
        </w:tc>
        <w:tc>
          <w:tcPr>
            <w:tcW w:w="763" w:type="dxa"/>
            <w:noWrap/>
          </w:tcPr>
          <w:p w14:paraId="1B5A9F7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0.0</w:t>
            </w:r>
          </w:p>
        </w:tc>
        <w:tc>
          <w:tcPr>
            <w:tcW w:w="851" w:type="dxa"/>
            <w:noWrap/>
          </w:tcPr>
          <w:p w14:paraId="7EA49E9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8.7</w:t>
            </w:r>
          </w:p>
        </w:tc>
        <w:tc>
          <w:tcPr>
            <w:tcW w:w="1134" w:type="dxa"/>
            <w:noWrap/>
          </w:tcPr>
          <w:p w14:paraId="0C65D15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6.7</w:t>
            </w:r>
          </w:p>
        </w:tc>
        <w:tc>
          <w:tcPr>
            <w:tcW w:w="992" w:type="dxa"/>
            <w:noWrap/>
          </w:tcPr>
          <w:p w14:paraId="391C4F1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10.7</w:t>
            </w:r>
          </w:p>
        </w:tc>
        <w:tc>
          <w:tcPr>
            <w:tcW w:w="1134" w:type="dxa"/>
            <w:noWrap/>
          </w:tcPr>
          <w:p w14:paraId="0E14164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33A8711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13.3</w:t>
            </w:r>
          </w:p>
        </w:tc>
        <w:tc>
          <w:tcPr>
            <w:tcW w:w="682" w:type="dxa"/>
            <w:noWrap/>
          </w:tcPr>
          <w:p w14:paraId="60079FD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60.7</w:t>
            </w:r>
          </w:p>
        </w:tc>
      </w:tr>
      <w:tr w:rsidR="00D41649" w:rsidRPr="00744858" w14:paraId="3EE4034C" w14:textId="77777777" w:rsidTr="00D41649">
        <w:trPr>
          <w:trHeight w:val="198"/>
        </w:trPr>
        <w:tc>
          <w:tcPr>
            <w:tcW w:w="844" w:type="dxa"/>
            <w:vMerge/>
          </w:tcPr>
          <w:p w14:paraId="64218E06"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765278C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54F0937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n</w:t>
            </w:r>
          </w:p>
        </w:tc>
        <w:tc>
          <w:tcPr>
            <w:tcW w:w="763" w:type="dxa"/>
            <w:noWrap/>
          </w:tcPr>
          <w:p w14:paraId="2C56B53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w:t>
            </w:r>
          </w:p>
        </w:tc>
        <w:tc>
          <w:tcPr>
            <w:tcW w:w="851" w:type="dxa"/>
            <w:noWrap/>
          </w:tcPr>
          <w:p w14:paraId="1572EF8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12</w:t>
            </w:r>
          </w:p>
        </w:tc>
        <w:tc>
          <w:tcPr>
            <w:tcW w:w="1134" w:type="dxa"/>
            <w:noWrap/>
          </w:tcPr>
          <w:p w14:paraId="755BBAC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w:t>
            </w:r>
          </w:p>
        </w:tc>
        <w:tc>
          <w:tcPr>
            <w:tcW w:w="992" w:type="dxa"/>
            <w:noWrap/>
          </w:tcPr>
          <w:p w14:paraId="5B1928A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18</w:t>
            </w:r>
          </w:p>
        </w:tc>
        <w:tc>
          <w:tcPr>
            <w:tcW w:w="1134" w:type="dxa"/>
            <w:noWrap/>
          </w:tcPr>
          <w:p w14:paraId="6F38752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3F2B8F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22</w:t>
            </w:r>
          </w:p>
        </w:tc>
        <w:tc>
          <w:tcPr>
            <w:tcW w:w="682" w:type="dxa"/>
            <w:noWrap/>
          </w:tcPr>
          <w:p w14:paraId="71AE183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82</w:t>
            </w:r>
          </w:p>
        </w:tc>
      </w:tr>
      <w:tr w:rsidR="00D41649" w:rsidRPr="00744858" w14:paraId="3DEAAA9A" w14:textId="77777777" w:rsidTr="00D41649">
        <w:trPr>
          <w:trHeight w:val="257"/>
        </w:trPr>
        <w:tc>
          <w:tcPr>
            <w:tcW w:w="844" w:type="dxa"/>
            <w:vMerge/>
          </w:tcPr>
          <w:p w14:paraId="4C5F444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7DCAAD61"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636A69C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04690E2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851" w:type="dxa"/>
            <w:noWrap/>
          </w:tcPr>
          <w:p w14:paraId="4D4FADC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8.0</w:t>
            </w:r>
          </w:p>
        </w:tc>
        <w:tc>
          <w:tcPr>
            <w:tcW w:w="1134" w:type="dxa"/>
            <w:noWrap/>
          </w:tcPr>
          <w:p w14:paraId="04C98D9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9.3</w:t>
            </w:r>
          </w:p>
        </w:tc>
        <w:tc>
          <w:tcPr>
            <w:tcW w:w="992" w:type="dxa"/>
            <w:noWrap/>
          </w:tcPr>
          <w:p w14:paraId="4348E65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12.0</w:t>
            </w:r>
          </w:p>
        </w:tc>
        <w:tc>
          <w:tcPr>
            <w:tcW w:w="1134" w:type="dxa"/>
            <w:noWrap/>
          </w:tcPr>
          <w:p w14:paraId="5EB887D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83F475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14.7</w:t>
            </w:r>
          </w:p>
        </w:tc>
        <w:tc>
          <w:tcPr>
            <w:tcW w:w="682" w:type="dxa"/>
            <w:noWrap/>
          </w:tcPr>
          <w:p w14:paraId="5EA0124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54.7</w:t>
            </w:r>
          </w:p>
        </w:tc>
      </w:tr>
      <w:tr w:rsidR="00D41649" w:rsidRPr="00744858" w14:paraId="3417BDA1" w14:textId="77777777" w:rsidTr="00D41649">
        <w:trPr>
          <w:trHeight w:val="133"/>
        </w:trPr>
        <w:tc>
          <w:tcPr>
            <w:tcW w:w="844" w:type="dxa"/>
            <w:vMerge w:val="restart"/>
          </w:tcPr>
          <w:p w14:paraId="6E9FAA3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7E52CD4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Flax Seed</w:t>
            </w:r>
          </w:p>
        </w:tc>
        <w:tc>
          <w:tcPr>
            <w:tcW w:w="851" w:type="dxa"/>
          </w:tcPr>
          <w:p w14:paraId="49995AC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1B3C839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7B914F5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109E60E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26F847B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12</w:t>
            </w:r>
          </w:p>
        </w:tc>
        <w:tc>
          <w:tcPr>
            <w:tcW w:w="992" w:type="dxa"/>
            <w:noWrap/>
          </w:tcPr>
          <w:p w14:paraId="1DE45AD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56</w:t>
            </w:r>
          </w:p>
        </w:tc>
        <w:tc>
          <w:tcPr>
            <w:tcW w:w="1134" w:type="dxa"/>
            <w:noWrap/>
          </w:tcPr>
          <w:p w14:paraId="5C7D299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48B176F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50</w:t>
            </w:r>
          </w:p>
        </w:tc>
        <w:tc>
          <w:tcPr>
            <w:tcW w:w="682" w:type="dxa"/>
            <w:noWrap/>
          </w:tcPr>
          <w:p w14:paraId="5B2EF91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32</w:t>
            </w:r>
          </w:p>
        </w:tc>
      </w:tr>
      <w:tr w:rsidR="00D41649" w:rsidRPr="00744858" w14:paraId="740FFE5C" w14:textId="77777777" w:rsidTr="00D41649">
        <w:trPr>
          <w:trHeight w:val="85"/>
        </w:trPr>
        <w:tc>
          <w:tcPr>
            <w:tcW w:w="844" w:type="dxa"/>
            <w:vMerge/>
          </w:tcPr>
          <w:p w14:paraId="0DD29924"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6349B0C6"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1D0F8CB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789570A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1810081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3A134E9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8.0</w:t>
            </w:r>
          </w:p>
        </w:tc>
        <w:tc>
          <w:tcPr>
            <w:tcW w:w="992" w:type="dxa"/>
            <w:noWrap/>
          </w:tcPr>
          <w:p w14:paraId="11BA065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37.3</w:t>
            </w:r>
          </w:p>
        </w:tc>
        <w:tc>
          <w:tcPr>
            <w:tcW w:w="1134" w:type="dxa"/>
            <w:noWrap/>
          </w:tcPr>
          <w:p w14:paraId="28910BA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5F7897F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33.3</w:t>
            </w:r>
          </w:p>
        </w:tc>
        <w:tc>
          <w:tcPr>
            <w:tcW w:w="682" w:type="dxa"/>
            <w:noWrap/>
          </w:tcPr>
          <w:p w14:paraId="306A2B6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21.3</w:t>
            </w:r>
          </w:p>
        </w:tc>
      </w:tr>
      <w:tr w:rsidR="00D41649" w:rsidRPr="00744858" w14:paraId="66926BF5" w14:textId="77777777" w:rsidTr="00D41649">
        <w:trPr>
          <w:trHeight w:val="125"/>
        </w:trPr>
        <w:tc>
          <w:tcPr>
            <w:tcW w:w="844" w:type="dxa"/>
            <w:vMerge/>
          </w:tcPr>
          <w:p w14:paraId="249DF780"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5B2CA88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5B49A09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32A2125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0EA5DBB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w:t>
            </w:r>
          </w:p>
        </w:tc>
        <w:tc>
          <w:tcPr>
            <w:tcW w:w="1134" w:type="dxa"/>
            <w:noWrap/>
          </w:tcPr>
          <w:p w14:paraId="0BEA9BA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12</w:t>
            </w:r>
          </w:p>
        </w:tc>
        <w:tc>
          <w:tcPr>
            <w:tcW w:w="992" w:type="dxa"/>
            <w:noWrap/>
          </w:tcPr>
          <w:p w14:paraId="4261200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50</w:t>
            </w:r>
          </w:p>
        </w:tc>
        <w:tc>
          <w:tcPr>
            <w:tcW w:w="1134" w:type="dxa"/>
            <w:noWrap/>
          </w:tcPr>
          <w:p w14:paraId="2317147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47783A1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56</w:t>
            </w:r>
          </w:p>
        </w:tc>
        <w:tc>
          <w:tcPr>
            <w:tcW w:w="682" w:type="dxa"/>
            <w:noWrap/>
          </w:tcPr>
          <w:p w14:paraId="6A58AA8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31</w:t>
            </w:r>
          </w:p>
        </w:tc>
      </w:tr>
      <w:tr w:rsidR="00D41649" w:rsidRPr="00744858" w14:paraId="21B1C32E" w14:textId="77777777" w:rsidTr="00D41649">
        <w:trPr>
          <w:trHeight w:val="85"/>
        </w:trPr>
        <w:tc>
          <w:tcPr>
            <w:tcW w:w="844" w:type="dxa"/>
            <w:vMerge/>
          </w:tcPr>
          <w:p w14:paraId="1A44865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51E1DC5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60CEECAA"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7D5A27A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06AFE8B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0.7</w:t>
            </w:r>
          </w:p>
        </w:tc>
        <w:tc>
          <w:tcPr>
            <w:tcW w:w="1134" w:type="dxa"/>
            <w:noWrap/>
          </w:tcPr>
          <w:p w14:paraId="258087F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8.0</w:t>
            </w:r>
          </w:p>
        </w:tc>
        <w:tc>
          <w:tcPr>
            <w:tcW w:w="992" w:type="dxa"/>
            <w:noWrap/>
          </w:tcPr>
          <w:p w14:paraId="4EED828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33.3</w:t>
            </w:r>
          </w:p>
        </w:tc>
        <w:tc>
          <w:tcPr>
            <w:tcW w:w="1134" w:type="dxa"/>
            <w:noWrap/>
          </w:tcPr>
          <w:p w14:paraId="08B610F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4BB4F6D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37.3</w:t>
            </w:r>
          </w:p>
        </w:tc>
        <w:tc>
          <w:tcPr>
            <w:tcW w:w="682" w:type="dxa"/>
            <w:noWrap/>
          </w:tcPr>
          <w:p w14:paraId="786DA72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20.7</w:t>
            </w:r>
          </w:p>
        </w:tc>
      </w:tr>
      <w:tr w:rsidR="00D41649" w:rsidRPr="00744858" w14:paraId="7B946F26" w14:textId="77777777" w:rsidTr="00D41649">
        <w:trPr>
          <w:trHeight w:val="85"/>
        </w:trPr>
        <w:tc>
          <w:tcPr>
            <w:tcW w:w="844" w:type="dxa"/>
            <w:vMerge w:val="restart"/>
          </w:tcPr>
          <w:p w14:paraId="3B99910E"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p w14:paraId="0D5E9BA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Milk</w:t>
            </w:r>
          </w:p>
        </w:tc>
        <w:tc>
          <w:tcPr>
            <w:tcW w:w="851" w:type="dxa"/>
          </w:tcPr>
          <w:p w14:paraId="0186402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16578331"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3650A7A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92</w:t>
            </w:r>
          </w:p>
        </w:tc>
        <w:tc>
          <w:tcPr>
            <w:tcW w:w="851" w:type="dxa"/>
            <w:noWrap/>
          </w:tcPr>
          <w:p w14:paraId="4F3D51A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w:t>
            </w:r>
          </w:p>
        </w:tc>
        <w:tc>
          <w:tcPr>
            <w:tcW w:w="1134" w:type="dxa"/>
            <w:noWrap/>
          </w:tcPr>
          <w:p w14:paraId="7E7265D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12</w:t>
            </w:r>
          </w:p>
        </w:tc>
        <w:tc>
          <w:tcPr>
            <w:tcW w:w="992" w:type="dxa"/>
            <w:noWrap/>
          </w:tcPr>
          <w:p w14:paraId="05BA7BD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w:t>
            </w:r>
          </w:p>
        </w:tc>
        <w:tc>
          <w:tcPr>
            <w:tcW w:w="1134" w:type="dxa"/>
            <w:noWrap/>
          </w:tcPr>
          <w:p w14:paraId="5E2ED07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w:t>
            </w:r>
          </w:p>
        </w:tc>
        <w:tc>
          <w:tcPr>
            <w:tcW w:w="992" w:type="dxa"/>
            <w:noWrap/>
          </w:tcPr>
          <w:p w14:paraId="450100E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w:t>
            </w:r>
          </w:p>
        </w:tc>
        <w:tc>
          <w:tcPr>
            <w:tcW w:w="682" w:type="dxa"/>
            <w:noWrap/>
          </w:tcPr>
          <w:p w14:paraId="528CB8A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748B1A11" w14:textId="77777777" w:rsidTr="00D41649">
        <w:trPr>
          <w:trHeight w:val="85"/>
        </w:trPr>
        <w:tc>
          <w:tcPr>
            <w:tcW w:w="844" w:type="dxa"/>
            <w:vMerge/>
          </w:tcPr>
          <w:p w14:paraId="0879038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25887210"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7E8C8F80"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716A0A7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61.3</w:t>
            </w:r>
          </w:p>
        </w:tc>
        <w:tc>
          <w:tcPr>
            <w:tcW w:w="851" w:type="dxa"/>
            <w:noWrap/>
          </w:tcPr>
          <w:p w14:paraId="0C20B03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22.0</w:t>
            </w:r>
          </w:p>
        </w:tc>
        <w:tc>
          <w:tcPr>
            <w:tcW w:w="1134" w:type="dxa"/>
            <w:noWrap/>
          </w:tcPr>
          <w:p w14:paraId="5D158D0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8.0</w:t>
            </w:r>
          </w:p>
        </w:tc>
        <w:tc>
          <w:tcPr>
            <w:tcW w:w="992" w:type="dxa"/>
            <w:noWrap/>
          </w:tcPr>
          <w:p w14:paraId="1ED0AF0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2.7</w:t>
            </w:r>
          </w:p>
        </w:tc>
        <w:tc>
          <w:tcPr>
            <w:tcW w:w="1134" w:type="dxa"/>
            <w:noWrap/>
          </w:tcPr>
          <w:p w14:paraId="46D72C5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4.0</w:t>
            </w:r>
          </w:p>
        </w:tc>
        <w:tc>
          <w:tcPr>
            <w:tcW w:w="992" w:type="dxa"/>
            <w:noWrap/>
          </w:tcPr>
          <w:p w14:paraId="47CD7B3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w:t>
            </w:r>
          </w:p>
        </w:tc>
        <w:tc>
          <w:tcPr>
            <w:tcW w:w="682" w:type="dxa"/>
            <w:noWrap/>
          </w:tcPr>
          <w:p w14:paraId="30FCFD3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0866E9FE" w14:textId="77777777" w:rsidTr="00D41649">
        <w:trPr>
          <w:trHeight w:val="85"/>
        </w:trPr>
        <w:tc>
          <w:tcPr>
            <w:tcW w:w="844" w:type="dxa"/>
            <w:vMerge/>
          </w:tcPr>
          <w:p w14:paraId="1773FE6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57F2A0F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1216C3E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0E66656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81</w:t>
            </w:r>
          </w:p>
        </w:tc>
        <w:tc>
          <w:tcPr>
            <w:tcW w:w="851" w:type="dxa"/>
            <w:noWrap/>
          </w:tcPr>
          <w:p w14:paraId="094C531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31</w:t>
            </w:r>
          </w:p>
        </w:tc>
        <w:tc>
          <w:tcPr>
            <w:tcW w:w="1134" w:type="dxa"/>
            <w:noWrap/>
          </w:tcPr>
          <w:p w14:paraId="501C882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10</w:t>
            </w:r>
          </w:p>
        </w:tc>
        <w:tc>
          <w:tcPr>
            <w:tcW w:w="992" w:type="dxa"/>
            <w:noWrap/>
          </w:tcPr>
          <w:p w14:paraId="71A0F29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w:t>
            </w:r>
          </w:p>
        </w:tc>
        <w:tc>
          <w:tcPr>
            <w:tcW w:w="1134" w:type="dxa"/>
            <w:noWrap/>
          </w:tcPr>
          <w:p w14:paraId="4688BA8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16</w:t>
            </w:r>
          </w:p>
        </w:tc>
        <w:tc>
          <w:tcPr>
            <w:tcW w:w="992" w:type="dxa"/>
            <w:noWrap/>
          </w:tcPr>
          <w:p w14:paraId="0668446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w:t>
            </w:r>
          </w:p>
        </w:tc>
        <w:tc>
          <w:tcPr>
            <w:tcW w:w="682" w:type="dxa"/>
            <w:noWrap/>
          </w:tcPr>
          <w:p w14:paraId="6915E7B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7515EE40" w14:textId="77777777" w:rsidTr="00D41649">
        <w:trPr>
          <w:trHeight w:val="85"/>
        </w:trPr>
        <w:tc>
          <w:tcPr>
            <w:tcW w:w="844" w:type="dxa"/>
            <w:vMerge/>
          </w:tcPr>
          <w:p w14:paraId="6F2B6394"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6E98085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5985013E"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5E8D894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54.0</w:t>
            </w:r>
          </w:p>
        </w:tc>
        <w:tc>
          <w:tcPr>
            <w:tcW w:w="851" w:type="dxa"/>
            <w:noWrap/>
          </w:tcPr>
          <w:p w14:paraId="76D950B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20.7</w:t>
            </w:r>
          </w:p>
        </w:tc>
        <w:tc>
          <w:tcPr>
            <w:tcW w:w="1134" w:type="dxa"/>
            <w:noWrap/>
          </w:tcPr>
          <w:p w14:paraId="09FBA04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6.7</w:t>
            </w:r>
          </w:p>
        </w:tc>
        <w:tc>
          <w:tcPr>
            <w:tcW w:w="992" w:type="dxa"/>
            <w:noWrap/>
          </w:tcPr>
          <w:p w14:paraId="15419FF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w:t>
            </w:r>
          </w:p>
        </w:tc>
        <w:tc>
          <w:tcPr>
            <w:tcW w:w="1134" w:type="dxa"/>
            <w:noWrap/>
          </w:tcPr>
          <w:p w14:paraId="11A3639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10.7</w:t>
            </w:r>
          </w:p>
        </w:tc>
        <w:tc>
          <w:tcPr>
            <w:tcW w:w="992" w:type="dxa"/>
            <w:noWrap/>
          </w:tcPr>
          <w:p w14:paraId="4431221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4.7</w:t>
            </w:r>
          </w:p>
        </w:tc>
        <w:tc>
          <w:tcPr>
            <w:tcW w:w="682" w:type="dxa"/>
            <w:noWrap/>
          </w:tcPr>
          <w:p w14:paraId="2BF51AE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2AACBB98" w14:textId="77777777" w:rsidTr="00D41649">
        <w:trPr>
          <w:trHeight w:val="85"/>
        </w:trPr>
        <w:tc>
          <w:tcPr>
            <w:tcW w:w="844" w:type="dxa"/>
            <w:vMerge w:val="restart"/>
          </w:tcPr>
          <w:p w14:paraId="6562016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Curd</w:t>
            </w:r>
          </w:p>
        </w:tc>
        <w:tc>
          <w:tcPr>
            <w:tcW w:w="851" w:type="dxa"/>
          </w:tcPr>
          <w:p w14:paraId="7BDC21C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4708E84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3BC4822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60</w:t>
            </w:r>
          </w:p>
        </w:tc>
        <w:tc>
          <w:tcPr>
            <w:tcW w:w="851" w:type="dxa"/>
            <w:noWrap/>
          </w:tcPr>
          <w:p w14:paraId="7CC1E42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36</w:t>
            </w:r>
          </w:p>
        </w:tc>
        <w:tc>
          <w:tcPr>
            <w:tcW w:w="1134" w:type="dxa"/>
            <w:noWrap/>
          </w:tcPr>
          <w:p w14:paraId="355A07F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w:t>
            </w:r>
          </w:p>
        </w:tc>
        <w:tc>
          <w:tcPr>
            <w:tcW w:w="992" w:type="dxa"/>
            <w:noWrap/>
          </w:tcPr>
          <w:p w14:paraId="59F0E60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09B4623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828DE7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w:t>
            </w:r>
          </w:p>
        </w:tc>
        <w:tc>
          <w:tcPr>
            <w:tcW w:w="682" w:type="dxa"/>
            <w:noWrap/>
          </w:tcPr>
          <w:p w14:paraId="02EBC9E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36</w:t>
            </w:r>
          </w:p>
        </w:tc>
      </w:tr>
      <w:tr w:rsidR="00D41649" w:rsidRPr="00744858" w14:paraId="57A33654" w14:textId="77777777" w:rsidTr="00D41649">
        <w:trPr>
          <w:trHeight w:val="85"/>
        </w:trPr>
        <w:tc>
          <w:tcPr>
            <w:tcW w:w="844" w:type="dxa"/>
            <w:vMerge/>
          </w:tcPr>
          <w:p w14:paraId="3FA57D8E"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4ACE7811"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6DE108F4"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6D215E3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40.0</w:t>
            </w:r>
          </w:p>
        </w:tc>
        <w:tc>
          <w:tcPr>
            <w:tcW w:w="851" w:type="dxa"/>
            <w:noWrap/>
          </w:tcPr>
          <w:p w14:paraId="3429560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24.0</w:t>
            </w:r>
          </w:p>
        </w:tc>
        <w:tc>
          <w:tcPr>
            <w:tcW w:w="1134" w:type="dxa"/>
            <w:noWrap/>
          </w:tcPr>
          <w:p w14:paraId="30D70F5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6.0</w:t>
            </w:r>
          </w:p>
        </w:tc>
        <w:tc>
          <w:tcPr>
            <w:tcW w:w="992" w:type="dxa"/>
            <w:noWrap/>
          </w:tcPr>
          <w:p w14:paraId="4574FFB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3482A0F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1264FD6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6.0</w:t>
            </w:r>
          </w:p>
        </w:tc>
        <w:tc>
          <w:tcPr>
            <w:tcW w:w="682" w:type="dxa"/>
            <w:noWrap/>
          </w:tcPr>
          <w:p w14:paraId="4759B5E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24.0</w:t>
            </w:r>
          </w:p>
        </w:tc>
      </w:tr>
      <w:tr w:rsidR="00D41649" w:rsidRPr="00744858" w14:paraId="731B7A90" w14:textId="77777777" w:rsidTr="00D41649">
        <w:trPr>
          <w:trHeight w:val="85"/>
        </w:trPr>
        <w:tc>
          <w:tcPr>
            <w:tcW w:w="844" w:type="dxa"/>
            <w:vMerge/>
          </w:tcPr>
          <w:p w14:paraId="2B681A3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53C1B64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497B5C0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1C871B6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62</w:t>
            </w:r>
          </w:p>
        </w:tc>
        <w:tc>
          <w:tcPr>
            <w:tcW w:w="851" w:type="dxa"/>
            <w:noWrap/>
          </w:tcPr>
          <w:p w14:paraId="0633904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38</w:t>
            </w:r>
          </w:p>
        </w:tc>
        <w:tc>
          <w:tcPr>
            <w:tcW w:w="1134" w:type="dxa"/>
            <w:noWrap/>
          </w:tcPr>
          <w:p w14:paraId="03335E7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10</w:t>
            </w:r>
          </w:p>
        </w:tc>
        <w:tc>
          <w:tcPr>
            <w:tcW w:w="992" w:type="dxa"/>
            <w:noWrap/>
          </w:tcPr>
          <w:p w14:paraId="64BBF78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1A1429B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12917EB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w:t>
            </w:r>
          </w:p>
        </w:tc>
        <w:tc>
          <w:tcPr>
            <w:tcW w:w="682" w:type="dxa"/>
            <w:noWrap/>
          </w:tcPr>
          <w:p w14:paraId="72B70A8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34</w:t>
            </w:r>
          </w:p>
        </w:tc>
      </w:tr>
      <w:tr w:rsidR="00D41649" w:rsidRPr="00744858" w14:paraId="640F2356" w14:textId="77777777" w:rsidTr="00D41649">
        <w:trPr>
          <w:trHeight w:val="85"/>
        </w:trPr>
        <w:tc>
          <w:tcPr>
            <w:tcW w:w="844" w:type="dxa"/>
            <w:vMerge/>
          </w:tcPr>
          <w:p w14:paraId="0039D60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45D4C427"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0E75DE7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5AE367D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41.3</w:t>
            </w:r>
          </w:p>
        </w:tc>
        <w:tc>
          <w:tcPr>
            <w:tcW w:w="851" w:type="dxa"/>
            <w:noWrap/>
          </w:tcPr>
          <w:p w14:paraId="6113BEA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25.3</w:t>
            </w:r>
          </w:p>
        </w:tc>
        <w:tc>
          <w:tcPr>
            <w:tcW w:w="1134" w:type="dxa"/>
            <w:noWrap/>
          </w:tcPr>
          <w:p w14:paraId="4D86102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6.7</w:t>
            </w:r>
          </w:p>
        </w:tc>
        <w:tc>
          <w:tcPr>
            <w:tcW w:w="992" w:type="dxa"/>
            <w:noWrap/>
          </w:tcPr>
          <w:p w14:paraId="2B2712F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15107E2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34C47CE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4.0</w:t>
            </w:r>
          </w:p>
        </w:tc>
        <w:tc>
          <w:tcPr>
            <w:tcW w:w="682" w:type="dxa"/>
            <w:noWrap/>
          </w:tcPr>
          <w:p w14:paraId="70F78DF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22.7</w:t>
            </w:r>
          </w:p>
        </w:tc>
      </w:tr>
      <w:tr w:rsidR="00D41649" w:rsidRPr="00744858" w14:paraId="003DA3A9" w14:textId="77777777" w:rsidTr="00D41649">
        <w:trPr>
          <w:trHeight w:val="85"/>
        </w:trPr>
        <w:tc>
          <w:tcPr>
            <w:tcW w:w="844" w:type="dxa"/>
            <w:vMerge w:val="restart"/>
          </w:tcPr>
          <w:p w14:paraId="33CB80F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Vegetables</w:t>
            </w:r>
          </w:p>
        </w:tc>
        <w:tc>
          <w:tcPr>
            <w:tcW w:w="851" w:type="dxa"/>
          </w:tcPr>
          <w:p w14:paraId="211F850F"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5140578E"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2C6BCAE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3E533A4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w:t>
            </w:r>
          </w:p>
        </w:tc>
        <w:tc>
          <w:tcPr>
            <w:tcW w:w="1134" w:type="dxa"/>
            <w:noWrap/>
          </w:tcPr>
          <w:p w14:paraId="19F0CC5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w:t>
            </w:r>
          </w:p>
        </w:tc>
        <w:tc>
          <w:tcPr>
            <w:tcW w:w="992" w:type="dxa"/>
            <w:noWrap/>
          </w:tcPr>
          <w:p w14:paraId="45DC88D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w:t>
            </w:r>
          </w:p>
        </w:tc>
        <w:tc>
          <w:tcPr>
            <w:tcW w:w="1134" w:type="dxa"/>
            <w:noWrap/>
          </w:tcPr>
          <w:p w14:paraId="387B5CE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132</w:t>
            </w:r>
          </w:p>
        </w:tc>
        <w:tc>
          <w:tcPr>
            <w:tcW w:w="992" w:type="dxa"/>
            <w:noWrap/>
          </w:tcPr>
          <w:p w14:paraId="6FA7E2D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tcPr>
          <w:p w14:paraId="16B6DCB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w:t>
            </w:r>
          </w:p>
        </w:tc>
      </w:tr>
      <w:tr w:rsidR="00D41649" w:rsidRPr="00744858" w14:paraId="01D69C50" w14:textId="77777777" w:rsidTr="00D41649">
        <w:trPr>
          <w:trHeight w:val="70"/>
        </w:trPr>
        <w:tc>
          <w:tcPr>
            <w:tcW w:w="844" w:type="dxa"/>
            <w:vMerge/>
          </w:tcPr>
          <w:p w14:paraId="57BC3BB2"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6B4B096F"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38B5D38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32807A3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05DE901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w:t>
            </w:r>
          </w:p>
        </w:tc>
        <w:tc>
          <w:tcPr>
            <w:tcW w:w="1134" w:type="dxa"/>
            <w:noWrap/>
          </w:tcPr>
          <w:p w14:paraId="4649931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4.7</w:t>
            </w:r>
          </w:p>
        </w:tc>
        <w:tc>
          <w:tcPr>
            <w:tcW w:w="992" w:type="dxa"/>
            <w:noWrap/>
          </w:tcPr>
          <w:p w14:paraId="0F9D056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w:t>
            </w:r>
          </w:p>
        </w:tc>
        <w:tc>
          <w:tcPr>
            <w:tcW w:w="1134" w:type="dxa"/>
            <w:noWrap/>
          </w:tcPr>
          <w:p w14:paraId="15E4A8F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88.0</w:t>
            </w:r>
          </w:p>
        </w:tc>
        <w:tc>
          <w:tcPr>
            <w:tcW w:w="992" w:type="dxa"/>
            <w:noWrap/>
          </w:tcPr>
          <w:p w14:paraId="0032EB3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tcPr>
          <w:p w14:paraId="3C757A0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w:t>
            </w:r>
          </w:p>
        </w:tc>
      </w:tr>
      <w:tr w:rsidR="00D41649" w:rsidRPr="00744858" w14:paraId="10CE7BA7" w14:textId="77777777" w:rsidTr="00D41649">
        <w:trPr>
          <w:trHeight w:val="85"/>
        </w:trPr>
        <w:tc>
          <w:tcPr>
            <w:tcW w:w="844" w:type="dxa"/>
            <w:vMerge w:val="restart"/>
          </w:tcPr>
          <w:p w14:paraId="2137550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Bottle gourd</w:t>
            </w:r>
          </w:p>
        </w:tc>
        <w:tc>
          <w:tcPr>
            <w:tcW w:w="851" w:type="dxa"/>
            <w:vAlign w:val="center"/>
          </w:tcPr>
          <w:p w14:paraId="62C678B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7312D12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33EEFE5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729F3CF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w:t>
            </w:r>
          </w:p>
        </w:tc>
        <w:tc>
          <w:tcPr>
            <w:tcW w:w="1134" w:type="dxa"/>
            <w:noWrap/>
          </w:tcPr>
          <w:p w14:paraId="61F2E43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w:t>
            </w:r>
          </w:p>
        </w:tc>
        <w:tc>
          <w:tcPr>
            <w:tcW w:w="992" w:type="dxa"/>
            <w:noWrap/>
          </w:tcPr>
          <w:p w14:paraId="3E2AD29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w:t>
            </w:r>
          </w:p>
        </w:tc>
        <w:tc>
          <w:tcPr>
            <w:tcW w:w="1134" w:type="dxa"/>
            <w:noWrap/>
          </w:tcPr>
          <w:p w14:paraId="0BDE1AA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131</w:t>
            </w:r>
          </w:p>
        </w:tc>
        <w:tc>
          <w:tcPr>
            <w:tcW w:w="992" w:type="dxa"/>
            <w:noWrap/>
          </w:tcPr>
          <w:p w14:paraId="62B0BDF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tcPr>
          <w:p w14:paraId="3175D73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w:t>
            </w:r>
          </w:p>
        </w:tc>
      </w:tr>
      <w:tr w:rsidR="00D41649" w:rsidRPr="00744858" w14:paraId="0E30E159" w14:textId="77777777" w:rsidTr="00D41649">
        <w:trPr>
          <w:trHeight w:val="85"/>
        </w:trPr>
        <w:tc>
          <w:tcPr>
            <w:tcW w:w="844" w:type="dxa"/>
            <w:vMerge/>
          </w:tcPr>
          <w:p w14:paraId="5C6A7641"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7B478B7A"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02BECECB"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6D1004C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1A95427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w:t>
            </w:r>
          </w:p>
        </w:tc>
        <w:tc>
          <w:tcPr>
            <w:tcW w:w="1134" w:type="dxa"/>
            <w:noWrap/>
          </w:tcPr>
          <w:p w14:paraId="6B244BF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5.3</w:t>
            </w:r>
          </w:p>
        </w:tc>
        <w:tc>
          <w:tcPr>
            <w:tcW w:w="992" w:type="dxa"/>
            <w:noWrap/>
          </w:tcPr>
          <w:p w14:paraId="6A83100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2.7</w:t>
            </w:r>
          </w:p>
        </w:tc>
        <w:tc>
          <w:tcPr>
            <w:tcW w:w="1134" w:type="dxa"/>
            <w:noWrap/>
          </w:tcPr>
          <w:p w14:paraId="410BD44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87.3</w:t>
            </w:r>
          </w:p>
        </w:tc>
        <w:tc>
          <w:tcPr>
            <w:tcW w:w="992" w:type="dxa"/>
            <w:noWrap/>
          </w:tcPr>
          <w:p w14:paraId="7DDCB1C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682" w:type="dxa"/>
            <w:noWrap/>
          </w:tcPr>
          <w:p w14:paraId="169C889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r>
      <w:tr w:rsidR="00D41649" w:rsidRPr="00744858" w14:paraId="3982CF37" w14:textId="77777777" w:rsidTr="00D41649">
        <w:trPr>
          <w:trHeight w:val="85"/>
        </w:trPr>
        <w:tc>
          <w:tcPr>
            <w:tcW w:w="844" w:type="dxa"/>
            <w:vMerge w:val="restart"/>
          </w:tcPr>
          <w:p w14:paraId="0441DAAB"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spinach</w:t>
            </w:r>
          </w:p>
        </w:tc>
        <w:tc>
          <w:tcPr>
            <w:tcW w:w="851" w:type="dxa"/>
          </w:tcPr>
          <w:p w14:paraId="6D6E829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4395156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4963DB8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16E9973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1A5B1CA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34662BC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4EAB0CB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142</w:t>
            </w:r>
          </w:p>
        </w:tc>
        <w:tc>
          <w:tcPr>
            <w:tcW w:w="992" w:type="dxa"/>
            <w:noWrap/>
          </w:tcPr>
          <w:p w14:paraId="1314DAD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w:t>
            </w:r>
          </w:p>
        </w:tc>
        <w:tc>
          <w:tcPr>
            <w:tcW w:w="682" w:type="dxa"/>
            <w:noWrap/>
          </w:tcPr>
          <w:p w14:paraId="221C7A0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w:t>
            </w:r>
          </w:p>
        </w:tc>
      </w:tr>
      <w:tr w:rsidR="00D41649" w:rsidRPr="00744858" w14:paraId="5059E22E" w14:textId="77777777" w:rsidTr="00D41649">
        <w:trPr>
          <w:trHeight w:val="85"/>
        </w:trPr>
        <w:tc>
          <w:tcPr>
            <w:tcW w:w="844" w:type="dxa"/>
            <w:vMerge/>
          </w:tcPr>
          <w:p w14:paraId="6A5434F0"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3B7FD1BA"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319D8DAF"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0451467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3D0A3A6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4C6F20B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5E47C9A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030FE11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94.7</w:t>
            </w:r>
          </w:p>
        </w:tc>
        <w:tc>
          <w:tcPr>
            <w:tcW w:w="992" w:type="dxa"/>
            <w:noWrap/>
          </w:tcPr>
          <w:p w14:paraId="133AE58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682" w:type="dxa"/>
            <w:noWrap/>
          </w:tcPr>
          <w:p w14:paraId="5584526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4.0</w:t>
            </w:r>
          </w:p>
        </w:tc>
      </w:tr>
      <w:tr w:rsidR="00D41649" w:rsidRPr="00744858" w14:paraId="7F4A6E3F" w14:textId="77777777" w:rsidTr="00D41649">
        <w:trPr>
          <w:trHeight w:val="85"/>
        </w:trPr>
        <w:tc>
          <w:tcPr>
            <w:tcW w:w="844" w:type="dxa"/>
            <w:vMerge/>
          </w:tcPr>
          <w:p w14:paraId="2346D15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6EDA774F"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4E1FF714"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3B568AF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021DF14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51BD4E6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6675FF6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57D389B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145</w:t>
            </w:r>
          </w:p>
        </w:tc>
        <w:tc>
          <w:tcPr>
            <w:tcW w:w="992" w:type="dxa"/>
            <w:noWrap/>
          </w:tcPr>
          <w:p w14:paraId="69577BB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w:t>
            </w:r>
          </w:p>
        </w:tc>
        <w:tc>
          <w:tcPr>
            <w:tcW w:w="682" w:type="dxa"/>
            <w:noWrap/>
          </w:tcPr>
          <w:p w14:paraId="5C31D87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w:t>
            </w:r>
          </w:p>
        </w:tc>
      </w:tr>
      <w:tr w:rsidR="00D41649" w:rsidRPr="00744858" w14:paraId="3F05C9BA" w14:textId="77777777" w:rsidTr="00D41649">
        <w:trPr>
          <w:trHeight w:val="85"/>
        </w:trPr>
        <w:tc>
          <w:tcPr>
            <w:tcW w:w="844" w:type="dxa"/>
            <w:vMerge/>
          </w:tcPr>
          <w:p w14:paraId="6574745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3FA0782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0A2DAF9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15B5AAF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756BA1C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3D2A8BB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992" w:type="dxa"/>
            <w:noWrap/>
          </w:tcPr>
          <w:p w14:paraId="243FA4E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1134" w:type="dxa"/>
            <w:noWrap/>
          </w:tcPr>
          <w:p w14:paraId="38A62A8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96.7</w:t>
            </w:r>
          </w:p>
        </w:tc>
        <w:tc>
          <w:tcPr>
            <w:tcW w:w="992" w:type="dxa"/>
            <w:noWrap/>
          </w:tcPr>
          <w:p w14:paraId="59BB4DF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w:t>
            </w:r>
          </w:p>
        </w:tc>
        <w:tc>
          <w:tcPr>
            <w:tcW w:w="682" w:type="dxa"/>
            <w:noWrap/>
          </w:tcPr>
          <w:p w14:paraId="01AC034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r>
      <w:tr w:rsidR="00D41649" w:rsidRPr="00744858" w14:paraId="323898CF" w14:textId="77777777" w:rsidTr="00D41649">
        <w:trPr>
          <w:trHeight w:val="85"/>
        </w:trPr>
        <w:tc>
          <w:tcPr>
            <w:tcW w:w="844" w:type="dxa"/>
            <w:vMerge w:val="restart"/>
          </w:tcPr>
          <w:p w14:paraId="5C18BAB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Fruits</w:t>
            </w:r>
          </w:p>
          <w:p w14:paraId="3BC0D12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Apple</w:t>
            </w:r>
          </w:p>
        </w:tc>
        <w:tc>
          <w:tcPr>
            <w:tcW w:w="851" w:type="dxa"/>
          </w:tcPr>
          <w:p w14:paraId="6F24C5F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70CB9E2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4E7EF6B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c>
          <w:tcPr>
            <w:tcW w:w="851" w:type="dxa"/>
            <w:noWrap/>
          </w:tcPr>
          <w:p w14:paraId="77CC8FE4"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1134" w:type="dxa"/>
            <w:noWrap/>
          </w:tcPr>
          <w:p w14:paraId="7DB918D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w:t>
            </w:r>
          </w:p>
        </w:tc>
        <w:tc>
          <w:tcPr>
            <w:tcW w:w="992" w:type="dxa"/>
            <w:noWrap/>
          </w:tcPr>
          <w:p w14:paraId="40FB93A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w:t>
            </w:r>
          </w:p>
        </w:tc>
        <w:tc>
          <w:tcPr>
            <w:tcW w:w="1134" w:type="dxa"/>
            <w:noWrap/>
          </w:tcPr>
          <w:p w14:paraId="0E5C3E8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65</w:t>
            </w:r>
          </w:p>
        </w:tc>
        <w:tc>
          <w:tcPr>
            <w:tcW w:w="992" w:type="dxa"/>
            <w:noWrap/>
          </w:tcPr>
          <w:p w14:paraId="03D7276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19</w:t>
            </w:r>
          </w:p>
        </w:tc>
        <w:tc>
          <w:tcPr>
            <w:tcW w:w="682" w:type="dxa"/>
            <w:noWrap/>
          </w:tcPr>
          <w:p w14:paraId="7010091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r>
      <w:tr w:rsidR="00D41649" w:rsidRPr="00744858" w14:paraId="3EBF95DB" w14:textId="77777777" w:rsidTr="00D41649">
        <w:trPr>
          <w:trHeight w:val="85"/>
        </w:trPr>
        <w:tc>
          <w:tcPr>
            <w:tcW w:w="844" w:type="dxa"/>
            <w:vMerge/>
          </w:tcPr>
          <w:p w14:paraId="404B098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19BA4396"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19BF916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653A1A4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0.0</w:t>
            </w:r>
          </w:p>
        </w:tc>
        <w:tc>
          <w:tcPr>
            <w:tcW w:w="851" w:type="dxa"/>
            <w:noWrap/>
          </w:tcPr>
          <w:p w14:paraId="010FB57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8.7</w:t>
            </w:r>
          </w:p>
        </w:tc>
        <w:tc>
          <w:tcPr>
            <w:tcW w:w="1134" w:type="dxa"/>
            <w:noWrap/>
          </w:tcPr>
          <w:p w14:paraId="52B0961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13.3</w:t>
            </w:r>
          </w:p>
        </w:tc>
        <w:tc>
          <w:tcPr>
            <w:tcW w:w="992" w:type="dxa"/>
            <w:noWrap/>
          </w:tcPr>
          <w:p w14:paraId="5B7B4C6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13.3</w:t>
            </w:r>
          </w:p>
        </w:tc>
        <w:tc>
          <w:tcPr>
            <w:tcW w:w="1134" w:type="dxa"/>
            <w:noWrap/>
          </w:tcPr>
          <w:p w14:paraId="242F9C8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43.3</w:t>
            </w:r>
          </w:p>
        </w:tc>
        <w:tc>
          <w:tcPr>
            <w:tcW w:w="992" w:type="dxa"/>
            <w:noWrap/>
          </w:tcPr>
          <w:p w14:paraId="5194EA5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12.7</w:t>
            </w:r>
          </w:p>
        </w:tc>
        <w:tc>
          <w:tcPr>
            <w:tcW w:w="682" w:type="dxa"/>
            <w:noWrap/>
          </w:tcPr>
          <w:p w14:paraId="58EE084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8.7</w:t>
            </w:r>
          </w:p>
        </w:tc>
      </w:tr>
      <w:tr w:rsidR="00D41649" w:rsidRPr="00744858" w14:paraId="6FB99141" w14:textId="77777777" w:rsidTr="00D41649">
        <w:trPr>
          <w:trHeight w:val="85"/>
        </w:trPr>
        <w:tc>
          <w:tcPr>
            <w:tcW w:w="844" w:type="dxa"/>
          </w:tcPr>
          <w:p w14:paraId="56E4D02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2311F043"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023B057F"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2D4E93B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w:t>
            </w:r>
          </w:p>
        </w:tc>
        <w:tc>
          <w:tcPr>
            <w:tcW w:w="851" w:type="dxa"/>
            <w:noWrap/>
          </w:tcPr>
          <w:p w14:paraId="3A86486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22</w:t>
            </w:r>
          </w:p>
        </w:tc>
        <w:tc>
          <w:tcPr>
            <w:tcW w:w="1134" w:type="dxa"/>
            <w:noWrap/>
          </w:tcPr>
          <w:p w14:paraId="4C953FC2"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23</w:t>
            </w:r>
          </w:p>
        </w:tc>
        <w:tc>
          <w:tcPr>
            <w:tcW w:w="992" w:type="dxa"/>
            <w:noWrap/>
          </w:tcPr>
          <w:p w14:paraId="14BBDE3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31</w:t>
            </w:r>
          </w:p>
        </w:tc>
        <w:tc>
          <w:tcPr>
            <w:tcW w:w="1134" w:type="dxa"/>
            <w:noWrap/>
          </w:tcPr>
          <w:p w14:paraId="06492E5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57</w:t>
            </w:r>
          </w:p>
        </w:tc>
        <w:tc>
          <w:tcPr>
            <w:tcW w:w="992" w:type="dxa"/>
            <w:noWrap/>
          </w:tcPr>
          <w:p w14:paraId="408470B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10</w:t>
            </w:r>
          </w:p>
        </w:tc>
        <w:tc>
          <w:tcPr>
            <w:tcW w:w="682" w:type="dxa"/>
            <w:noWrap/>
          </w:tcPr>
          <w:p w14:paraId="33E4E88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w:t>
            </w:r>
          </w:p>
        </w:tc>
      </w:tr>
      <w:tr w:rsidR="00D41649" w:rsidRPr="00744858" w14:paraId="226C3B91" w14:textId="77777777" w:rsidTr="00D41649">
        <w:trPr>
          <w:trHeight w:val="85"/>
        </w:trPr>
        <w:tc>
          <w:tcPr>
            <w:tcW w:w="844" w:type="dxa"/>
          </w:tcPr>
          <w:p w14:paraId="3D066160"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38D275F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7D04799D"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2FBA8A0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851" w:type="dxa"/>
            <w:noWrap/>
          </w:tcPr>
          <w:p w14:paraId="224DEA1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14.7</w:t>
            </w:r>
          </w:p>
        </w:tc>
        <w:tc>
          <w:tcPr>
            <w:tcW w:w="1134" w:type="dxa"/>
            <w:noWrap/>
          </w:tcPr>
          <w:p w14:paraId="221B1D8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15.3</w:t>
            </w:r>
          </w:p>
        </w:tc>
        <w:tc>
          <w:tcPr>
            <w:tcW w:w="992" w:type="dxa"/>
            <w:noWrap/>
          </w:tcPr>
          <w:p w14:paraId="05485FFF"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20.7</w:t>
            </w:r>
          </w:p>
        </w:tc>
        <w:tc>
          <w:tcPr>
            <w:tcW w:w="1134" w:type="dxa"/>
            <w:noWrap/>
          </w:tcPr>
          <w:p w14:paraId="4497639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38.0</w:t>
            </w:r>
          </w:p>
        </w:tc>
        <w:tc>
          <w:tcPr>
            <w:tcW w:w="992" w:type="dxa"/>
            <w:noWrap/>
          </w:tcPr>
          <w:p w14:paraId="7ED4B3A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6.7</w:t>
            </w:r>
          </w:p>
        </w:tc>
        <w:tc>
          <w:tcPr>
            <w:tcW w:w="682" w:type="dxa"/>
            <w:noWrap/>
          </w:tcPr>
          <w:p w14:paraId="40FC198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w:t>
            </w:r>
          </w:p>
        </w:tc>
      </w:tr>
      <w:tr w:rsidR="00D41649" w:rsidRPr="00744858" w14:paraId="05007DE5" w14:textId="77777777" w:rsidTr="00D41649">
        <w:trPr>
          <w:trHeight w:val="85"/>
        </w:trPr>
        <w:tc>
          <w:tcPr>
            <w:tcW w:w="844" w:type="dxa"/>
            <w:vMerge w:val="restart"/>
          </w:tcPr>
          <w:p w14:paraId="2D35F641"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 xml:space="preserve">Pomegranate </w:t>
            </w:r>
          </w:p>
        </w:tc>
        <w:tc>
          <w:tcPr>
            <w:tcW w:w="851" w:type="dxa"/>
          </w:tcPr>
          <w:p w14:paraId="0A34E78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Rural</w:t>
            </w:r>
          </w:p>
        </w:tc>
        <w:tc>
          <w:tcPr>
            <w:tcW w:w="485" w:type="dxa"/>
          </w:tcPr>
          <w:p w14:paraId="2AA28CDE"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3902F94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5</w:t>
            </w:r>
          </w:p>
        </w:tc>
        <w:tc>
          <w:tcPr>
            <w:tcW w:w="851" w:type="dxa"/>
            <w:noWrap/>
          </w:tcPr>
          <w:p w14:paraId="4222612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w:t>
            </w:r>
          </w:p>
        </w:tc>
        <w:tc>
          <w:tcPr>
            <w:tcW w:w="1134" w:type="dxa"/>
            <w:noWrap/>
          </w:tcPr>
          <w:p w14:paraId="3BF5E3C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w:t>
            </w:r>
          </w:p>
        </w:tc>
        <w:tc>
          <w:tcPr>
            <w:tcW w:w="992" w:type="dxa"/>
            <w:noWrap/>
          </w:tcPr>
          <w:p w14:paraId="632FC4CC"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120</w:t>
            </w:r>
          </w:p>
        </w:tc>
        <w:tc>
          <w:tcPr>
            <w:tcW w:w="1134" w:type="dxa"/>
            <w:noWrap/>
          </w:tcPr>
          <w:p w14:paraId="3A9DA3D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11</w:t>
            </w:r>
          </w:p>
        </w:tc>
        <w:tc>
          <w:tcPr>
            <w:tcW w:w="992" w:type="dxa"/>
            <w:noWrap/>
          </w:tcPr>
          <w:p w14:paraId="4CA3783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w:t>
            </w:r>
          </w:p>
        </w:tc>
        <w:tc>
          <w:tcPr>
            <w:tcW w:w="682" w:type="dxa"/>
            <w:noWrap/>
          </w:tcPr>
          <w:p w14:paraId="36480BF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7DDD336F" w14:textId="77777777" w:rsidTr="00D41649">
        <w:trPr>
          <w:trHeight w:val="85"/>
        </w:trPr>
        <w:tc>
          <w:tcPr>
            <w:tcW w:w="844" w:type="dxa"/>
            <w:vMerge/>
          </w:tcPr>
          <w:p w14:paraId="7EEA684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01AF141C"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34A31F29"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70EF2915"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3.3</w:t>
            </w:r>
          </w:p>
        </w:tc>
        <w:tc>
          <w:tcPr>
            <w:tcW w:w="851" w:type="dxa"/>
            <w:noWrap/>
          </w:tcPr>
          <w:p w14:paraId="2207FC8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4.0</w:t>
            </w:r>
          </w:p>
        </w:tc>
        <w:tc>
          <w:tcPr>
            <w:tcW w:w="1134" w:type="dxa"/>
            <w:noWrap/>
          </w:tcPr>
          <w:p w14:paraId="276F57C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4.0</w:t>
            </w:r>
          </w:p>
        </w:tc>
        <w:tc>
          <w:tcPr>
            <w:tcW w:w="992" w:type="dxa"/>
            <w:noWrap/>
          </w:tcPr>
          <w:p w14:paraId="75864DFE"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80.0</w:t>
            </w:r>
          </w:p>
        </w:tc>
        <w:tc>
          <w:tcPr>
            <w:tcW w:w="1134" w:type="dxa"/>
            <w:noWrap/>
          </w:tcPr>
          <w:p w14:paraId="3C6B030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7.3</w:t>
            </w:r>
          </w:p>
        </w:tc>
        <w:tc>
          <w:tcPr>
            <w:tcW w:w="992" w:type="dxa"/>
            <w:noWrap/>
          </w:tcPr>
          <w:p w14:paraId="70602A3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682" w:type="dxa"/>
            <w:noWrap/>
          </w:tcPr>
          <w:p w14:paraId="343F5CF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60998212" w14:textId="77777777" w:rsidTr="00D41649">
        <w:trPr>
          <w:trHeight w:val="85"/>
        </w:trPr>
        <w:tc>
          <w:tcPr>
            <w:tcW w:w="844" w:type="dxa"/>
            <w:vMerge/>
          </w:tcPr>
          <w:p w14:paraId="2A0B17C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069BB085"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urban</w:t>
            </w:r>
          </w:p>
        </w:tc>
        <w:tc>
          <w:tcPr>
            <w:tcW w:w="485" w:type="dxa"/>
          </w:tcPr>
          <w:p w14:paraId="1DCF8A87"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n</w:t>
            </w:r>
          </w:p>
        </w:tc>
        <w:tc>
          <w:tcPr>
            <w:tcW w:w="763" w:type="dxa"/>
            <w:noWrap/>
          </w:tcPr>
          <w:p w14:paraId="3E0216F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w:t>
            </w:r>
          </w:p>
        </w:tc>
        <w:tc>
          <w:tcPr>
            <w:tcW w:w="851" w:type="dxa"/>
            <w:noWrap/>
          </w:tcPr>
          <w:p w14:paraId="7137C4D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9</w:t>
            </w:r>
          </w:p>
        </w:tc>
        <w:tc>
          <w:tcPr>
            <w:tcW w:w="1134" w:type="dxa"/>
            <w:noWrap/>
          </w:tcPr>
          <w:p w14:paraId="038848E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w:t>
            </w:r>
          </w:p>
        </w:tc>
        <w:tc>
          <w:tcPr>
            <w:tcW w:w="992" w:type="dxa"/>
            <w:noWrap/>
          </w:tcPr>
          <w:p w14:paraId="1E6167B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119</w:t>
            </w:r>
          </w:p>
        </w:tc>
        <w:tc>
          <w:tcPr>
            <w:tcW w:w="1134" w:type="dxa"/>
            <w:noWrap/>
          </w:tcPr>
          <w:p w14:paraId="19D487E3"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w:t>
            </w:r>
          </w:p>
        </w:tc>
        <w:tc>
          <w:tcPr>
            <w:tcW w:w="992" w:type="dxa"/>
            <w:noWrap/>
          </w:tcPr>
          <w:p w14:paraId="096DCFFB"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2</w:t>
            </w:r>
          </w:p>
        </w:tc>
        <w:tc>
          <w:tcPr>
            <w:tcW w:w="682" w:type="dxa"/>
            <w:noWrap/>
          </w:tcPr>
          <w:p w14:paraId="54D092B8"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tr w:rsidR="00D41649" w:rsidRPr="00744858" w14:paraId="0F4E8300" w14:textId="77777777" w:rsidTr="00D41649">
        <w:trPr>
          <w:trHeight w:val="85"/>
        </w:trPr>
        <w:tc>
          <w:tcPr>
            <w:tcW w:w="844" w:type="dxa"/>
            <w:vMerge/>
          </w:tcPr>
          <w:p w14:paraId="7C1FD596"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851" w:type="dxa"/>
            <w:vAlign w:val="center"/>
          </w:tcPr>
          <w:p w14:paraId="6C51CEA8"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p>
        </w:tc>
        <w:tc>
          <w:tcPr>
            <w:tcW w:w="485" w:type="dxa"/>
          </w:tcPr>
          <w:p w14:paraId="1971E3EB" w14:textId="77777777" w:rsidR="00D41649" w:rsidRPr="00744858" w:rsidRDefault="00D41649" w:rsidP="00D41649">
            <w:pPr>
              <w:tabs>
                <w:tab w:val="left" w:pos="5970"/>
              </w:tabs>
              <w:spacing w:after="0"/>
              <w:jc w:val="center"/>
              <w:rPr>
                <w:rFonts w:ascii="Times New Roman" w:hAnsi="Times New Roman" w:cs="Times New Roman"/>
                <w:b/>
                <w:bCs/>
                <w:color w:val="000000"/>
                <w:szCs w:val="22"/>
              </w:rPr>
            </w:pPr>
            <w:r w:rsidRPr="00744858">
              <w:rPr>
                <w:rFonts w:ascii="Times New Roman" w:hAnsi="Times New Roman" w:cs="Times New Roman"/>
                <w:b/>
                <w:bCs/>
                <w:color w:val="000000"/>
                <w:szCs w:val="22"/>
              </w:rPr>
              <w:t>%</w:t>
            </w:r>
          </w:p>
        </w:tc>
        <w:tc>
          <w:tcPr>
            <w:tcW w:w="763" w:type="dxa"/>
            <w:noWrap/>
          </w:tcPr>
          <w:p w14:paraId="41415C9A"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4.0</w:t>
            </w:r>
          </w:p>
        </w:tc>
        <w:tc>
          <w:tcPr>
            <w:tcW w:w="851" w:type="dxa"/>
            <w:noWrap/>
          </w:tcPr>
          <w:p w14:paraId="038A5C90"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6.0</w:t>
            </w:r>
          </w:p>
        </w:tc>
        <w:tc>
          <w:tcPr>
            <w:tcW w:w="1134" w:type="dxa"/>
            <w:noWrap/>
          </w:tcPr>
          <w:p w14:paraId="6E0DA0E7"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4.7</w:t>
            </w:r>
          </w:p>
        </w:tc>
        <w:tc>
          <w:tcPr>
            <w:tcW w:w="992" w:type="dxa"/>
            <w:noWrap/>
          </w:tcPr>
          <w:p w14:paraId="1BE2BEA6"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79.3</w:t>
            </w:r>
          </w:p>
        </w:tc>
        <w:tc>
          <w:tcPr>
            <w:tcW w:w="1134" w:type="dxa"/>
            <w:noWrap/>
          </w:tcPr>
          <w:p w14:paraId="64B89C2D"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4.7</w:t>
            </w:r>
          </w:p>
        </w:tc>
        <w:tc>
          <w:tcPr>
            <w:tcW w:w="992" w:type="dxa"/>
            <w:noWrap/>
          </w:tcPr>
          <w:p w14:paraId="194C5B31"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1.3</w:t>
            </w:r>
          </w:p>
        </w:tc>
        <w:tc>
          <w:tcPr>
            <w:tcW w:w="682" w:type="dxa"/>
            <w:noWrap/>
          </w:tcPr>
          <w:p w14:paraId="21532F69" w14:textId="77777777" w:rsidR="00D41649" w:rsidRPr="00744858" w:rsidRDefault="00D41649" w:rsidP="00D41649">
            <w:pPr>
              <w:tabs>
                <w:tab w:val="left" w:pos="5970"/>
              </w:tabs>
              <w:spacing w:after="0"/>
              <w:jc w:val="center"/>
              <w:rPr>
                <w:rFonts w:ascii="Times New Roman" w:hAnsi="Times New Roman" w:cs="Times New Roman"/>
                <w:color w:val="000000"/>
                <w:szCs w:val="22"/>
              </w:rPr>
            </w:pPr>
            <w:r w:rsidRPr="00744858">
              <w:rPr>
                <w:rFonts w:ascii="Times New Roman" w:hAnsi="Times New Roman" w:cs="Times New Roman"/>
                <w:color w:val="000000"/>
                <w:szCs w:val="22"/>
              </w:rPr>
              <w:t>0</w:t>
            </w:r>
          </w:p>
        </w:tc>
      </w:tr>
      <w:bookmarkEnd w:id="0"/>
    </w:tbl>
    <w:p w14:paraId="52043EC9" w14:textId="77777777" w:rsidR="00EC147A" w:rsidRPr="00744858" w:rsidRDefault="00EC147A" w:rsidP="00EC147A">
      <w:pPr>
        <w:tabs>
          <w:tab w:val="left" w:pos="5970"/>
        </w:tabs>
        <w:jc w:val="center"/>
        <w:rPr>
          <w:rFonts w:ascii="Times New Roman" w:hAnsi="Times New Roman" w:cs="Times New Roman"/>
          <w:b/>
          <w:bCs/>
          <w:color w:val="000000"/>
          <w:szCs w:val="22"/>
        </w:rPr>
      </w:pPr>
    </w:p>
    <w:p w14:paraId="07E9902C" w14:textId="77777777" w:rsidR="00D41649" w:rsidRPr="00744858" w:rsidRDefault="00D41649" w:rsidP="00D41649">
      <w:pPr>
        <w:tabs>
          <w:tab w:val="left" w:pos="1206"/>
        </w:tabs>
        <w:jc w:val="both"/>
        <w:rPr>
          <w:rFonts w:ascii="Times New Roman" w:hAnsi="Times New Roman" w:cs="Times New Roman"/>
          <w:sz w:val="24"/>
          <w:szCs w:val="22"/>
        </w:rPr>
      </w:pPr>
      <w:r w:rsidRPr="00744858">
        <w:rPr>
          <w:rFonts w:ascii="Times New Roman" w:hAnsi="Times New Roman" w:cs="Times New Roman"/>
          <w:sz w:val="24"/>
          <w:szCs w:val="22"/>
        </w:rPr>
        <w:t>This Table provides data on the consumption patterns of wheat daily consumption in urban and rural area was 97%, 96%. Rice daily intake was also similar i.e. 96%,94% respectively among rural and urban post-menopausal women. This data suggests that wheat and rice is a staple food item consumed frequently on a daily basis by a vast majority of both rural and urban post-menopausal women, with minimal variation in consumption frequency between the two areas.</w:t>
      </w:r>
    </w:p>
    <w:p w14:paraId="264C91B9" w14:textId="77777777" w:rsidR="00D41649" w:rsidRPr="00744858" w:rsidRDefault="00D41649" w:rsidP="00D41649">
      <w:pPr>
        <w:tabs>
          <w:tab w:val="left" w:pos="1206"/>
        </w:tabs>
        <w:jc w:val="both"/>
        <w:rPr>
          <w:rFonts w:ascii="Times New Roman" w:hAnsi="Times New Roman" w:cs="Times New Roman"/>
          <w:sz w:val="24"/>
          <w:szCs w:val="22"/>
        </w:rPr>
      </w:pPr>
      <w:r w:rsidRPr="00744858">
        <w:rPr>
          <w:rFonts w:ascii="Times New Roman" w:hAnsi="Times New Roman" w:cs="Times New Roman"/>
          <w:sz w:val="24"/>
          <w:szCs w:val="22"/>
        </w:rPr>
        <w:t xml:space="preserve">In rural and urban areas, similar result was reported that 52.0% of ragi millets are never consumed among both </w:t>
      </w:r>
      <w:proofErr w:type="gramStart"/>
      <w:r w:rsidRPr="00744858">
        <w:rPr>
          <w:rFonts w:ascii="Times New Roman" w:hAnsi="Times New Roman" w:cs="Times New Roman"/>
          <w:sz w:val="24"/>
          <w:szCs w:val="22"/>
        </w:rPr>
        <w:t>group</w:t>
      </w:r>
      <w:proofErr w:type="gramEnd"/>
      <w:r w:rsidRPr="00744858">
        <w:rPr>
          <w:rFonts w:ascii="Times New Roman" w:hAnsi="Times New Roman" w:cs="Times New Roman"/>
          <w:sz w:val="24"/>
          <w:szCs w:val="22"/>
        </w:rPr>
        <w:t xml:space="preserve">. This suggests that ragi consumption, while less frequent compared to staple grains like wheat and rice, is still prevalent among both rural and urban post-menopausal women, particularly on an occasional basis, with similar consumption patterns observed across different intervals in both area. . It is similar to the findings of </w:t>
      </w:r>
      <w:proofErr w:type="spellStart"/>
      <w:r w:rsidRPr="00744858">
        <w:rPr>
          <w:rFonts w:ascii="Times New Roman" w:hAnsi="Times New Roman" w:cs="Times New Roman"/>
          <w:sz w:val="24"/>
          <w:szCs w:val="22"/>
        </w:rPr>
        <w:t>Anbukkani</w:t>
      </w:r>
      <w:proofErr w:type="spellEnd"/>
      <w:r w:rsidRPr="00744858">
        <w:rPr>
          <w:rFonts w:ascii="Times New Roman" w:hAnsi="Times New Roman" w:cs="Times New Roman"/>
          <w:sz w:val="24"/>
          <w:szCs w:val="22"/>
        </w:rPr>
        <w:t xml:space="preserve"> </w:t>
      </w:r>
      <w:r w:rsidRPr="00744858">
        <w:rPr>
          <w:rFonts w:ascii="Times New Roman" w:hAnsi="Times New Roman" w:cs="Times New Roman"/>
          <w:i/>
          <w:iCs/>
          <w:sz w:val="24"/>
          <w:szCs w:val="22"/>
        </w:rPr>
        <w:t>et al</w:t>
      </w:r>
      <w:r w:rsidRPr="00744858">
        <w:rPr>
          <w:rFonts w:ascii="Times New Roman" w:hAnsi="Times New Roman" w:cs="Times New Roman"/>
          <w:sz w:val="24"/>
          <w:szCs w:val="22"/>
        </w:rPr>
        <w:t>. (2017) who conducted a study to determine the consumption pattern of minor millets in India and found that small millets and ragi consumption of Rajasthan was very less with 0.75 kg/household/month and 0.56 kg/household/month respectively.</w:t>
      </w:r>
    </w:p>
    <w:p w14:paraId="627F205A" w14:textId="77777777" w:rsidR="00D41649" w:rsidRPr="00744858" w:rsidRDefault="00D41649" w:rsidP="00D41649">
      <w:pPr>
        <w:tabs>
          <w:tab w:val="left" w:pos="1206"/>
        </w:tabs>
        <w:jc w:val="both"/>
        <w:rPr>
          <w:rFonts w:ascii="Times New Roman" w:hAnsi="Times New Roman" w:cs="Times New Roman"/>
          <w:sz w:val="24"/>
          <w:szCs w:val="22"/>
        </w:rPr>
      </w:pPr>
      <w:r w:rsidRPr="00744858">
        <w:rPr>
          <w:rFonts w:ascii="Times New Roman" w:hAnsi="Times New Roman" w:cs="Times New Roman"/>
          <w:sz w:val="24"/>
          <w:szCs w:val="22"/>
        </w:rPr>
        <w:t xml:space="preserve">The consumption patterns of rajma (kidney </w:t>
      </w:r>
      <w:proofErr w:type="gramStart"/>
      <w:r w:rsidRPr="00744858">
        <w:rPr>
          <w:rFonts w:ascii="Times New Roman" w:hAnsi="Times New Roman" w:cs="Times New Roman"/>
          <w:sz w:val="24"/>
          <w:szCs w:val="22"/>
        </w:rPr>
        <w:t>beans )</w:t>
      </w:r>
      <w:proofErr w:type="gramEnd"/>
      <w:r w:rsidRPr="00744858">
        <w:rPr>
          <w:rFonts w:ascii="Times New Roman" w:hAnsi="Times New Roman" w:cs="Times New Roman"/>
          <w:sz w:val="24"/>
          <w:szCs w:val="22"/>
        </w:rPr>
        <w:t xml:space="preserve"> among rural and urban post-menopausal women represents a different consumption interval (e.g., daily, weekly, fortnightly, monthly, seasonally, occasionally, never. In rural areas, there is no reported consumption of  rajma on a daily or seasonal basis 18.0% of  women consume it weekly, 24.0% fortnightly, and 14.0% monthly. Similarly, in urban areas, no consumption of rajma is reported on a daily or seasonal basis. However, 22.0% of women consume it weekly, 18.7% fortnightly, and 15.3% monthly.</w:t>
      </w:r>
    </w:p>
    <w:p w14:paraId="4208F4BC" w14:textId="77777777" w:rsidR="00EC147A" w:rsidRPr="00744858" w:rsidRDefault="00D41649" w:rsidP="00D41649">
      <w:pPr>
        <w:tabs>
          <w:tab w:val="left" w:pos="5970"/>
        </w:tabs>
        <w:jc w:val="both"/>
        <w:rPr>
          <w:rFonts w:ascii="Times New Roman" w:hAnsi="Times New Roman" w:cs="Times New Roman"/>
          <w:b/>
          <w:bCs/>
          <w:color w:val="000000"/>
          <w:szCs w:val="22"/>
        </w:rPr>
      </w:pPr>
      <w:r w:rsidRPr="00744858">
        <w:rPr>
          <w:rFonts w:ascii="Times New Roman" w:hAnsi="Times New Roman" w:cs="Times New Roman"/>
          <w:sz w:val="24"/>
          <w:szCs w:val="22"/>
        </w:rPr>
        <w:t>Milk intake</w:t>
      </w:r>
      <w:r w:rsidRPr="00744858">
        <w:rPr>
          <w:rFonts w:ascii="Times New Roman" w:hAnsi="Times New Roman" w:cs="Times New Roman"/>
          <w:sz w:val="24"/>
          <w:szCs w:val="22"/>
          <w:cs/>
        </w:rPr>
        <w:t xml:space="preserve"> daily</w:t>
      </w:r>
      <w:r w:rsidRPr="00744858">
        <w:rPr>
          <w:rFonts w:ascii="Times New Roman" w:hAnsi="Times New Roman" w:cs="Times New Roman"/>
          <w:sz w:val="24"/>
          <w:szCs w:val="22"/>
        </w:rPr>
        <w:t xml:space="preserve"> in rural area was 61.3% which was higher than urban area 54%. Curd intake in urban area was reported 41.3% while in rural area it was 40%. </w:t>
      </w:r>
      <w:proofErr w:type="spellStart"/>
      <w:r w:rsidRPr="00744858">
        <w:rPr>
          <w:rFonts w:ascii="Times New Roman" w:hAnsi="Times New Roman" w:cs="Times New Roman"/>
          <w:sz w:val="24"/>
          <w:szCs w:val="22"/>
        </w:rPr>
        <w:t>Mathuriya</w:t>
      </w:r>
      <w:proofErr w:type="spellEnd"/>
      <w:r w:rsidRPr="00744858">
        <w:rPr>
          <w:rFonts w:ascii="Times New Roman" w:hAnsi="Times New Roman" w:cs="Times New Roman"/>
          <w:sz w:val="24"/>
          <w:szCs w:val="22"/>
        </w:rPr>
        <w:t xml:space="preserve"> (2013) </w:t>
      </w:r>
      <w:r w:rsidRPr="00744858">
        <w:rPr>
          <w:rFonts w:ascii="Times New Roman" w:hAnsi="Times New Roman" w:cs="Times New Roman"/>
          <w:sz w:val="24"/>
          <w:szCs w:val="22"/>
        </w:rPr>
        <w:lastRenderedPageBreak/>
        <w:t>conducted a study to assess the consumption pattern of milk and milk products in Lucknow city and found that all the households consume milk, while 80.83 and 26.67 per cent of them consume paneer and curd respectively. His results are little similar to the findings of the present studies which show that maximum of the menopausal women (95-100%) consume milk.</w:t>
      </w:r>
      <w:r w:rsidRPr="00744858">
        <w:rPr>
          <w:rFonts w:ascii="Times New Roman" w:hAnsi="Times New Roman" w:cs="Times New Roman"/>
          <w:b/>
          <w:bCs/>
          <w:color w:val="000000"/>
          <w:szCs w:val="22"/>
        </w:rPr>
        <w:t xml:space="preserve"> </w:t>
      </w:r>
      <w:r w:rsidR="00EC147A" w:rsidRPr="00744858">
        <w:rPr>
          <w:rFonts w:ascii="Times New Roman" w:hAnsi="Times New Roman" w:cs="Times New Roman"/>
          <w:sz w:val="24"/>
          <w:szCs w:val="22"/>
        </w:rPr>
        <w:t>paneer and curd  consumption in rural area, was reported. 8.0% weekly, 14.0% respectively.it fortnightly, and 27.3% consume it monthly. Notably, paneer consumption among rural women 32.0</w:t>
      </w:r>
      <w:proofErr w:type="gramStart"/>
      <w:r w:rsidR="00EC147A" w:rsidRPr="00744858">
        <w:rPr>
          <w:rFonts w:ascii="Times New Roman" w:hAnsi="Times New Roman" w:cs="Times New Roman"/>
          <w:sz w:val="24"/>
          <w:szCs w:val="22"/>
        </w:rPr>
        <w:t>%  occasionally</w:t>
      </w:r>
      <w:proofErr w:type="gramEnd"/>
      <w:r w:rsidR="00EC147A" w:rsidRPr="00744858">
        <w:rPr>
          <w:rFonts w:ascii="Times New Roman" w:hAnsi="Times New Roman" w:cs="Times New Roman"/>
          <w:sz w:val="24"/>
          <w:szCs w:val="22"/>
        </w:rPr>
        <w:t xml:space="preserve">. Result was slightly higher than rural area 10.7% of women consume paneer weekly, 16.0% consume it fortnightly, and 24.7% consume it monthly. 28.0% of urban   women consume paneer occasionally. In rural and urban area egg consumption is reported highly on the basis of occasionally as, 13.3%, and 14.7% respectively. </w:t>
      </w:r>
      <w:proofErr w:type="spellStart"/>
      <w:r w:rsidR="00EC147A" w:rsidRPr="00744858">
        <w:rPr>
          <w:rFonts w:ascii="Times New Roman" w:hAnsi="Times New Roman" w:cs="Times New Roman"/>
          <w:sz w:val="24"/>
          <w:szCs w:val="22"/>
        </w:rPr>
        <w:t>Mathuriya</w:t>
      </w:r>
      <w:proofErr w:type="spellEnd"/>
      <w:r w:rsidR="00EC147A" w:rsidRPr="00744858">
        <w:rPr>
          <w:rFonts w:ascii="Times New Roman" w:hAnsi="Times New Roman" w:cs="Times New Roman"/>
          <w:sz w:val="24"/>
          <w:szCs w:val="22"/>
        </w:rPr>
        <w:t xml:space="preserve"> (2013) In a study evaluating milk and milk product consumption patterns in Lucknow city, it was discovered that all households consumed milk, while 80.83% and 26.67% of them consumed paneer and curd, respectively</w:t>
      </w:r>
      <w:r w:rsidRPr="00744858">
        <w:rPr>
          <w:rFonts w:ascii="Times New Roman" w:hAnsi="Times New Roman" w:cs="Times New Roman"/>
          <w:sz w:val="24"/>
          <w:szCs w:val="22"/>
        </w:rPr>
        <w:t>.</w:t>
      </w:r>
    </w:p>
    <w:p w14:paraId="6CA1BA8B" w14:textId="77777777" w:rsidR="00EC147A" w:rsidRPr="00744858" w:rsidRDefault="00EC147A" w:rsidP="00240632">
      <w:pPr>
        <w:tabs>
          <w:tab w:val="left" w:pos="1206"/>
        </w:tabs>
        <w:jc w:val="both"/>
        <w:rPr>
          <w:rFonts w:ascii="Times New Roman" w:hAnsi="Times New Roman" w:cs="Times New Roman"/>
          <w:sz w:val="24"/>
          <w:szCs w:val="22"/>
        </w:rPr>
      </w:pPr>
      <w:r w:rsidRPr="00744858">
        <w:rPr>
          <w:rFonts w:ascii="Times New Roman" w:hAnsi="Times New Roman" w:cs="Times New Roman"/>
          <w:sz w:val="24"/>
          <w:szCs w:val="22"/>
        </w:rPr>
        <w:t xml:space="preserve">Flaxseed consumption among rural and urban post-menopausal women.8.0% of women consume flaxseed weekly, 37.3% consume it fortnightly and 33.3% consume it monthly. Whereas in urban area flaxseed consumption was higher in occasionally i.e. 37.3%. </w:t>
      </w:r>
    </w:p>
    <w:p w14:paraId="137E5611" w14:textId="77777777" w:rsidR="00EC147A" w:rsidRPr="00744858" w:rsidRDefault="00EC147A" w:rsidP="00240632">
      <w:pPr>
        <w:tabs>
          <w:tab w:val="left" w:pos="1206"/>
        </w:tabs>
        <w:jc w:val="both"/>
        <w:rPr>
          <w:rFonts w:ascii="Times New Roman" w:hAnsi="Times New Roman" w:cs="Times New Roman"/>
          <w:sz w:val="24"/>
          <w:szCs w:val="22"/>
        </w:rPr>
      </w:pPr>
      <w:r w:rsidRPr="00744858">
        <w:rPr>
          <w:rFonts w:ascii="Times New Roman" w:hAnsi="Times New Roman" w:cs="Times New Roman"/>
          <w:sz w:val="24"/>
          <w:szCs w:val="22"/>
        </w:rPr>
        <w:t xml:space="preserve">Vegetables like bottle gourd intake seasonally in rural and urban area were 88%, 87.3% respectively. Spinach intake in urban area 96.7% and in rural area slightly low i.e. 94% respectively.in fruits Apple and pomegranate intake in rural and urban areas 43%, 4.7% seasonally. In rural area it was 43&amp; and 7% which shows that pomegranate consumption is less than apple fruits. concludes that 72.5-95 per cent of the subjects </w:t>
      </w:r>
      <w:proofErr w:type="gramStart"/>
      <w:r w:rsidRPr="00744858">
        <w:rPr>
          <w:rFonts w:ascii="Times New Roman" w:hAnsi="Times New Roman" w:cs="Times New Roman"/>
          <w:sz w:val="24"/>
          <w:szCs w:val="22"/>
        </w:rPr>
        <w:t>Mamgain(</w:t>
      </w:r>
      <w:proofErr w:type="gramEnd"/>
      <w:r w:rsidRPr="00744858">
        <w:rPr>
          <w:rFonts w:ascii="Times New Roman" w:hAnsi="Times New Roman" w:cs="Times New Roman"/>
          <w:sz w:val="24"/>
          <w:szCs w:val="22"/>
        </w:rPr>
        <w:t xml:space="preserve">2019) </w:t>
      </w:r>
      <w:proofErr w:type="spellStart"/>
      <w:r w:rsidRPr="00744858">
        <w:rPr>
          <w:rFonts w:ascii="Times New Roman" w:hAnsi="Times New Roman" w:cs="Times New Roman"/>
          <w:sz w:val="24"/>
          <w:szCs w:val="22"/>
        </w:rPr>
        <w:t>cnclued</w:t>
      </w:r>
      <w:proofErr w:type="spellEnd"/>
      <w:r w:rsidRPr="00744858">
        <w:rPr>
          <w:rFonts w:ascii="Times New Roman" w:hAnsi="Times New Roman" w:cs="Times New Roman"/>
          <w:sz w:val="24"/>
          <w:szCs w:val="22"/>
        </w:rPr>
        <w:t xml:space="preserve"> in her study that intake of  bitter gourd, round gourd and ivy gourd seasonally. Moreover, 32.5-55 percent of the subjects consume spine gourd and drumsticks seasonally.</w:t>
      </w:r>
    </w:p>
    <w:p w14:paraId="70B88F7B" w14:textId="77777777" w:rsidR="00EC147A" w:rsidRPr="00744858" w:rsidRDefault="00EC147A" w:rsidP="00EC147A">
      <w:pPr>
        <w:pStyle w:val="ListParagraph"/>
        <w:numPr>
          <w:ilvl w:val="0"/>
          <w:numId w:val="1"/>
        </w:numPr>
        <w:tabs>
          <w:tab w:val="left" w:pos="1206"/>
        </w:tabs>
        <w:jc w:val="center"/>
        <w:rPr>
          <w:rFonts w:ascii="Times New Roman" w:hAnsi="Times New Roman" w:cs="Times New Roman"/>
          <w:b/>
          <w:bCs/>
          <w:sz w:val="32"/>
          <w:szCs w:val="28"/>
        </w:rPr>
      </w:pPr>
      <w:r w:rsidRPr="00744858">
        <w:rPr>
          <w:rFonts w:ascii="Times New Roman" w:hAnsi="Times New Roman" w:cs="Times New Roman"/>
          <w:b/>
          <w:bCs/>
          <w:sz w:val="32"/>
          <w:szCs w:val="28"/>
        </w:rPr>
        <w:t>Conclusion</w:t>
      </w:r>
    </w:p>
    <w:p w14:paraId="7365628F" w14:textId="77777777" w:rsidR="00EC147A" w:rsidRPr="00744858" w:rsidRDefault="00EC147A" w:rsidP="00240632">
      <w:pPr>
        <w:tabs>
          <w:tab w:val="left" w:pos="1206"/>
        </w:tabs>
        <w:jc w:val="both"/>
        <w:rPr>
          <w:rFonts w:ascii="Times New Roman" w:hAnsi="Times New Roman" w:cs="Times New Roman"/>
          <w:sz w:val="24"/>
          <w:szCs w:val="22"/>
        </w:rPr>
      </w:pPr>
      <w:r w:rsidRPr="00744858">
        <w:rPr>
          <w:rFonts w:ascii="Times New Roman" w:hAnsi="Times New Roman" w:cs="Times New Roman"/>
          <w:sz w:val="24"/>
          <w:szCs w:val="22"/>
        </w:rPr>
        <w:t xml:space="preserve"> Rural areas have higher proportions of married women (62.0% vs. 57.3% in urban areas), while urban areas have more unmarried women (</w:t>
      </w:r>
      <w:r w:rsidR="00A808B8" w:rsidRPr="00744858">
        <w:rPr>
          <w:rFonts w:ascii="Times New Roman" w:hAnsi="Times New Roman" w:cs="Times New Roman"/>
          <w:sz w:val="24"/>
          <w:szCs w:val="22"/>
        </w:rPr>
        <w:t>71.3%, 69.3%</w:t>
      </w:r>
      <w:r w:rsidRPr="00744858">
        <w:rPr>
          <w:rFonts w:ascii="Times New Roman" w:hAnsi="Times New Roman" w:cs="Times New Roman"/>
          <w:sz w:val="24"/>
          <w:szCs w:val="22"/>
        </w:rPr>
        <w:t xml:space="preserve">in rural areas). Widowed </w:t>
      </w:r>
      <w:r w:rsidR="00B23075" w:rsidRPr="00744858">
        <w:rPr>
          <w:rFonts w:ascii="Times New Roman" w:hAnsi="Times New Roman" w:cs="Times New Roman"/>
          <w:sz w:val="24"/>
          <w:szCs w:val="22"/>
        </w:rPr>
        <w:t xml:space="preserve">are slightly higher in rural areas 20.7% </w:t>
      </w:r>
      <w:r w:rsidRPr="00744858">
        <w:rPr>
          <w:rFonts w:ascii="Times New Roman" w:hAnsi="Times New Roman" w:cs="Times New Roman"/>
          <w:sz w:val="24"/>
          <w:szCs w:val="22"/>
        </w:rPr>
        <w:t>and divorced percentages</w:t>
      </w:r>
      <w:r w:rsidR="00B23075" w:rsidRPr="00744858">
        <w:rPr>
          <w:rFonts w:ascii="Times New Roman" w:hAnsi="Times New Roman" w:cs="Times New Roman"/>
          <w:sz w:val="24"/>
          <w:szCs w:val="22"/>
        </w:rPr>
        <w:t xml:space="preserve"> in higher in urban area with 8.7%</w:t>
      </w:r>
      <w:r w:rsidRPr="00744858">
        <w:rPr>
          <w:rFonts w:ascii="Times New Roman" w:hAnsi="Times New Roman" w:cs="Times New Roman"/>
          <w:sz w:val="24"/>
          <w:szCs w:val="22"/>
        </w:rPr>
        <w:t xml:space="preserve">. The anthropometric measurements of 150 menopausal women each from rural and urban areas in Ayodhya district showed statistically significant differences in mean height (cm), mean weight (kg), and BMI (kg/m2). Rural areas have higher percentages of illiterate and primary-educated women compared to urban areas. Urban areas, on the other hand, show higher percentages of women with graduate and postgraduate qualifications. </w:t>
      </w:r>
      <w:r w:rsidRPr="00744858">
        <w:rPr>
          <w:rFonts w:ascii="Times New Roman" w:hAnsi="Times New Roman" w:cs="Times New Roman"/>
          <w:sz w:val="24"/>
          <w:szCs w:val="22"/>
        </w:rPr>
        <w:lastRenderedPageBreak/>
        <w:t>Additionally, rural areas have slightly higher percentages of women with metric and intermediate education compared to urban areas.</w:t>
      </w:r>
      <w:r w:rsidR="00B23075" w:rsidRPr="00744858">
        <w:rPr>
          <w:rFonts w:ascii="Times New Roman" w:hAnsi="Times New Roman" w:cs="Times New Roman"/>
          <w:sz w:val="24"/>
          <w:szCs w:val="22"/>
        </w:rPr>
        <w:t xml:space="preserve"> </w:t>
      </w:r>
      <w:r w:rsidRPr="00744858">
        <w:rPr>
          <w:rFonts w:ascii="Times New Roman" w:hAnsi="Times New Roman" w:cs="Times New Roman"/>
          <w:sz w:val="24"/>
          <w:szCs w:val="22"/>
        </w:rPr>
        <w:t xml:space="preserve">The categorization of BMI among post-menopausal women in urban and rural areas, according to WHO standards, revealed significant differences. In rural areas, 3.3% of women were underweight compared to 0.7% in urban areas. The proportion of women with normal BMI was 64% in rural areas and 62.7% in urban areas. </w:t>
      </w:r>
      <w:r w:rsidR="003D7976" w:rsidRPr="00744858">
        <w:rPr>
          <w:rFonts w:ascii="Times New Roman" w:hAnsi="Times New Roman" w:cs="Times New Roman"/>
          <w:sz w:val="24"/>
          <w:szCs w:val="22"/>
        </w:rPr>
        <w:t>Whereas</w:t>
      </w:r>
      <w:r w:rsidRPr="00744858">
        <w:rPr>
          <w:rFonts w:ascii="Times New Roman" w:hAnsi="Times New Roman" w:cs="Times New Roman"/>
          <w:sz w:val="24"/>
          <w:szCs w:val="22"/>
        </w:rPr>
        <w:t>, 31.3% of rural women were overweight, while 35.3% of urban women fell into this category.</w:t>
      </w:r>
      <w:r w:rsidR="003D7976" w:rsidRPr="00744858">
        <w:rPr>
          <w:rFonts w:ascii="Times New Roman" w:hAnsi="Times New Roman" w:cs="Times New Roman"/>
          <w:sz w:val="24"/>
          <w:szCs w:val="22"/>
        </w:rPr>
        <w:t xml:space="preserve"> </w:t>
      </w:r>
      <w:r w:rsidRPr="00744858">
        <w:rPr>
          <w:rFonts w:ascii="Times New Roman" w:hAnsi="Times New Roman" w:cs="Times New Roman"/>
          <w:sz w:val="24"/>
          <w:szCs w:val="22"/>
        </w:rPr>
        <w:t>Energy intake of both rural and urban populations was slightly lower than the Recommended Dietary Allowance (RDA), while protein intake was slightly higher than the RDA. However, the fat intake of post-menopausal women, both in rural and urban areas, exceeded the recommended level of 25 grams per day, with rural women consuming 31.68±4.0 grams and urban women consuming 30.4±4.9 grams. wheat and rice are staple foods consumed daily by a vast majority of post-menopausal women in both rural (97%, 96%) and urban (96%, 94%) areas, with minimal variation. Flaxseed consumption is higher in urban areas occasionally (37.3%). Vegetables like bottle gourd are consumed seasonally in both rural and urban areas (88%, 87.3%), while spinach intake is slightly lower in rural areas.</w:t>
      </w:r>
    </w:p>
    <w:p w14:paraId="1382F1FA" w14:textId="77777777" w:rsidR="00EC147A" w:rsidRPr="00744858" w:rsidRDefault="00EC147A" w:rsidP="00EC147A">
      <w:pPr>
        <w:tabs>
          <w:tab w:val="left" w:pos="1206"/>
        </w:tabs>
        <w:rPr>
          <w:rFonts w:ascii="Times New Roman" w:hAnsi="Times New Roman" w:cs="Times New Roman"/>
          <w:b/>
          <w:bCs/>
          <w:sz w:val="28"/>
          <w:szCs w:val="24"/>
        </w:rPr>
      </w:pPr>
      <w:r w:rsidRPr="00744858">
        <w:rPr>
          <w:rFonts w:ascii="Times New Roman" w:hAnsi="Times New Roman" w:cs="Times New Roman"/>
          <w:b/>
          <w:bCs/>
          <w:sz w:val="28"/>
          <w:szCs w:val="24"/>
        </w:rPr>
        <w:t>Recommendation</w:t>
      </w:r>
    </w:p>
    <w:p w14:paraId="2189B833" w14:textId="77777777" w:rsidR="00EC147A" w:rsidRPr="00744858" w:rsidRDefault="003D7976" w:rsidP="003D7976">
      <w:pPr>
        <w:tabs>
          <w:tab w:val="left" w:pos="1206"/>
        </w:tabs>
        <w:jc w:val="both"/>
        <w:rPr>
          <w:rFonts w:ascii="Times New Roman" w:hAnsi="Times New Roman" w:cs="Times New Roman"/>
        </w:rPr>
      </w:pPr>
      <w:r w:rsidRPr="00744858">
        <w:rPr>
          <w:rFonts w:ascii="Times New Roman" w:hAnsi="Times New Roman" w:cs="Times New Roman"/>
        </w:rPr>
        <w:t xml:space="preserve"> </w:t>
      </w:r>
      <w:r w:rsidR="00EC147A" w:rsidRPr="00744858">
        <w:rPr>
          <w:rFonts w:ascii="Times New Roman" w:hAnsi="Times New Roman" w:cs="Times New Roman"/>
          <w:sz w:val="24"/>
          <w:szCs w:val="22"/>
        </w:rPr>
        <w:t>Given the rising life expectancy and expanding population of menopausal women in India, prioritizing menopausal health has become imperative. Extensive initiatives are needed to educate and raise awareness among these women regarding menopausal symptoms, alleviation of discomfort, and the importance of seeking appropriate medical attention. Notably, postmenopausal women in India currently lack coverage under any targeted health programs, unlike their younger counterparts (RCH and ICDS). Therefore, policymakers should assess successful initiatives implemented for menopausal women in other nations and tailor them to fit local contexts and economic feasibility.</w:t>
      </w:r>
    </w:p>
    <w:p w14:paraId="3B6C2EBB" w14:textId="77777777" w:rsidR="00EC147A" w:rsidRPr="00744858" w:rsidRDefault="00EC147A" w:rsidP="00EC147A">
      <w:pPr>
        <w:tabs>
          <w:tab w:val="left" w:pos="1206"/>
        </w:tabs>
        <w:rPr>
          <w:rFonts w:ascii="Times New Roman" w:hAnsi="Times New Roman" w:cs="Times New Roman"/>
          <w:b/>
          <w:bCs/>
        </w:rPr>
      </w:pPr>
      <w:r w:rsidRPr="00744858">
        <w:rPr>
          <w:rFonts w:ascii="Times New Roman" w:hAnsi="Times New Roman" w:cs="Times New Roman"/>
          <w:b/>
          <w:bCs/>
        </w:rPr>
        <w:t>Ethical Approval</w:t>
      </w:r>
    </w:p>
    <w:p w14:paraId="40498A3C" w14:textId="77777777" w:rsidR="00EC147A" w:rsidRPr="00744858" w:rsidRDefault="00EC147A" w:rsidP="00240632">
      <w:pPr>
        <w:tabs>
          <w:tab w:val="left" w:pos="1206"/>
        </w:tabs>
        <w:jc w:val="both"/>
        <w:rPr>
          <w:rFonts w:ascii="Times New Roman" w:hAnsi="Times New Roman" w:cs="Times New Roman"/>
          <w:sz w:val="24"/>
          <w:szCs w:val="22"/>
        </w:rPr>
      </w:pPr>
      <w:r w:rsidRPr="00744858">
        <w:rPr>
          <w:rFonts w:ascii="Times New Roman" w:hAnsi="Times New Roman" w:cs="Times New Roman"/>
          <w:sz w:val="24"/>
          <w:szCs w:val="22"/>
        </w:rPr>
        <w:t>Ethical   approval   to   conduct   the   study   was obtained by th</w:t>
      </w:r>
      <w:r w:rsidR="004A005B" w:rsidRPr="00744858">
        <w:rPr>
          <w:rFonts w:ascii="Times New Roman" w:hAnsi="Times New Roman" w:cs="Times New Roman"/>
          <w:sz w:val="24"/>
          <w:szCs w:val="22"/>
        </w:rPr>
        <w:t>e ethical committee of Acharya N</w:t>
      </w:r>
      <w:r w:rsidRPr="00744858">
        <w:rPr>
          <w:rFonts w:ascii="Times New Roman" w:hAnsi="Times New Roman" w:cs="Times New Roman"/>
          <w:sz w:val="24"/>
          <w:szCs w:val="22"/>
        </w:rPr>
        <w:t xml:space="preserve">arendra Deva University of Agricultural and Technology, </w:t>
      </w:r>
      <w:proofErr w:type="spellStart"/>
      <w:r w:rsidRPr="00744858">
        <w:rPr>
          <w:rFonts w:ascii="Times New Roman" w:hAnsi="Times New Roman" w:cs="Times New Roman"/>
          <w:sz w:val="24"/>
          <w:szCs w:val="22"/>
        </w:rPr>
        <w:t>Kumarganj</w:t>
      </w:r>
      <w:proofErr w:type="spellEnd"/>
      <w:r w:rsidRPr="00744858">
        <w:rPr>
          <w:rFonts w:ascii="Times New Roman" w:hAnsi="Times New Roman" w:cs="Times New Roman"/>
          <w:sz w:val="24"/>
          <w:szCs w:val="22"/>
        </w:rPr>
        <w:t>, Ayodhya.</w:t>
      </w:r>
    </w:p>
    <w:p w14:paraId="4A15F0CB" w14:textId="77777777" w:rsidR="00EC147A" w:rsidRPr="00744858" w:rsidRDefault="00EC147A" w:rsidP="00EC147A">
      <w:pPr>
        <w:tabs>
          <w:tab w:val="left" w:pos="1206"/>
        </w:tabs>
        <w:rPr>
          <w:rFonts w:ascii="Times New Roman" w:hAnsi="Times New Roman" w:cs="Times New Roman"/>
        </w:rPr>
      </w:pPr>
    </w:p>
    <w:p w14:paraId="46C38A91" w14:textId="77777777" w:rsidR="00EC147A" w:rsidRPr="00744858" w:rsidRDefault="00465FA7" w:rsidP="00EC147A">
      <w:pPr>
        <w:tabs>
          <w:tab w:val="left" w:pos="1206"/>
        </w:tabs>
        <w:rPr>
          <w:rFonts w:ascii="Times New Roman" w:hAnsi="Times New Roman" w:cs="Times New Roman"/>
          <w:b/>
          <w:bCs/>
          <w:sz w:val="32"/>
          <w:szCs w:val="28"/>
        </w:rPr>
      </w:pPr>
      <w:r w:rsidRPr="00744858">
        <w:rPr>
          <w:rFonts w:ascii="Times New Roman" w:hAnsi="Times New Roman" w:cs="Times New Roman"/>
          <w:b/>
          <w:bCs/>
          <w:sz w:val="32"/>
          <w:szCs w:val="28"/>
        </w:rPr>
        <w:t>References</w:t>
      </w:r>
      <w:r w:rsidR="00EC147A" w:rsidRPr="00744858">
        <w:rPr>
          <w:rFonts w:ascii="Times New Roman" w:hAnsi="Times New Roman" w:cs="Times New Roman"/>
          <w:b/>
          <w:bCs/>
          <w:sz w:val="32"/>
          <w:szCs w:val="28"/>
        </w:rPr>
        <w:t>:</w:t>
      </w:r>
    </w:p>
    <w:p w14:paraId="56A7A8F4"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lastRenderedPageBreak/>
        <w:fldChar w:fldCharType="begin"/>
      </w:r>
      <w:r w:rsidRPr="00291938">
        <w:rPr>
          <w:rFonts w:ascii="Times New Roman" w:hAnsi="Times New Roman" w:cs="Times New Roman"/>
          <w:lang w:val="de-DE"/>
        </w:rPr>
        <w:instrText xml:space="preserve"> ADDIN ZOTERO_BIBL {"uncited":[],"omitted":[],"custom":[]} CSL_BIBLIOGRAPHY </w:instrText>
      </w:r>
      <w:r w:rsidRPr="00744858">
        <w:rPr>
          <w:rFonts w:ascii="Times New Roman" w:hAnsi="Times New Roman" w:cs="Times New Roman"/>
        </w:rPr>
        <w:fldChar w:fldCharType="separate"/>
      </w:r>
      <w:r w:rsidRPr="00291938">
        <w:rPr>
          <w:rFonts w:ascii="Times New Roman" w:hAnsi="Times New Roman" w:cs="Times New Roman"/>
          <w:lang w:val="de-DE"/>
        </w:rPr>
        <w:t xml:space="preserve">Agarwal, A. K., Kiron, N., Gupta, R., Sengar, A., &amp; Gupta, P. (2018). </w:t>
      </w:r>
      <w:r w:rsidRPr="00744858">
        <w:rPr>
          <w:rFonts w:ascii="Times New Roman" w:hAnsi="Times New Roman" w:cs="Times New Roman"/>
        </w:rPr>
        <w:t xml:space="preserve">A study of assessment menopausal symptoms and coping strategies among middle age women of North Central India. </w:t>
      </w:r>
      <w:r w:rsidRPr="00744858">
        <w:rPr>
          <w:rFonts w:ascii="Times New Roman" w:hAnsi="Times New Roman" w:cs="Times New Roman"/>
          <w:i/>
          <w:iCs/>
        </w:rPr>
        <w:t>International Journal of Community Medicine and Public Health</w:t>
      </w:r>
      <w:r w:rsidRPr="00744858">
        <w:rPr>
          <w:rFonts w:ascii="Times New Roman" w:hAnsi="Times New Roman" w:cs="Times New Roman"/>
        </w:rPr>
        <w:t xml:space="preserve">, </w:t>
      </w:r>
      <w:r w:rsidRPr="00744858">
        <w:rPr>
          <w:rFonts w:ascii="Times New Roman" w:hAnsi="Times New Roman" w:cs="Times New Roman"/>
          <w:i/>
          <w:iCs/>
        </w:rPr>
        <w:t>5</w:t>
      </w:r>
      <w:r w:rsidRPr="00744858">
        <w:rPr>
          <w:rFonts w:ascii="Times New Roman" w:hAnsi="Times New Roman" w:cs="Times New Roman"/>
        </w:rPr>
        <w:t>(10), 4470–4477.</w:t>
      </w:r>
    </w:p>
    <w:p w14:paraId="79096F08"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Anbukkani, P., Balaji, S. J. and Nithyashree, M. L. 2017. Production and consumption of minor millets in India- A structural break analysis. </w:t>
      </w:r>
      <w:r w:rsidRPr="00744858">
        <w:rPr>
          <w:rFonts w:ascii="Times New Roman" w:hAnsi="Times New Roman" w:cs="Times New Roman"/>
          <w:i/>
          <w:iCs/>
        </w:rPr>
        <w:t>Annals of Agricultural</w:t>
      </w:r>
      <w:r w:rsidRPr="00744858">
        <w:rPr>
          <w:rFonts w:ascii="Times New Roman" w:hAnsi="Times New Roman" w:cs="Times New Roman"/>
        </w:rPr>
        <w:t xml:space="preserve"> </w:t>
      </w:r>
      <w:r w:rsidRPr="00744858">
        <w:rPr>
          <w:rFonts w:ascii="Times New Roman" w:hAnsi="Times New Roman" w:cs="Times New Roman"/>
          <w:i/>
          <w:iCs/>
        </w:rPr>
        <w:t>Research</w:t>
      </w:r>
      <w:r w:rsidRPr="00744858">
        <w:rPr>
          <w:rFonts w:ascii="Times New Roman" w:hAnsi="Times New Roman" w:cs="Times New Roman"/>
        </w:rPr>
        <w:t xml:space="preserve">. </w:t>
      </w:r>
      <w:r w:rsidRPr="00744858">
        <w:rPr>
          <w:rFonts w:ascii="Times New Roman" w:hAnsi="Times New Roman" w:cs="Times New Roman"/>
          <w:b/>
          <w:bCs/>
        </w:rPr>
        <w:t>38</w:t>
      </w:r>
      <w:r w:rsidRPr="00744858">
        <w:rPr>
          <w:rFonts w:ascii="Times New Roman" w:hAnsi="Times New Roman" w:cs="Times New Roman"/>
        </w:rPr>
        <w:t>: 1-8</w:t>
      </w:r>
    </w:p>
    <w:p w14:paraId="79F5704D"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b/>
          <w:bCs/>
        </w:rPr>
      </w:pPr>
      <w:r w:rsidRPr="00744858">
        <w:rPr>
          <w:rFonts w:ascii="Times New Roman" w:hAnsi="Times New Roman" w:cs="Times New Roman"/>
        </w:rPr>
        <w:fldChar w:fldCharType="end"/>
      </w:r>
      <w:r w:rsidRPr="00744858">
        <w:rPr>
          <w:rFonts w:ascii="Times New Roman" w:hAnsi="Times New Roman" w:cs="Times New Roman"/>
        </w:rPr>
        <w:t>Aggarwal, N., Raveendran, A., Khandelwal, N., Sen, R. K., Thakur, J. S., Dhaliwal, L. K., Singla, V. and Manoharan, S. R. R. (2011). Prevale</w:t>
      </w:r>
      <w:r w:rsidR="00240632" w:rsidRPr="00744858">
        <w:rPr>
          <w:rFonts w:ascii="Times New Roman" w:hAnsi="Times New Roman" w:cs="Times New Roman"/>
        </w:rPr>
        <w:t xml:space="preserve">nce and related risk factors of </w:t>
      </w:r>
      <w:r w:rsidRPr="00744858">
        <w:rPr>
          <w:rFonts w:ascii="Times New Roman" w:hAnsi="Times New Roman" w:cs="Times New Roman"/>
        </w:rPr>
        <w:t xml:space="preserve">osteoporosis in Peri and Post menopausal Indian women. </w:t>
      </w:r>
      <w:r w:rsidRPr="00744858">
        <w:rPr>
          <w:rFonts w:ascii="Times New Roman" w:hAnsi="Times New Roman" w:cs="Times New Roman"/>
          <w:i/>
          <w:iCs/>
        </w:rPr>
        <w:t>Journal of</w:t>
      </w:r>
      <w:r w:rsidRPr="00744858">
        <w:rPr>
          <w:rFonts w:ascii="Times New Roman" w:hAnsi="Times New Roman" w:cs="Times New Roman"/>
        </w:rPr>
        <w:t xml:space="preserve"> </w:t>
      </w:r>
      <w:r w:rsidRPr="00744858">
        <w:rPr>
          <w:rFonts w:ascii="Times New Roman" w:hAnsi="Times New Roman" w:cs="Times New Roman"/>
          <w:i/>
          <w:iCs/>
        </w:rPr>
        <w:t>Mid-life Health</w:t>
      </w:r>
      <w:r w:rsidRPr="00744858">
        <w:rPr>
          <w:rFonts w:ascii="Times New Roman" w:hAnsi="Times New Roman" w:cs="Times New Roman"/>
        </w:rPr>
        <w:t xml:space="preserve">. </w:t>
      </w:r>
      <w:r w:rsidRPr="00744858">
        <w:rPr>
          <w:rFonts w:ascii="Times New Roman" w:hAnsi="Times New Roman" w:cs="Times New Roman"/>
          <w:b/>
          <w:bCs/>
        </w:rPr>
        <w:t>2</w:t>
      </w:r>
      <w:r w:rsidRPr="00744858">
        <w:rPr>
          <w:rFonts w:ascii="Times New Roman" w:hAnsi="Times New Roman" w:cs="Times New Roman"/>
        </w:rPr>
        <w:t>: 81-85.</w:t>
      </w:r>
    </w:p>
    <w:p w14:paraId="57E2377A"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Ahuja, M. (2016). Age of menopause and determinants of menopause age: A PAN India survey by IMS. Journal of mid-life health, 7(3), 126-131.</w:t>
      </w:r>
    </w:p>
    <w:p w14:paraId="1C7726C1"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Ahsan, M., &amp; Mallick, A. K. (2017). The effect of soy isoflavones on the menopause rating scale scoring in perimenopausal and postmenopausal women: A pilot study. </w:t>
      </w:r>
      <w:r w:rsidRPr="00744858">
        <w:rPr>
          <w:rFonts w:ascii="Times New Roman" w:hAnsi="Times New Roman" w:cs="Times New Roman"/>
          <w:i/>
          <w:iCs/>
        </w:rPr>
        <w:t>Journal of clinical and diagnostic research: JCDR</w:t>
      </w:r>
      <w:r w:rsidRPr="00744858">
        <w:rPr>
          <w:rFonts w:ascii="Times New Roman" w:hAnsi="Times New Roman" w:cs="Times New Roman"/>
        </w:rPr>
        <w:t>, </w:t>
      </w:r>
      <w:r w:rsidRPr="00744858">
        <w:rPr>
          <w:rFonts w:ascii="Times New Roman" w:hAnsi="Times New Roman" w:cs="Times New Roman"/>
          <w:i/>
          <w:iCs/>
        </w:rPr>
        <w:t>11</w:t>
      </w:r>
      <w:r w:rsidRPr="00744858">
        <w:rPr>
          <w:rFonts w:ascii="Times New Roman" w:hAnsi="Times New Roman" w:cs="Times New Roman"/>
        </w:rPr>
        <w:t>(9), FC13.</w:t>
      </w:r>
    </w:p>
    <w:p w14:paraId="22166F04"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Barrea, L., Arnone, A., Annunziata, G., </w:t>
      </w:r>
      <w:proofErr w:type="spellStart"/>
      <w:r w:rsidRPr="00744858">
        <w:rPr>
          <w:rFonts w:ascii="Times New Roman" w:hAnsi="Times New Roman" w:cs="Times New Roman"/>
        </w:rPr>
        <w:t>Muscogiuri</w:t>
      </w:r>
      <w:proofErr w:type="spellEnd"/>
      <w:r w:rsidRPr="00744858">
        <w:rPr>
          <w:rFonts w:ascii="Times New Roman" w:hAnsi="Times New Roman" w:cs="Times New Roman"/>
        </w:rPr>
        <w:t>, G., Laudisio, D., Salzano, C., ... &amp; Savastano, S. (2019). Adherence to the mediterranean diet, dietary patterns and body composition in women with polycystic ovary syndrome (PCOS). </w:t>
      </w:r>
      <w:r w:rsidRPr="00744858">
        <w:rPr>
          <w:rFonts w:ascii="Times New Roman" w:hAnsi="Times New Roman" w:cs="Times New Roman"/>
          <w:i/>
          <w:iCs/>
        </w:rPr>
        <w:t>Nutrients</w:t>
      </w:r>
      <w:r w:rsidRPr="00744858">
        <w:rPr>
          <w:rFonts w:ascii="Times New Roman" w:hAnsi="Times New Roman" w:cs="Times New Roman"/>
        </w:rPr>
        <w:t>, </w:t>
      </w:r>
      <w:r w:rsidRPr="00744858">
        <w:rPr>
          <w:rFonts w:ascii="Times New Roman" w:hAnsi="Times New Roman" w:cs="Times New Roman"/>
          <w:i/>
          <w:iCs/>
        </w:rPr>
        <w:t>11</w:t>
      </w:r>
      <w:r w:rsidRPr="00744858">
        <w:rPr>
          <w:rFonts w:ascii="Times New Roman" w:hAnsi="Times New Roman" w:cs="Times New Roman"/>
        </w:rPr>
        <w:t>(10), 2278.</w:t>
      </w:r>
    </w:p>
    <w:p w14:paraId="51ADA912"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Bade, G., Shah, S., Nahar, P. and Vaidya, S. (2014). Effect of menopause on lipid profile in relation to body mass index. </w:t>
      </w:r>
      <w:r w:rsidRPr="00744858">
        <w:rPr>
          <w:rFonts w:ascii="Times New Roman" w:hAnsi="Times New Roman" w:cs="Times New Roman"/>
          <w:i/>
          <w:iCs/>
        </w:rPr>
        <w:t>Chronicles of Young Scientists</w:t>
      </w:r>
      <w:r w:rsidRPr="00744858">
        <w:rPr>
          <w:rFonts w:ascii="Times New Roman" w:hAnsi="Times New Roman" w:cs="Times New Roman"/>
        </w:rPr>
        <w:t xml:space="preserve">. </w:t>
      </w:r>
      <w:r w:rsidRPr="00744858">
        <w:rPr>
          <w:rFonts w:ascii="Times New Roman" w:hAnsi="Times New Roman" w:cs="Times New Roman"/>
          <w:b/>
          <w:bCs/>
        </w:rPr>
        <w:t>5</w:t>
      </w:r>
      <w:r w:rsidRPr="00744858">
        <w:rPr>
          <w:rFonts w:ascii="Times New Roman" w:hAnsi="Times New Roman" w:cs="Times New Roman"/>
        </w:rPr>
        <w:t>: 20-24.</w:t>
      </w:r>
    </w:p>
    <w:p w14:paraId="0E3BEF5C"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Bunker, V. W., 1994. The role of nutrition in osteoporosis Br. J. Biomed Sci., 51 (3) 228-240.</w:t>
      </w:r>
    </w:p>
    <w:p w14:paraId="2C5A4B67"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proofErr w:type="spellStart"/>
      <w:r w:rsidRPr="00744858">
        <w:rPr>
          <w:rFonts w:ascii="Times New Roman" w:hAnsi="Times New Roman" w:cs="Times New Roman"/>
        </w:rPr>
        <w:t>Daneshzad</w:t>
      </w:r>
      <w:proofErr w:type="spellEnd"/>
      <w:r w:rsidRPr="00744858">
        <w:rPr>
          <w:rFonts w:ascii="Times New Roman" w:hAnsi="Times New Roman" w:cs="Times New Roman"/>
        </w:rPr>
        <w:t xml:space="preserve">, E., Keshavarz, S. A., </w:t>
      </w:r>
      <w:proofErr w:type="spellStart"/>
      <w:r w:rsidRPr="00744858">
        <w:rPr>
          <w:rFonts w:ascii="Times New Roman" w:hAnsi="Times New Roman" w:cs="Times New Roman"/>
        </w:rPr>
        <w:t>Qorbani</w:t>
      </w:r>
      <w:proofErr w:type="spellEnd"/>
      <w:r w:rsidRPr="00744858">
        <w:rPr>
          <w:rFonts w:ascii="Times New Roman" w:hAnsi="Times New Roman" w:cs="Times New Roman"/>
        </w:rPr>
        <w:t xml:space="preserve">, M., Larijani, B., Bellissimo, N., &amp; </w:t>
      </w:r>
      <w:proofErr w:type="spellStart"/>
      <w:r w:rsidRPr="00744858">
        <w:rPr>
          <w:rFonts w:ascii="Times New Roman" w:hAnsi="Times New Roman" w:cs="Times New Roman"/>
        </w:rPr>
        <w:t>Azadbakht</w:t>
      </w:r>
      <w:proofErr w:type="spellEnd"/>
      <w:r w:rsidRPr="00744858">
        <w:rPr>
          <w:rFonts w:ascii="Times New Roman" w:hAnsi="Times New Roman" w:cs="Times New Roman"/>
        </w:rPr>
        <w:t>, L. (2020). Association of dietary acid load and plant-based diet index with sleep, stress, anxiety and depression in diabetic women. </w:t>
      </w:r>
      <w:r w:rsidRPr="00744858">
        <w:rPr>
          <w:rFonts w:ascii="Times New Roman" w:hAnsi="Times New Roman" w:cs="Times New Roman"/>
          <w:i/>
          <w:iCs/>
        </w:rPr>
        <w:t>British Journal of Nutrition</w:t>
      </w:r>
      <w:r w:rsidRPr="00744858">
        <w:rPr>
          <w:rFonts w:ascii="Times New Roman" w:hAnsi="Times New Roman" w:cs="Times New Roman"/>
        </w:rPr>
        <w:t>, </w:t>
      </w:r>
      <w:r w:rsidRPr="00744858">
        <w:rPr>
          <w:rFonts w:ascii="Times New Roman" w:hAnsi="Times New Roman" w:cs="Times New Roman"/>
          <w:i/>
          <w:iCs/>
        </w:rPr>
        <w:t>123</w:t>
      </w:r>
      <w:r w:rsidRPr="00744858">
        <w:rPr>
          <w:rFonts w:ascii="Times New Roman" w:hAnsi="Times New Roman" w:cs="Times New Roman"/>
        </w:rPr>
        <w:t>(8), 901-912.</w:t>
      </w:r>
    </w:p>
    <w:p w14:paraId="1F0B83FD"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Chee, W.SS., AR Suriah, Y. Zaitun, SP. Chan, SL. Yap and YM Chan, 2002. Dietary calcium intake in postmenopausal Malaysian women: Comparison between the food frequency questionnaire and three-day food records Asia Pacific J Clin </w:t>
      </w:r>
      <w:proofErr w:type="spellStart"/>
      <w:r w:rsidRPr="00744858">
        <w:rPr>
          <w:rFonts w:ascii="Times New Roman" w:hAnsi="Times New Roman" w:cs="Times New Roman"/>
        </w:rPr>
        <w:t>Nutr</w:t>
      </w:r>
      <w:proofErr w:type="spellEnd"/>
      <w:r w:rsidRPr="00744858">
        <w:rPr>
          <w:rFonts w:ascii="Times New Roman" w:hAnsi="Times New Roman" w:cs="Times New Roman"/>
        </w:rPr>
        <w:t>, 11 (2): 142-146</w:t>
      </w:r>
    </w:p>
    <w:p w14:paraId="17D34506"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Dasgupta, D. and Ray, S. (2009). Menopausal problems among rural and urban women from eastern India. Journal of Social, </w:t>
      </w:r>
      <w:proofErr w:type="spellStart"/>
      <w:r w:rsidRPr="00744858">
        <w:rPr>
          <w:rFonts w:ascii="Times New Roman" w:hAnsi="Times New Roman" w:cs="Times New Roman"/>
        </w:rPr>
        <w:t>Behavioral</w:t>
      </w:r>
      <w:proofErr w:type="spellEnd"/>
      <w:r w:rsidRPr="00744858">
        <w:rPr>
          <w:rFonts w:ascii="Times New Roman" w:hAnsi="Times New Roman" w:cs="Times New Roman"/>
        </w:rPr>
        <w:t>, and Health Sciences, 3:20-33.</w:t>
      </w:r>
    </w:p>
    <w:p w14:paraId="1F0BAEEE"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Donato G.B., Fuchs S.C., Oppermann K., Bastos C., (2006).Spritzer P.M. Association between menopause status and central adiposity measured at different cutoffs of waist circumference and waist-to-hip ratio. Menopause. </w:t>
      </w:r>
      <w:proofErr w:type="gramStart"/>
      <w:r w:rsidRPr="00744858">
        <w:rPr>
          <w:rFonts w:ascii="Times New Roman" w:hAnsi="Times New Roman" w:cs="Times New Roman"/>
        </w:rPr>
        <w:t>2006;13:280</w:t>
      </w:r>
      <w:proofErr w:type="gramEnd"/>
      <w:r w:rsidRPr="00744858">
        <w:rPr>
          <w:rFonts w:ascii="Times New Roman" w:hAnsi="Times New Roman" w:cs="Times New Roman"/>
        </w:rPr>
        <w:t>–285.doi: 10.1097/01.gme.0000177907.32634.ae.</w:t>
      </w:r>
    </w:p>
    <w:p w14:paraId="1E429955"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proofErr w:type="spellStart"/>
      <w:r w:rsidRPr="00744858">
        <w:rPr>
          <w:rFonts w:ascii="Times New Roman" w:hAnsi="Times New Roman" w:cs="Times New Roman"/>
        </w:rPr>
        <w:t>Dosi</w:t>
      </w:r>
      <w:proofErr w:type="spellEnd"/>
      <w:r w:rsidRPr="00744858">
        <w:rPr>
          <w:rFonts w:ascii="Times New Roman" w:hAnsi="Times New Roman" w:cs="Times New Roman"/>
        </w:rPr>
        <w:t xml:space="preserve">, R., Bhatt, N., Shah, P. and Patell, R. (2014). Cardiovascular disease and menopause. </w:t>
      </w:r>
      <w:r w:rsidRPr="00744858">
        <w:rPr>
          <w:rFonts w:ascii="Times New Roman" w:hAnsi="Times New Roman" w:cs="Times New Roman"/>
          <w:i/>
          <w:iCs/>
        </w:rPr>
        <w:t>Journal of Clinical and Diagnostic Research</w:t>
      </w:r>
      <w:r w:rsidRPr="00744858">
        <w:rPr>
          <w:rFonts w:ascii="Times New Roman" w:hAnsi="Times New Roman" w:cs="Times New Roman"/>
        </w:rPr>
        <w:t xml:space="preserve">. </w:t>
      </w:r>
      <w:r w:rsidRPr="00744858">
        <w:rPr>
          <w:rFonts w:ascii="Times New Roman" w:hAnsi="Times New Roman" w:cs="Times New Roman"/>
          <w:b/>
          <w:bCs/>
        </w:rPr>
        <w:t>8</w:t>
      </w:r>
      <w:r w:rsidRPr="00744858">
        <w:rPr>
          <w:rFonts w:ascii="Times New Roman" w:hAnsi="Times New Roman" w:cs="Times New Roman"/>
        </w:rPr>
        <w:t>: 62-64.</w:t>
      </w:r>
    </w:p>
    <w:p w14:paraId="7C01268B"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proofErr w:type="spellStart"/>
      <w:r w:rsidRPr="00744858">
        <w:rPr>
          <w:rFonts w:ascii="Times New Roman" w:hAnsi="Times New Roman" w:cs="Times New Roman"/>
        </w:rPr>
        <w:lastRenderedPageBreak/>
        <w:t>Fortwengel</w:t>
      </w:r>
      <w:proofErr w:type="spellEnd"/>
      <w:r w:rsidRPr="00744858">
        <w:rPr>
          <w:rFonts w:ascii="Times New Roman" w:hAnsi="Times New Roman" w:cs="Times New Roman"/>
        </w:rPr>
        <w:t xml:space="preserve">, G., Limaye, D., Bhatia, T., Oka, M., </w:t>
      </w:r>
      <w:proofErr w:type="spellStart"/>
      <w:r w:rsidRPr="00744858">
        <w:rPr>
          <w:rFonts w:ascii="Times New Roman" w:hAnsi="Times New Roman" w:cs="Times New Roman"/>
        </w:rPr>
        <w:t>Bhattaccharjee</w:t>
      </w:r>
      <w:proofErr w:type="spellEnd"/>
      <w:r w:rsidRPr="00744858">
        <w:rPr>
          <w:rFonts w:ascii="Times New Roman" w:hAnsi="Times New Roman" w:cs="Times New Roman"/>
        </w:rPr>
        <w:t>, S., Nagda, B., Limaye, V., Saeed, F. and Ahmed, M. 2016. An epidemiological study on prevalence of chronic diseases in post-</w:t>
      </w:r>
      <w:proofErr w:type="spellStart"/>
      <w:r w:rsidRPr="00744858">
        <w:rPr>
          <w:rFonts w:ascii="Times New Roman" w:hAnsi="Times New Roman" w:cs="Times New Roman"/>
        </w:rPr>
        <w:t>menopuasal</w:t>
      </w:r>
      <w:proofErr w:type="spellEnd"/>
      <w:r w:rsidRPr="00744858">
        <w:rPr>
          <w:rFonts w:ascii="Times New Roman" w:hAnsi="Times New Roman" w:cs="Times New Roman"/>
        </w:rPr>
        <w:t xml:space="preserve"> women in Mumbai and Karachi. International </w:t>
      </w:r>
      <w:r w:rsidRPr="00744858">
        <w:rPr>
          <w:rFonts w:ascii="Times New Roman" w:hAnsi="Times New Roman" w:cs="Times New Roman"/>
          <w:i/>
          <w:iCs/>
        </w:rPr>
        <w:t>Journal of Life Sciences and Review</w:t>
      </w:r>
      <w:r w:rsidRPr="00744858">
        <w:rPr>
          <w:rFonts w:ascii="Times New Roman" w:hAnsi="Times New Roman" w:cs="Times New Roman"/>
        </w:rPr>
        <w:t xml:space="preserve">. </w:t>
      </w:r>
      <w:r w:rsidRPr="00744858">
        <w:rPr>
          <w:rFonts w:ascii="Times New Roman" w:hAnsi="Times New Roman" w:cs="Times New Roman"/>
          <w:b/>
          <w:bCs/>
        </w:rPr>
        <w:t xml:space="preserve">2: </w:t>
      </w:r>
      <w:r w:rsidRPr="00744858">
        <w:rPr>
          <w:rFonts w:ascii="Times New Roman" w:hAnsi="Times New Roman" w:cs="Times New Roman"/>
        </w:rPr>
        <w:t>121 – 129.</w:t>
      </w:r>
    </w:p>
    <w:p w14:paraId="5330AC70"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Goyal, S., </w:t>
      </w:r>
      <w:proofErr w:type="spellStart"/>
      <w:r w:rsidRPr="00744858">
        <w:rPr>
          <w:rFonts w:ascii="Times New Roman" w:hAnsi="Times New Roman" w:cs="Times New Roman"/>
        </w:rPr>
        <w:t>Malagi</w:t>
      </w:r>
      <w:proofErr w:type="spellEnd"/>
      <w:r w:rsidRPr="00744858">
        <w:rPr>
          <w:rFonts w:ascii="Times New Roman" w:hAnsi="Times New Roman" w:cs="Times New Roman"/>
        </w:rPr>
        <w:t xml:space="preserve">, U., Naik, R. and </w:t>
      </w:r>
      <w:proofErr w:type="spellStart"/>
      <w:r w:rsidRPr="00744858">
        <w:rPr>
          <w:rFonts w:ascii="Times New Roman" w:hAnsi="Times New Roman" w:cs="Times New Roman"/>
        </w:rPr>
        <w:t>Kasturiba</w:t>
      </w:r>
      <w:proofErr w:type="spellEnd"/>
      <w:r w:rsidRPr="00744858">
        <w:rPr>
          <w:rFonts w:ascii="Times New Roman" w:hAnsi="Times New Roman" w:cs="Times New Roman"/>
        </w:rPr>
        <w:t>, B. (2012). Menopausal symptoms and nutritional status of perimenopausal women. Karnataka Journal of Agricultural Sciences, 25(4): 506-509.</w:t>
      </w:r>
    </w:p>
    <w:p w14:paraId="0D542DF7" w14:textId="77777777" w:rsidR="009E6537" w:rsidRPr="00744858" w:rsidRDefault="009E6537" w:rsidP="009E6537">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Garrow, J.S. (1981). Treat Obesity Seriously. Churchill Livingstone, Edinburgh, </w:t>
      </w:r>
      <w:proofErr w:type="gramStart"/>
      <w:r w:rsidRPr="00744858">
        <w:rPr>
          <w:rFonts w:ascii="Times New Roman" w:hAnsi="Times New Roman" w:cs="Times New Roman"/>
        </w:rPr>
        <w:t>UK..</w:t>
      </w:r>
      <w:proofErr w:type="gramEnd"/>
    </w:p>
    <w:p w14:paraId="71741812"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Goyal, A., Mishra, N., &amp; Dwivedi, S. (2017). Nutritional status and health seeking behaviour of postmenopausal women: a cross sectional study in North India. </w:t>
      </w:r>
      <w:r w:rsidRPr="00744858">
        <w:rPr>
          <w:rFonts w:ascii="Times New Roman" w:hAnsi="Times New Roman" w:cs="Times New Roman"/>
          <w:i/>
          <w:iCs/>
        </w:rPr>
        <w:t>Int J Community Med Pub Health</w:t>
      </w:r>
      <w:r w:rsidRPr="00744858">
        <w:rPr>
          <w:rFonts w:ascii="Times New Roman" w:hAnsi="Times New Roman" w:cs="Times New Roman"/>
        </w:rPr>
        <w:t>, </w:t>
      </w:r>
      <w:r w:rsidRPr="00744858">
        <w:rPr>
          <w:rFonts w:ascii="Times New Roman" w:hAnsi="Times New Roman" w:cs="Times New Roman"/>
          <w:i/>
          <w:iCs/>
        </w:rPr>
        <w:t>4</w:t>
      </w:r>
      <w:r w:rsidRPr="00744858">
        <w:rPr>
          <w:rFonts w:ascii="Times New Roman" w:hAnsi="Times New Roman" w:cs="Times New Roman"/>
        </w:rPr>
        <w:t>(12), 4644-4649.</w:t>
      </w:r>
    </w:p>
    <w:p w14:paraId="0DCC655A"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proofErr w:type="spellStart"/>
      <w:r w:rsidRPr="00744858">
        <w:rPr>
          <w:rFonts w:ascii="Times New Roman" w:hAnsi="Times New Roman" w:cs="Times New Roman"/>
        </w:rPr>
        <w:t>Gangwisch</w:t>
      </w:r>
      <w:proofErr w:type="spellEnd"/>
      <w:r w:rsidRPr="00744858">
        <w:rPr>
          <w:rFonts w:ascii="Times New Roman" w:hAnsi="Times New Roman" w:cs="Times New Roman"/>
        </w:rPr>
        <w:t xml:space="preserve">, J. E., Hale, L., Garcia, L., Malaspina, D., Opler, M. G., Payne, M. E., ... &amp; Lane, D. (2015). High </w:t>
      </w:r>
      <w:proofErr w:type="spellStart"/>
      <w:r w:rsidRPr="00744858">
        <w:rPr>
          <w:rFonts w:ascii="Times New Roman" w:hAnsi="Times New Roman" w:cs="Times New Roman"/>
        </w:rPr>
        <w:t>glycemic</w:t>
      </w:r>
      <w:proofErr w:type="spellEnd"/>
      <w:r w:rsidRPr="00744858">
        <w:rPr>
          <w:rFonts w:ascii="Times New Roman" w:hAnsi="Times New Roman" w:cs="Times New Roman"/>
        </w:rPr>
        <w:t xml:space="preserve"> index diet as a risk factor for depression: analyses from the Women’s Health Initiative. </w:t>
      </w:r>
      <w:r w:rsidRPr="00744858">
        <w:rPr>
          <w:rFonts w:ascii="Times New Roman" w:hAnsi="Times New Roman" w:cs="Times New Roman"/>
          <w:i/>
          <w:iCs/>
        </w:rPr>
        <w:t>The American journal of clinical nutrition</w:t>
      </w:r>
      <w:r w:rsidRPr="00744858">
        <w:rPr>
          <w:rFonts w:ascii="Times New Roman" w:hAnsi="Times New Roman" w:cs="Times New Roman"/>
        </w:rPr>
        <w:t>, </w:t>
      </w:r>
      <w:r w:rsidRPr="00744858">
        <w:rPr>
          <w:rFonts w:ascii="Times New Roman" w:hAnsi="Times New Roman" w:cs="Times New Roman"/>
          <w:i/>
          <w:iCs/>
        </w:rPr>
        <w:t>102</w:t>
      </w:r>
      <w:r w:rsidRPr="00744858">
        <w:rPr>
          <w:rFonts w:ascii="Times New Roman" w:hAnsi="Times New Roman" w:cs="Times New Roman"/>
        </w:rPr>
        <w:t>(2), 454-463.</w:t>
      </w:r>
    </w:p>
    <w:p w14:paraId="7558D614"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291938">
        <w:rPr>
          <w:rFonts w:ascii="Times New Roman" w:hAnsi="Times New Roman" w:cs="Times New Roman"/>
          <w:lang w:val="de-DE"/>
        </w:rPr>
        <w:t>Lee ,</w:t>
      </w:r>
      <w:r w:rsidRPr="00291938">
        <w:rPr>
          <w:rFonts w:ascii="Times New Roman" w:hAnsi="Times New Roman" w:cs="Times New Roman"/>
          <w:b/>
          <w:bCs/>
          <w:lang w:val="de-DE"/>
        </w:rPr>
        <w:t xml:space="preserve"> </w:t>
      </w:r>
      <w:r w:rsidRPr="00291938">
        <w:rPr>
          <w:rFonts w:ascii="Times New Roman" w:hAnsi="Times New Roman" w:cs="Times New Roman"/>
          <w:lang w:val="de-DE"/>
        </w:rPr>
        <w:t xml:space="preserve">Nieman, Greendale, G. A., Sowers, M., Han, W., Huang, M. H., Finkelstein, J. S., Crandall, C. J., , J. S. and Karlamangla, A. S. (2013). </w:t>
      </w:r>
      <w:r w:rsidRPr="00744858">
        <w:rPr>
          <w:rFonts w:ascii="Times New Roman" w:hAnsi="Times New Roman" w:cs="Times New Roman"/>
        </w:rPr>
        <w:t xml:space="preserve">Bone mineral density loss in relation to the final menstrual period in a multi ethic cohort: Results from the Study of Women’s Health Across the Nation (SWAN). </w:t>
      </w:r>
      <w:r w:rsidRPr="00744858">
        <w:rPr>
          <w:rFonts w:ascii="Times New Roman" w:hAnsi="Times New Roman" w:cs="Times New Roman"/>
          <w:i/>
          <w:iCs/>
        </w:rPr>
        <w:t>Journal of Bone and</w:t>
      </w:r>
      <w:r w:rsidRPr="00744858">
        <w:rPr>
          <w:rFonts w:ascii="Times New Roman" w:hAnsi="Times New Roman" w:cs="Times New Roman"/>
        </w:rPr>
        <w:t xml:space="preserve"> </w:t>
      </w:r>
      <w:r w:rsidRPr="00744858">
        <w:rPr>
          <w:rFonts w:ascii="Times New Roman" w:hAnsi="Times New Roman" w:cs="Times New Roman"/>
          <w:i/>
          <w:iCs/>
        </w:rPr>
        <w:t>Mineral Research</w:t>
      </w:r>
      <w:r w:rsidRPr="00744858">
        <w:rPr>
          <w:rFonts w:ascii="Times New Roman" w:hAnsi="Times New Roman" w:cs="Times New Roman"/>
        </w:rPr>
        <w:t xml:space="preserve">. </w:t>
      </w:r>
      <w:r w:rsidRPr="00744858">
        <w:rPr>
          <w:rFonts w:ascii="Times New Roman" w:hAnsi="Times New Roman" w:cs="Times New Roman"/>
          <w:b/>
          <w:bCs/>
        </w:rPr>
        <w:t>27</w:t>
      </w:r>
      <w:r w:rsidRPr="00744858">
        <w:rPr>
          <w:rFonts w:ascii="Times New Roman" w:hAnsi="Times New Roman" w:cs="Times New Roman"/>
        </w:rPr>
        <w:t>: 111–118</w:t>
      </w:r>
    </w:p>
    <w:p w14:paraId="6C19B9CB"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Kaur and Kochar (2015). Obesity and Menopause: A New Nutritional Concern. Journal of Nutrition and Growth, 1(1): 8-13</w:t>
      </w:r>
    </w:p>
    <w:p w14:paraId="31F99CC1" w14:textId="77777777" w:rsidR="00EC147A" w:rsidRPr="00744858" w:rsidRDefault="00EC147A" w:rsidP="00EC147A">
      <w:pPr>
        <w:numPr>
          <w:ilvl w:val="0"/>
          <w:numId w:val="2"/>
        </w:numPr>
        <w:tabs>
          <w:tab w:val="left" w:pos="1206"/>
        </w:tabs>
        <w:ind w:left="0" w:hanging="567"/>
        <w:jc w:val="both"/>
        <w:rPr>
          <w:rFonts w:ascii="Times New Roman" w:hAnsi="Times New Roman" w:cs="Times New Roman"/>
        </w:rPr>
      </w:pPr>
      <w:proofErr w:type="spellStart"/>
      <w:r w:rsidRPr="00744858">
        <w:rPr>
          <w:rFonts w:ascii="Times New Roman" w:hAnsi="Times New Roman" w:cs="Times New Roman"/>
        </w:rPr>
        <w:t>Kamadjeu</w:t>
      </w:r>
      <w:proofErr w:type="spellEnd"/>
      <w:r w:rsidRPr="00744858">
        <w:rPr>
          <w:rFonts w:ascii="Times New Roman" w:hAnsi="Times New Roman" w:cs="Times New Roman"/>
        </w:rPr>
        <w:t xml:space="preserve">, RM., R. Edwards, J.S. Atanga, E.C. </w:t>
      </w:r>
      <w:proofErr w:type="spellStart"/>
      <w:r w:rsidRPr="00744858">
        <w:rPr>
          <w:rFonts w:ascii="Times New Roman" w:hAnsi="Times New Roman" w:cs="Times New Roman"/>
        </w:rPr>
        <w:t>Kiawi</w:t>
      </w:r>
      <w:proofErr w:type="spellEnd"/>
      <w:r w:rsidRPr="00744858">
        <w:rPr>
          <w:rFonts w:ascii="Times New Roman" w:hAnsi="Times New Roman" w:cs="Times New Roman"/>
        </w:rPr>
        <w:t xml:space="preserve">, N. Unwin and J.C. </w:t>
      </w:r>
      <w:proofErr w:type="spellStart"/>
      <w:r w:rsidRPr="00744858">
        <w:rPr>
          <w:rFonts w:ascii="Times New Roman" w:hAnsi="Times New Roman" w:cs="Times New Roman"/>
        </w:rPr>
        <w:t>Mbanya</w:t>
      </w:r>
      <w:proofErr w:type="spellEnd"/>
      <w:r w:rsidRPr="00744858">
        <w:rPr>
          <w:rFonts w:ascii="Times New Roman" w:hAnsi="Times New Roman" w:cs="Times New Roman"/>
        </w:rPr>
        <w:t>, (2006). Anthropometry measures and prevalence of obesity in the urban adult population of Cameroon: An update from the Cameroon Burden of Diabetes Baseline Survey. BMC Public Health, 6: 228</w:t>
      </w:r>
    </w:p>
    <w:p w14:paraId="4FFF6344" w14:textId="77777777" w:rsidR="00EC147A" w:rsidRPr="00744858" w:rsidRDefault="00EC147A" w:rsidP="00240632">
      <w:pPr>
        <w:numPr>
          <w:ilvl w:val="0"/>
          <w:numId w:val="2"/>
        </w:numPr>
        <w:tabs>
          <w:tab w:val="left" w:pos="1206"/>
        </w:tabs>
        <w:ind w:left="0" w:hanging="426"/>
        <w:jc w:val="both"/>
        <w:rPr>
          <w:rFonts w:ascii="Times New Roman" w:hAnsi="Times New Roman" w:cs="Times New Roman"/>
        </w:rPr>
      </w:pPr>
      <w:r w:rsidRPr="00744858">
        <w:rPr>
          <w:rFonts w:ascii="Times New Roman" w:hAnsi="Times New Roman" w:cs="Times New Roman"/>
        </w:rPr>
        <w:t xml:space="preserve">Kumar, R., </w:t>
      </w:r>
      <w:proofErr w:type="spellStart"/>
      <w:r w:rsidRPr="00744858">
        <w:rPr>
          <w:rFonts w:ascii="Times New Roman" w:hAnsi="Times New Roman" w:cs="Times New Roman"/>
        </w:rPr>
        <w:t>Birn</w:t>
      </w:r>
      <w:proofErr w:type="spellEnd"/>
      <w:r w:rsidRPr="00744858">
        <w:rPr>
          <w:rFonts w:ascii="Times New Roman" w:hAnsi="Times New Roman" w:cs="Times New Roman"/>
        </w:rPr>
        <w:t>, A. E., &amp; McDonough, P. (2016). Agenda-setting in women’s health: critical analysis of a quarter-century of paradigm shifts in international and global health. In </w:t>
      </w:r>
      <w:r w:rsidRPr="00744858">
        <w:rPr>
          <w:rFonts w:ascii="Times New Roman" w:hAnsi="Times New Roman" w:cs="Times New Roman"/>
          <w:i/>
          <w:iCs/>
        </w:rPr>
        <w:t>Handbook on Gender and Health</w:t>
      </w:r>
      <w:r w:rsidRPr="00744858">
        <w:rPr>
          <w:rFonts w:ascii="Times New Roman" w:hAnsi="Times New Roman" w:cs="Times New Roman"/>
        </w:rPr>
        <w:t> (pp. 25-44). Edward Elgar Publishing.</w:t>
      </w:r>
    </w:p>
    <w:p w14:paraId="139008AA" w14:textId="77777777" w:rsidR="00EC147A" w:rsidRPr="00744858" w:rsidRDefault="00EC147A" w:rsidP="00240632">
      <w:pPr>
        <w:numPr>
          <w:ilvl w:val="0"/>
          <w:numId w:val="2"/>
        </w:numPr>
        <w:tabs>
          <w:tab w:val="left" w:pos="1206"/>
        </w:tabs>
        <w:ind w:left="0" w:hanging="426"/>
        <w:jc w:val="both"/>
        <w:rPr>
          <w:rFonts w:ascii="Times New Roman" w:hAnsi="Times New Roman" w:cs="Times New Roman"/>
        </w:rPr>
      </w:pPr>
      <w:r w:rsidRPr="00744858">
        <w:rPr>
          <w:rFonts w:ascii="Times New Roman" w:hAnsi="Times New Roman" w:cs="Times New Roman"/>
        </w:rPr>
        <w:t>Hamidi, M. S. (2012). </w:t>
      </w:r>
      <w:r w:rsidRPr="00744858">
        <w:rPr>
          <w:rFonts w:ascii="Times New Roman" w:hAnsi="Times New Roman" w:cs="Times New Roman"/>
          <w:i/>
          <w:iCs/>
        </w:rPr>
        <w:t>Dietary Factors and Bone Health in Postmenopausal Women</w:t>
      </w:r>
      <w:r w:rsidRPr="00744858">
        <w:rPr>
          <w:rFonts w:ascii="Times New Roman" w:hAnsi="Times New Roman" w:cs="Times New Roman"/>
        </w:rPr>
        <w:t>. University of Toronto (Canada).</w:t>
      </w:r>
    </w:p>
    <w:p w14:paraId="17A916E2" w14:textId="77777777" w:rsidR="00EC147A" w:rsidRPr="00744858" w:rsidRDefault="00EC147A" w:rsidP="00240632">
      <w:pPr>
        <w:numPr>
          <w:ilvl w:val="0"/>
          <w:numId w:val="2"/>
        </w:numPr>
        <w:tabs>
          <w:tab w:val="left" w:pos="1206"/>
        </w:tabs>
        <w:ind w:left="0" w:hanging="426"/>
        <w:jc w:val="both"/>
        <w:rPr>
          <w:rFonts w:ascii="Times New Roman" w:hAnsi="Times New Roman" w:cs="Times New Roman"/>
        </w:rPr>
      </w:pPr>
      <w:r w:rsidRPr="00744858">
        <w:rPr>
          <w:rFonts w:ascii="Times New Roman" w:hAnsi="Times New Roman" w:cs="Times New Roman"/>
        </w:rPr>
        <w:t xml:space="preserve">Kozakowski, J., </w:t>
      </w:r>
      <w:proofErr w:type="spellStart"/>
      <w:r w:rsidRPr="00744858">
        <w:rPr>
          <w:rFonts w:ascii="Times New Roman" w:hAnsi="Times New Roman" w:cs="Times New Roman"/>
        </w:rPr>
        <w:t>Gietka-Czernel</w:t>
      </w:r>
      <w:proofErr w:type="spellEnd"/>
      <w:r w:rsidRPr="00744858">
        <w:rPr>
          <w:rFonts w:ascii="Times New Roman" w:hAnsi="Times New Roman" w:cs="Times New Roman"/>
        </w:rPr>
        <w:t>, M., Leszczyńska, D., and Majos, A. (2017). Obesity in</w:t>
      </w:r>
    </w:p>
    <w:p w14:paraId="4CDFADA0" w14:textId="77777777" w:rsidR="00EC147A" w:rsidRPr="00744858" w:rsidRDefault="00EC147A" w:rsidP="00240632">
      <w:pPr>
        <w:tabs>
          <w:tab w:val="left" w:pos="1206"/>
        </w:tabs>
        <w:ind w:hanging="426"/>
        <w:jc w:val="both"/>
        <w:rPr>
          <w:rFonts w:ascii="Times New Roman" w:hAnsi="Times New Roman" w:cs="Times New Roman"/>
        </w:rPr>
      </w:pPr>
      <w:r w:rsidRPr="00744858">
        <w:rPr>
          <w:rFonts w:ascii="Times New Roman" w:hAnsi="Times New Roman" w:cs="Times New Roman"/>
        </w:rPr>
        <w:t xml:space="preserve">    menopause - our negligence or an unfortunate </w:t>
      </w:r>
      <w:proofErr w:type="gramStart"/>
      <w:r w:rsidRPr="00744858">
        <w:rPr>
          <w:rFonts w:ascii="Times New Roman" w:hAnsi="Times New Roman" w:cs="Times New Roman"/>
        </w:rPr>
        <w:t>inevitability?.</w:t>
      </w:r>
      <w:proofErr w:type="gramEnd"/>
      <w:r w:rsidRPr="00744858">
        <w:rPr>
          <w:rFonts w:ascii="Times New Roman" w:hAnsi="Times New Roman" w:cs="Times New Roman"/>
        </w:rPr>
        <w:t xml:space="preserve"> </w:t>
      </w:r>
      <w:proofErr w:type="spellStart"/>
      <w:r w:rsidRPr="00744858">
        <w:rPr>
          <w:rFonts w:ascii="Times New Roman" w:hAnsi="Times New Roman" w:cs="Times New Roman"/>
          <w:i/>
          <w:iCs/>
        </w:rPr>
        <w:t>Przeglad</w:t>
      </w:r>
      <w:proofErr w:type="spellEnd"/>
      <w:r w:rsidRPr="00744858">
        <w:rPr>
          <w:rFonts w:ascii="Times New Roman" w:hAnsi="Times New Roman" w:cs="Times New Roman"/>
          <w:i/>
          <w:iCs/>
        </w:rPr>
        <w:t xml:space="preserve"> </w:t>
      </w:r>
      <w:proofErr w:type="spellStart"/>
      <w:r w:rsidRPr="00744858">
        <w:rPr>
          <w:rFonts w:ascii="Times New Roman" w:hAnsi="Times New Roman" w:cs="Times New Roman"/>
          <w:i/>
          <w:iCs/>
        </w:rPr>
        <w:t>menopauzalny</w:t>
      </w:r>
      <w:proofErr w:type="spellEnd"/>
      <w:r w:rsidRPr="00744858">
        <w:rPr>
          <w:rFonts w:ascii="Times New Roman" w:hAnsi="Times New Roman" w:cs="Times New Roman"/>
          <w:i/>
          <w:iCs/>
        </w:rPr>
        <w:t xml:space="preserve"> = Menopause review</w:t>
      </w:r>
      <w:r w:rsidRPr="00744858">
        <w:rPr>
          <w:rFonts w:ascii="Times New Roman" w:hAnsi="Times New Roman" w:cs="Times New Roman"/>
        </w:rPr>
        <w:t xml:space="preserve">. </w:t>
      </w:r>
      <w:r w:rsidRPr="00744858">
        <w:rPr>
          <w:rFonts w:ascii="Times New Roman" w:hAnsi="Times New Roman" w:cs="Times New Roman"/>
          <w:b/>
          <w:bCs/>
        </w:rPr>
        <w:t>16</w:t>
      </w:r>
      <w:r w:rsidR="00240632" w:rsidRPr="00744858">
        <w:rPr>
          <w:rFonts w:ascii="Times New Roman" w:hAnsi="Times New Roman" w:cs="Times New Roman"/>
        </w:rPr>
        <w:t>: 61–65.</w:t>
      </w:r>
    </w:p>
    <w:p w14:paraId="3C149E94" w14:textId="77777777" w:rsidR="00EC147A" w:rsidRPr="00744858" w:rsidRDefault="00EC147A" w:rsidP="00240632">
      <w:pPr>
        <w:numPr>
          <w:ilvl w:val="0"/>
          <w:numId w:val="2"/>
        </w:numPr>
        <w:tabs>
          <w:tab w:val="left" w:pos="1206"/>
        </w:tabs>
        <w:ind w:left="0" w:hanging="426"/>
        <w:jc w:val="both"/>
        <w:rPr>
          <w:rFonts w:ascii="Times New Roman" w:hAnsi="Times New Roman" w:cs="Times New Roman"/>
        </w:rPr>
      </w:pPr>
      <w:r w:rsidRPr="00744858">
        <w:rPr>
          <w:rFonts w:ascii="Times New Roman" w:hAnsi="Times New Roman" w:cs="Times New Roman"/>
        </w:rPr>
        <w:t xml:space="preserve">Mishra et al (2012). “Health symptoms during midlife in relation to menopausal transition: British prospective cohort study”. </w:t>
      </w:r>
      <w:r w:rsidRPr="00744858">
        <w:rPr>
          <w:rFonts w:ascii="Times New Roman" w:hAnsi="Times New Roman" w:cs="Times New Roman"/>
          <w:i/>
          <w:iCs/>
        </w:rPr>
        <w:t xml:space="preserve">British Medical Journal </w:t>
      </w:r>
      <w:r w:rsidRPr="00744858">
        <w:rPr>
          <w:rFonts w:ascii="Times New Roman" w:hAnsi="Times New Roman" w:cs="Times New Roman"/>
        </w:rPr>
        <w:t>344 (2012): e402.</w:t>
      </w:r>
    </w:p>
    <w:p w14:paraId="7E146A3B" w14:textId="77777777" w:rsidR="00EC147A" w:rsidRPr="00744858" w:rsidRDefault="00EC147A" w:rsidP="00240632">
      <w:pPr>
        <w:numPr>
          <w:ilvl w:val="0"/>
          <w:numId w:val="2"/>
        </w:numPr>
        <w:tabs>
          <w:tab w:val="left" w:pos="1206"/>
        </w:tabs>
        <w:ind w:left="0" w:hanging="426"/>
        <w:jc w:val="both"/>
        <w:rPr>
          <w:rFonts w:ascii="Times New Roman" w:hAnsi="Times New Roman" w:cs="Times New Roman"/>
        </w:rPr>
      </w:pPr>
      <w:r w:rsidRPr="00744858">
        <w:rPr>
          <w:rFonts w:ascii="Times New Roman" w:hAnsi="Times New Roman" w:cs="Times New Roman"/>
        </w:rPr>
        <w:lastRenderedPageBreak/>
        <w:t xml:space="preserve">Mamgain, A., &amp; </w:t>
      </w:r>
      <w:proofErr w:type="spellStart"/>
      <w:r w:rsidRPr="00744858">
        <w:rPr>
          <w:rFonts w:ascii="Times New Roman" w:hAnsi="Times New Roman" w:cs="Times New Roman"/>
        </w:rPr>
        <w:t>Lakhawat</w:t>
      </w:r>
      <w:proofErr w:type="spellEnd"/>
      <w:r w:rsidRPr="00744858">
        <w:rPr>
          <w:rFonts w:ascii="Times New Roman" w:hAnsi="Times New Roman" w:cs="Times New Roman"/>
        </w:rPr>
        <w:t>, S. (2019). Assessment of nutritional knowledge of menopausal women. </w:t>
      </w:r>
      <w:r w:rsidRPr="00744858">
        <w:rPr>
          <w:rFonts w:ascii="Times New Roman" w:hAnsi="Times New Roman" w:cs="Times New Roman"/>
          <w:i/>
          <w:iCs/>
        </w:rPr>
        <w:t>Food Science Research Journal</w:t>
      </w:r>
      <w:r w:rsidRPr="00744858">
        <w:rPr>
          <w:rFonts w:ascii="Times New Roman" w:hAnsi="Times New Roman" w:cs="Times New Roman"/>
        </w:rPr>
        <w:t>, 207-210.</w:t>
      </w:r>
    </w:p>
    <w:p w14:paraId="703C4ACC" w14:textId="77777777" w:rsidR="00EC147A" w:rsidRPr="00744858" w:rsidRDefault="00EC147A" w:rsidP="00240632">
      <w:pPr>
        <w:numPr>
          <w:ilvl w:val="0"/>
          <w:numId w:val="2"/>
        </w:numPr>
        <w:tabs>
          <w:tab w:val="left" w:pos="1206"/>
        </w:tabs>
        <w:ind w:left="0" w:hanging="426"/>
        <w:jc w:val="both"/>
        <w:rPr>
          <w:rFonts w:ascii="Times New Roman" w:hAnsi="Times New Roman" w:cs="Times New Roman"/>
        </w:rPr>
      </w:pPr>
      <w:proofErr w:type="spellStart"/>
      <w:r w:rsidRPr="00744858">
        <w:rPr>
          <w:rFonts w:ascii="Times New Roman" w:hAnsi="Times New Roman" w:cs="Times New Roman"/>
        </w:rPr>
        <w:t>Mathuriya</w:t>
      </w:r>
      <w:proofErr w:type="spellEnd"/>
      <w:proofErr w:type="gramStart"/>
      <w:r w:rsidRPr="00744858">
        <w:rPr>
          <w:rFonts w:ascii="Times New Roman" w:hAnsi="Times New Roman" w:cs="Times New Roman"/>
        </w:rPr>
        <w:t>, ,</w:t>
      </w:r>
      <w:proofErr w:type="gramEnd"/>
      <w:r w:rsidRPr="00744858">
        <w:rPr>
          <w:rFonts w:ascii="Times New Roman" w:hAnsi="Times New Roman" w:cs="Times New Roman"/>
        </w:rPr>
        <w:t xml:space="preserve">I. (2013). Consumption pattern of milk and milk products in Lucknow city (Uttar Pradesh). Retrieved from </w:t>
      </w:r>
      <w:hyperlink r:id="rId8" w:history="1">
        <w:r w:rsidRPr="00744858">
          <w:rPr>
            <w:rStyle w:val="Hyperlink"/>
            <w:rFonts w:ascii="Times New Roman" w:hAnsi="Times New Roman" w:cs="Times New Roman"/>
          </w:rPr>
          <w:t>http://krishikosh.egranth.ac.in/displaybitstream?handle=1/85143on 14.05.2019</w:t>
        </w:r>
      </w:hyperlink>
    </w:p>
    <w:p w14:paraId="540E6D91" w14:textId="77777777" w:rsidR="00EC147A" w:rsidRPr="00744858" w:rsidRDefault="00EC147A" w:rsidP="00240632">
      <w:pPr>
        <w:numPr>
          <w:ilvl w:val="0"/>
          <w:numId w:val="2"/>
        </w:numPr>
        <w:tabs>
          <w:tab w:val="left" w:pos="1206"/>
        </w:tabs>
        <w:ind w:left="0" w:hanging="426"/>
        <w:jc w:val="both"/>
        <w:rPr>
          <w:rFonts w:ascii="Times New Roman" w:hAnsi="Times New Roman" w:cs="Times New Roman"/>
        </w:rPr>
      </w:pPr>
      <w:r w:rsidRPr="00744858">
        <w:rPr>
          <w:rFonts w:ascii="Times New Roman" w:hAnsi="Times New Roman" w:cs="Times New Roman"/>
        </w:rPr>
        <w:t xml:space="preserve">Nemati, A., &amp; </w:t>
      </w:r>
      <w:proofErr w:type="spellStart"/>
      <w:r w:rsidRPr="00744858">
        <w:rPr>
          <w:rFonts w:ascii="Times New Roman" w:hAnsi="Times New Roman" w:cs="Times New Roman"/>
        </w:rPr>
        <w:t>Baghi</w:t>
      </w:r>
      <w:proofErr w:type="spellEnd"/>
      <w:r w:rsidRPr="00744858">
        <w:rPr>
          <w:rFonts w:ascii="Times New Roman" w:hAnsi="Times New Roman" w:cs="Times New Roman"/>
        </w:rPr>
        <w:t xml:space="preserve">, A. N. (2008). Assessment of nutritional status in </w:t>
      </w:r>
      <w:proofErr w:type="spellStart"/>
      <w:r w:rsidRPr="00744858">
        <w:rPr>
          <w:rFonts w:ascii="Times New Roman" w:hAnsi="Times New Roman" w:cs="Times New Roman"/>
        </w:rPr>
        <w:t>post menopausal</w:t>
      </w:r>
      <w:proofErr w:type="spellEnd"/>
      <w:r w:rsidRPr="00744858">
        <w:rPr>
          <w:rFonts w:ascii="Times New Roman" w:hAnsi="Times New Roman" w:cs="Times New Roman"/>
        </w:rPr>
        <w:t xml:space="preserve"> </w:t>
      </w:r>
      <w:proofErr w:type="spellStart"/>
      <w:r w:rsidRPr="00744858">
        <w:rPr>
          <w:rFonts w:ascii="Times New Roman" w:hAnsi="Times New Roman" w:cs="Times New Roman"/>
        </w:rPr>
        <w:t>VVomen</w:t>
      </w:r>
      <w:proofErr w:type="spellEnd"/>
      <w:r w:rsidRPr="00744858">
        <w:rPr>
          <w:rFonts w:ascii="Times New Roman" w:hAnsi="Times New Roman" w:cs="Times New Roman"/>
        </w:rPr>
        <w:t xml:space="preserve"> of Ardebil, Iran. </w:t>
      </w:r>
      <w:r w:rsidRPr="00744858">
        <w:rPr>
          <w:rFonts w:ascii="Times New Roman" w:hAnsi="Times New Roman" w:cs="Times New Roman"/>
          <w:i/>
          <w:iCs/>
        </w:rPr>
        <w:t>Journal of Biological Sciences</w:t>
      </w:r>
      <w:r w:rsidRPr="00744858">
        <w:rPr>
          <w:rFonts w:ascii="Times New Roman" w:hAnsi="Times New Roman" w:cs="Times New Roman"/>
        </w:rPr>
        <w:t>, </w:t>
      </w:r>
      <w:r w:rsidRPr="00744858">
        <w:rPr>
          <w:rFonts w:ascii="Times New Roman" w:hAnsi="Times New Roman" w:cs="Times New Roman"/>
          <w:i/>
          <w:iCs/>
        </w:rPr>
        <w:t>8</w:t>
      </w:r>
      <w:r w:rsidRPr="00744858">
        <w:rPr>
          <w:rFonts w:ascii="Times New Roman" w:hAnsi="Times New Roman" w:cs="Times New Roman"/>
        </w:rPr>
        <w:t>(1), 196-200.</w:t>
      </w:r>
    </w:p>
    <w:p w14:paraId="488E3E73" w14:textId="77777777" w:rsidR="00EC147A" w:rsidRPr="00744858" w:rsidRDefault="00EC147A" w:rsidP="00240632">
      <w:pPr>
        <w:numPr>
          <w:ilvl w:val="0"/>
          <w:numId w:val="2"/>
        </w:numPr>
        <w:tabs>
          <w:tab w:val="left" w:pos="1206"/>
        </w:tabs>
        <w:ind w:left="0" w:hanging="426"/>
        <w:jc w:val="both"/>
        <w:rPr>
          <w:rFonts w:ascii="Times New Roman" w:hAnsi="Times New Roman" w:cs="Times New Roman"/>
        </w:rPr>
      </w:pPr>
      <w:r w:rsidRPr="00744858">
        <w:rPr>
          <w:rFonts w:ascii="Times New Roman" w:hAnsi="Times New Roman" w:cs="Times New Roman"/>
        </w:rPr>
        <w:t xml:space="preserve">Pathak, N. and </w:t>
      </w:r>
      <w:proofErr w:type="spellStart"/>
      <w:r w:rsidRPr="00744858">
        <w:rPr>
          <w:rFonts w:ascii="Times New Roman" w:hAnsi="Times New Roman" w:cs="Times New Roman"/>
        </w:rPr>
        <w:t>Shivaswamy</w:t>
      </w:r>
      <w:proofErr w:type="spellEnd"/>
      <w:r w:rsidRPr="00744858">
        <w:rPr>
          <w:rFonts w:ascii="Times New Roman" w:hAnsi="Times New Roman" w:cs="Times New Roman"/>
        </w:rPr>
        <w:t xml:space="preserve">, M. S. (2018). Prevalence of menopausal symptoms among post-menopausal women of urban Belagavi, Karnataka. </w:t>
      </w:r>
      <w:r w:rsidRPr="00744858">
        <w:rPr>
          <w:rFonts w:ascii="Times New Roman" w:hAnsi="Times New Roman" w:cs="Times New Roman"/>
          <w:i/>
          <w:iCs/>
        </w:rPr>
        <w:t>Indian Journal of Health Sciences and Biomedical Research</w:t>
      </w:r>
      <w:r w:rsidRPr="00744858">
        <w:rPr>
          <w:rFonts w:ascii="Times New Roman" w:hAnsi="Times New Roman" w:cs="Times New Roman"/>
        </w:rPr>
        <w:t xml:space="preserve">. </w:t>
      </w:r>
      <w:r w:rsidRPr="00744858">
        <w:rPr>
          <w:rFonts w:ascii="Times New Roman" w:hAnsi="Times New Roman" w:cs="Times New Roman"/>
          <w:b/>
          <w:bCs/>
        </w:rPr>
        <w:t>11</w:t>
      </w:r>
      <w:r w:rsidRPr="00744858">
        <w:rPr>
          <w:rFonts w:ascii="Times New Roman" w:hAnsi="Times New Roman" w:cs="Times New Roman"/>
        </w:rPr>
        <w:t>: 77-80.</w:t>
      </w:r>
    </w:p>
    <w:p w14:paraId="13FE9566"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proofErr w:type="spellStart"/>
      <w:r w:rsidRPr="00744858">
        <w:rPr>
          <w:rFonts w:ascii="Times New Roman" w:hAnsi="Times New Roman" w:cs="Times New Roman"/>
        </w:rPr>
        <w:t>Peeyananjarassri</w:t>
      </w:r>
      <w:proofErr w:type="spellEnd"/>
      <w:r w:rsidRPr="00744858">
        <w:rPr>
          <w:rFonts w:ascii="Times New Roman" w:hAnsi="Times New Roman" w:cs="Times New Roman"/>
        </w:rPr>
        <w:t xml:space="preserve"> K, </w:t>
      </w:r>
      <w:proofErr w:type="spellStart"/>
      <w:r w:rsidRPr="00744858">
        <w:rPr>
          <w:rFonts w:ascii="Times New Roman" w:hAnsi="Times New Roman" w:cs="Times New Roman"/>
        </w:rPr>
        <w:t>Cheewadhanaraks</w:t>
      </w:r>
      <w:proofErr w:type="spellEnd"/>
      <w:r w:rsidRPr="00744858">
        <w:rPr>
          <w:rFonts w:ascii="Times New Roman" w:hAnsi="Times New Roman" w:cs="Times New Roman"/>
        </w:rPr>
        <w:t xml:space="preserve"> S, Hubbard M, Zoa Manga R, Manocha R, Eden J. (2006).Menopausal symptoms in a hospital-based sample of women in southern Thailand. Climacteric. </w:t>
      </w:r>
      <w:proofErr w:type="gramStart"/>
      <w:r w:rsidRPr="00744858">
        <w:rPr>
          <w:rFonts w:ascii="Times New Roman" w:hAnsi="Times New Roman" w:cs="Times New Roman"/>
        </w:rPr>
        <w:t>2006;9:23</w:t>
      </w:r>
      <w:proofErr w:type="gramEnd"/>
      <w:r w:rsidRPr="00744858">
        <w:rPr>
          <w:rFonts w:ascii="Times New Roman" w:hAnsi="Times New Roman" w:cs="Times New Roman"/>
        </w:rPr>
        <w:t>–9.</w:t>
      </w:r>
    </w:p>
    <w:p w14:paraId="28B638CE"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291938">
        <w:rPr>
          <w:rFonts w:ascii="Times New Roman" w:hAnsi="Times New Roman" w:cs="Times New Roman"/>
          <w:lang w:val="de-DE"/>
        </w:rPr>
        <w:t xml:space="preserve">Saha, K. R., Rahman, M. M., Paul, A. R., Das, S., Haque, S., Jafrin, W. and Mia, A. R. (2013). </w:t>
      </w:r>
      <w:r w:rsidRPr="00744858">
        <w:rPr>
          <w:rFonts w:ascii="Times New Roman" w:hAnsi="Times New Roman" w:cs="Times New Roman"/>
        </w:rPr>
        <w:t xml:space="preserve">Changes in lipid profile of postmenopausal women. </w:t>
      </w:r>
      <w:r w:rsidRPr="00744858">
        <w:rPr>
          <w:rFonts w:ascii="Times New Roman" w:hAnsi="Times New Roman" w:cs="Times New Roman"/>
          <w:i/>
          <w:iCs/>
        </w:rPr>
        <w:t>Mymensingh</w:t>
      </w:r>
      <w:r w:rsidRPr="00744858">
        <w:rPr>
          <w:rFonts w:ascii="Times New Roman" w:hAnsi="Times New Roman" w:cs="Times New Roman"/>
        </w:rPr>
        <w:t xml:space="preserve"> </w:t>
      </w:r>
      <w:r w:rsidRPr="00744858">
        <w:rPr>
          <w:rFonts w:ascii="Times New Roman" w:hAnsi="Times New Roman" w:cs="Times New Roman"/>
          <w:i/>
          <w:iCs/>
        </w:rPr>
        <w:t>Medical Journal</w:t>
      </w:r>
      <w:r w:rsidRPr="00744858">
        <w:rPr>
          <w:rFonts w:ascii="Times New Roman" w:hAnsi="Times New Roman" w:cs="Times New Roman"/>
        </w:rPr>
        <w:t xml:space="preserve">. </w:t>
      </w:r>
      <w:r w:rsidRPr="00744858">
        <w:rPr>
          <w:rFonts w:ascii="Times New Roman" w:hAnsi="Times New Roman" w:cs="Times New Roman"/>
          <w:b/>
          <w:bCs/>
        </w:rPr>
        <w:t>22</w:t>
      </w:r>
      <w:r w:rsidRPr="00744858">
        <w:rPr>
          <w:rFonts w:ascii="Times New Roman" w:hAnsi="Times New Roman" w:cs="Times New Roman"/>
        </w:rPr>
        <w:t>: 706-711.</w:t>
      </w:r>
    </w:p>
    <w:p w14:paraId="71AE0D00"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Silva T.R., Spritzer P.M. (2017).Skeletal muscle mass is associated with higher dietary protein intake and lower body fat in postmenopausal women: A cross-sectional study. Menopause. </w:t>
      </w:r>
      <w:proofErr w:type="gramStart"/>
      <w:r w:rsidRPr="00744858">
        <w:rPr>
          <w:rFonts w:ascii="Times New Roman" w:hAnsi="Times New Roman" w:cs="Times New Roman"/>
        </w:rPr>
        <w:t>2017;24:502</w:t>
      </w:r>
      <w:proofErr w:type="gramEnd"/>
      <w:r w:rsidRPr="00744858">
        <w:rPr>
          <w:rFonts w:ascii="Times New Roman" w:hAnsi="Times New Roman" w:cs="Times New Roman"/>
        </w:rPr>
        <w:t xml:space="preserve">–509. </w:t>
      </w:r>
      <w:proofErr w:type="spellStart"/>
      <w:r w:rsidRPr="00744858">
        <w:rPr>
          <w:rFonts w:ascii="Times New Roman" w:hAnsi="Times New Roman" w:cs="Times New Roman"/>
        </w:rPr>
        <w:t>doi</w:t>
      </w:r>
      <w:proofErr w:type="spellEnd"/>
      <w:r w:rsidRPr="00744858">
        <w:rPr>
          <w:rFonts w:ascii="Times New Roman" w:hAnsi="Times New Roman" w:cs="Times New Roman"/>
        </w:rPr>
        <w:t>: 10.1097/GME.0000000000000793.</w:t>
      </w:r>
    </w:p>
    <w:p w14:paraId="3D35B4DB"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proofErr w:type="spellStart"/>
      <w:r w:rsidRPr="00744858">
        <w:rPr>
          <w:rFonts w:ascii="Times New Roman" w:hAnsi="Times New Roman" w:cs="Times New Roman"/>
        </w:rPr>
        <w:t>Simrani</w:t>
      </w:r>
      <w:proofErr w:type="spellEnd"/>
      <w:r w:rsidRPr="00744858">
        <w:rPr>
          <w:rFonts w:ascii="Times New Roman" w:hAnsi="Times New Roman" w:cs="Times New Roman"/>
        </w:rPr>
        <w:t xml:space="preserve">, S., Das, P. and Chaudhuri, D. (2018). Prevalence of anaemia and metabolic syndrome and their relationship among postmenopausal women in rural West Bengal, India. </w:t>
      </w:r>
      <w:r w:rsidRPr="00744858">
        <w:rPr>
          <w:rFonts w:ascii="Times New Roman" w:hAnsi="Times New Roman" w:cs="Times New Roman"/>
          <w:i/>
          <w:iCs/>
        </w:rPr>
        <w:t>Journal of Clinical and Diagnostic Research.</w:t>
      </w:r>
      <w:r w:rsidRPr="00744858">
        <w:rPr>
          <w:rFonts w:ascii="Times New Roman" w:hAnsi="Times New Roman" w:cs="Times New Roman"/>
          <w:b/>
          <w:bCs/>
        </w:rPr>
        <w:t>12</w:t>
      </w:r>
      <w:r w:rsidRPr="00744858">
        <w:rPr>
          <w:rFonts w:ascii="Times New Roman" w:hAnsi="Times New Roman" w:cs="Times New Roman"/>
        </w:rPr>
        <w:t>: 22-25.</w:t>
      </w:r>
    </w:p>
    <w:p w14:paraId="50681923"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Seethal, K. C. (2011). Promoting fruit and vegetable consumption among school children through nutrition intervention programme. Retrieved from </w:t>
      </w:r>
      <w:hyperlink r:id="rId9" w:history="1">
        <w:r w:rsidRPr="00744858">
          <w:rPr>
            <w:rStyle w:val="Hyperlink"/>
            <w:rFonts w:ascii="Times New Roman" w:hAnsi="Times New Roman" w:cs="Times New Roman"/>
          </w:rPr>
          <w:t>http://krishikosh.egranth.ac.in/displaybitstream?handle=1/5810027697on</w:t>
        </w:r>
      </w:hyperlink>
      <w:r w:rsidRPr="00744858">
        <w:rPr>
          <w:rFonts w:ascii="Times New Roman" w:hAnsi="Times New Roman" w:cs="Times New Roman"/>
        </w:rPr>
        <w:t xml:space="preserve"> 14.05.2019.  </w:t>
      </w:r>
    </w:p>
    <w:p w14:paraId="44993CEA"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proofErr w:type="spellStart"/>
      <w:r w:rsidRPr="00744858">
        <w:rPr>
          <w:rFonts w:ascii="Times New Roman" w:hAnsi="Times New Roman" w:cs="Times New Roman"/>
        </w:rPr>
        <w:t>Sugunadevi</w:t>
      </w:r>
      <w:proofErr w:type="spellEnd"/>
      <w:r w:rsidRPr="00744858">
        <w:rPr>
          <w:rFonts w:ascii="Times New Roman" w:hAnsi="Times New Roman" w:cs="Times New Roman"/>
        </w:rPr>
        <w:t xml:space="preserve">, G., and Divya, V. (2018). Health education program about postmenopausal changes to perimenopausal women in an urban slum area, Coimbatore. </w:t>
      </w:r>
      <w:r w:rsidRPr="00744858">
        <w:rPr>
          <w:rFonts w:ascii="Times New Roman" w:hAnsi="Times New Roman" w:cs="Times New Roman"/>
          <w:i/>
          <w:iCs/>
        </w:rPr>
        <w:t>International Journal of Medical Science and Public Health</w:t>
      </w:r>
      <w:r w:rsidRPr="00744858">
        <w:rPr>
          <w:rFonts w:ascii="Times New Roman" w:hAnsi="Times New Roman" w:cs="Times New Roman"/>
        </w:rPr>
        <w:t xml:space="preserve">, </w:t>
      </w:r>
      <w:r w:rsidRPr="00744858">
        <w:rPr>
          <w:rFonts w:ascii="Times New Roman" w:hAnsi="Times New Roman" w:cs="Times New Roman"/>
          <w:b/>
          <w:bCs/>
        </w:rPr>
        <w:t>7</w:t>
      </w:r>
      <w:r w:rsidRPr="00744858">
        <w:rPr>
          <w:rFonts w:ascii="Times New Roman" w:hAnsi="Times New Roman" w:cs="Times New Roman"/>
        </w:rPr>
        <w:t>(3): 193</w:t>
      </w:r>
    </w:p>
    <w:p w14:paraId="45C2B7BF" w14:textId="77777777" w:rsidR="00EC147A" w:rsidRPr="00744858" w:rsidRDefault="00EC147A" w:rsidP="00240632">
      <w:pPr>
        <w:numPr>
          <w:ilvl w:val="0"/>
          <w:numId w:val="2"/>
        </w:numPr>
        <w:tabs>
          <w:tab w:val="left" w:pos="1206"/>
        </w:tabs>
        <w:ind w:left="0" w:hanging="567"/>
        <w:jc w:val="both"/>
        <w:rPr>
          <w:rFonts w:ascii="Times New Roman" w:hAnsi="Times New Roman" w:cs="Times New Roman"/>
        </w:rPr>
      </w:pPr>
      <w:r w:rsidRPr="00744858">
        <w:rPr>
          <w:rFonts w:ascii="Times New Roman" w:hAnsi="Times New Roman" w:cs="Times New Roman"/>
        </w:rPr>
        <w:t xml:space="preserve">Teoman N, Ozcan A, Acar </w:t>
      </w:r>
      <w:proofErr w:type="gramStart"/>
      <w:r w:rsidRPr="00744858">
        <w:rPr>
          <w:rFonts w:ascii="Times New Roman" w:hAnsi="Times New Roman" w:cs="Times New Roman"/>
        </w:rPr>
        <w:t>B.(</w:t>
      </w:r>
      <w:proofErr w:type="gramEnd"/>
      <w:r w:rsidRPr="00744858">
        <w:rPr>
          <w:rFonts w:ascii="Times New Roman" w:hAnsi="Times New Roman" w:cs="Times New Roman"/>
        </w:rPr>
        <w:t>2004) The effect of exercise on physical fitness and quality of life in Postmenopausal women. Maturitas.;47(1):71-7.</w:t>
      </w:r>
    </w:p>
    <w:p w14:paraId="5A0FF2F3" w14:textId="77777777" w:rsidR="00EC147A" w:rsidRPr="00744858" w:rsidRDefault="00EC147A" w:rsidP="00EC147A">
      <w:pPr>
        <w:numPr>
          <w:ilvl w:val="0"/>
          <w:numId w:val="2"/>
        </w:numPr>
        <w:tabs>
          <w:tab w:val="left" w:pos="1206"/>
        </w:tabs>
        <w:ind w:left="0" w:right="-472" w:hanging="567"/>
        <w:jc w:val="both"/>
        <w:rPr>
          <w:rFonts w:ascii="Times New Roman" w:hAnsi="Times New Roman" w:cs="Times New Roman"/>
        </w:rPr>
      </w:pPr>
      <w:r w:rsidRPr="00291938">
        <w:rPr>
          <w:rFonts w:ascii="Times New Roman" w:hAnsi="Times New Roman" w:cs="Times New Roman"/>
          <w:lang w:val="de-DE"/>
        </w:rPr>
        <w:t xml:space="preserve">Tayyem, R. F., Ajeen, R., &amp; Al-Khammash, A. (2023). </w:t>
      </w:r>
      <w:r w:rsidRPr="00744858">
        <w:rPr>
          <w:rFonts w:ascii="Times New Roman" w:hAnsi="Times New Roman" w:cs="Times New Roman"/>
        </w:rPr>
        <w:t xml:space="preserve">Dietary patterns associated with the risk of osteoporosis in postmenopausal women. </w:t>
      </w:r>
      <w:r w:rsidRPr="00744858">
        <w:rPr>
          <w:rFonts w:ascii="Times New Roman" w:hAnsi="Times New Roman" w:cs="Times New Roman"/>
          <w:i/>
          <w:iCs/>
        </w:rPr>
        <w:t>Food Production, Processing and Nutrition</w:t>
      </w:r>
      <w:r w:rsidRPr="00744858">
        <w:rPr>
          <w:rFonts w:ascii="Times New Roman" w:hAnsi="Times New Roman" w:cs="Times New Roman"/>
        </w:rPr>
        <w:t xml:space="preserve">, </w:t>
      </w:r>
      <w:r w:rsidRPr="00744858">
        <w:rPr>
          <w:rFonts w:ascii="Times New Roman" w:hAnsi="Times New Roman" w:cs="Times New Roman"/>
          <w:i/>
          <w:iCs/>
        </w:rPr>
        <w:t>5</w:t>
      </w:r>
      <w:r w:rsidRPr="00744858">
        <w:rPr>
          <w:rFonts w:ascii="Times New Roman" w:hAnsi="Times New Roman" w:cs="Times New Roman"/>
        </w:rPr>
        <w:t>(1), 19. https://doi.org/10.1186/s43014-023-00131-6</w:t>
      </w:r>
    </w:p>
    <w:p w14:paraId="30E848F1" w14:textId="77777777" w:rsidR="00EC147A" w:rsidRPr="00744858" w:rsidRDefault="00EC147A" w:rsidP="00EC147A">
      <w:pPr>
        <w:numPr>
          <w:ilvl w:val="0"/>
          <w:numId w:val="2"/>
        </w:numPr>
        <w:tabs>
          <w:tab w:val="left" w:pos="1206"/>
        </w:tabs>
        <w:ind w:left="0" w:right="-472" w:hanging="567"/>
        <w:jc w:val="both"/>
        <w:rPr>
          <w:rFonts w:ascii="Times New Roman" w:hAnsi="Times New Roman" w:cs="Times New Roman"/>
        </w:rPr>
      </w:pPr>
      <w:r w:rsidRPr="00744858">
        <w:rPr>
          <w:rFonts w:ascii="Times New Roman" w:hAnsi="Times New Roman" w:cs="Times New Roman"/>
        </w:rPr>
        <w:lastRenderedPageBreak/>
        <w:t xml:space="preserve">Tyagi, R. Dhall, M. and Kapoor, S. Bio-social predictors of hypertension among premenopausal and postmenopausal women. </w:t>
      </w:r>
      <w:r w:rsidRPr="00744858">
        <w:rPr>
          <w:rFonts w:ascii="Times New Roman" w:hAnsi="Times New Roman" w:cs="Times New Roman"/>
          <w:i/>
          <w:iCs/>
        </w:rPr>
        <w:t>SAGE Open</w:t>
      </w:r>
      <w:r w:rsidRPr="00744858">
        <w:rPr>
          <w:rFonts w:ascii="Times New Roman" w:hAnsi="Times New Roman" w:cs="Times New Roman"/>
        </w:rPr>
        <w:t>, pp1-12.</w:t>
      </w:r>
    </w:p>
    <w:p w14:paraId="5A431845" w14:textId="77777777" w:rsidR="00EC147A" w:rsidRPr="00744858" w:rsidRDefault="00EC147A" w:rsidP="00EC147A">
      <w:pPr>
        <w:numPr>
          <w:ilvl w:val="0"/>
          <w:numId w:val="2"/>
        </w:numPr>
        <w:tabs>
          <w:tab w:val="left" w:pos="1206"/>
        </w:tabs>
        <w:ind w:left="0" w:right="-472" w:hanging="567"/>
        <w:jc w:val="both"/>
        <w:rPr>
          <w:rFonts w:ascii="Times New Roman" w:hAnsi="Times New Roman" w:cs="Times New Roman"/>
        </w:rPr>
      </w:pPr>
      <w:r w:rsidRPr="00744858">
        <w:rPr>
          <w:rFonts w:ascii="Times New Roman" w:hAnsi="Times New Roman" w:cs="Times New Roman"/>
        </w:rPr>
        <w:t xml:space="preserve">Villarino-Rodriguez, A., C. García-Linares </w:t>
      </w:r>
      <w:proofErr w:type="spellStart"/>
      <w:r w:rsidRPr="00744858">
        <w:rPr>
          <w:rFonts w:ascii="Times New Roman" w:hAnsi="Times New Roman" w:cs="Times New Roman"/>
        </w:rPr>
        <w:t>Mdel</w:t>
      </w:r>
      <w:proofErr w:type="spellEnd"/>
      <w:r w:rsidRPr="00744858">
        <w:rPr>
          <w:rFonts w:ascii="Times New Roman" w:hAnsi="Times New Roman" w:cs="Times New Roman"/>
        </w:rPr>
        <w:t xml:space="preserve">, M.T. García-Arias, C. and García-Fernández </w:t>
      </w:r>
      <w:proofErr w:type="spellStart"/>
      <w:r w:rsidRPr="00744858">
        <w:rPr>
          <w:rFonts w:ascii="Times New Roman" w:hAnsi="Times New Roman" w:cs="Times New Roman"/>
        </w:rPr>
        <w:t>Mdel</w:t>
      </w:r>
      <w:proofErr w:type="spellEnd"/>
      <w:r w:rsidRPr="00744858">
        <w:rPr>
          <w:rFonts w:ascii="Times New Roman" w:hAnsi="Times New Roman" w:cs="Times New Roman"/>
        </w:rPr>
        <w:t xml:space="preserve">, 2002. Anthropometric assessment and vitamin intake by a group of elderly </w:t>
      </w:r>
      <w:proofErr w:type="spellStart"/>
      <w:r w:rsidRPr="00744858">
        <w:rPr>
          <w:rFonts w:ascii="Times New Roman" w:hAnsi="Times New Roman" w:cs="Times New Roman"/>
        </w:rPr>
        <w:t>institucionalized</w:t>
      </w:r>
      <w:proofErr w:type="spellEnd"/>
      <w:r w:rsidRPr="00744858">
        <w:rPr>
          <w:rFonts w:ascii="Times New Roman" w:hAnsi="Times New Roman" w:cs="Times New Roman"/>
        </w:rPr>
        <w:t xml:space="preserve"> individuals in the province of Leon (Spain) </w:t>
      </w:r>
      <w:proofErr w:type="spellStart"/>
      <w:r w:rsidRPr="00744858">
        <w:rPr>
          <w:rFonts w:ascii="Times New Roman" w:hAnsi="Times New Roman" w:cs="Times New Roman"/>
        </w:rPr>
        <w:t>Nutr</w:t>
      </w:r>
      <w:proofErr w:type="spellEnd"/>
      <w:r w:rsidRPr="00744858">
        <w:rPr>
          <w:rFonts w:ascii="Times New Roman" w:hAnsi="Times New Roman" w:cs="Times New Roman"/>
        </w:rPr>
        <w:t>. Hosp., 17 (6): 290-295</w:t>
      </w:r>
    </w:p>
    <w:p w14:paraId="5B06FD49" w14:textId="77777777" w:rsidR="00EC147A" w:rsidRPr="00744858" w:rsidRDefault="00EC147A" w:rsidP="00EC147A">
      <w:pPr>
        <w:numPr>
          <w:ilvl w:val="0"/>
          <w:numId w:val="2"/>
        </w:numPr>
        <w:tabs>
          <w:tab w:val="left" w:pos="1206"/>
        </w:tabs>
        <w:ind w:left="0" w:right="-472" w:hanging="567"/>
        <w:jc w:val="both"/>
        <w:rPr>
          <w:rFonts w:ascii="Times New Roman" w:hAnsi="Times New Roman" w:cs="Times New Roman"/>
        </w:rPr>
      </w:pPr>
      <w:proofErr w:type="spellStart"/>
      <w:r w:rsidRPr="00744858">
        <w:rPr>
          <w:rFonts w:ascii="Times New Roman" w:hAnsi="Times New Roman" w:cs="Times New Roman"/>
        </w:rPr>
        <w:t>Yannakoulia</w:t>
      </w:r>
      <w:proofErr w:type="spellEnd"/>
      <w:r w:rsidRPr="00744858">
        <w:rPr>
          <w:rFonts w:ascii="Times New Roman" w:hAnsi="Times New Roman" w:cs="Times New Roman"/>
        </w:rPr>
        <w:t xml:space="preserve">, M, L. </w:t>
      </w:r>
      <w:proofErr w:type="spellStart"/>
      <w:r w:rsidRPr="00744858">
        <w:rPr>
          <w:rFonts w:ascii="Times New Roman" w:hAnsi="Times New Roman" w:cs="Times New Roman"/>
        </w:rPr>
        <w:t>Melistas</w:t>
      </w:r>
      <w:proofErr w:type="spellEnd"/>
      <w:r w:rsidRPr="00744858">
        <w:rPr>
          <w:rFonts w:ascii="Times New Roman" w:hAnsi="Times New Roman" w:cs="Times New Roman"/>
        </w:rPr>
        <w:t xml:space="preserve">, E. </w:t>
      </w:r>
      <w:proofErr w:type="spellStart"/>
      <w:r w:rsidRPr="00744858">
        <w:rPr>
          <w:rFonts w:ascii="Times New Roman" w:hAnsi="Times New Roman" w:cs="Times New Roman"/>
        </w:rPr>
        <w:t>Solomou</w:t>
      </w:r>
      <w:proofErr w:type="spellEnd"/>
      <w:r w:rsidRPr="00744858">
        <w:rPr>
          <w:rFonts w:ascii="Times New Roman" w:hAnsi="Times New Roman" w:cs="Times New Roman"/>
        </w:rPr>
        <w:t xml:space="preserve"> and N. </w:t>
      </w:r>
      <w:proofErr w:type="spellStart"/>
      <w:r w:rsidRPr="00744858">
        <w:rPr>
          <w:rFonts w:ascii="Times New Roman" w:hAnsi="Times New Roman" w:cs="Times New Roman"/>
        </w:rPr>
        <w:t>Yiannakouris</w:t>
      </w:r>
      <w:proofErr w:type="spellEnd"/>
      <w:r w:rsidRPr="00744858">
        <w:rPr>
          <w:rFonts w:ascii="Times New Roman" w:hAnsi="Times New Roman" w:cs="Times New Roman"/>
        </w:rPr>
        <w:t>, (2007). Association of eating frequency with body fatness in pre and postmenopausal women. Obesity (Silver Spring), 15 (1): 100-106.</w:t>
      </w:r>
    </w:p>
    <w:p w14:paraId="362FBAC7" w14:textId="77777777" w:rsidR="00EC147A" w:rsidRPr="00744858" w:rsidRDefault="00EC147A" w:rsidP="00EC147A">
      <w:pPr>
        <w:tabs>
          <w:tab w:val="left" w:pos="1206"/>
        </w:tabs>
        <w:rPr>
          <w:rFonts w:ascii="Times New Roman" w:hAnsi="Times New Roman" w:cs="Times New Roman"/>
        </w:rPr>
      </w:pPr>
    </w:p>
    <w:p w14:paraId="601D354A" w14:textId="77777777" w:rsidR="00EC147A" w:rsidRPr="00744858" w:rsidRDefault="00EC147A" w:rsidP="00EC147A">
      <w:pPr>
        <w:tabs>
          <w:tab w:val="left" w:pos="1206"/>
        </w:tabs>
        <w:rPr>
          <w:rFonts w:ascii="Times New Roman" w:hAnsi="Times New Roman" w:cs="Times New Roman"/>
        </w:rPr>
      </w:pPr>
    </w:p>
    <w:sectPr w:rsidR="00EC147A" w:rsidRPr="00744858" w:rsidSect="00A46C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5C6A" w14:textId="77777777" w:rsidR="00A46C77" w:rsidRDefault="00A46C77" w:rsidP="00291938">
      <w:pPr>
        <w:spacing w:after="0" w:line="240" w:lineRule="auto"/>
      </w:pPr>
      <w:r>
        <w:separator/>
      </w:r>
    </w:p>
  </w:endnote>
  <w:endnote w:type="continuationSeparator" w:id="0">
    <w:p w14:paraId="4981C4B2" w14:textId="77777777" w:rsidR="00A46C77" w:rsidRDefault="00A46C77" w:rsidP="0029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A3B0" w14:textId="77777777" w:rsidR="00291938" w:rsidRDefault="0029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89D1" w14:textId="77777777" w:rsidR="00291938" w:rsidRDefault="00291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1024" w14:textId="77777777" w:rsidR="00291938" w:rsidRDefault="0029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307D" w14:textId="77777777" w:rsidR="00A46C77" w:rsidRDefault="00A46C77" w:rsidP="00291938">
      <w:pPr>
        <w:spacing w:after="0" w:line="240" w:lineRule="auto"/>
      </w:pPr>
      <w:r>
        <w:separator/>
      </w:r>
    </w:p>
  </w:footnote>
  <w:footnote w:type="continuationSeparator" w:id="0">
    <w:p w14:paraId="33118CEB" w14:textId="77777777" w:rsidR="00A46C77" w:rsidRDefault="00A46C77" w:rsidP="0029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361" w14:textId="0511E463" w:rsidR="00291938" w:rsidRDefault="00291938">
    <w:pPr>
      <w:pStyle w:val="Header"/>
    </w:pPr>
    <w:r>
      <w:rPr>
        <w:noProof/>
      </w:rPr>
      <w:pict w14:anchorId="78E50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8.7pt;height:99.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0DD3" w14:textId="2FC0B051" w:rsidR="00291938" w:rsidRDefault="00291938">
    <w:pPr>
      <w:pStyle w:val="Header"/>
    </w:pPr>
    <w:r>
      <w:rPr>
        <w:noProof/>
      </w:rPr>
      <w:pict w14:anchorId="65A2C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8.7pt;height:99.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D52A" w14:textId="188B4FCA" w:rsidR="00291938" w:rsidRDefault="00291938">
    <w:pPr>
      <w:pStyle w:val="Header"/>
    </w:pPr>
    <w:r>
      <w:rPr>
        <w:noProof/>
      </w:rPr>
      <w:pict w14:anchorId="74FFE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8.7pt;height:99.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4387"/>
    <w:multiLevelType w:val="hybridMultilevel"/>
    <w:tmpl w:val="1590AE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240C32"/>
    <w:multiLevelType w:val="hybridMultilevel"/>
    <w:tmpl w:val="21367D32"/>
    <w:lvl w:ilvl="0" w:tplc="156297DA">
      <w:start w:val="1"/>
      <w:numFmt w:val="decimal"/>
      <w:lvlText w:val="%1."/>
      <w:lvlJc w:val="left"/>
      <w:pPr>
        <w:ind w:left="-207" w:hanging="360"/>
      </w:pPr>
      <w:rPr>
        <w:rFonts w:hint="default"/>
        <w:b/>
        <w:color w:val="212121"/>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2" w15:restartNumberingAfterBreak="0">
    <w:nsid w:val="24237C6B"/>
    <w:multiLevelType w:val="hybridMultilevel"/>
    <w:tmpl w:val="4F9A4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F27104"/>
    <w:multiLevelType w:val="hybridMultilevel"/>
    <w:tmpl w:val="851CF784"/>
    <w:lvl w:ilvl="0" w:tplc="4D26FFB8">
      <w:start w:val="1"/>
      <w:numFmt w:val="lowerRoman"/>
      <w:lvlText w:val="%1)"/>
      <w:lvlJc w:val="left"/>
      <w:pPr>
        <w:ind w:left="1530" w:hanging="720"/>
      </w:pPr>
      <w:rPr>
        <w:rFonts w:hint="default"/>
        <w:b/>
        <w:bCs/>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4" w15:restartNumberingAfterBreak="0">
    <w:nsid w:val="37933974"/>
    <w:multiLevelType w:val="hybridMultilevel"/>
    <w:tmpl w:val="C35AEC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EE56D6"/>
    <w:multiLevelType w:val="hybridMultilevel"/>
    <w:tmpl w:val="1E24C26A"/>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4690262">
    <w:abstractNumId w:val="2"/>
  </w:num>
  <w:num w:numId="2" w16cid:durableId="665014627">
    <w:abstractNumId w:val="5"/>
  </w:num>
  <w:num w:numId="3" w16cid:durableId="464393143">
    <w:abstractNumId w:val="0"/>
  </w:num>
  <w:num w:numId="4" w16cid:durableId="690306573">
    <w:abstractNumId w:val="3"/>
  </w:num>
  <w:num w:numId="5" w16cid:durableId="1483738201">
    <w:abstractNumId w:val="1"/>
  </w:num>
  <w:num w:numId="6" w16cid:durableId="132257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47A"/>
    <w:rsid w:val="0005033E"/>
    <w:rsid w:val="000F194E"/>
    <w:rsid w:val="001F39D7"/>
    <w:rsid w:val="00240632"/>
    <w:rsid w:val="00285EAE"/>
    <w:rsid w:val="00291938"/>
    <w:rsid w:val="003D7976"/>
    <w:rsid w:val="00465FA7"/>
    <w:rsid w:val="004A005B"/>
    <w:rsid w:val="005450CD"/>
    <w:rsid w:val="006957C1"/>
    <w:rsid w:val="006A35B0"/>
    <w:rsid w:val="00744858"/>
    <w:rsid w:val="007B5429"/>
    <w:rsid w:val="00962D82"/>
    <w:rsid w:val="009B4BAA"/>
    <w:rsid w:val="009B6D87"/>
    <w:rsid w:val="009B6E66"/>
    <w:rsid w:val="009E6537"/>
    <w:rsid w:val="009F7306"/>
    <w:rsid w:val="00A46C77"/>
    <w:rsid w:val="00A52355"/>
    <w:rsid w:val="00A808B8"/>
    <w:rsid w:val="00B20935"/>
    <w:rsid w:val="00B23075"/>
    <w:rsid w:val="00B7710B"/>
    <w:rsid w:val="00BC57E2"/>
    <w:rsid w:val="00C77B2F"/>
    <w:rsid w:val="00C97982"/>
    <w:rsid w:val="00D41649"/>
    <w:rsid w:val="00E2416C"/>
    <w:rsid w:val="00E60924"/>
    <w:rsid w:val="00E83F01"/>
    <w:rsid w:val="00EC147A"/>
    <w:rsid w:val="00EC7BB9"/>
    <w:rsid w:val="00FD18C7"/>
    <w:rsid w:val="00FE56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90F45"/>
  <w15:docId w15:val="{7E407BFB-930B-4A10-8B2A-093CE479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7A"/>
    <w:pPr>
      <w:spacing w:after="120" w:line="360" w:lineRule="auto"/>
    </w:pPr>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47A"/>
    <w:pPr>
      <w:ind w:left="720"/>
      <w:contextualSpacing/>
    </w:pPr>
  </w:style>
  <w:style w:type="table" w:styleId="TableGrid">
    <w:name w:val="Table Grid"/>
    <w:basedOn w:val="TableNormal"/>
    <w:uiPriority w:val="59"/>
    <w:rsid w:val="00EC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C147A"/>
    <w:rPr>
      <w:rFonts w:ascii="Times-Bold" w:hAnsi="Times-Bold" w:hint="default"/>
      <w:b/>
      <w:bCs/>
      <w:i w:val="0"/>
      <w:iCs w:val="0"/>
      <w:color w:val="000000"/>
      <w:sz w:val="24"/>
      <w:szCs w:val="24"/>
    </w:rPr>
  </w:style>
  <w:style w:type="character" w:styleId="Hyperlink">
    <w:name w:val="Hyperlink"/>
    <w:basedOn w:val="DefaultParagraphFont"/>
    <w:uiPriority w:val="99"/>
    <w:unhideWhenUsed/>
    <w:rsid w:val="00EC147A"/>
    <w:rPr>
      <w:color w:val="0000FF" w:themeColor="hyperlink"/>
      <w:u w:val="single"/>
    </w:rPr>
  </w:style>
  <w:style w:type="paragraph" w:styleId="NoSpacing">
    <w:name w:val="No Spacing"/>
    <w:uiPriority w:val="1"/>
    <w:qFormat/>
    <w:rsid w:val="009E6537"/>
    <w:pPr>
      <w:spacing w:after="0" w:line="240" w:lineRule="auto"/>
    </w:pPr>
  </w:style>
  <w:style w:type="character" w:styleId="UnresolvedMention">
    <w:name w:val="Unresolved Mention"/>
    <w:basedOn w:val="DefaultParagraphFont"/>
    <w:uiPriority w:val="99"/>
    <w:semiHidden/>
    <w:unhideWhenUsed/>
    <w:rsid w:val="00285EAE"/>
    <w:rPr>
      <w:color w:val="605E5C"/>
      <w:shd w:val="clear" w:color="auto" w:fill="E1DFDD"/>
    </w:rPr>
  </w:style>
  <w:style w:type="paragraph" w:styleId="Header">
    <w:name w:val="header"/>
    <w:basedOn w:val="Normal"/>
    <w:link w:val="HeaderChar"/>
    <w:uiPriority w:val="99"/>
    <w:unhideWhenUsed/>
    <w:rsid w:val="00291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938"/>
    <w:rPr>
      <w:rFonts w:cs="Mangal"/>
    </w:rPr>
  </w:style>
  <w:style w:type="paragraph" w:styleId="Footer">
    <w:name w:val="footer"/>
    <w:basedOn w:val="Normal"/>
    <w:link w:val="FooterChar"/>
    <w:uiPriority w:val="99"/>
    <w:unhideWhenUsed/>
    <w:rsid w:val="00291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93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825899653">
      <w:bodyDiv w:val="1"/>
      <w:marLeft w:val="0"/>
      <w:marRight w:val="0"/>
      <w:marTop w:val="0"/>
      <w:marBottom w:val="0"/>
      <w:divBdr>
        <w:top w:val="none" w:sz="0" w:space="0" w:color="auto"/>
        <w:left w:val="none" w:sz="0" w:space="0" w:color="auto"/>
        <w:bottom w:val="none" w:sz="0" w:space="0" w:color="auto"/>
        <w:right w:val="none" w:sz="0" w:space="0" w:color="auto"/>
      </w:divBdr>
    </w:div>
    <w:div w:id="18683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rishikosh.egranth.ac.in/displaybitstream?handle=1/85143on%2014.05.20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rishikosh.egranth.ac.in/displaybitstream?handle=1/5810027697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1D8C6-CBEB-46E0-991F-1E401C1B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6335</Words>
  <Characters>36111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Editor-23</cp:lastModifiedBy>
  <cp:revision>18</cp:revision>
  <dcterms:created xsi:type="dcterms:W3CDTF">2024-04-10T01:50:00Z</dcterms:created>
  <dcterms:modified xsi:type="dcterms:W3CDTF">2024-04-15T12:04:00Z</dcterms:modified>
</cp:coreProperties>
</file>