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69592" w14:textId="77777777" w:rsidR="008E10DE" w:rsidRDefault="00000000">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Assessment of the impact of </w:t>
      </w:r>
      <w:proofErr w:type="spellStart"/>
      <w:r>
        <w:rPr>
          <w:rFonts w:ascii="Times New Roman" w:hAnsi="Times New Roman" w:cs="Times New Roman"/>
          <w:b/>
          <w:bCs/>
          <w:sz w:val="24"/>
          <w:szCs w:val="24"/>
        </w:rPr>
        <w:t>Monocrotophos</w:t>
      </w:r>
      <w:proofErr w:type="spellEnd"/>
      <w:r>
        <w:rPr>
          <w:rFonts w:ascii="Times New Roman" w:hAnsi="Times New Roman" w:cs="Times New Roman"/>
          <w:b/>
          <w:bCs/>
          <w:sz w:val="24"/>
          <w:szCs w:val="24"/>
        </w:rPr>
        <w:t xml:space="preserve"> on the Freshwater fish</w:t>
      </w:r>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Labeo</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rohita</w:t>
      </w:r>
      <w:proofErr w:type="spellEnd"/>
      <w:r>
        <w:rPr>
          <w:rFonts w:ascii="Times New Roman" w:hAnsi="Times New Roman" w:cs="Times New Roman"/>
          <w:b/>
          <w:bCs/>
          <w:sz w:val="24"/>
          <w:szCs w:val="24"/>
        </w:rPr>
        <w:t xml:space="preserve"> through </w:t>
      </w:r>
      <w:proofErr w:type="spellStart"/>
      <w:r>
        <w:rPr>
          <w:rFonts w:ascii="Times New Roman" w:hAnsi="Times New Roman" w:cs="Times New Roman"/>
          <w:b/>
          <w:bCs/>
          <w:sz w:val="24"/>
          <w:szCs w:val="24"/>
        </w:rPr>
        <w:t>Haematological</w:t>
      </w:r>
      <w:proofErr w:type="spellEnd"/>
      <w:r>
        <w:rPr>
          <w:rFonts w:ascii="Times New Roman" w:hAnsi="Times New Roman" w:cs="Times New Roman"/>
          <w:b/>
          <w:bCs/>
          <w:sz w:val="24"/>
          <w:szCs w:val="24"/>
        </w:rPr>
        <w:t xml:space="preserve"> and Histological parameters</w:t>
      </w:r>
    </w:p>
    <w:p w14:paraId="0ED4B9A4" w14:textId="77777777" w:rsidR="008E10DE" w:rsidRDefault="008E10DE">
      <w:pPr>
        <w:spacing w:line="20" w:lineRule="atLeast"/>
        <w:jc w:val="center"/>
        <w:rPr>
          <w:rFonts w:ascii="Times New Roman" w:hAnsi="Times New Roman" w:cs="Times New Roman"/>
          <w:b/>
          <w:bCs/>
          <w:sz w:val="24"/>
          <w:szCs w:val="24"/>
        </w:rPr>
      </w:pPr>
    </w:p>
    <w:p w14:paraId="5C4C9D8C" w14:textId="77777777" w:rsidR="00280F9E" w:rsidRDefault="00280F9E">
      <w:pPr>
        <w:spacing w:line="20" w:lineRule="atLeast"/>
        <w:jc w:val="center"/>
        <w:rPr>
          <w:rFonts w:ascii="Times New Roman" w:hAnsi="Times New Roman" w:cs="Times New Roman"/>
          <w:b/>
          <w:bCs/>
          <w:sz w:val="24"/>
          <w:szCs w:val="24"/>
        </w:rPr>
      </w:pPr>
    </w:p>
    <w:p w14:paraId="04B67E4E" w14:textId="1F82142C" w:rsidR="008E10DE" w:rsidRDefault="00000000">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ab/>
        <w:t xml:space="preserve">        </w:t>
      </w:r>
      <w:r>
        <w:rPr>
          <w:rFonts w:ascii="Times New Roman" w:hAnsi="Times New Roman" w:cs="Times New Roman"/>
          <w:b/>
          <w:bCs/>
          <w:sz w:val="24"/>
          <w:szCs w:val="24"/>
        </w:rPr>
        <w:tab/>
      </w:r>
    </w:p>
    <w:p w14:paraId="68182FCE" w14:textId="77777777" w:rsidR="008E10DE" w:rsidRDefault="008E10DE">
      <w:pPr>
        <w:spacing w:line="20" w:lineRule="atLeast"/>
        <w:rPr>
          <w:rFonts w:ascii="Times New Roman" w:hAnsi="Times New Roman" w:cs="Times New Roman"/>
          <w:b/>
          <w:bCs/>
          <w:sz w:val="24"/>
          <w:szCs w:val="24"/>
        </w:rPr>
      </w:pPr>
    </w:p>
    <w:p w14:paraId="02EED7E4" w14:textId="77777777" w:rsidR="008E10DE" w:rsidRDefault="00000000">
      <w:pPr>
        <w:spacing w:line="20" w:lineRule="atLeast"/>
        <w:rPr>
          <w:rFonts w:ascii="Times New Roman" w:hAnsi="Times New Roman" w:cs="Times New Roman"/>
          <w:b/>
          <w:bCs/>
          <w:sz w:val="24"/>
          <w:szCs w:val="24"/>
        </w:rPr>
      </w:pPr>
      <w:r>
        <w:rPr>
          <w:rFonts w:ascii="Times New Roman" w:hAnsi="Times New Roman" w:cs="Times New Roman"/>
          <w:b/>
          <w:bCs/>
          <w:sz w:val="24"/>
          <w:szCs w:val="24"/>
        </w:rPr>
        <w:t>ABSTRACT</w:t>
      </w:r>
    </w:p>
    <w:p w14:paraId="1FDD0871" w14:textId="77777777" w:rsidR="008E10DE" w:rsidRDefault="008E10DE">
      <w:pPr>
        <w:spacing w:line="20" w:lineRule="atLeast"/>
        <w:rPr>
          <w:rFonts w:ascii="Times New Roman" w:hAnsi="Times New Roman" w:cs="Times New Roman"/>
          <w:b/>
          <w:bCs/>
          <w:sz w:val="24"/>
          <w:szCs w:val="24"/>
        </w:rPr>
      </w:pPr>
    </w:p>
    <w:p w14:paraId="7D999CE2" w14:textId="77777777" w:rsidR="008E10DE" w:rsidRDefault="00000000">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This study investigated the acute sublethal toxicity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on the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haematological</w:t>
      </w:r>
      <w:proofErr w:type="spellEnd"/>
      <w:r>
        <w:rPr>
          <w:rFonts w:ascii="Times New Roman" w:hAnsi="Times New Roman" w:cs="Times New Roman"/>
          <w:sz w:val="24"/>
          <w:szCs w:val="24"/>
        </w:rPr>
        <w:t xml:space="preserve">, and histological characters of the freshwater fish </w:t>
      </w:r>
      <w:proofErr w:type="spellStart"/>
      <w:r>
        <w:rPr>
          <w:rFonts w:ascii="Times New Roman" w:hAnsi="Times New Roman" w:cs="Times New Roman"/>
          <w:i/>
          <w:iCs/>
          <w:sz w:val="24"/>
          <w:szCs w:val="24"/>
        </w:rPr>
        <w:t>Labeo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Fish exposed to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(10 ppm and 100 ppm) exhibited notable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alterations, including loss of equilibrium, frequent surfacing, heightened mucus secretion, irregular locomotion, and erratic swimming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for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was determined to be 48.50 ppm. Sub-lethal concentrations (10, 20, 40, and 60 ppm) were employed to assess the effects of acute exposure over a period of 30 days. The increase in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concentrations led to a consistent decrease in total RBC count and </w:t>
      </w:r>
      <w:proofErr w:type="spellStart"/>
      <w:r>
        <w:rPr>
          <w:rFonts w:ascii="Times New Roman" w:hAnsi="Times New Roman" w:cs="Times New Roman"/>
          <w:sz w:val="24"/>
          <w:szCs w:val="24"/>
        </w:rPr>
        <w:t>haemoglobin</w:t>
      </w:r>
      <w:proofErr w:type="spellEnd"/>
      <w:r>
        <w:rPr>
          <w:rFonts w:ascii="Times New Roman" w:hAnsi="Times New Roman" w:cs="Times New Roman"/>
          <w:sz w:val="24"/>
          <w:szCs w:val="24"/>
        </w:rPr>
        <w:t xml:space="preserve"> levels, although the total WBC count showed a proportional rise with both concentration and length of exposure. Histopathological analysis revealed significant structural damage to the gill and liver tissues in the treated fish relative to the controls. The findings highlight the substantial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and physiological alterations caused by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exposure in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In order to reduce the adverse impact of this chemical on aquatic ecosystems, stringent regulation and attentive application are essential.</w:t>
      </w:r>
    </w:p>
    <w:p w14:paraId="09248609" w14:textId="77777777" w:rsidR="008E10DE" w:rsidRDefault="008E10DE">
      <w:pPr>
        <w:spacing w:line="20" w:lineRule="atLeast"/>
        <w:ind w:firstLine="720"/>
        <w:jc w:val="both"/>
        <w:rPr>
          <w:rFonts w:ascii="Times New Roman" w:hAnsi="Times New Roman" w:cs="Times New Roman"/>
          <w:sz w:val="24"/>
          <w:szCs w:val="24"/>
        </w:rPr>
      </w:pPr>
    </w:p>
    <w:p w14:paraId="5936CB87" w14:textId="77777777" w:rsidR="008E10DE" w:rsidRDefault="00000000">
      <w:pPr>
        <w:spacing w:line="20" w:lineRule="atLeast"/>
        <w:jc w:val="both"/>
        <w:rPr>
          <w:rFonts w:ascii="Times New Roman" w:hAnsi="Times New Roman" w:cs="Times New Roman"/>
          <w:i/>
          <w:iCs/>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 xml:space="preserve">Acute </w:t>
      </w:r>
      <w:proofErr w:type="gramStart"/>
      <w:r>
        <w:rPr>
          <w:rFonts w:ascii="Times New Roman" w:hAnsi="Times New Roman" w:cs="Times New Roman"/>
          <w:sz w:val="24"/>
          <w:szCs w:val="24"/>
        </w:rPr>
        <w:t>toxicity;  Hematology</w:t>
      </w:r>
      <w:proofErr w:type="gramEnd"/>
      <w:r>
        <w:rPr>
          <w:rFonts w:ascii="Times New Roman" w:hAnsi="Times New Roman" w:cs="Times New Roman"/>
          <w:sz w:val="24"/>
          <w:szCs w:val="24"/>
        </w:rPr>
        <w:t xml:space="preserve">; Histopathology;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Labeo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rohita</w:t>
      </w:r>
      <w:proofErr w:type="spellEnd"/>
    </w:p>
    <w:p w14:paraId="262AE617" w14:textId="77777777" w:rsidR="008E10DE" w:rsidRDefault="008E10DE">
      <w:pPr>
        <w:spacing w:line="20" w:lineRule="atLeast"/>
        <w:jc w:val="both"/>
        <w:rPr>
          <w:rFonts w:ascii="Times New Roman" w:hAnsi="Times New Roman" w:cs="Times New Roman"/>
          <w:i/>
          <w:iCs/>
          <w:sz w:val="24"/>
          <w:szCs w:val="24"/>
        </w:rPr>
      </w:pPr>
    </w:p>
    <w:p w14:paraId="56C9D759" w14:textId="77777777" w:rsidR="008E10DE" w:rsidRDefault="00000000">
      <w:pPr>
        <w:numPr>
          <w:ilvl w:val="0"/>
          <w:numId w:val="1"/>
        </w:numPr>
        <w:rPr>
          <w:rFonts w:ascii="Times New Roman" w:hAnsi="Times New Roman" w:cs="Times New Roman"/>
          <w:b/>
          <w:bCs/>
          <w:sz w:val="24"/>
          <w:szCs w:val="24"/>
        </w:rPr>
      </w:pPr>
      <w:r>
        <w:rPr>
          <w:rFonts w:ascii="Times New Roman" w:hAnsi="Times New Roman" w:cs="Times New Roman"/>
          <w:b/>
          <w:bCs/>
          <w:sz w:val="24"/>
          <w:szCs w:val="24"/>
        </w:rPr>
        <w:t>INTRODUCTION</w:t>
      </w:r>
    </w:p>
    <w:p w14:paraId="185746C1" w14:textId="77777777" w:rsidR="008E10DE" w:rsidRDefault="008E10DE">
      <w:pPr>
        <w:rPr>
          <w:rFonts w:ascii="Times New Roman" w:hAnsi="Times New Roman" w:cs="Times New Roman"/>
          <w:b/>
          <w:bCs/>
          <w:sz w:val="24"/>
          <w:szCs w:val="24"/>
        </w:rPr>
      </w:pPr>
    </w:p>
    <w:p w14:paraId="67421049" w14:textId="77777777" w:rsidR="008E10DE" w:rsidRDefault="00000000">
      <w:pPr>
        <w:jc w:val="both"/>
        <w:rPr>
          <w:rFonts w:ascii="Times New Roman" w:eastAsia="Georgia" w:hAnsi="Times New Roman" w:cs="Times New Roman"/>
          <w:sz w:val="24"/>
          <w:szCs w:val="24"/>
        </w:rPr>
      </w:pPr>
      <w:r>
        <w:rPr>
          <w:rFonts w:ascii="Times New Roman" w:eastAsia="Georgia" w:hAnsi="Times New Roman" w:cs="Times New Roman"/>
          <w:sz w:val="24"/>
          <w:szCs w:val="24"/>
        </w:rPr>
        <w:t xml:space="preserve">Pesticides, insecticides, herbicides, and fungicides are synthetic chemicals widely used in agriculture. Organophosphate pesticides frequently used in agriculture and aquaculture include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methyl parathion, diazinon, dichlorvos, chlorpyrifos, glyphosate, trichlorfon, and malathion (Rajan et al., 2024; Li et al., 2023). These chemicals frequently find their way into aquatic ecosystems via agricultural runoff, spray drift, domestic waste discharge, industrial effluents, or direct application. This contamination results in harmful effects on non-target organisms, especially fish.</w:t>
      </w:r>
    </w:p>
    <w:p w14:paraId="6C77A6DF" w14:textId="77777777" w:rsidR="008E10DE" w:rsidRDefault="008E10DE">
      <w:pPr>
        <w:ind w:firstLine="720"/>
        <w:jc w:val="both"/>
        <w:rPr>
          <w:rFonts w:ascii="Times New Roman" w:eastAsia="Georgia" w:hAnsi="Times New Roman" w:cs="Times New Roman"/>
          <w:sz w:val="24"/>
          <w:szCs w:val="24"/>
        </w:rPr>
      </w:pPr>
    </w:p>
    <w:p w14:paraId="4549977F" w14:textId="77777777" w:rsidR="008E10DE" w:rsidRDefault="00000000">
      <w:pPr>
        <w:jc w:val="both"/>
        <w:rPr>
          <w:rFonts w:ascii="Times New Roman" w:eastAsia="Georgia" w:hAnsi="Times New Roman" w:cs="Times New Roman"/>
          <w:sz w:val="24"/>
          <w:szCs w:val="24"/>
        </w:rPr>
      </w:pPr>
      <w:r>
        <w:rPr>
          <w:rFonts w:ascii="Times New Roman" w:eastAsia="Georgia" w:hAnsi="Times New Roman" w:cs="Times New Roman"/>
          <w:sz w:val="24"/>
          <w:szCs w:val="24"/>
        </w:rPr>
        <w:t xml:space="preserve">Fish are particularly vulnerable to waterborne stressors, such as organophosphate toxicity, making them an excellent bio-indicator for assessing water quality (Guo et al., 2021). </w:t>
      </w:r>
      <w:proofErr w:type="spellStart"/>
      <w:r>
        <w:rPr>
          <w:rFonts w:ascii="Times New Roman" w:eastAsia="Georgia" w:hAnsi="Times New Roman" w:cs="Times New Roman"/>
          <w:i/>
          <w:iCs/>
          <w:sz w:val="24"/>
          <w:szCs w:val="24"/>
        </w:rPr>
        <w:t>Labeo</w:t>
      </w:r>
      <w:proofErr w:type="spellEnd"/>
      <w:r>
        <w:rPr>
          <w:rFonts w:ascii="Times New Roman" w:eastAsia="Georgia" w:hAnsi="Times New Roman" w:cs="Times New Roman"/>
          <w:i/>
          <w:iCs/>
          <w:sz w:val="24"/>
          <w:szCs w:val="24"/>
        </w:rPr>
        <w:t xml:space="preserve"> </w:t>
      </w:r>
      <w:proofErr w:type="spellStart"/>
      <w:r>
        <w:rPr>
          <w:rFonts w:ascii="Times New Roman" w:eastAsia="Georgia" w:hAnsi="Times New Roman" w:cs="Times New Roman"/>
          <w:i/>
          <w:iCs/>
          <w:sz w:val="24"/>
          <w:szCs w:val="24"/>
        </w:rPr>
        <w:t>rohita</w:t>
      </w:r>
      <w:proofErr w:type="spellEnd"/>
      <w:r>
        <w:rPr>
          <w:rFonts w:ascii="Times New Roman" w:eastAsia="Georgia" w:hAnsi="Times New Roman" w:cs="Times New Roman"/>
          <w:i/>
          <w:iCs/>
          <w:sz w:val="24"/>
          <w:szCs w:val="24"/>
        </w:rPr>
        <w:t xml:space="preserve"> </w:t>
      </w:r>
      <w:r>
        <w:rPr>
          <w:rFonts w:ascii="Times New Roman" w:eastAsia="Georgia" w:hAnsi="Times New Roman" w:cs="Times New Roman"/>
          <w:sz w:val="24"/>
          <w:szCs w:val="24"/>
        </w:rPr>
        <w:t xml:space="preserve">is a prominent species of Indian major carp, extensively farmed across Asia, including countries such as Vietnam, Bangladesh, and Nepal. Furthermore, </w:t>
      </w:r>
      <w:r>
        <w:rPr>
          <w:rFonts w:ascii="Times New Roman" w:eastAsia="Georgia" w:hAnsi="Times New Roman" w:cs="Times New Roman"/>
          <w:i/>
          <w:iCs/>
          <w:sz w:val="24"/>
          <w:szCs w:val="24"/>
        </w:rPr>
        <w:t xml:space="preserve">L. </w:t>
      </w:r>
      <w:proofErr w:type="spellStart"/>
      <w:r>
        <w:rPr>
          <w:rFonts w:ascii="Times New Roman" w:eastAsia="Georgia" w:hAnsi="Times New Roman" w:cs="Times New Roman"/>
          <w:i/>
          <w:iCs/>
          <w:sz w:val="24"/>
          <w:szCs w:val="24"/>
        </w:rPr>
        <w:t>rohita</w:t>
      </w:r>
      <w:proofErr w:type="spellEnd"/>
      <w:r>
        <w:rPr>
          <w:rFonts w:ascii="Times New Roman" w:eastAsia="Georgia" w:hAnsi="Times New Roman" w:cs="Times New Roman"/>
          <w:sz w:val="24"/>
          <w:szCs w:val="24"/>
        </w:rPr>
        <w:t xml:space="preserve"> can </w:t>
      </w:r>
      <w:proofErr w:type="spellStart"/>
      <w:r>
        <w:rPr>
          <w:rFonts w:ascii="Times New Roman" w:eastAsia="Georgia" w:hAnsi="Times New Roman" w:cs="Times New Roman"/>
          <w:sz w:val="24"/>
          <w:szCs w:val="24"/>
        </w:rPr>
        <w:t>acclimatise</w:t>
      </w:r>
      <w:proofErr w:type="spellEnd"/>
      <w:r>
        <w:rPr>
          <w:rFonts w:ascii="Times New Roman" w:eastAsia="Georgia" w:hAnsi="Times New Roman" w:cs="Times New Roman"/>
          <w:sz w:val="24"/>
          <w:szCs w:val="24"/>
        </w:rPr>
        <w:t xml:space="preserve"> under controlled laboratory conditions (FAO, 2000; Nataraj et al., 2023). As noted by Dar et al. (2020) and FAO (2018), this species constitutes 3% of global fish production, 15% of freshwater aquaculture in Asian countries, and 60% of India's overall carp production. </w:t>
      </w:r>
      <w:r>
        <w:rPr>
          <w:rFonts w:ascii="Times New Roman" w:eastAsia="Georgia" w:hAnsi="Times New Roman" w:cs="Times New Roman"/>
          <w:i/>
          <w:iCs/>
          <w:sz w:val="24"/>
          <w:szCs w:val="24"/>
        </w:rPr>
        <w:t xml:space="preserve">L. </w:t>
      </w:r>
      <w:proofErr w:type="spellStart"/>
      <w:r>
        <w:rPr>
          <w:rFonts w:ascii="Times New Roman" w:eastAsia="Georgia" w:hAnsi="Times New Roman" w:cs="Times New Roman"/>
          <w:i/>
          <w:iCs/>
          <w:sz w:val="24"/>
          <w:szCs w:val="24"/>
        </w:rPr>
        <w:t>rohita</w:t>
      </w:r>
      <w:proofErr w:type="spellEnd"/>
      <w:r>
        <w:rPr>
          <w:rFonts w:ascii="Times New Roman" w:eastAsia="Georgia" w:hAnsi="Times New Roman" w:cs="Times New Roman"/>
          <w:i/>
          <w:iCs/>
          <w:sz w:val="24"/>
          <w:szCs w:val="24"/>
        </w:rPr>
        <w:t xml:space="preserve"> </w:t>
      </w:r>
      <w:r>
        <w:rPr>
          <w:rFonts w:ascii="Times New Roman" w:eastAsia="Georgia" w:hAnsi="Times New Roman" w:cs="Times New Roman"/>
          <w:sz w:val="24"/>
          <w:szCs w:val="24"/>
        </w:rPr>
        <w:t xml:space="preserve">is widely </w:t>
      </w:r>
      <w:proofErr w:type="spellStart"/>
      <w:r>
        <w:rPr>
          <w:rFonts w:ascii="Times New Roman" w:eastAsia="Georgia" w:hAnsi="Times New Roman" w:cs="Times New Roman"/>
          <w:sz w:val="24"/>
          <w:szCs w:val="24"/>
        </w:rPr>
        <w:t>recognised</w:t>
      </w:r>
      <w:proofErr w:type="spellEnd"/>
      <w:r>
        <w:rPr>
          <w:rFonts w:ascii="Times New Roman" w:eastAsia="Georgia" w:hAnsi="Times New Roman" w:cs="Times New Roman"/>
          <w:sz w:val="24"/>
          <w:szCs w:val="24"/>
        </w:rPr>
        <w:t>, enjoys significant consumer demand, and is readily accessible. This species plays a crucial role in ensuring food security across Asian nations.</w:t>
      </w:r>
    </w:p>
    <w:p w14:paraId="3345BEED" w14:textId="77777777" w:rsidR="008E10DE" w:rsidRDefault="008E10DE">
      <w:pPr>
        <w:ind w:firstLine="720"/>
        <w:jc w:val="both"/>
        <w:rPr>
          <w:rFonts w:ascii="Times New Roman" w:eastAsia="Georgia" w:hAnsi="Times New Roman" w:cs="Times New Roman"/>
          <w:sz w:val="24"/>
          <w:szCs w:val="24"/>
        </w:rPr>
      </w:pPr>
    </w:p>
    <w:p w14:paraId="15BA5122" w14:textId="77777777" w:rsidR="008E10DE" w:rsidRDefault="00000000">
      <w:pPr>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lastRenderedPageBreak/>
        <w:t>Monocrotophos</w:t>
      </w:r>
      <w:proofErr w:type="spellEnd"/>
      <w:r>
        <w:rPr>
          <w:rFonts w:ascii="Times New Roman" w:eastAsia="SimSun" w:hAnsi="Times New Roman" w:cs="Times New Roman"/>
          <w:sz w:val="24"/>
          <w:szCs w:val="24"/>
        </w:rPr>
        <w:t xml:space="preserve"> is a compound classified as an organophosphate pesticide. These pesticides inhibit acetylcholinesterase (</w:t>
      </w:r>
      <w:proofErr w:type="spellStart"/>
      <w:r>
        <w:rPr>
          <w:rFonts w:ascii="Times New Roman" w:eastAsia="SimSun" w:hAnsi="Times New Roman" w:cs="Times New Roman"/>
          <w:sz w:val="24"/>
          <w:szCs w:val="24"/>
        </w:rPr>
        <w:t>AChE</w:t>
      </w:r>
      <w:proofErr w:type="spellEnd"/>
      <w:r>
        <w:rPr>
          <w:rFonts w:ascii="Times New Roman" w:eastAsia="SimSun" w:hAnsi="Times New Roman" w:cs="Times New Roman"/>
          <w:sz w:val="24"/>
          <w:szCs w:val="24"/>
        </w:rPr>
        <w:t xml:space="preserve">). It induces acute cholinergic effects at elevated concentration levels (Krause et al., 2013). A recent study indicated that pesticides induced neurotoxicity, endocrine modulation, immunotoxicity, and teratogenicity in humans and aquatic species (Dar et al., 2023). Pesticides can infiltrate the aquatic ecosystem via surface runoff, resulting in harmful consequences for the environment and aquatic animals (Davoodi and Gholamreza, 2012). These pesticides may bioaccumulate in aquatic organisms consisting of fish through polluted water or the food chain, potentially impacting the </w:t>
      </w:r>
      <w:proofErr w:type="spellStart"/>
      <w:r>
        <w:rPr>
          <w:rFonts w:ascii="Times New Roman" w:eastAsia="SimSun" w:hAnsi="Times New Roman" w:cs="Times New Roman"/>
          <w:sz w:val="24"/>
          <w:szCs w:val="24"/>
        </w:rPr>
        <w:t>behavioural</w:t>
      </w:r>
      <w:proofErr w:type="spellEnd"/>
      <w:r>
        <w:rPr>
          <w:rFonts w:ascii="Times New Roman" w:eastAsia="SimSun" w:hAnsi="Times New Roman" w:cs="Times New Roman"/>
          <w:sz w:val="24"/>
          <w:szCs w:val="24"/>
        </w:rPr>
        <w:t xml:space="preserve"> and physiological processes of these animals (Das et al., 2024).</w:t>
      </w:r>
    </w:p>
    <w:p w14:paraId="27C74052" w14:textId="77777777" w:rsidR="008E10DE" w:rsidRDefault="008E10DE">
      <w:pPr>
        <w:ind w:firstLine="720"/>
        <w:jc w:val="both"/>
        <w:rPr>
          <w:rFonts w:ascii="Times New Roman" w:eastAsia="SimSun" w:hAnsi="Times New Roman" w:cs="Times New Roman"/>
          <w:sz w:val="24"/>
          <w:szCs w:val="24"/>
        </w:rPr>
      </w:pPr>
    </w:p>
    <w:p w14:paraId="21FB61C2" w14:textId="77777777" w:rsidR="008E10DE" w:rsidRDefault="00000000">
      <w:pPr>
        <w:jc w:val="both"/>
        <w:rPr>
          <w:rFonts w:ascii="Times New Roman" w:hAnsi="Times New Roman" w:cs="Times New Roman"/>
          <w:sz w:val="24"/>
          <w:szCs w:val="24"/>
        </w:rPr>
      </w:pPr>
      <w:r>
        <w:rPr>
          <w:rFonts w:ascii="Times New Roman" w:hAnsi="Times New Roman" w:cs="Times New Roman"/>
          <w:sz w:val="24"/>
          <w:szCs w:val="24"/>
        </w:rPr>
        <w:t xml:space="preserve">Multiple studies have indicated that aquatic animals have been impacted by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(Velmurugan et al., 2007). It also impacts the internal organs and modifies the histoarchitecture of tissues, as well as metabolic activities, which ultimately influence human beings through the food chain and bioaccumulation process. Previous reports have indicated the toxicity of this compound on certain freshwater fish species (Tamizhazhagan </w:t>
      </w:r>
      <w:proofErr w:type="gramStart"/>
      <w:r>
        <w:rPr>
          <w:rFonts w:ascii="Times New Roman" w:hAnsi="Times New Roman" w:cs="Times New Roman"/>
          <w:sz w:val="24"/>
          <w:szCs w:val="24"/>
        </w:rPr>
        <w:t xml:space="preserve">and  </w:t>
      </w:r>
      <w:proofErr w:type="spellStart"/>
      <w:r>
        <w:rPr>
          <w:rFonts w:ascii="Times New Roman" w:hAnsi="Times New Roman" w:cs="Times New Roman"/>
          <w:sz w:val="24"/>
          <w:szCs w:val="24"/>
        </w:rPr>
        <w:t>Pugazhendy</w:t>
      </w:r>
      <w:proofErr w:type="spellEnd"/>
      <w:proofErr w:type="gramEnd"/>
      <w:r>
        <w:rPr>
          <w:rFonts w:ascii="Times New Roman" w:hAnsi="Times New Roman" w:cs="Times New Roman"/>
          <w:sz w:val="24"/>
          <w:szCs w:val="24"/>
        </w:rPr>
        <w:t xml:space="preserve">, 2016). Consequently, the present study was designed to thoroughly assess the toxicity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by determining the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and sub-lethal concentrations on the </w:t>
      </w:r>
      <w:proofErr w:type="spellStart"/>
      <w:r>
        <w:rPr>
          <w:rFonts w:ascii="Times New Roman" w:hAnsi="Times New Roman" w:cs="Times New Roman"/>
          <w:sz w:val="24"/>
          <w:szCs w:val="24"/>
        </w:rPr>
        <w:t>haematological</w:t>
      </w:r>
      <w:proofErr w:type="spellEnd"/>
      <w:r>
        <w:rPr>
          <w:rFonts w:ascii="Times New Roman" w:hAnsi="Times New Roman" w:cs="Times New Roman"/>
          <w:sz w:val="24"/>
          <w:szCs w:val="24"/>
        </w:rPr>
        <w:t xml:space="preserve"> and histopathological parameters of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This is essential for the urgent consideration and management of the hazardous implications associated with this pesticide.</w:t>
      </w:r>
    </w:p>
    <w:p w14:paraId="43E20C65" w14:textId="77777777" w:rsidR="008E10DE" w:rsidRDefault="008E10DE">
      <w:pPr>
        <w:ind w:firstLine="720"/>
        <w:jc w:val="both"/>
        <w:rPr>
          <w:rFonts w:ascii="Times New Roman" w:hAnsi="Times New Roman" w:cs="Times New Roman"/>
          <w:sz w:val="24"/>
          <w:szCs w:val="24"/>
        </w:rPr>
      </w:pPr>
    </w:p>
    <w:p w14:paraId="52024C04" w14:textId="77777777" w:rsidR="008E10DE" w:rsidRDefault="0000000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MATERIALS AND METHODS</w:t>
      </w:r>
    </w:p>
    <w:p w14:paraId="3D2B20AD" w14:textId="77777777" w:rsidR="008E10DE" w:rsidRDefault="008E10DE">
      <w:pPr>
        <w:jc w:val="both"/>
        <w:rPr>
          <w:rFonts w:ascii="Times New Roman" w:hAnsi="Times New Roman" w:cs="Times New Roman"/>
          <w:b/>
          <w:bCs/>
          <w:sz w:val="24"/>
          <w:szCs w:val="24"/>
        </w:rPr>
      </w:pPr>
    </w:p>
    <w:p w14:paraId="3A9163EA" w14:textId="77777777" w:rsidR="008E10DE" w:rsidRDefault="00000000">
      <w:pPr>
        <w:numPr>
          <w:ilvl w:val="1"/>
          <w:numId w:val="1"/>
        </w:numPr>
        <w:jc w:val="both"/>
        <w:rPr>
          <w:rFonts w:ascii="Times New Roman" w:hAnsi="Times New Roman" w:cs="Times New Roman"/>
          <w:b/>
          <w:sz w:val="24"/>
          <w:szCs w:val="24"/>
        </w:rPr>
      </w:pPr>
      <w:r>
        <w:rPr>
          <w:rFonts w:ascii="Times New Roman" w:hAnsi="Times New Roman" w:cs="Times New Roman"/>
          <w:b/>
          <w:sz w:val="24"/>
          <w:szCs w:val="24"/>
        </w:rPr>
        <w:t>Collection and acclimatization of experimental animal</w:t>
      </w:r>
    </w:p>
    <w:p w14:paraId="76B2E464" w14:textId="77777777" w:rsidR="008E10DE" w:rsidRDefault="008E10DE">
      <w:pPr>
        <w:jc w:val="both"/>
        <w:rPr>
          <w:rFonts w:ascii="Times New Roman" w:hAnsi="Times New Roman" w:cs="Times New Roman"/>
          <w:b/>
          <w:sz w:val="24"/>
          <w:szCs w:val="24"/>
        </w:rPr>
      </w:pPr>
    </w:p>
    <w:p w14:paraId="47F0CF1B" w14:textId="77777777" w:rsidR="008E10DE" w:rsidRDefault="00000000">
      <w:pPr>
        <w:jc w:val="both"/>
        <w:rPr>
          <w:rFonts w:ascii="Times New Roman" w:hAnsi="Times New Roman" w:cs="Times New Roman"/>
          <w:sz w:val="24"/>
          <w:szCs w:val="24"/>
        </w:rPr>
      </w:pPr>
      <w:r>
        <w:rPr>
          <w:rFonts w:ascii="Times New Roman" w:hAnsi="Times New Roman" w:cs="Times New Roman"/>
          <w:bCs/>
          <w:sz w:val="24"/>
          <w:szCs w:val="24"/>
        </w:rPr>
        <w:t xml:space="preserve">The fish used for our study were 100 healthy </w:t>
      </w:r>
      <w:r>
        <w:rPr>
          <w:rFonts w:ascii="Times New Roman" w:hAnsi="Times New Roman" w:cs="Times New Roman"/>
          <w:sz w:val="24"/>
          <w:szCs w:val="24"/>
        </w:rPr>
        <w:t xml:space="preserve">fingerlings of </w:t>
      </w:r>
      <w:r>
        <w:rPr>
          <w:rFonts w:ascii="Times New Roman" w:hAnsi="Times New Roman" w:cs="Times New Roman"/>
          <w:i/>
          <w:sz w:val="24"/>
          <w:szCs w:val="24"/>
        </w:rPr>
        <w:t xml:space="preserve">L. </w:t>
      </w:r>
      <w:proofErr w:type="spellStart"/>
      <w:r>
        <w:rPr>
          <w:rFonts w:ascii="Times New Roman" w:hAnsi="Times New Roman" w:cs="Times New Roman"/>
          <w:i/>
          <w:sz w:val="24"/>
          <w:szCs w:val="24"/>
        </w:rPr>
        <w:t>rohita</w:t>
      </w:r>
      <w:proofErr w:type="spellEnd"/>
      <w:r>
        <w:rPr>
          <w:rFonts w:ascii="Times New Roman" w:hAnsi="Times New Roman" w:cs="Times New Roman"/>
          <w:sz w:val="24"/>
          <w:szCs w:val="24"/>
        </w:rPr>
        <w:t xml:space="preserve"> (Rohu)</w:t>
      </w:r>
      <w:r>
        <w:rPr>
          <w:rFonts w:ascii="Times New Roman" w:hAnsi="Times New Roman" w:cs="Times New Roman"/>
          <w:bCs/>
          <w:sz w:val="24"/>
          <w:szCs w:val="24"/>
        </w:rPr>
        <w:t>. The fish in the length range of (</w:t>
      </w:r>
      <w:r>
        <w:rPr>
          <w:rFonts w:ascii="Times New Roman" w:hAnsi="Times New Roman" w:cs="Times New Roman"/>
          <w:sz w:val="24"/>
          <w:szCs w:val="24"/>
        </w:rPr>
        <w:t>6.3 ± 2.5</w:t>
      </w:r>
      <w:r>
        <w:rPr>
          <w:rFonts w:ascii="Times New Roman" w:hAnsi="Times New Roman" w:cs="Times New Roman"/>
          <w:bCs/>
          <w:sz w:val="24"/>
          <w:szCs w:val="24"/>
        </w:rPr>
        <w:t xml:space="preserve"> cm) were collected from </w:t>
      </w:r>
      <w:r>
        <w:rPr>
          <w:rFonts w:ascii="Times New Roman" w:hAnsi="Times New Roman" w:cs="Times New Roman"/>
          <w:sz w:val="24"/>
          <w:szCs w:val="24"/>
        </w:rPr>
        <w:t xml:space="preserve">Department of Fisheries, </w:t>
      </w:r>
      <w:proofErr w:type="spellStart"/>
      <w:r>
        <w:rPr>
          <w:rFonts w:ascii="Times New Roman" w:hAnsi="Times New Roman" w:cs="Times New Roman"/>
          <w:sz w:val="24"/>
          <w:szCs w:val="24"/>
        </w:rPr>
        <w:t>Malampuzha</w:t>
      </w:r>
      <w:proofErr w:type="spellEnd"/>
      <w:r>
        <w:rPr>
          <w:rFonts w:ascii="Times New Roman" w:hAnsi="Times New Roman" w:cs="Times New Roman"/>
          <w:sz w:val="24"/>
          <w:szCs w:val="24"/>
        </w:rPr>
        <w:t>, Palakkad, Kerala</w:t>
      </w:r>
      <w:r>
        <w:rPr>
          <w:rFonts w:ascii="Times New Roman" w:hAnsi="Times New Roman" w:cs="Times New Roman"/>
          <w:bCs/>
          <w:sz w:val="24"/>
          <w:szCs w:val="24"/>
        </w:rPr>
        <w:t>, India with no risk of prior pesticide contamination. All the test animals were given bath treatment with 5 ppm KMnO</w:t>
      </w:r>
      <w:r>
        <w:rPr>
          <w:rFonts w:ascii="Times New Roman" w:hAnsi="Times New Roman" w:cs="Times New Roman"/>
          <w:bCs/>
          <w:sz w:val="24"/>
          <w:szCs w:val="24"/>
          <w:vertAlign w:val="subscript"/>
        </w:rPr>
        <w:t xml:space="preserve">4 </w:t>
      </w:r>
      <w:r>
        <w:rPr>
          <w:rFonts w:ascii="Times New Roman" w:hAnsi="Times New Roman" w:cs="Times New Roman"/>
          <w:bCs/>
          <w:sz w:val="24"/>
          <w:szCs w:val="24"/>
        </w:rPr>
        <w:t>solution for 5 min to minimize the risk of infection and then kept in a plastic tub of 6 L capacity having dechlorinated water (</w:t>
      </w:r>
      <w:r>
        <w:rPr>
          <w:rFonts w:ascii="Times New Roman" w:hAnsi="Times New Roman" w:cs="Times New Roman"/>
          <w:sz w:val="24"/>
          <w:szCs w:val="24"/>
        </w:rPr>
        <w:t>kept nearly constant</w:t>
      </w:r>
      <w:r>
        <w:rPr>
          <w:rFonts w:ascii="Times New Roman" w:hAnsi="Times New Roman" w:cs="Times New Roman"/>
          <w:bCs/>
          <w:sz w:val="24"/>
          <w:szCs w:val="24"/>
        </w:rPr>
        <w:t xml:space="preserve">) and acclimatized in laboratory conditions for a period of 15 days, prior to the experiment. </w:t>
      </w:r>
      <w:r>
        <w:rPr>
          <w:rFonts w:ascii="Times New Roman" w:hAnsi="Times New Roman" w:cs="Times New Roman"/>
          <w:sz w:val="24"/>
          <w:szCs w:val="24"/>
        </w:rPr>
        <w:t xml:space="preserve">During this period, the fingerlings were fed </w:t>
      </w:r>
      <w:r>
        <w:rPr>
          <w:rFonts w:ascii="Times New Roman" w:hAnsi="Times New Roman" w:cs="Times New Roman"/>
          <w:i/>
          <w:sz w:val="24"/>
          <w:szCs w:val="24"/>
        </w:rPr>
        <w:t>ad- libitum</w:t>
      </w:r>
      <w:r>
        <w:rPr>
          <w:rFonts w:ascii="Times New Roman" w:hAnsi="Times New Roman" w:cs="Times New Roman"/>
          <w:sz w:val="24"/>
          <w:szCs w:val="24"/>
        </w:rPr>
        <w:t xml:space="preserve"> with fish food obtained from the fisheries department.</w:t>
      </w:r>
    </w:p>
    <w:p w14:paraId="7C462588" w14:textId="77777777" w:rsidR="008E10DE" w:rsidRDefault="008E10DE">
      <w:pPr>
        <w:jc w:val="both"/>
        <w:rPr>
          <w:rFonts w:ascii="Times New Roman" w:hAnsi="Times New Roman" w:cs="Times New Roman"/>
          <w:sz w:val="24"/>
          <w:szCs w:val="24"/>
        </w:rPr>
      </w:pPr>
    </w:p>
    <w:p w14:paraId="2A1AD3BC" w14:textId="77777777" w:rsidR="008E10DE" w:rsidRDefault="00000000">
      <w:pPr>
        <w:numPr>
          <w:ilvl w:val="1"/>
          <w:numId w:val="1"/>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Test chemical</w:t>
      </w:r>
    </w:p>
    <w:p w14:paraId="62399A8D" w14:textId="77777777" w:rsidR="008E10DE" w:rsidRDefault="008E10DE">
      <w:pPr>
        <w:autoSpaceDE w:val="0"/>
        <w:autoSpaceDN w:val="0"/>
        <w:adjustRightInd w:val="0"/>
        <w:jc w:val="both"/>
        <w:rPr>
          <w:rFonts w:ascii="Times New Roman" w:hAnsi="Times New Roman" w:cs="Times New Roman"/>
          <w:b/>
          <w:sz w:val="24"/>
          <w:szCs w:val="24"/>
        </w:rPr>
      </w:pPr>
    </w:p>
    <w:p w14:paraId="56EB0975" w14:textId="77777777" w:rsidR="008E10DE" w:rsidRDefault="00000000">
      <w:pPr>
        <w:autoSpaceDE w:val="0"/>
        <w:autoSpaceDN w:val="0"/>
        <w:adjustRightInd w:val="0"/>
        <w:jc w:val="both"/>
        <w:rPr>
          <w:rFonts w:ascii="Times New Roman" w:hAnsi="Times New Roman" w:cs="Times New Roman"/>
          <w:sz w:val="24"/>
          <w:szCs w:val="24"/>
        </w:rPr>
      </w:pP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is an alkenyl phosphate, specifically the dimethyl (E)-1-methyl-2-(</w:t>
      </w:r>
      <w:proofErr w:type="spellStart"/>
      <w:r>
        <w:rPr>
          <w:rFonts w:ascii="Times New Roman" w:hAnsi="Times New Roman" w:cs="Times New Roman"/>
          <w:sz w:val="24"/>
          <w:szCs w:val="24"/>
        </w:rPr>
        <w:t>methylcarbomoyl</w:t>
      </w:r>
      <w:proofErr w:type="spellEnd"/>
      <w:r>
        <w:rPr>
          <w:rFonts w:ascii="Times New Roman" w:hAnsi="Times New Roman" w:cs="Times New Roman"/>
          <w:sz w:val="24"/>
          <w:szCs w:val="24"/>
        </w:rPr>
        <w:t xml:space="preserve">) vinyl phosphate.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is classified as an extremely hazardous pesticide in India (ITRC, 1989).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(Monokem, 36% SL) was sourced from Sree </w:t>
      </w:r>
      <w:proofErr w:type="spellStart"/>
      <w:r>
        <w:rPr>
          <w:rFonts w:ascii="Times New Roman" w:hAnsi="Times New Roman" w:cs="Times New Roman"/>
          <w:sz w:val="24"/>
          <w:szCs w:val="24"/>
        </w:rPr>
        <w:t>Ramcides</w:t>
      </w:r>
      <w:proofErr w:type="spellEnd"/>
      <w:r>
        <w:rPr>
          <w:rFonts w:ascii="Times New Roman" w:hAnsi="Times New Roman" w:cs="Times New Roman"/>
          <w:sz w:val="24"/>
          <w:szCs w:val="24"/>
        </w:rPr>
        <w:t xml:space="preserve"> Chemicals Ltd., located in </w:t>
      </w:r>
      <w:proofErr w:type="spellStart"/>
      <w:r>
        <w:rPr>
          <w:rFonts w:ascii="Times New Roman" w:hAnsi="Times New Roman" w:cs="Times New Roman"/>
          <w:sz w:val="24"/>
          <w:szCs w:val="24"/>
        </w:rPr>
        <w:t>Pudukkotai</w:t>
      </w:r>
      <w:proofErr w:type="spellEnd"/>
      <w:r>
        <w:rPr>
          <w:rFonts w:ascii="Times New Roman" w:hAnsi="Times New Roman" w:cs="Times New Roman"/>
          <w:sz w:val="24"/>
          <w:szCs w:val="24"/>
        </w:rPr>
        <w:t xml:space="preserve">, TN, India. Accurate measurements were taken to prepare the required concentration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for the current experiment.</w:t>
      </w:r>
    </w:p>
    <w:p w14:paraId="11D6BF79" w14:textId="77777777" w:rsidR="008E10DE" w:rsidRDefault="008E10DE">
      <w:pPr>
        <w:autoSpaceDE w:val="0"/>
        <w:autoSpaceDN w:val="0"/>
        <w:adjustRightInd w:val="0"/>
        <w:jc w:val="both"/>
        <w:rPr>
          <w:rFonts w:ascii="Times New Roman" w:hAnsi="Times New Roman" w:cs="Times New Roman"/>
          <w:sz w:val="24"/>
          <w:szCs w:val="24"/>
        </w:rPr>
      </w:pPr>
    </w:p>
    <w:p w14:paraId="767C42FF" w14:textId="77777777" w:rsidR="008E10DE" w:rsidRDefault="00000000">
      <w:pPr>
        <w:numPr>
          <w:ilvl w:val="1"/>
          <w:numId w:val="1"/>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Experimental Design</w:t>
      </w:r>
    </w:p>
    <w:p w14:paraId="182319C4" w14:textId="77777777" w:rsidR="008E10DE" w:rsidRDefault="008E10DE">
      <w:pPr>
        <w:autoSpaceDE w:val="0"/>
        <w:autoSpaceDN w:val="0"/>
        <w:adjustRightInd w:val="0"/>
        <w:jc w:val="both"/>
        <w:rPr>
          <w:rFonts w:ascii="Times New Roman" w:hAnsi="Times New Roman" w:cs="Times New Roman"/>
          <w:b/>
          <w:sz w:val="24"/>
          <w:szCs w:val="24"/>
        </w:rPr>
      </w:pPr>
    </w:p>
    <w:p w14:paraId="15A021B0" w14:textId="77777777" w:rsidR="008E10DE" w:rsidRDefault="00000000">
      <w:pPr>
        <w:numPr>
          <w:ilvl w:val="2"/>
          <w:numId w:val="1"/>
        </w:numPr>
        <w:autoSpaceDE w:val="0"/>
        <w:autoSpaceDN w:val="0"/>
        <w:adjustRightInd w:val="0"/>
        <w:jc w:val="both"/>
        <w:rPr>
          <w:rFonts w:ascii="Times New Roman" w:hAnsi="Times New Roman" w:cs="Times New Roman"/>
          <w:b/>
          <w:iCs/>
          <w:sz w:val="24"/>
          <w:szCs w:val="24"/>
        </w:rPr>
      </w:pPr>
      <w:r>
        <w:rPr>
          <w:rFonts w:ascii="Times New Roman" w:hAnsi="Times New Roman" w:cs="Times New Roman"/>
          <w:b/>
          <w:iCs/>
          <w:sz w:val="24"/>
          <w:szCs w:val="24"/>
        </w:rPr>
        <w:t>Range Finding test</w:t>
      </w:r>
    </w:p>
    <w:p w14:paraId="3B391A3B" w14:textId="77777777" w:rsidR="008E10DE" w:rsidRDefault="008E10DE">
      <w:pPr>
        <w:autoSpaceDE w:val="0"/>
        <w:autoSpaceDN w:val="0"/>
        <w:adjustRightInd w:val="0"/>
        <w:jc w:val="both"/>
        <w:rPr>
          <w:rFonts w:ascii="Times New Roman" w:hAnsi="Times New Roman" w:cs="Times New Roman"/>
          <w:b/>
          <w:iCs/>
          <w:sz w:val="24"/>
          <w:szCs w:val="24"/>
        </w:rPr>
      </w:pPr>
    </w:p>
    <w:p w14:paraId="18B0133E" w14:textId="77777777" w:rsidR="008E10DE" w:rsidRDefault="0000000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The range-finding bioassay was conducted with fish exposed to various amounts of sequential concentrations (1, 10, 100, and 1000 ppm)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Six fish were placed in glass troughs filled with 6 L of water, each containing varying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Mortalities were documented at 24, 48, 72, and 96 hours, and dead fish were promptly removed.</w:t>
      </w:r>
    </w:p>
    <w:p w14:paraId="35DEE1C7" w14:textId="77777777" w:rsidR="008E10DE" w:rsidRDefault="008E10DE">
      <w:pPr>
        <w:autoSpaceDE w:val="0"/>
        <w:autoSpaceDN w:val="0"/>
        <w:adjustRightInd w:val="0"/>
        <w:jc w:val="both"/>
        <w:rPr>
          <w:rFonts w:ascii="Times New Roman" w:hAnsi="Times New Roman" w:cs="Times New Roman"/>
          <w:sz w:val="24"/>
          <w:szCs w:val="24"/>
        </w:rPr>
      </w:pPr>
    </w:p>
    <w:p w14:paraId="4288683C" w14:textId="77777777" w:rsidR="008E10DE" w:rsidRDefault="00000000">
      <w:pPr>
        <w:numPr>
          <w:ilvl w:val="1"/>
          <w:numId w:val="1"/>
        </w:num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Determination of LC</w:t>
      </w:r>
      <w:r>
        <w:rPr>
          <w:rFonts w:ascii="Times New Roman" w:hAnsi="Times New Roman" w:cs="Times New Roman"/>
          <w:b/>
          <w:bCs/>
          <w:sz w:val="24"/>
          <w:szCs w:val="24"/>
          <w:vertAlign w:val="subscript"/>
        </w:rPr>
        <w:t>50</w:t>
      </w:r>
      <w:r>
        <w:rPr>
          <w:rFonts w:ascii="Times New Roman" w:hAnsi="Times New Roman" w:cs="Times New Roman"/>
          <w:b/>
          <w:bCs/>
          <w:sz w:val="24"/>
          <w:szCs w:val="24"/>
        </w:rPr>
        <w:t xml:space="preserve"> for 96 h</w:t>
      </w:r>
    </w:p>
    <w:p w14:paraId="06139094" w14:textId="77777777" w:rsidR="008E10DE" w:rsidRDefault="008E10DE">
      <w:pPr>
        <w:autoSpaceDE w:val="0"/>
        <w:autoSpaceDN w:val="0"/>
        <w:adjustRightInd w:val="0"/>
        <w:jc w:val="both"/>
        <w:rPr>
          <w:rFonts w:ascii="Times New Roman" w:hAnsi="Times New Roman" w:cs="Times New Roman"/>
          <w:b/>
          <w:bCs/>
          <w:sz w:val="24"/>
          <w:szCs w:val="24"/>
        </w:rPr>
      </w:pPr>
    </w:p>
    <w:p w14:paraId="379E3BE2" w14:textId="77777777" w:rsidR="008E10DE" w:rsidRDefault="0000000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For the determination of </w:t>
      </w:r>
      <w:proofErr w:type="spellStart"/>
      <w:proofErr w:type="gram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toxicity</w:t>
      </w:r>
      <w:proofErr w:type="gramEnd"/>
      <w:r>
        <w:rPr>
          <w:rFonts w:ascii="Times New Roman" w:hAnsi="Times New Roman" w:cs="Times New Roman"/>
          <w:sz w:val="24"/>
          <w:szCs w:val="24"/>
        </w:rPr>
        <w:t xml:space="preserve"> study, various glass troughs with a capacity of 6 L were </w:t>
      </w:r>
      <w:proofErr w:type="spellStart"/>
      <w:r>
        <w:rPr>
          <w:rFonts w:ascii="Times New Roman" w:hAnsi="Times New Roman" w:cs="Times New Roman"/>
          <w:sz w:val="24"/>
          <w:szCs w:val="24"/>
        </w:rPr>
        <w:t>utilised</w:t>
      </w:r>
      <w:proofErr w:type="spellEnd"/>
      <w:r>
        <w:rPr>
          <w:rFonts w:ascii="Times New Roman" w:hAnsi="Times New Roman" w:cs="Times New Roman"/>
          <w:sz w:val="24"/>
          <w:szCs w:val="24"/>
        </w:rPr>
        <w:t xml:space="preserve">, each filled with 4.5 L of dechlorinated tap water. Subsequently, varying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at 10, 20, 40, 60, 80, 100, and 120 ppm were introduced into all glass troughs and thoroughly mixed. Six healthy fish were placed into each glass trough from the stock. The parallel control of 6 fish in separate glass troughs was also upheld under comparable conditions. The survival and mortality of fish in the experimental tubs were documented after a period of 96 hours. The concentration at which 50% of the fish were killed after a 96-hour treatment was defined as the median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for that duration. Five preliminary toxicity tests were carried out to determine the median lethal concentration.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for 96 hours was determined using the probity analysis method as outlined by Finney in 1978.</w:t>
      </w:r>
    </w:p>
    <w:p w14:paraId="4C6C16D5" w14:textId="77777777" w:rsidR="008E10DE" w:rsidRDefault="008E10DE">
      <w:pPr>
        <w:autoSpaceDE w:val="0"/>
        <w:autoSpaceDN w:val="0"/>
        <w:adjustRightInd w:val="0"/>
        <w:jc w:val="both"/>
        <w:rPr>
          <w:rFonts w:ascii="Times New Roman" w:hAnsi="Times New Roman" w:cs="Times New Roman"/>
          <w:sz w:val="24"/>
          <w:szCs w:val="24"/>
        </w:rPr>
      </w:pPr>
    </w:p>
    <w:p w14:paraId="69B4B907" w14:textId="77777777" w:rsidR="008E10DE" w:rsidRDefault="00000000">
      <w:pPr>
        <w:autoSpaceDE w:val="0"/>
        <w:autoSpaceDN w:val="0"/>
        <w:adjustRightInd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2.5 Sublethal toxicity study for 30 days </w:t>
      </w:r>
    </w:p>
    <w:p w14:paraId="552B1E9A" w14:textId="77777777" w:rsidR="008E10DE" w:rsidRDefault="008E10DE">
      <w:pPr>
        <w:autoSpaceDE w:val="0"/>
        <w:autoSpaceDN w:val="0"/>
        <w:adjustRightInd w:val="0"/>
        <w:jc w:val="both"/>
        <w:rPr>
          <w:rFonts w:ascii="Times New Roman" w:eastAsia="SimSun" w:hAnsi="Times New Roman" w:cs="Times New Roman"/>
          <w:sz w:val="24"/>
          <w:szCs w:val="24"/>
        </w:rPr>
      </w:pPr>
    </w:p>
    <w:p w14:paraId="7241EAB6" w14:textId="77777777" w:rsidR="008E10DE" w:rsidRDefault="00000000">
      <w:pPr>
        <w:autoSpaceDE w:val="0"/>
        <w:autoSpaceDN w:val="0"/>
        <w:adjustRightInd w:val="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sublethal toxicity experiment was conducted concurrently with acute studies. For the study, five thoroughly cleaned glass troughs with a capacity of 10 L were prepared. Each trough was filled with 8 L of water, and 8 randomly selected fish from the stock were transferred into the troughs. Different concentrations of </w:t>
      </w:r>
      <w:proofErr w:type="spellStart"/>
      <w:r>
        <w:rPr>
          <w:rFonts w:ascii="Times New Roman" w:eastAsia="SimSun" w:hAnsi="Times New Roman" w:cs="Times New Roman"/>
          <w:sz w:val="24"/>
          <w:szCs w:val="24"/>
        </w:rPr>
        <w:t>Monocrotophos</w:t>
      </w:r>
      <w:proofErr w:type="spellEnd"/>
      <w:r>
        <w:rPr>
          <w:rFonts w:ascii="Times New Roman" w:eastAsia="SimSun" w:hAnsi="Times New Roman" w:cs="Times New Roman"/>
          <w:sz w:val="24"/>
          <w:szCs w:val="24"/>
        </w:rPr>
        <w:t xml:space="preserve"> (10, 20, 40, and 60 ppm) were taken and added to each glass trough (Sprague et al., 1971). The control fish groups utilized in the acute toxicity studies were also preserved for this study. The water was replaced each day to prevent any accumulation of waste and was refreshed with the toxicant. The research was carried out over a period of 30 days. Eight fish were randomly selected from both control and </w:t>
      </w:r>
      <w:proofErr w:type="spellStart"/>
      <w:r>
        <w:rPr>
          <w:rFonts w:ascii="Times New Roman" w:eastAsia="SimSun" w:hAnsi="Times New Roman" w:cs="Times New Roman"/>
          <w:sz w:val="24"/>
          <w:szCs w:val="24"/>
        </w:rPr>
        <w:t>Monocrotophos</w:t>
      </w:r>
      <w:proofErr w:type="spellEnd"/>
      <w:r>
        <w:rPr>
          <w:rFonts w:ascii="Times New Roman" w:eastAsia="SimSun" w:hAnsi="Times New Roman" w:cs="Times New Roman"/>
          <w:sz w:val="24"/>
          <w:szCs w:val="24"/>
        </w:rPr>
        <w:t xml:space="preserve"> treated glass troughs and were sacrificed without </w:t>
      </w:r>
      <w:proofErr w:type="spellStart"/>
      <w:r>
        <w:rPr>
          <w:rFonts w:ascii="Times New Roman" w:eastAsia="SimSun" w:hAnsi="Times New Roman" w:cs="Times New Roman"/>
          <w:sz w:val="24"/>
          <w:szCs w:val="24"/>
        </w:rPr>
        <w:t>anaesthesia</w:t>
      </w:r>
      <w:proofErr w:type="spellEnd"/>
      <w:r>
        <w:rPr>
          <w:rFonts w:ascii="Times New Roman" w:eastAsia="SimSun" w:hAnsi="Times New Roman" w:cs="Times New Roman"/>
          <w:sz w:val="24"/>
          <w:szCs w:val="24"/>
        </w:rPr>
        <w:t xml:space="preserve"> for further analysis after the completion of the designated exposure period of 30 days.</w:t>
      </w:r>
    </w:p>
    <w:p w14:paraId="65D6301E" w14:textId="77777777" w:rsidR="008E10DE" w:rsidRDefault="008E10DE">
      <w:pPr>
        <w:autoSpaceDE w:val="0"/>
        <w:autoSpaceDN w:val="0"/>
        <w:adjustRightInd w:val="0"/>
        <w:jc w:val="both"/>
        <w:rPr>
          <w:rFonts w:ascii="Times New Roman" w:eastAsia="SimSun" w:hAnsi="Times New Roman" w:cs="Times New Roman"/>
          <w:sz w:val="24"/>
          <w:szCs w:val="24"/>
        </w:rPr>
      </w:pPr>
    </w:p>
    <w:p w14:paraId="6500CD3B" w14:textId="77777777" w:rsidR="008E10DE" w:rsidRDefault="00000000">
      <w:pPr>
        <w:autoSpaceDE w:val="0"/>
        <w:autoSpaceDN w:val="0"/>
        <w:adjustRightInd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2.6 Analysis of </w:t>
      </w:r>
      <w:proofErr w:type="spellStart"/>
      <w:r>
        <w:rPr>
          <w:rFonts w:ascii="Times New Roman" w:eastAsia="SimSun" w:hAnsi="Times New Roman" w:cs="Times New Roman"/>
          <w:b/>
          <w:bCs/>
          <w:sz w:val="24"/>
          <w:szCs w:val="24"/>
        </w:rPr>
        <w:t>haematological</w:t>
      </w:r>
      <w:proofErr w:type="spellEnd"/>
      <w:r>
        <w:rPr>
          <w:rFonts w:ascii="Times New Roman" w:eastAsia="SimSun" w:hAnsi="Times New Roman" w:cs="Times New Roman"/>
          <w:b/>
          <w:bCs/>
          <w:sz w:val="24"/>
          <w:szCs w:val="24"/>
        </w:rPr>
        <w:t xml:space="preserve"> parameters</w:t>
      </w:r>
    </w:p>
    <w:p w14:paraId="6ACE4492" w14:textId="77777777" w:rsidR="008E10DE" w:rsidRDefault="008E10DE">
      <w:pPr>
        <w:autoSpaceDE w:val="0"/>
        <w:autoSpaceDN w:val="0"/>
        <w:adjustRightInd w:val="0"/>
        <w:jc w:val="both"/>
        <w:rPr>
          <w:rFonts w:ascii="Times New Roman" w:eastAsia="SimSun" w:hAnsi="Times New Roman" w:cs="Times New Roman"/>
          <w:b/>
          <w:bCs/>
          <w:sz w:val="24"/>
          <w:szCs w:val="24"/>
        </w:rPr>
      </w:pPr>
    </w:p>
    <w:p w14:paraId="062983B6" w14:textId="77777777" w:rsidR="008E10DE" w:rsidRDefault="00000000">
      <w:pPr>
        <w:pStyle w:val="Default"/>
        <w:jc w:val="both"/>
        <w:rPr>
          <w:bCs/>
          <w:iCs/>
          <w:color w:val="auto"/>
          <w:lang w:eastAsia="zh-CN"/>
        </w:rPr>
      </w:pPr>
      <w:r>
        <w:rPr>
          <w:bCs/>
          <w:iCs/>
          <w:color w:val="auto"/>
          <w:lang w:eastAsia="zh-CN"/>
        </w:rPr>
        <w:t xml:space="preserve">The </w:t>
      </w:r>
      <w:proofErr w:type="spellStart"/>
      <w:r>
        <w:rPr>
          <w:bCs/>
          <w:iCs/>
          <w:color w:val="auto"/>
          <w:lang w:eastAsia="zh-CN"/>
        </w:rPr>
        <w:t>haemoglobin</w:t>
      </w:r>
      <w:proofErr w:type="spellEnd"/>
      <w:r>
        <w:rPr>
          <w:bCs/>
          <w:iCs/>
          <w:color w:val="auto"/>
          <w:lang w:eastAsia="zh-CN"/>
        </w:rPr>
        <w:t xml:space="preserve"> content, total erythrocyte count, and leukocyte count of the blood were estimated. The blood samples were collected and promptly </w:t>
      </w:r>
      <w:proofErr w:type="spellStart"/>
      <w:r>
        <w:rPr>
          <w:bCs/>
          <w:iCs/>
          <w:color w:val="auto"/>
          <w:lang w:eastAsia="zh-CN"/>
        </w:rPr>
        <w:t>analysed</w:t>
      </w:r>
      <w:proofErr w:type="spellEnd"/>
      <w:r>
        <w:rPr>
          <w:bCs/>
          <w:iCs/>
          <w:color w:val="auto"/>
          <w:lang w:eastAsia="zh-CN"/>
        </w:rPr>
        <w:t xml:space="preserve"> for </w:t>
      </w:r>
      <w:proofErr w:type="spellStart"/>
      <w:r>
        <w:rPr>
          <w:bCs/>
          <w:iCs/>
          <w:color w:val="auto"/>
          <w:lang w:eastAsia="zh-CN"/>
        </w:rPr>
        <w:t>haematological</w:t>
      </w:r>
      <w:proofErr w:type="spellEnd"/>
      <w:r>
        <w:rPr>
          <w:bCs/>
          <w:iCs/>
          <w:color w:val="auto"/>
          <w:lang w:eastAsia="zh-CN"/>
        </w:rPr>
        <w:t xml:space="preserve"> purposes. The RBC and WBC were diluted with appropriate diluting fluids, and the total content was calculated using an improved Neubauer </w:t>
      </w:r>
      <w:proofErr w:type="spellStart"/>
      <w:r>
        <w:rPr>
          <w:bCs/>
          <w:iCs/>
          <w:color w:val="auto"/>
          <w:lang w:eastAsia="zh-CN"/>
        </w:rPr>
        <w:t>haemocytometer</w:t>
      </w:r>
      <w:proofErr w:type="spellEnd"/>
      <w:r>
        <w:rPr>
          <w:bCs/>
          <w:iCs/>
          <w:color w:val="auto"/>
          <w:lang w:eastAsia="zh-CN"/>
        </w:rPr>
        <w:t xml:space="preserve"> (</w:t>
      </w:r>
      <w:proofErr w:type="spellStart"/>
      <w:r>
        <w:rPr>
          <w:bCs/>
          <w:iCs/>
          <w:color w:val="auto"/>
          <w:lang w:eastAsia="zh-CN"/>
        </w:rPr>
        <w:t>Blaxhall</w:t>
      </w:r>
      <w:proofErr w:type="spellEnd"/>
      <w:r>
        <w:rPr>
          <w:bCs/>
          <w:iCs/>
          <w:color w:val="auto"/>
          <w:lang w:eastAsia="zh-CN"/>
        </w:rPr>
        <w:t xml:space="preserve">, 1972). The Sahli haemoglobinometer was </w:t>
      </w:r>
      <w:proofErr w:type="spellStart"/>
      <w:r>
        <w:rPr>
          <w:bCs/>
          <w:iCs/>
          <w:color w:val="auto"/>
          <w:lang w:eastAsia="zh-CN"/>
        </w:rPr>
        <w:t>utilised</w:t>
      </w:r>
      <w:proofErr w:type="spellEnd"/>
      <w:r>
        <w:rPr>
          <w:bCs/>
          <w:iCs/>
          <w:color w:val="auto"/>
          <w:lang w:eastAsia="zh-CN"/>
        </w:rPr>
        <w:t xml:space="preserve"> to estimate the </w:t>
      </w:r>
      <w:proofErr w:type="spellStart"/>
      <w:r>
        <w:rPr>
          <w:bCs/>
          <w:iCs/>
          <w:color w:val="auto"/>
          <w:lang w:eastAsia="zh-CN"/>
        </w:rPr>
        <w:t>haemoglobin</w:t>
      </w:r>
      <w:proofErr w:type="spellEnd"/>
      <w:r>
        <w:rPr>
          <w:bCs/>
          <w:iCs/>
          <w:color w:val="auto"/>
          <w:lang w:eastAsia="zh-CN"/>
        </w:rPr>
        <w:t xml:space="preserve"> (HB) content in both the </w:t>
      </w:r>
      <w:proofErr w:type="spellStart"/>
      <w:r>
        <w:rPr>
          <w:bCs/>
          <w:iCs/>
          <w:color w:val="auto"/>
          <w:lang w:eastAsia="zh-CN"/>
        </w:rPr>
        <w:t>Monocrotophos</w:t>
      </w:r>
      <w:proofErr w:type="spellEnd"/>
      <w:r>
        <w:rPr>
          <w:bCs/>
          <w:iCs/>
          <w:color w:val="auto"/>
          <w:lang w:eastAsia="zh-CN"/>
        </w:rPr>
        <w:t xml:space="preserve"> - treated fish and the control group.</w:t>
      </w:r>
    </w:p>
    <w:p w14:paraId="01AE9B89" w14:textId="77777777" w:rsidR="008E10DE" w:rsidRDefault="008E10DE">
      <w:pPr>
        <w:pStyle w:val="Default"/>
        <w:jc w:val="both"/>
        <w:rPr>
          <w:bCs/>
          <w:iCs/>
          <w:color w:val="auto"/>
          <w:lang w:eastAsia="zh-CN"/>
        </w:rPr>
      </w:pPr>
    </w:p>
    <w:p w14:paraId="22919603" w14:textId="77777777" w:rsidR="008E10DE" w:rsidRDefault="00000000">
      <w:pPr>
        <w:pStyle w:val="Default"/>
        <w:jc w:val="both"/>
        <w:rPr>
          <w:b/>
          <w:iCs/>
          <w:color w:val="auto"/>
        </w:rPr>
      </w:pPr>
      <w:r>
        <w:rPr>
          <w:b/>
          <w:iCs/>
          <w:color w:val="auto"/>
        </w:rPr>
        <w:t>2.7 Morphological assessment of blood cells</w:t>
      </w:r>
    </w:p>
    <w:p w14:paraId="4634B042" w14:textId="77777777" w:rsidR="008E10DE" w:rsidRDefault="008E10DE">
      <w:pPr>
        <w:pStyle w:val="Default"/>
        <w:jc w:val="both"/>
        <w:rPr>
          <w:b/>
          <w:iCs/>
          <w:color w:val="auto"/>
        </w:rPr>
      </w:pPr>
    </w:p>
    <w:p w14:paraId="6E5AA32C" w14:textId="77777777" w:rsidR="008E10DE" w:rsidRDefault="00000000">
      <w:pPr>
        <w:pStyle w:val="Default"/>
        <w:jc w:val="both"/>
        <w:rPr>
          <w:color w:val="auto"/>
        </w:rPr>
      </w:pPr>
      <w:r>
        <w:rPr>
          <w:color w:val="auto"/>
        </w:rPr>
        <w:t xml:space="preserve">A thin blood film was made by spreading a blood drop evenly on clean grease free slide using smooth edged spreader. Leishman’s stains </w:t>
      </w:r>
      <w:proofErr w:type="gramStart"/>
      <w:r>
        <w:rPr>
          <w:color w:val="auto"/>
        </w:rPr>
        <w:t>was</w:t>
      </w:r>
      <w:proofErr w:type="gramEnd"/>
      <w:r>
        <w:rPr>
          <w:color w:val="auto"/>
        </w:rPr>
        <w:t xml:space="preserve"> employed for the staining of blood films. It provides excellent stain quality and is generally used to differentiate </w:t>
      </w:r>
      <w:r>
        <w:rPr>
          <w:color w:val="auto"/>
        </w:rPr>
        <w:lastRenderedPageBreak/>
        <w:t xml:space="preserve">and identify leucocytes. Cytoplasmic details and granules are better stained by Leishman's stain. Blood smears were stained with </w:t>
      </w:r>
      <w:proofErr w:type="spellStart"/>
      <w:r>
        <w:rPr>
          <w:color w:val="auto"/>
        </w:rPr>
        <w:t>Leishmans</w:t>
      </w:r>
      <w:proofErr w:type="spellEnd"/>
      <w:r>
        <w:rPr>
          <w:color w:val="auto"/>
        </w:rPr>
        <w:t xml:space="preserve"> stain for 2 minutes (undiluted stain) and 5-15 minutes (diluted stain) as the former acts faster than the latter. Using the10X, 20X, 40 X objective high-power lenses, the blood smear was observed. The morphologic characteristics of cells were recorded (the shape, the pathologic changes in nuclei, the protoplasm and membranes) and they were registered. Images were captured by digital camera. Also, photographs were taken under compound microscope Leica with the help of a digital camera. </w:t>
      </w:r>
    </w:p>
    <w:p w14:paraId="2632CEF7" w14:textId="77777777" w:rsidR="008E10DE" w:rsidRDefault="008E10DE">
      <w:pPr>
        <w:pStyle w:val="Default"/>
        <w:jc w:val="both"/>
        <w:rPr>
          <w:color w:val="auto"/>
        </w:rPr>
      </w:pPr>
    </w:p>
    <w:p w14:paraId="063A9680" w14:textId="77777777" w:rsidR="008E10DE" w:rsidRDefault="0000000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2.8 Comet assay</w:t>
      </w:r>
    </w:p>
    <w:p w14:paraId="10AC6BE4" w14:textId="77777777" w:rsidR="008E10DE" w:rsidRDefault="008E10DE">
      <w:pPr>
        <w:autoSpaceDE w:val="0"/>
        <w:autoSpaceDN w:val="0"/>
        <w:adjustRightInd w:val="0"/>
        <w:jc w:val="both"/>
        <w:rPr>
          <w:rFonts w:ascii="Times New Roman" w:hAnsi="Times New Roman" w:cs="Times New Roman"/>
          <w:b/>
          <w:bCs/>
          <w:sz w:val="24"/>
          <w:szCs w:val="24"/>
        </w:rPr>
      </w:pPr>
    </w:p>
    <w:p w14:paraId="41B3D6EE" w14:textId="77777777" w:rsidR="008E10DE" w:rsidRDefault="0000000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The collected blood samples were processed for the assay by following Singh </w:t>
      </w:r>
      <w:r>
        <w:rPr>
          <w:rFonts w:ascii="Times New Roman" w:hAnsi="Times New Roman" w:cs="Times New Roman"/>
          <w:iCs/>
          <w:sz w:val="24"/>
          <w:szCs w:val="24"/>
        </w:rPr>
        <w:t>et al</w:t>
      </w:r>
      <w:r>
        <w:rPr>
          <w:rFonts w:ascii="Times New Roman" w:hAnsi="Times New Roman" w:cs="Times New Roman"/>
          <w:i/>
          <w:iCs/>
          <w:sz w:val="24"/>
          <w:szCs w:val="24"/>
        </w:rPr>
        <w:t xml:space="preserve">. </w:t>
      </w:r>
      <w:r>
        <w:rPr>
          <w:rFonts w:ascii="Times New Roman" w:hAnsi="Times New Roman" w:cs="Times New Roman"/>
          <w:sz w:val="24"/>
          <w:szCs w:val="24"/>
        </w:rPr>
        <w:t xml:space="preserve">(1991). After electrophoretic analysis, the slides were gently neutralized in 0.4 M Tris buffer (pH = 7.5) and were stained using Acridine Orange stain (300- 400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20μg/ml of distilled water) and analyzed using </w:t>
      </w:r>
      <w:proofErr w:type="spellStart"/>
      <w:r>
        <w:rPr>
          <w:rFonts w:ascii="Times New Roman" w:hAnsi="Times New Roman" w:cs="Times New Roman"/>
          <w:sz w:val="24"/>
          <w:szCs w:val="24"/>
        </w:rPr>
        <w:t>epifluorescent</w:t>
      </w:r>
      <w:proofErr w:type="spellEnd"/>
      <w:r>
        <w:rPr>
          <w:rFonts w:ascii="Times New Roman" w:hAnsi="Times New Roman" w:cs="Times New Roman"/>
          <w:sz w:val="24"/>
          <w:szCs w:val="24"/>
        </w:rPr>
        <w:t xml:space="preserve"> microscopy (400X, Nikon AFX-1 </w:t>
      </w:r>
      <w:proofErr w:type="spellStart"/>
      <w:r>
        <w:rPr>
          <w:rFonts w:ascii="Times New Roman" w:hAnsi="Times New Roman" w:cs="Times New Roman"/>
          <w:sz w:val="24"/>
          <w:szCs w:val="24"/>
        </w:rPr>
        <w:t>Optiphot</w:t>
      </w:r>
      <w:proofErr w:type="spellEnd"/>
      <w:r>
        <w:rPr>
          <w:rFonts w:ascii="Times New Roman" w:hAnsi="Times New Roman" w:cs="Times New Roman"/>
          <w:sz w:val="24"/>
          <w:szCs w:val="24"/>
        </w:rPr>
        <w:t xml:space="preserve">). The captured digital images were analyzed. Cells having no DNA damage had intact nuclei without tails while cells having DNA damage had a comet like appearance in shape. DNA migration length in comets’ tail was projected as DNA damage (Grover </w:t>
      </w:r>
      <w:r>
        <w:rPr>
          <w:rFonts w:ascii="Times New Roman" w:hAnsi="Times New Roman" w:cs="Times New Roman"/>
          <w:iCs/>
          <w:sz w:val="24"/>
          <w:szCs w:val="24"/>
        </w:rPr>
        <w:t>et al</w:t>
      </w:r>
      <w:r>
        <w:rPr>
          <w:rFonts w:ascii="Times New Roman" w:hAnsi="Times New Roman" w:cs="Times New Roman"/>
          <w:i/>
          <w:iCs/>
          <w:sz w:val="24"/>
          <w:szCs w:val="24"/>
        </w:rPr>
        <w:t>.</w:t>
      </w:r>
      <w:r>
        <w:rPr>
          <w:rFonts w:ascii="Times New Roman" w:hAnsi="Times New Roman" w:cs="Times New Roman"/>
          <w:sz w:val="24"/>
          <w:szCs w:val="24"/>
        </w:rPr>
        <w:t xml:space="preserve">, 2003). Cells without heads or dispersed heads were not included for analysis and were considered as apoptotic cells. </w:t>
      </w:r>
    </w:p>
    <w:p w14:paraId="2B493EC8" w14:textId="77777777" w:rsidR="008E10DE" w:rsidRDefault="008E10DE">
      <w:pPr>
        <w:autoSpaceDE w:val="0"/>
        <w:autoSpaceDN w:val="0"/>
        <w:adjustRightInd w:val="0"/>
        <w:ind w:firstLine="720"/>
        <w:jc w:val="both"/>
        <w:rPr>
          <w:rFonts w:ascii="Times New Roman" w:hAnsi="Times New Roman" w:cs="Times New Roman"/>
          <w:sz w:val="24"/>
          <w:szCs w:val="24"/>
        </w:rPr>
      </w:pPr>
    </w:p>
    <w:p w14:paraId="33FA3BB9" w14:textId="77777777" w:rsidR="008E10DE" w:rsidRDefault="00000000">
      <w:pPr>
        <w:jc w:val="both"/>
        <w:rPr>
          <w:rFonts w:ascii="Times New Roman" w:hAnsi="Times New Roman" w:cs="Times New Roman"/>
          <w:b/>
          <w:bCs/>
          <w:sz w:val="24"/>
          <w:szCs w:val="24"/>
        </w:rPr>
      </w:pPr>
      <w:r>
        <w:rPr>
          <w:rFonts w:ascii="Times New Roman" w:hAnsi="Times New Roman" w:cs="Times New Roman"/>
          <w:b/>
          <w:bCs/>
          <w:sz w:val="24"/>
          <w:szCs w:val="24"/>
        </w:rPr>
        <w:t>2.9 Histopathology</w:t>
      </w:r>
    </w:p>
    <w:p w14:paraId="21D20379" w14:textId="77777777" w:rsidR="008E10DE" w:rsidRDefault="008E10DE">
      <w:pPr>
        <w:jc w:val="both"/>
        <w:rPr>
          <w:rFonts w:ascii="Times New Roman" w:hAnsi="Times New Roman" w:cs="Times New Roman"/>
          <w:b/>
          <w:bCs/>
          <w:sz w:val="24"/>
          <w:szCs w:val="24"/>
        </w:rPr>
      </w:pPr>
    </w:p>
    <w:p w14:paraId="10DBF594" w14:textId="77777777" w:rsidR="008E10DE" w:rsidRDefault="00000000">
      <w:pPr>
        <w:jc w:val="both"/>
        <w:rPr>
          <w:rFonts w:ascii="Times New Roman" w:hAnsi="Times New Roman" w:cs="Times New Roman"/>
          <w:sz w:val="24"/>
          <w:szCs w:val="24"/>
        </w:rPr>
      </w:pPr>
      <w:r>
        <w:rPr>
          <w:rFonts w:ascii="Times New Roman" w:hAnsi="Times New Roman" w:cs="Times New Roman"/>
          <w:sz w:val="24"/>
          <w:szCs w:val="24"/>
        </w:rPr>
        <w:t xml:space="preserve">For histopathological changes, the gill and liver were promptly excised from the fish, rinsed in an isotonic saline solution, and fixed in a 10% neutral buffered formaldehyde solution (pH 7.2). Following fixation, tissues underwent dehydration through a series of increasingly concentrated alcoholic solutions before being embedded in paraffin wax. Transverse and longitudinal sections, measuring 3-5µm in thickness, were prepared with a rotary microtome (Leica, Germany) and subsequently dried on a slide warmer set at 37°C. The tissues underwent deparaffinization in xylene and were subsequently dehydrated through an ascending series of alcohol. Sections were stained using the standard </w:t>
      </w:r>
      <w:proofErr w:type="spellStart"/>
      <w:r>
        <w:rPr>
          <w:rFonts w:ascii="Times New Roman" w:hAnsi="Times New Roman" w:cs="Times New Roman"/>
          <w:sz w:val="24"/>
          <w:szCs w:val="24"/>
        </w:rPr>
        <w:t>haematoxylin</w:t>
      </w:r>
      <w:proofErr w:type="spellEnd"/>
      <w:r>
        <w:rPr>
          <w:rFonts w:ascii="Times New Roman" w:hAnsi="Times New Roman" w:cs="Times New Roman"/>
          <w:sz w:val="24"/>
          <w:szCs w:val="24"/>
        </w:rPr>
        <w:t xml:space="preserve"> and eosin (H&amp;E) method. The sections were ultimately cleared in xylene and subsequently mounted in DPX </w:t>
      </w:r>
      <w:proofErr w:type="spellStart"/>
      <w:r>
        <w:rPr>
          <w:rFonts w:ascii="Times New Roman" w:hAnsi="Times New Roman" w:cs="Times New Roman"/>
          <w:sz w:val="24"/>
          <w:szCs w:val="24"/>
        </w:rPr>
        <w:t>mountant</w:t>
      </w:r>
      <w:proofErr w:type="spellEnd"/>
      <w:r>
        <w:rPr>
          <w:rFonts w:ascii="Times New Roman" w:hAnsi="Times New Roman" w:cs="Times New Roman"/>
          <w:sz w:val="24"/>
          <w:szCs w:val="24"/>
        </w:rPr>
        <w:t xml:space="preserve"> medium. Various sections of each test specimen were examined using a light microscope (Leica, Germany).</w:t>
      </w:r>
    </w:p>
    <w:p w14:paraId="6168E037" w14:textId="77777777" w:rsidR="008E10DE" w:rsidRDefault="008E10DE">
      <w:pPr>
        <w:jc w:val="both"/>
        <w:rPr>
          <w:rFonts w:ascii="Times New Roman" w:hAnsi="Times New Roman" w:cs="Times New Roman"/>
          <w:sz w:val="24"/>
          <w:szCs w:val="24"/>
        </w:rPr>
      </w:pPr>
    </w:p>
    <w:p w14:paraId="0F6E99B1" w14:textId="77777777" w:rsidR="008E10DE" w:rsidRDefault="00000000">
      <w:pPr>
        <w:jc w:val="both"/>
        <w:rPr>
          <w:rFonts w:ascii="Times New Roman" w:hAnsi="Times New Roman" w:cs="Times New Roman"/>
          <w:sz w:val="24"/>
          <w:szCs w:val="24"/>
        </w:rPr>
      </w:pPr>
      <w:r>
        <w:rPr>
          <w:rFonts w:ascii="Times New Roman" w:hAnsi="Times New Roman" w:cs="Times New Roman"/>
          <w:b/>
          <w:bCs/>
          <w:sz w:val="24"/>
          <w:szCs w:val="24"/>
        </w:rPr>
        <w:t>2.10 Statistical Analysis</w:t>
      </w:r>
      <w:r>
        <w:rPr>
          <w:rFonts w:ascii="Times New Roman" w:hAnsi="Times New Roman" w:cs="Times New Roman"/>
          <w:sz w:val="24"/>
          <w:szCs w:val="24"/>
        </w:rPr>
        <w:t xml:space="preserve"> </w:t>
      </w:r>
    </w:p>
    <w:p w14:paraId="210ACA82" w14:textId="77777777" w:rsidR="008E10DE" w:rsidRDefault="008E10DE">
      <w:pPr>
        <w:jc w:val="both"/>
        <w:rPr>
          <w:rFonts w:ascii="Times New Roman" w:hAnsi="Times New Roman" w:cs="Times New Roman"/>
          <w:sz w:val="24"/>
          <w:szCs w:val="24"/>
        </w:rPr>
      </w:pPr>
    </w:p>
    <w:p w14:paraId="3607A156" w14:textId="77777777" w:rsidR="008E10DE" w:rsidRDefault="00000000">
      <w:pPr>
        <w:jc w:val="both"/>
        <w:rPr>
          <w:rFonts w:ascii="Times New Roman" w:hAnsi="Times New Roman" w:cs="Times New Roman"/>
          <w:sz w:val="24"/>
          <w:szCs w:val="24"/>
        </w:rPr>
      </w:pPr>
      <w:r>
        <w:rPr>
          <w:rFonts w:ascii="Times New Roman" w:hAnsi="Times New Roman" w:cs="Times New Roman"/>
          <w:sz w:val="24"/>
          <w:szCs w:val="24"/>
        </w:rPr>
        <w:t>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was calculated on the basis of plotting a graph between percentage mortality data and varying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The descriptive data was given as a mean ± standard deviation (SD). The `t` test was applied to determine the level of significance (Fischer, 1950).</w:t>
      </w:r>
    </w:p>
    <w:p w14:paraId="5DC53E5A" w14:textId="77777777" w:rsidR="008E10DE" w:rsidRDefault="008E10DE">
      <w:pPr>
        <w:jc w:val="both"/>
        <w:rPr>
          <w:rFonts w:ascii="Times New Roman" w:hAnsi="Times New Roman" w:cs="Times New Roman"/>
          <w:sz w:val="24"/>
          <w:szCs w:val="24"/>
        </w:rPr>
      </w:pPr>
    </w:p>
    <w:p w14:paraId="72F5E1ED" w14:textId="77777777" w:rsidR="008E10DE" w:rsidRDefault="00000000">
      <w:pPr>
        <w:numPr>
          <w:ilvl w:val="0"/>
          <w:numId w:val="1"/>
        </w:numPr>
        <w:spacing w:line="20" w:lineRule="atLeast"/>
        <w:jc w:val="both"/>
        <w:rPr>
          <w:rFonts w:ascii="Times New Roman" w:hAnsi="Times New Roman" w:cs="Times New Roman"/>
          <w:b/>
          <w:bCs/>
          <w:sz w:val="24"/>
          <w:szCs w:val="24"/>
        </w:rPr>
      </w:pPr>
      <w:r>
        <w:rPr>
          <w:rFonts w:ascii="Times New Roman" w:hAnsi="Times New Roman" w:cs="Times New Roman"/>
          <w:b/>
          <w:bCs/>
          <w:sz w:val="24"/>
          <w:szCs w:val="24"/>
        </w:rPr>
        <w:t>RESULTS AND DISCUSSION</w:t>
      </w:r>
    </w:p>
    <w:p w14:paraId="5DE93C21" w14:textId="77777777" w:rsidR="008E10DE" w:rsidRDefault="008E10DE">
      <w:pPr>
        <w:spacing w:line="20" w:lineRule="atLeast"/>
        <w:jc w:val="both"/>
        <w:rPr>
          <w:rFonts w:ascii="Times New Roman" w:hAnsi="Times New Roman" w:cs="Times New Roman"/>
          <w:b/>
          <w:bCs/>
          <w:sz w:val="24"/>
          <w:szCs w:val="24"/>
        </w:rPr>
      </w:pPr>
    </w:p>
    <w:p w14:paraId="57B4A1B7" w14:textId="77777777" w:rsidR="008E10DE" w:rsidRDefault="00000000">
      <w:pPr>
        <w:numPr>
          <w:ilvl w:val="1"/>
          <w:numId w:val="1"/>
        </w:numPr>
        <w:spacing w:line="20" w:lineRule="atLeast"/>
        <w:jc w:val="both"/>
        <w:rPr>
          <w:rFonts w:ascii="Times New Roman" w:hAnsi="Times New Roman" w:cs="Times New Roman"/>
          <w:b/>
          <w:bCs/>
          <w:i/>
          <w:iCs/>
          <w:sz w:val="24"/>
          <w:szCs w:val="24"/>
        </w:rPr>
      </w:pPr>
      <w:r>
        <w:rPr>
          <w:rFonts w:ascii="Times New Roman" w:hAnsi="Times New Roman" w:cs="Times New Roman"/>
          <w:b/>
          <w:bCs/>
          <w:sz w:val="24"/>
          <w:szCs w:val="24"/>
        </w:rPr>
        <w:t xml:space="preserve">Range finding test and Behavioral toxicity of </w:t>
      </w:r>
      <w:proofErr w:type="spellStart"/>
      <w:r>
        <w:rPr>
          <w:rFonts w:ascii="Times New Roman" w:hAnsi="Times New Roman" w:cs="Times New Roman"/>
          <w:b/>
          <w:bCs/>
          <w:sz w:val="24"/>
          <w:szCs w:val="24"/>
        </w:rPr>
        <w:t>Monocrotophos</w:t>
      </w:r>
      <w:proofErr w:type="spellEnd"/>
      <w:r>
        <w:rPr>
          <w:rFonts w:ascii="Times New Roman" w:hAnsi="Times New Roman" w:cs="Times New Roman"/>
          <w:b/>
          <w:bCs/>
          <w:sz w:val="24"/>
          <w:szCs w:val="24"/>
        </w:rPr>
        <w:t xml:space="preserve"> on </w:t>
      </w:r>
      <w:r>
        <w:rPr>
          <w:rFonts w:ascii="Times New Roman" w:hAnsi="Times New Roman" w:cs="Times New Roman"/>
          <w:b/>
          <w:bCs/>
          <w:i/>
          <w:iCs/>
          <w:sz w:val="24"/>
          <w:szCs w:val="24"/>
        </w:rPr>
        <w:t>L. </w:t>
      </w:r>
      <w:proofErr w:type="spellStart"/>
      <w:r>
        <w:rPr>
          <w:rFonts w:ascii="Times New Roman" w:hAnsi="Times New Roman" w:cs="Times New Roman"/>
          <w:b/>
          <w:bCs/>
          <w:i/>
          <w:iCs/>
          <w:sz w:val="24"/>
          <w:szCs w:val="24"/>
        </w:rPr>
        <w:t>rohita</w:t>
      </w:r>
      <w:proofErr w:type="spellEnd"/>
    </w:p>
    <w:p w14:paraId="47ACE09E" w14:textId="77777777" w:rsidR="008E10DE" w:rsidRDefault="008E10DE">
      <w:pPr>
        <w:spacing w:line="20" w:lineRule="atLeast"/>
        <w:jc w:val="both"/>
        <w:rPr>
          <w:rFonts w:ascii="Times New Roman" w:hAnsi="Times New Roman" w:cs="Times New Roman"/>
          <w:b/>
          <w:bCs/>
          <w:i/>
          <w:iCs/>
          <w:sz w:val="24"/>
          <w:szCs w:val="24"/>
        </w:rPr>
      </w:pPr>
    </w:p>
    <w:p w14:paraId="4E31DFE5" w14:textId="77777777" w:rsidR="008E10DE" w:rsidRDefault="00000000">
      <w:pPr>
        <w:spacing w:line="20" w:lineRule="atLeast"/>
        <w:jc w:val="both"/>
        <w:rPr>
          <w:rFonts w:ascii="Times New Roman" w:hAnsi="Times New Roman" w:cs="Times New Roman"/>
          <w:b/>
          <w:sz w:val="24"/>
          <w:szCs w:val="24"/>
        </w:rPr>
      </w:pPr>
      <w:r>
        <w:rPr>
          <w:rFonts w:ascii="Times New Roman" w:hAnsi="Times New Roman" w:cs="Times New Roman"/>
          <w:sz w:val="24"/>
          <w:szCs w:val="24"/>
        </w:rPr>
        <w:t xml:space="preserve">A range-finding test was performed to assess the effects of different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(1–1000 ppm) on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over a duration of 96 hours. The findings showed no mortality at concentrations between 1 and 100 ppm after exposure for up </w:t>
      </w:r>
      <w:r>
        <w:rPr>
          <w:rFonts w:ascii="Times New Roman" w:hAnsi="Times New Roman" w:cs="Times New Roman"/>
          <w:sz w:val="24"/>
          <w:szCs w:val="24"/>
        </w:rPr>
        <w:lastRenderedPageBreak/>
        <w:t>to 56 hours. At the highest tested concentration of 1000 ppm, 100% mortality was observed within the first hour of exposure (Table 1). According to these findings, the no observed effect level (NOEL) concerning mortality was determined to be less than 1000 ppm. Based on this data, it can be concluded that the lethal concentration for 50% of the population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falls within the range of 1–100 ppm. This conclusion highlights the considerable toxicity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to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at higher concentrations, stressing the necessity for additional research to accurately ascertain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within the specified range.</w:t>
      </w:r>
    </w:p>
    <w:p w14:paraId="6A672D81" w14:textId="77777777" w:rsidR="008E10DE" w:rsidRDefault="008E10DE">
      <w:pPr>
        <w:spacing w:line="20" w:lineRule="atLeast"/>
        <w:jc w:val="both"/>
        <w:rPr>
          <w:rFonts w:ascii="Times New Roman" w:hAnsi="Times New Roman" w:cs="Times New Roman"/>
          <w:b/>
          <w:sz w:val="24"/>
          <w:szCs w:val="24"/>
        </w:rPr>
      </w:pPr>
    </w:p>
    <w:p w14:paraId="13499B7D"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Table 1. Table showing the results of Range toxicity studies</w:t>
      </w:r>
    </w:p>
    <w:p w14:paraId="09DEB3ED" w14:textId="77777777" w:rsidR="008E10DE" w:rsidRDefault="008E10DE">
      <w:pPr>
        <w:spacing w:line="20" w:lineRule="atLeast"/>
        <w:jc w:val="center"/>
        <w:rPr>
          <w:rFonts w:ascii="Times New Roman" w:hAnsi="Times New Roman" w:cs="Times New Roman"/>
          <w:b/>
          <w:sz w:val="24"/>
          <w:szCs w:val="24"/>
        </w:rPr>
      </w:pPr>
    </w:p>
    <w:tbl>
      <w:tblPr>
        <w:tblStyle w:val="TableGrid"/>
        <w:tblW w:w="8392" w:type="dxa"/>
        <w:tblLayout w:type="fixed"/>
        <w:tblLook w:val="04A0" w:firstRow="1" w:lastRow="0" w:firstColumn="1" w:lastColumn="0" w:noHBand="0" w:noVBand="1"/>
      </w:tblPr>
      <w:tblGrid>
        <w:gridCol w:w="8392"/>
      </w:tblGrid>
      <w:tr w:rsidR="008E10DE" w14:paraId="1D5B10B9" w14:textId="77777777">
        <w:trPr>
          <w:trHeight w:val="3228"/>
        </w:trPr>
        <w:tc>
          <w:tcPr>
            <w:tcW w:w="8392" w:type="dxa"/>
          </w:tcPr>
          <w:tbl>
            <w:tblPr>
              <w:tblW w:w="8370"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0"/>
              <w:gridCol w:w="1880"/>
              <w:gridCol w:w="4960"/>
            </w:tblGrid>
            <w:tr w:rsidR="008E10DE" w14:paraId="2A2DB1C0" w14:textId="77777777">
              <w:trPr>
                <w:trHeight w:val="918"/>
              </w:trPr>
              <w:tc>
                <w:tcPr>
                  <w:tcW w:w="1530" w:type="dxa"/>
                  <w:shd w:val="clear" w:color="auto" w:fill="auto"/>
                  <w:tcMar>
                    <w:top w:w="15" w:type="dxa"/>
                    <w:left w:w="108" w:type="dxa"/>
                    <w:bottom w:w="0" w:type="dxa"/>
                    <w:right w:w="108" w:type="dxa"/>
                  </w:tcMar>
                </w:tcPr>
                <w:p w14:paraId="3FA93056"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Groups</w:t>
                  </w:r>
                </w:p>
              </w:tc>
              <w:tc>
                <w:tcPr>
                  <w:tcW w:w="1880" w:type="dxa"/>
                  <w:shd w:val="clear" w:color="auto" w:fill="auto"/>
                  <w:tcMar>
                    <w:top w:w="15" w:type="dxa"/>
                    <w:left w:w="108" w:type="dxa"/>
                    <w:bottom w:w="0" w:type="dxa"/>
                    <w:right w:w="108" w:type="dxa"/>
                  </w:tcMar>
                </w:tcPr>
                <w:p w14:paraId="58B037A5"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b/>
                      <w:sz w:val="24"/>
                      <w:szCs w:val="24"/>
                    </w:rPr>
                    <w:t xml:space="preserve">Conc. of </w:t>
                  </w:r>
                  <w:proofErr w:type="spellStart"/>
                  <w:r>
                    <w:rPr>
                      <w:rFonts w:ascii="Times New Roman" w:hAnsi="Times New Roman" w:cs="Times New Roman"/>
                      <w:b/>
                      <w:bCs/>
                      <w:sz w:val="24"/>
                      <w:szCs w:val="24"/>
                    </w:rPr>
                    <w:t>Monocrotophos</w:t>
                  </w:r>
                  <w:proofErr w:type="spellEnd"/>
                </w:p>
                <w:p w14:paraId="7B539E10"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(ppm)</w:t>
                  </w:r>
                </w:p>
              </w:tc>
              <w:tc>
                <w:tcPr>
                  <w:tcW w:w="4960" w:type="dxa"/>
                  <w:shd w:val="clear" w:color="auto" w:fill="auto"/>
                  <w:tcMar>
                    <w:top w:w="15" w:type="dxa"/>
                    <w:left w:w="108" w:type="dxa"/>
                    <w:bottom w:w="0" w:type="dxa"/>
                    <w:right w:w="108" w:type="dxa"/>
                  </w:tcMar>
                </w:tcPr>
                <w:p w14:paraId="51E3C5F2"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Remarks</w:t>
                  </w:r>
                </w:p>
              </w:tc>
            </w:tr>
            <w:tr w:rsidR="008E10DE" w14:paraId="4AB14806" w14:textId="77777777">
              <w:trPr>
                <w:trHeight w:val="423"/>
              </w:trPr>
              <w:tc>
                <w:tcPr>
                  <w:tcW w:w="1530" w:type="dxa"/>
                  <w:shd w:val="clear" w:color="auto" w:fill="auto"/>
                  <w:tcMar>
                    <w:top w:w="15" w:type="dxa"/>
                    <w:left w:w="108" w:type="dxa"/>
                    <w:bottom w:w="0" w:type="dxa"/>
                    <w:right w:w="108" w:type="dxa"/>
                  </w:tcMar>
                </w:tcPr>
                <w:p w14:paraId="3608EE9D"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Control</w:t>
                  </w:r>
                </w:p>
              </w:tc>
              <w:tc>
                <w:tcPr>
                  <w:tcW w:w="1880" w:type="dxa"/>
                  <w:shd w:val="clear" w:color="auto" w:fill="auto"/>
                  <w:tcMar>
                    <w:top w:w="15" w:type="dxa"/>
                    <w:left w:w="108" w:type="dxa"/>
                    <w:bottom w:w="0" w:type="dxa"/>
                    <w:right w:w="108" w:type="dxa"/>
                  </w:tcMar>
                </w:tcPr>
                <w:p w14:paraId="0FB6CB0A"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4960" w:type="dxa"/>
                  <w:shd w:val="clear" w:color="auto" w:fill="auto"/>
                  <w:tcMar>
                    <w:top w:w="15" w:type="dxa"/>
                    <w:left w:w="108" w:type="dxa"/>
                    <w:bottom w:w="0" w:type="dxa"/>
                    <w:right w:w="108" w:type="dxa"/>
                  </w:tcMar>
                </w:tcPr>
                <w:p w14:paraId="7297F57A"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No death</w:t>
                  </w:r>
                </w:p>
              </w:tc>
            </w:tr>
            <w:tr w:rsidR="008E10DE" w14:paraId="13330B4D" w14:textId="77777777">
              <w:trPr>
                <w:trHeight w:val="327"/>
              </w:trPr>
              <w:tc>
                <w:tcPr>
                  <w:tcW w:w="1530" w:type="dxa"/>
                  <w:vMerge w:val="restart"/>
                  <w:shd w:val="clear" w:color="auto" w:fill="auto"/>
                  <w:tcMar>
                    <w:top w:w="15" w:type="dxa"/>
                    <w:left w:w="108" w:type="dxa"/>
                    <w:bottom w:w="0" w:type="dxa"/>
                    <w:right w:w="108" w:type="dxa"/>
                  </w:tcMar>
                </w:tcPr>
                <w:p w14:paraId="0E24EE04" w14:textId="77777777" w:rsidR="008E10DE" w:rsidRDefault="00000000">
                  <w:pPr>
                    <w:jc w:val="center"/>
                    <w:rPr>
                      <w:rFonts w:ascii="Times New Roman" w:hAnsi="Times New Roman" w:cs="Times New Roman"/>
                      <w:sz w:val="24"/>
                      <w:szCs w:val="24"/>
                    </w:rPr>
                  </w:pPr>
                  <w:r>
                    <w:rPr>
                      <w:rFonts w:ascii="Times New Roman" w:hAnsi="Times New Roman" w:cs="Times New Roman"/>
                      <w:sz w:val="24"/>
                      <w:szCs w:val="24"/>
                    </w:rPr>
                    <w:t>Experimental</w:t>
                  </w:r>
                </w:p>
              </w:tc>
              <w:tc>
                <w:tcPr>
                  <w:tcW w:w="1880" w:type="dxa"/>
                  <w:shd w:val="clear" w:color="auto" w:fill="auto"/>
                  <w:tcMar>
                    <w:top w:w="15" w:type="dxa"/>
                    <w:left w:w="108" w:type="dxa"/>
                    <w:bottom w:w="0" w:type="dxa"/>
                    <w:right w:w="108" w:type="dxa"/>
                  </w:tcMar>
                </w:tcPr>
                <w:p w14:paraId="39CBCF25"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4960" w:type="dxa"/>
                  <w:vMerge w:val="restart"/>
                  <w:shd w:val="clear" w:color="auto" w:fill="auto"/>
                  <w:tcMar>
                    <w:top w:w="15" w:type="dxa"/>
                    <w:left w:w="108" w:type="dxa"/>
                    <w:bottom w:w="0" w:type="dxa"/>
                    <w:right w:w="108" w:type="dxa"/>
                  </w:tcMar>
                </w:tcPr>
                <w:p w14:paraId="5AD6810D"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NOEL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reported death only after 56 hrs.</w:t>
                  </w:r>
                </w:p>
                <w:p w14:paraId="7221BBEB"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(NOEL-No observed effect level)</w:t>
                  </w:r>
                </w:p>
              </w:tc>
            </w:tr>
            <w:tr w:rsidR="008E10DE" w14:paraId="5C160799" w14:textId="77777777">
              <w:trPr>
                <w:trHeight w:val="327"/>
              </w:trPr>
              <w:tc>
                <w:tcPr>
                  <w:tcW w:w="1530" w:type="dxa"/>
                  <w:vMerge/>
                  <w:vAlign w:val="center"/>
                </w:tcPr>
                <w:p w14:paraId="2845563A" w14:textId="77777777" w:rsidR="008E10DE" w:rsidRDefault="008E10DE">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0709ACF7"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10</w:t>
                  </w:r>
                </w:p>
              </w:tc>
              <w:tc>
                <w:tcPr>
                  <w:tcW w:w="4960" w:type="dxa"/>
                  <w:vMerge/>
                  <w:vAlign w:val="center"/>
                </w:tcPr>
                <w:p w14:paraId="193D348F" w14:textId="77777777" w:rsidR="008E10DE" w:rsidRDefault="008E10DE">
                  <w:pPr>
                    <w:spacing w:line="20" w:lineRule="atLeast"/>
                    <w:jc w:val="center"/>
                    <w:rPr>
                      <w:rFonts w:ascii="Times New Roman" w:hAnsi="Times New Roman" w:cs="Times New Roman"/>
                      <w:sz w:val="24"/>
                      <w:szCs w:val="24"/>
                    </w:rPr>
                  </w:pPr>
                </w:p>
              </w:tc>
            </w:tr>
            <w:tr w:rsidR="008E10DE" w14:paraId="06D5FD64" w14:textId="77777777">
              <w:trPr>
                <w:trHeight w:val="327"/>
              </w:trPr>
              <w:tc>
                <w:tcPr>
                  <w:tcW w:w="1530" w:type="dxa"/>
                  <w:vMerge/>
                  <w:vAlign w:val="center"/>
                </w:tcPr>
                <w:p w14:paraId="542E5485" w14:textId="77777777" w:rsidR="008E10DE" w:rsidRDefault="008E10DE">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106D474A"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4960" w:type="dxa"/>
                  <w:vMerge/>
                  <w:vAlign w:val="center"/>
                </w:tcPr>
                <w:p w14:paraId="4B54949C" w14:textId="77777777" w:rsidR="008E10DE" w:rsidRDefault="008E10DE">
                  <w:pPr>
                    <w:spacing w:line="20" w:lineRule="atLeast"/>
                    <w:jc w:val="center"/>
                    <w:rPr>
                      <w:rFonts w:ascii="Times New Roman" w:hAnsi="Times New Roman" w:cs="Times New Roman"/>
                      <w:sz w:val="24"/>
                      <w:szCs w:val="24"/>
                    </w:rPr>
                  </w:pPr>
                </w:p>
              </w:tc>
            </w:tr>
            <w:tr w:rsidR="008E10DE" w14:paraId="44E32E1D" w14:textId="77777777">
              <w:trPr>
                <w:trHeight w:val="859"/>
              </w:trPr>
              <w:tc>
                <w:tcPr>
                  <w:tcW w:w="1530" w:type="dxa"/>
                  <w:vMerge/>
                  <w:vAlign w:val="center"/>
                </w:tcPr>
                <w:p w14:paraId="5A669B33" w14:textId="77777777" w:rsidR="008E10DE" w:rsidRDefault="008E10DE">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2D5CE45F"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1000</w:t>
                  </w:r>
                </w:p>
              </w:tc>
              <w:tc>
                <w:tcPr>
                  <w:tcW w:w="4960" w:type="dxa"/>
                  <w:shd w:val="clear" w:color="auto" w:fill="auto"/>
                  <w:tcMar>
                    <w:top w:w="15" w:type="dxa"/>
                    <w:left w:w="108" w:type="dxa"/>
                    <w:bottom w:w="0" w:type="dxa"/>
                    <w:right w:w="108" w:type="dxa"/>
                  </w:tcMar>
                </w:tcPr>
                <w:p w14:paraId="5FB1D91E" w14:textId="77777777" w:rsidR="008E10DE" w:rsidRDefault="00000000">
                  <w:pPr>
                    <w:spacing w:line="20" w:lineRule="atLeast"/>
                    <w:jc w:val="center"/>
                    <w:rPr>
                      <w:rFonts w:ascii="Times New Roman" w:hAnsi="Times New Roman" w:cs="Times New Roman"/>
                      <w:sz w:val="24"/>
                      <w:szCs w:val="24"/>
                    </w:rPr>
                  </w:pPr>
                  <w:r>
                    <w:rPr>
                      <w:rFonts w:ascii="Times New Roman" w:hAnsi="Times New Roman" w:cs="Times New Roman"/>
                      <w:sz w:val="24"/>
                      <w:szCs w:val="24"/>
                    </w:rPr>
                    <w:t>100% of the fishes subjected to acute poisoning died at the end of 1hr after exposure</w:t>
                  </w:r>
                </w:p>
              </w:tc>
            </w:tr>
          </w:tbl>
          <w:p w14:paraId="5A6CDCAF" w14:textId="77777777" w:rsidR="008E10DE" w:rsidRDefault="008E10DE">
            <w:pPr>
              <w:spacing w:line="20" w:lineRule="atLeast"/>
              <w:jc w:val="center"/>
              <w:rPr>
                <w:rFonts w:ascii="Times New Roman" w:hAnsi="Times New Roman" w:cs="Times New Roman"/>
                <w:b/>
                <w:sz w:val="24"/>
                <w:szCs w:val="24"/>
              </w:rPr>
            </w:pPr>
          </w:p>
        </w:tc>
      </w:tr>
    </w:tbl>
    <w:p w14:paraId="499D594E" w14:textId="77777777" w:rsidR="008E10DE" w:rsidRDefault="008E10DE">
      <w:pPr>
        <w:spacing w:line="20" w:lineRule="atLeast"/>
        <w:jc w:val="both"/>
        <w:rPr>
          <w:rFonts w:ascii="Times New Roman" w:hAnsi="Times New Roman" w:cs="Times New Roman"/>
          <w:sz w:val="24"/>
          <w:szCs w:val="24"/>
        </w:rPr>
      </w:pPr>
    </w:p>
    <w:p w14:paraId="3477E5D8" w14:textId="77777777" w:rsidR="008E10DE" w:rsidRDefault="00000000">
      <w:pPr>
        <w:spacing w:line="20" w:lineRule="atLeast"/>
        <w:jc w:val="both"/>
        <w:rPr>
          <w:rFonts w:ascii="Times New Roman" w:eastAsia="Georgia" w:hAnsi="Times New Roman" w:cs="Times New Roman"/>
          <w:sz w:val="24"/>
          <w:szCs w:val="24"/>
        </w:rPr>
      </w:pPr>
      <w:r>
        <w:rPr>
          <w:rFonts w:ascii="Times New Roman" w:eastAsia="Georgia" w:hAnsi="Times New Roman" w:cs="Times New Roman"/>
          <w:sz w:val="24"/>
          <w:szCs w:val="24"/>
        </w:rPr>
        <w:t xml:space="preserve">In our current toxicity study, fish exposed to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exhibited varying degrees of clinical signs of toxicity. Visual observation indicated that fish exposed to 10 and 100 ppm concentrations of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exhibited several </w:t>
      </w:r>
      <w:proofErr w:type="spellStart"/>
      <w:r>
        <w:rPr>
          <w:rFonts w:ascii="Times New Roman" w:eastAsia="Georgia" w:hAnsi="Times New Roman" w:cs="Times New Roman"/>
          <w:sz w:val="24"/>
          <w:szCs w:val="24"/>
        </w:rPr>
        <w:t>behavioural</w:t>
      </w:r>
      <w:proofErr w:type="spellEnd"/>
      <w:r>
        <w:rPr>
          <w:rFonts w:ascii="Times New Roman" w:eastAsia="Georgia" w:hAnsi="Times New Roman" w:cs="Times New Roman"/>
          <w:sz w:val="24"/>
          <w:szCs w:val="24"/>
        </w:rPr>
        <w:t xml:space="preserve"> changes, including rapid opercular movement, loss of equilibrium, frequent surfacing, increased mucus secretion, irregular movement, and erratic swimming, among others (Fig. 1a). The </w:t>
      </w:r>
      <w:proofErr w:type="spellStart"/>
      <w:r>
        <w:rPr>
          <w:rFonts w:ascii="Times New Roman" w:eastAsia="Georgia" w:hAnsi="Times New Roman" w:cs="Times New Roman"/>
          <w:sz w:val="24"/>
          <w:szCs w:val="24"/>
        </w:rPr>
        <w:t>behavioural</w:t>
      </w:r>
      <w:proofErr w:type="spellEnd"/>
      <w:r>
        <w:rPr>
          <w:rFonts w:ascii="Times New Roman" w:eastAsia="Georgia" w:hAnsi="Times New Roman" w:cs="Times New Roman"/>
          <w:sz w:val="24"/>
          <w:szCs w:val="24"/>
        </w:rPr>
        <w:t xml:space="preserve"> abnormalities observed in </w:t>
      </w:r>
      <w:r>
        <w:rPr>
          <w:rFonts w:ascii="Times New Roman" w:eastAsia="Georgia" w:hAnsi="Times New Roman" w:cs="Times New Roman"/>
          <w:i/>
          <w:iCs/>
          <w:sz w:val="24"/>
          <w:szCs w:val="24"/>
        </w:rPr>
        <w:t xml:space="preserve">L. </w:t>
      </w:r>
      <w:proofErr w:type="spellStart"/>
      <w:r>
        <w:rPr>
          <w:rFonts w:ascii="Times New Roman" w:eastAsia="Georgia" w:hAnsi="Times New Roman" w:cs="Times New Roman"/>
          <w:i/>
          <w:iCs/>
          <w:sz w:val="24"/>
          <w:szCs w:val="24"/>
        </w:rPr>
        <w:t>rohita</w:t>
      </w:r>
      <w:proofErr w:type="spellEnd"/>
      <w:r>
        <w:rPr>
          <w:rFonts w:ascii="Times New Roman" w:eastAsia="Georgia" w:hAnsi="Times New Roman" w:cs="Times New Roman"/>
          <w:sz w:val="24"/>
          <w:szCs w:val="24"/>
        </w:rPr>
        <w:t xml:space="preserve"> exposed to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became more pronounced with increasing concentrations, especially at the highest tested dose of 1000 ppm. At this concentration, the fish showed a loss of body equilibrium and visible </w:t>
      </w:r>
      <w:proofErr w:type="spellStart"/>
      <w:r>
        <w:rPr>
          <w:rFonts w:ascii="Times New Roman" w:eastAsia="Georgia" w:hAnsi="Times New Roman" w:cs="Times New Roman"/>
          <w:sz w:val="24"/>
          <w:szCs w:val="24"/>
        </w:rPr>
        <w:t>haemorrhaging</w:t>
      </w:r>
      <w:proofErr w:type="spellEnd"/>
      <w:r>
        <w:rPr>
          <w:rFonts w:ascii="Times New Roman" w:eastAsia="Georgia" w:hAnsi="Times New Roman" w:cs="Times New Roman"/>
          <w:sz w:val="24"/>
          <w:szCs w:val="24"/>
        </w:rPr>
        <w:t xml:space="preserve">, marked by a red </w:t>
      </w:r>
      <w:proofErr w:type="spellStart"/>
      <w:r>
        <w:rPr>
          <w:rFonts w:ascii="Times New Roman" w:eastAsia="Georgia" w:hAnsi="Times New Roman" w:cs="Times New Roman"/>
          <w:sz w:val="24"/>
          <w:szCs w:val="24"/>
        </w:rPr>
        <w:t>discolouration</w:t>
      </w:r>
      <w:proofErr w:type="spellEnd"/>
      <w:r>
        <w:rPr>
          <w:rFonts w:ascii="Times New Roman" w:eastAsia="Georgia" w:hAnsi="Times New Roman" w:cs="Times New Roman"/>
          <w:sz w:val="24"/>
          <w:szCs w:val="24"/>
        </w:rPr>
        <w:t xml:space="preserve">. The symptoms of acute toxicity escalated swiftly, resulting in complete mortality within only one hour of exposure (Fig. 1b). The quickly lethality highlights the significant toxic effects of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at high doses and indicates a crucial limit beyond which survival is no longer appropriate.</w:t>
      </w:r>
    </w:p>
    <w:p w14:paraId="76B96782" w14:textId="77777777" w:rsidR="008E10DE" w:rsidRDefault="008E10DE">
      <w:pPr>
        <w:spacing w:line="20" w:lineRule="atLeast"/>
        <w:jc w:val="both"/>
        <w:rPr>
          <w:rFonts w:ascii="Times New Roman" w:eastAsia="Georgia" w:hAnsi="Times New Roman" w:cs="Times New Roman"/>
          <w:sz w:val="24"/>
          <w:szCs w:val="24"/>
        </w:rPr>
      </w:pPr>
    </w:p>
    <w:p w14:paraId="41C4D07A" w14:textId="77777777" w:rsidR="008E10DE" w:rsidRDefault="00000000">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Aquatic organisms that were exposed to varying concentrations of </w:t>
      </w:r>
      <w:proofErr w:type="spellStart"/>
      <w:r>
        <w:rPr>
          <w:rFonts w:ascii="Times New Roman" w:eastAsia="Georgia" w:hAnsi="Times New Roman" w:cs="Times New Roman"/>
          <w:sz w:val="24"/>
          <w:szCs w:val="24"/>
        </w:rPr>
        <w:t>monocrotophos</w:t>
      </w:r>
      <w:proofErr w:type="spellEnd"/>
      <w:r>
        <w:rPr>
          <w:rFonts w:ascii="Times New Roman" w:hAnsi="Times New Roman" w:cs="Times New Roman"/>
          <w:sz w:val="24"/>
          <w:szCs w:val="24"/>
        </w:rPr>
        <w:t xml:space="preserve"> exhibited significant alterations in survival, growth, morphology, and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(Rajan et al., 2024). Furthermore, rats subjected to </w:t>
      </w:r>
      <w:proofErr w:type="spellStart"/>
      <w:r>
        <w:rPr>
          <w:rFonts w:ascii="Times New Roman" w:eastAsia="Georgia" w:hAnsi="Times New Roman" w:cs="Times New Roman"/>
          <w:sz w:val="24"/>
          <w:szCs w:val="24"/>
        </w:rPr>
        <w:t>monocrotophos</w:t>
      </w:r>
      <w:proofErr w:type="spellEnd"/>
      <w:r>
        <w:rPr>
          <w:rFonts w:ascii="Times New Roman" w:hAnsi="Times New Roman" w:cs="Times New Roman"/>
          <w:sz w:val="24"/>
          <w:szCs w:val="24"/>
        </w:rPr>
        <w:t xml:space="preserve"> exhibited modifications in reproductive parameters, including sexual maturity, fertility, prolonged egg development, and an extended duration for the discharge of the initial brood (Singh et al., 2021). The results indicate a significant concentration of </w:t>
      </w:r>
      <w:proofErr w:type="spellStart"/>
      <w:r>
        <w:rPr>
          <w:rFonts w:ascii="Times New Roman" w:eastAsia="Georgia" w:hAnsi="Times New Roman" w:cs="Times New Roman"/>
          <w:sz w:val="24"/>
          <w:szCs w:val="24"/>
        </w:rPr>
        <w:t>monocrotophos</w:t>
      </w:r>
      <w:proofErr w:type="spellEnd"/>
      <w:r>
        <w:rPr>
          <w:rFonts w:ascii="Times New Roman" w:hAnsi="Times New Roman" w:cs="Times New Roman"/>
          <w:sz w:val="24"/>
          <w:szCs w:val="24"/>
        </w:rPr>
        <w:t xml:space="preserve"> in aquatic systems, potentially resulting in detrimental impacts on marine fauna. Exposure to </w:t>
      </w:r>
      <w:proofErr w:type="spellStart"/>
      <w:r>
        <w:rPr>
          <w:rFonts w:ascii="Times New Roman" w:eastAsia="Georgia" w:hAnsi="Times New Roman" w:cs="Times New Roman"/>
          <w:sz w:val="24"/>
          <w:szCs w:val="24"/>
        </w:rPr>
        <w:t>monocrotophos</w:t>
      </w:r>
      <w:proofErr w:type="spellEnd"/>
      <w:r>
        <w:rPr>
          <w:rFonts w:ascii="Times New Roman" w:hAnsi="Times New Roman" w:cs="Times New Roman"/>
          <w:sz w:val="24"/>
          <w:szCs w:val="24"/>
        </w:rPr>
        <w:t xml:space="preserve"> induces numerous metabolic alterations in animals. Water pollution significantly alters the physiological and metabolic processes of fish (Abdel-Tawwab et al., 2019). </w:t>
      </w:r>
      <w:proofErr w:type="spellStart"/>
      <w:r>
        <w:rPr>
          <w:rFonts w:ascii="Times New Roman" w:hAnsi="Times New Roman" w:cs="Times New Roman"/>
          <w:sz w:val="24"/>
          <w:szCs w:val="24"/>
        </w:rPr>
        <w:t>Pattnaik</w:t>
      </w:r>
      <w:proofErr w:type="spellEnd"/>
      <w:r>
        <w:rPr>
          <w:rFonts w:ascii="Times New Roman" w:hAnsi="Times New Roman" w:cs="Times New Roman"/>
          <w:sz w:val="24"/>
          <w:szCs w:val="24"/>
        </w:rPr>
        <w:t xml:space="preserve"> et al. (2022) recently observed that fishes treated with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had irregular, erratic, and darting swimming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xml:space="preserve"> due to loss of balance and excessive mucus production.</w:t>
      </w:r>
    </w:p>
    <w:p w14:paraId="367EA1AD" w14:textId="77777777" w:rsidR="008E10DE" w:rsidRDefault="008E10DE">
      <w:pPr>
        <w:spacing w:line="20" w:lineRule="atLeast"/>
        <w:jc w:val="both"/>
        <w:rPr>
          <w:rFonts w:ascii="Times New Roman" w:hAnsi="Times New Roman" w:cs="Times New Roman"/>
          <w:sz w:val="24"/>
          <w:szCs w:val="24"/>
        </w:rPr>
      </w:pPr>
    </w:p>
    <w:p w14:paraId="330D3D05" w14:textId="77777777" w:rsidR="008E10DE" w:rsidRDefault="00000000">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114300" distR="114300" wp14:anchorId="1961DFE4" wp14:editId="5AD6E5CC">
            <wp:extent cx="5273040" cy="3119755"/>
            <wp:effectExtent l="0" t="0" r="3810" b="4445"/>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1"/>
                    <pic:cNvPicPr>
                      <a:picLocks noChangeAspect="1"/>
                    </pic:cNvPicPr>
                  </pic:nvPicPr>
                  <pic:blipFill>
                    <a:blip r:embed="rId7"/>
                    <a:stretch>
                      <a:fillRect/>
                    </a:stretch>
                  </pic:blipFill>
                  <pic:spPr>
                    <a:xfrm>
                      <a:off x="0" y="0"/>
                      <a:ext cx="5273040" cy="3119755"/>
                    </a:xfrm>
                    <a:prstGeom prst="rect">
                      <a:avLst/>
                    </a:prstGeom>
                  </pic:spPr>
                </pic:pic>
              </a:graphicData>
            </a:graphic>
          </wp:inline>
        </w:drawing>
      </w:r>
    </w:p>
    <w:p w14:paraId="1DEAB41F" w14:textId="77777777" w:rsidR="008E10DE" w:rsidRDefault="008E10DE">
      <w:pPr>
        <w:spacing w:line="20" w:lineRule="atLeast"/>
        <w:jc w:val="center"/>
        <w:rPr>
          <w:rFonts w:ascii="Times New Roman" w:hAnsi="Times New Roman" w:cs="Times New Roman"/>
          <w:b/>
          <w:bCs/>
          <w:sz w:val="24"/>
          <w:szCs w:val="24"/>
        </w:rPr>
      </w:pPr>
    </w:p>
    <w:p w14:paraId="500CD1CB" w14:textId="77777777" w:rsidR="008E10DE" w:rsidRDefault="00000000">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Fig. 1. </w:t>
      </w:r>
      <w:proofErr w:type="spellStart"/>
      <w:r>
        <w:rPr>
          <w:rFonts w:ascii="Times New Roman" w:hAnsi="Times New Roman" w:cs="Times New Roman"/>
          <w:b/>
          <w:bCs/>
          <w:sz w:val="24"/>
          <w:szCs w:val="24"/>
        </w:rPr>
        <w:t>Behavioural</w:t>
      </w:r>
      <w:proofErr w:type="spellEnd"/>
      <w:r>
        <w:rPr>
          <w:rFonts w:ascii="Times New Roman" w:hAnsi="Times New Roman" w:cs="Times New Roman"/>
          <w:b/>
          <w:bCs/>
          <w:sz w:val="24"/>
          <w:szCs w:val="24"/>
        </w:rPr>
        <w:t xml:space="preserve"> changes in </w:t>
      </w:r>
      <w:r>
        <w:rPr>
          <w:rFonts w:ascii="Times New Roman" w:hAnsi="Times New Roman" w:cs="Times New Roman"/>
          <w:b/>
          <w:bCs/>
          <w:i/>
          <w:iCs/>
          <w:sz w:val="24"/>
          <w:szCs w:val="24"/>
        </w:rPr>
        <w:t>L. </w:t>
      </w:r>
      <w:proofErr w:type="spellStart"/>
      <w:r>
        <w:rPr>
          <w:rFonts w:ascii="Times New Roman" w:hAnsi="Times New Roman" w:cs="Times New Roman"/>
          <w:b/>
          <w:bCs/>
          <w:i/>
          <w:iCs/>
          <w:sz w:val="24"/>
          <w:szCs w:val="24"/>
        </w:rPr>
        <w:t>rohita</w:t>
      </w:r>
      <w:proofErr w:type="spellEnd"/>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exposed to concentration of </w:t>
      </w:r>
      <w:proofErr w:type="spellStart"/>
      <w:r>
        <w:rPr>
          <w:rFonts w:ascii="Times New Roman" w:hAnsi="Times New Roman" w:cs="Times New Roman"/>
          <w:b/>
          <w:bCs/>
          <w:sz w:val="24"/>
          <w:szCs w:val="24"/>
        </w:rPr>
        <w:t>Monocrotophos</w:t>
      </w:r>
      <w:proofErr w:type="spellEnd"/>
      <w:r>
        <w:rPr>
          <w:rFonts w:ascii="Times New Roman" w:hAnsi="Times New Roman" w:cs="Times New Roman"/>
          <w:b/>
          <w:bCs/>
          <w:sz w:val="24"/>
          <w:szCs w:val="24"/>
        </w:rPr>
        <w:t xml:space="preserve"> for a)10, 100 ppm, the fishes showing a grooming behavior, b)1000 </w:t>
      </w:r>
      <w:proofErr w:type="gramStart"/>
      <w:r>
        <w:rPr>
          <w:rFonts w:ascii="Times New Roman" w:hAnsi="Times New Roman" w:cs="Times New Roman"/>
          <w:b/>
          <w:bCs/>
          <w:sz w:val="24"/>
          <w:szCs w:val="24"/>
        </w:rPr>
        <w:t>ppm,  the</w:t>
      </w:r>
      <w:proofErr w:type="gramEnd"/>
      <w:r>
        <w:rPr>
          <w:rFonts w:ascii="Times New Roman" w:hAnsi="Times New Roman" w:cs="Times New Roman"/>
          <w:b/>
          <w:bCs/>
          <w:sz w:val="24"/>
          <w:szCs w:val="24"/>
        </w:rPr>
        <w:t xml:space="preserve"> fishes dead</w:t>
      </w:r>
    </w:p>
    <w:p w14:paraId="16D92BFF" w14:textId="77777777" w:rsidR="008E10DE" w:rsidRDefault="008E10DE">
      <w:pPr>
        <w:spacing w:line="20" w:lineRule="atLeast"/>
        <w:jc w:val="center"/>
        <w:rPr>
          <w:rFonts w:ascii="Times New Roman" w:hAnsi="Times New Roman" w:cs="Times New Roman"/>
          <w:b/>
          <w:bCs/>
          <w:sz w:val="24"/>
          <w:szCs w:val="24"/>
        </w:rPr>
      </w:pPr>
    </w:p>
    <w:p w14:paraId="2479818C" w14:textId="77777777" w:rsidR="008E10DE" w:rsidRDefault="00000000">
      <w:pPr>
        <w:pStyle w:val="Heading3"/>
        <w:numPr>
          <w:ilvl w:val="1"/>
          <w:numId w:val="1"/>
        </w:numPr>
        <w:shd w:val="clear" w:color="auto" w:fill="FFFFFF"/>
        <w:spacing w:beforeAutospacing="0" w:afterAutospacing="0" w:line="20" w:lineRule="atLeast"/>
        <w:rPr>
          <w:rFonts w:ascii="Times New Roman" w:hAnsi="Times New Roman" w:hint="default"/>
          <w:sz w:val="24"/>
          <w:szCs w:val="24"/>
        </w:rPr>
      </w:pPr>
      <w:r>
        <w:rPr>
          <w:rFonts w:ascii="Times New Roman" w:eastAsia="Helvetica" w:hAnsi="Times New Roman" w:hint="default"/>
          <w:sz w:val="24"/>
          <w:szCs w:val="24"/>
          <w:shd w:val="clear" w:color="auto" w:fill="FFFFFF"/>
        </w:rPr>
        <w:t xml:space="preserve">Acute toxicity of </w:t>
      </w:r>
      <w:proofErr w:type="spellStart"/>
      <w:r>
        <w:rPr>
          <w:rFonts w:ascii="Times New Roman" w:hAnsi="Times New Roman" w:hint="default"/>
          <w:sz w:val="24"/>
          <w:szCs w:val="24"/>
        </w:rPr>
        <w:t>Monocrotophos</w:t>
      </w:r>
      <w:proofErr w:type="spellEnd"/>
    </w:p>
    <w:p w14:paraId="646B9C44" w14:textId="77777777" w:rsidR="008E10DE" w:rsidRDefault="008E10DE"/>
    <w:p w14:paraId="0F56D6B1" w14:textId="77777777" w:rsidR="008E10DE" w:rsidRDefault="00000000">
      <w:pPr>
        <w:spacing w:line="20" w:lineRule="atLeast"/>
        <w:jc w:val="both"/>
        <w:rPr>
          <w:rFonts w:ascii="Times New Roman" w:hAnsi="Times New Roman" w:cs="Times New Roman"/>
          <w:sz w:val="24"/>
          <w:szCs w:val="24"/>
        </w:rPr>
      </w:pPr>
      <w:r>
        <w:rPr>
          <w:rFonts w:ascii="Times New Roman" w:hAnsi="Times New Roman" w:cs="Times New Roman"/>
          <w:sz w:val="24"/>
          <w:szCs w:val="24"/>
        </w:rPr>
        <w:t>To find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the experimental fish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was exposed to various dosage levels ranging from 1 to 120 ppm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Following the treatment period of 96 hours, the mortality rates in each group were thoroughly observed and documented. The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exhibited a dose-dependent effect, with mortality rates increasing alongside higher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The exposure of fish for 96 hours at a concentration of 10 ppm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resulted in 16.6% mortality, whereas at a concentration of 60 ppm, approximately 64% mortality was observed. The graphical analysis of percent mortality in relation to different concentrations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indicates that the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for achieving 50% mortality of the fishes at 96 hours was 48.5 ppm for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(Fig. 2).</w:t>
      </w:r>
    </w:p>
    <w:p w14:paraId="1176ECB1" w14:textId="77777777" w:rsidR="008E10DE" w:rsidRDefault="008E10DE">
      <w:pPr>
        <w:spacing w:line="20" w:lineRule="atLeast"/>
        <w:jc w:val="both"/>
        <w:rPr>
          <w:rFonts w:ascii="Times New Roman" w:hAnsi="Times New Roman" w:cs="Times New Roman"/>
          <w:sz w:val="24"/>
          <w:szCs w:val="24"/>
        </w:rPr>
      </w:pPr>
    </w:p>
    <w:p w14:paraId="1A62F21C" w14:textId="77777777" w:rsidR="008E10DE" w:rsidRDefault="00000000">
      <w:pPr>
        <w:spacing w:line="20" w:lineRule="atLeast"/>
        <w:jc w:val="both"/>
        <w:rPr>
          <w:rFonts w:ascii="Times New Roman" w:hAnsi="Times New Roman" w:cs="Times New Roman"/>
          <w:sz w:val="24"/>
          <w:szCs w:val="24"/>
        </w:rPr>
      </w:pPr>
      <w:proofErr w:type="spellStart"/>
      <w:r>
        <w:rPr>
          <w:rFonts w:ascii="Times New Roman" w:hAnsi="Times New Roman" w:cs="Times New Roman"/>
          <w:sz w:val="24"/>
          <w:szCs w:val="24"/>
        </w:rPr>
        <w:t>Binukumari</w:t>
      </w:r>
      <w:proofErr w:type="spellEnd"/>
      <w:r>
        <w:rPr>
          <w:rFonts w:ascii="Times New Roman" w:hAnsi="Times New Roman" w:cs="Times New Roman"/>
          <w:sz w:val="24"/>
          <w:szCs w:val="24"/>
        </w:rPr>
        <w:t xml:space="preserve"> et al. (2016) determined the fatal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for the fish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over a 96-hour period to be 45.1 ppm. Fish were subjected to a sublethal concentration (1/10th of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4.51 ppm) for durations of 24, 48, 72, and 96 hours, as well as for 10, 20, and 30 days. </w:t>
      </w:r>
      <w:proofErr w:type="spellStart"/>
      <w:r>
        <w:rPr>
          <w:rFonts w:ascii="Times New Roman" w:hAnsi="Times New Roman" w:cs="Times New Roman"/>
          <w:sz w:val="24"/>
          <w:szCs w:val="24"/>
        </w:rPr>
        <w:t>Pattnaik</w:t>
      </w:r>
      <w:proofErr w:type="spellEnd"/>
      <w:r>
        <w:rPr>
          <w:rFonts w:ascii="Times New Roman" w:hAnsi="Times New Roman" w:cs="Times New Roman"/>
          <w:sz w:val="24"/>
          <w:szCs w:val="24"/>
        </w:rPr>
        <w:t xml:space="preserve"> et al. (2022) stated that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Heteropneustes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fossilis</w:t>
      </w:r>
      <w:proofErr w:type="spellEnd"/>
      <w:r>
        <w:rPr>
          <w:rFonts w:ascii="Times New Roman" w:hAnsi="Times New Roman" w:cs="Times New Roman"/>
          <w:sz w:val="24"/>
          <w:szCs w:val="24"/>
        </w:rPr>
        <w:t xml:space="preserve"> was found to be 24 ppm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lethal concentration (LC50) of pesticide for the freshwater bivalve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is 195 mg/L, 180 mg/L, and 160 mg/L after 48, 72, and 96 hours of exposure, respectively (Maurya et al., 2024). The detrimental effects of pesticides on fish and other aquatic organisms are influenced by various factors, including concentration, exposure duration, bioaccumulation factor, species, age, size, sex of the organism, water quality parameters, pesticide formulation type, and its </w:t>
      </w:r>
      <w:r>
        <w:rPr>
          <w:rFonts w:ascii="Times New Roman" w:hAnsi="Times New Roman" w:cs="Times New Roman"/>
          <w:sz w:val="24"/>
          <w:szCs w:val="24"/>
        </w:rPr>
        <w:lastRenderedPageBreak/>
        <w:t>absorption, accumulation, metabolism, excretion, and degradation (Kumar et al., 2022).</w:t>
      </w:r>
    </w:p>
    <w:p w14:paraId="60EECB4D" w14:textId="77777777" w:rsidR="008E10DE" w:rsidRDefault="008E10DE">
      <w:pPr>
        <w:spacing w:line="20" w:lineRule="atLeast"/>
        <w:jc w:val="both"/>
        <w:rPr>
          <w:rFonts w:ascii="Times New Roman" w:hAnsi="Times New Roman" w:cs="Times New Roman"/>
          <w:sz w:val="24"/>
          <w:szCs w:val="24"/>
        </w:rPr>
      </w:pPr>
    </w:p>
    <w:p w14:paraId="43FA2C7A" w14:textId="77777777" w:rsidR="008E10DE" w:rsidRDefault="00000000">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13AB741" wp14:editId="4494DA8E">
            <wp:extent cx="5400675" cy="3822700"/>
            <wp:effectExtent l="13970" t="13970" r="52705" b="3048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F89268C" w14:textId="77777777" w:rsidR="008E10DE" w:rsidRDefault="008E10DE">
      <w:pPr>
        <w:spacing w:line="20" w:lineRule="atLeast"/>
        <w:jc w:val="center"/>
        <w:rPr>
          <w:rFonts w:ascii="Times New Roman" w:hAnsi="Times New Roman" w:cs="Times New Roman"/>
          <w:b/>
          <w:sz w:val="24"/>
          <w:szCs w:val="24"/>
        </w:rPr>
      </w:pPr>
    </w:p>
    <w:p w14:paraId="7B98CE14"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Fig. 2.  LC</w:t>
      </w:r>
      <w:r>
        <w:rPr>
          <w:rFonts w:ascii="Times New Roman" w:hAnsi="Times New Roman" w:cs="Times New Roman"/>
          <w:b/>
          <w:sz w:val="24"/>
          <w:szCs w:val="24"/>
          <w:vertAlign w:val="subscript"/>
        </w:rPr>
        <w:t>50</w:t>
      </w:r>
      <w:r>
        <w:rPr>
          <w:rFonts w:ascii="Times New Roman" w:hAnsi="Times New Roman" w:cs="Times New Roman"/>
          <w:b/>
          <w:sz w:val="24"/>
          <w:szCs w:val="24"/>
        </w:rPr>
        <w:t xml:space="preserve"> concentration of </w:t>
      </w:r>
      <w:proofErr w:type="spellStart"/>
      <w:r>
        <w:rPr>
          <w:rFonts w:ascii="Times New Roman" w:hAnsi="Times New Roman" w:cs="Times New Roman"/>
          <w:b/>
          <w:sz w:val="24"/>
          <w:szCs w:val="24"/>
        </w:rPr>
        <w:t>Monocrotophos</w:t>
      </w:r>
      <w:proofErr w:type="spellEnd"/>
      <w:r>
        <w:rPr>
          <w:rFonts w:ascii="Times New Roman" w:hAnsi="Times New Roman" w:cs="Times New Roman"/>
          <w:b/>
          <w:sz w:val="24"/>
          <w:szCs w:val="24"/>
        </w:rPr>
        <w:t xml:space="preserve"> for </w:t>
      </w:r>
      <w:r>
        <w:rPr>
          <w:rFonts w:ascii="Times New Roman" w:hAnsi="Times New Roman" w:cs="Times New Roman"/>
          <w:b/>
          <w:i/>
          <w:iCs/>
          <w:sz w:val="24"/>
          <w:szCs w:val="24"/>
        </w:rPr>
        <w:t xml:space="preserve">L. </w:t>
      </w:r>
      <w:proofErr w:type="spellStart"/>
      <w:r>
        <w:rPr>
          <w:rFonts w:ascii="Times New Roman" w:hAnsi="Times New Roman" w:cs="Times New Roman"/>
          <w:b/>
          <w:i/>
          <w:iCs/>
          <w:sz w:val="24"/>
          <w:szCs w:val="24"/>
        </w:rPr>
        <w:t>rohita</w:t>
      </w:r>
      <w:proofErr w:type="spellEnd"/>
    </w:p>
    <w:p w14:paraId="3026D3F8" w14:textId="77777777" w:rsidR="008E10DE" w:rsidRDefault="008E10DE">
      <w:pPr>
        <w:spacing w:line="20" w:lineRule="atLeast"/>
        <w:jc w:val="both"/>
        <w:rPr>
          <w:rFonts w:ascii="Times New Roman" w:hAnsi="Times New Roman" w:cs="Times New Roman"/>
          <w:b/>
          <w:sz w:val="24"/>
          <w:szCs w:val="24"/>
        </w:rPr>
      </w:pPr>
    </w:p>
    <w:p w14:paraId="5C9EB0ED" w14:textId="77777777" w:rsidR="008E10DE" w:rsidRDefault="00000000">
      <w:pPr>
        <w:pStyle w:val="Default"/>
        <w:spacing w:line="20" w:lineRule="atLeast"/>
        <w:jc w:val="both"/>
        <w:rPr>
          <w:b/>
          <w:bCs/>
          <w:color w:val="auto"/>
        </w:rPr>
      </w:pPr>
      <w:r>
        <w:rPr>
          <w:b/>
          <w:bCs/>
          <w:color w:val="auto"/>
        </w:rPr>
        <w:t xml:space="preserve">3.3 Hematological changes </w:t>
      </w:r>
      <w:proofErr w:type="gramStart"/>
      <w:r>
        <w:rPr>
          <w:b/>
          <w:bCs/>
          <w:color w:val="auto"/>
        </w:rPr>
        <w:t>during  sublethal</w:t>
      </w:r>
      <w:proofErr w:type="gramEnd"/>
      <w:r>
        <w:rPr>
          <w:b/>
          <w:bCs/>
          <w:color w:val="auto"/>
        </w:rPr>
        <w:t xml:space="preserve"> exposure periods </w:t>
      </w:r>
    </w:p>
    <w:p w14:paraId="4EF65A26" w14:textId="77777777" w:rsidR="008E10DE" w:rsidRDefault="008E10DE">
      <w:pPr>
        <w:pStyle w:val="Default"/>
        <w:spacing w:line="20" w:lineRule="atLeast"/>
        <w:jc w:val="both"/>
        <w:rPr>
          <w:color w:val="auto"/>
          <w:lang w:eastAsia="zh-CN"/>
        </w:rPr>
      </w:pPr>
    </w:p>
    <w:p w14:paraId="5BED4CC7" w14:textId="77777777" w:rsidR="008E10DE" w:rsidRDefault="00000000">
      <w:pPr>
        <w:pStyle w:val="Default"/>
        <w:spacing w:line="20" w:lineRule="atLeast"/>
        <w:jc w:val="both"/>
        <w:rPr>
          <w:color w:val="auto"/>
          <w:lang w:eastAsia="zh-CN"/>
        </w:rPr>
      </w:pPr>
      <w:r>
        <w:rPr>
          <w:color w:val="auto"/>
          <w:lang w:eastAsia="zh-CN"/>
        </w:rPr>
        <w:t xml:space="preserve">The alterations in </w:t>
      </w:r>
      <w:proofErr w:type="spellStart"/>
      <w:r>
        <w:rPr>
          <w:color w:val="auto"/>
          <w:lang w:eastAsia="zh-CN"/>
        </w:rPr>
        <w:t>haematological</w:t>
      </w:r>
      <w:proofErr w:type="spellEnd"/>
      <w:r>
        <w:rPr>
          <w:color w:val="auto"/>
          <w:lang w:eastAsia="zh-CN"/>
        </w:rPr>
        <w:t xml:space="preserve"> parameters after the exposure of </w:t>
      </w:r>
      <w:r>
        <w:rPr>
          <w:i/>
          <w:iCs/>
          <w:color w:val="auto"/>
          <w:lang w:eastAsia="zh-CN"/>
        </w:rPr>
        <w:t xml:space="preserve">L. </w:t>
      </w:r>
      <w:proofErr w:type="spellStart"/>
      <w:r>
        <w:rPr>
          <w:i/>
          <w:iCs/>
          <w:color w:val="auto"/>
          <w:lang w:eastAsia="zh-CN"/>
        </w:rPr>
        <w:t>rohita</w:t>
      </w:r>
      <w:proofErr w:type="spellEnd"/>
      <w:r>
        <w:rPr>
          <w:color w:val="auto"/>
          <w:lang w:eastAsia="zh-CN"/>
        </w:rPr>
        <w:t xml:space="preserve"> to sublethal doses (10, 20, 40, 60 ppm) for a duration of 30 days were documented. The findings after the exposure of </w:t>
      </w:r>
      <w:r>
        <w:rPr>
          <w:i/>
          <w:iCs/>
          <w:color w:val="auto"/>
          <w:lang w:eastAsia="zh-CN"/>
        </w:rPr>
        <w:t xml:space="preserve">L. </w:t>
      </w:r>
      <w:proofErr w:type="spellStart"/>
      <w:r>
        <w:rPr>
          <w:i/>
          <w:iCs/>
          <w:color w:val="auto"/>
          <w:lang w:eastAsia="zh-CN"/>
        </w:rPr>
        <w:t>rohita</w:t>
      </w:r>
      <w:proofErr w:type="spellEnd"/>
      <w:r>
        <w:rPr>
          <w:i/>
          <w:iCs/>
          <w:color w:val="auto"/>
          <w:lang w:eastAsia="zh-CN"/>
        </w:rPr>
        <w:t xml:space="preserve"> </w:t>
      </w:r>
      <w:r>
        <w:rPr>
          <w:color w:val="auto"/>
          <w:lang w:eastAsia="zh-CN"/>
        </w:rPr>
        <w:t xml:space="preserve">to sublethal amounts </w:t>
      </w:r>
      <w:proofErr w:type="gramStart"/>
      <w:r>
        <w:rPr>
          <w:color w:val="auto"/>
          <w:lang w:eastAsia="zh-CN"/>
        </w:rPr>
        <w:t xml:space="preserve">of  </w:t>
      </w:r>
      <w:proofErr w:type="spellStart"/>
      <w:r>
        <w:rPr>
          <w:color w:val="auto"/>
          <w:lang w:eastAsia="zh-CN"/>
        </w:rPr>
        <w:t>Monocrotophos</w:t>
      </w:r>
      <w:proofErr w:type="spellEnd"/>
      <w:proofErr w:type="gramEnd"/>
      <w:r>
        <w:rPr>
          <w:color w:val="auto"/>
          <w:lang w:eastAsia="zh-CN"/>
        </w:rPr>
        <w:t xml:space="preserve"> are </w:t>
      </w:r>
      <w:proofErr w:type="spellStart"/>
      <w:r>
        <w:rPr>
          <w:color w:val="auto"/>
          <w:lang w:eastAsia="zh-CN"/>
        </w:rPr>
        <w:t>summarised</w:t>
      </w:r>
      <w:proofErr w:type="spellEnd"/>
      <w:r>
        <w:rPr>
          <w:color w:val="auto"/>
          <w:lang w:eastAsia="zh-CN"/>
        </w:rPr>
        <w:t xml:space="preserve"> as follows. The alterations in </w:t>
      </w:r>
      <w:proofErr w:type="spellStart"/>
      <w:r>
        <w:rPr>
          <w:color w:val="auto"/>
          <w:lang w:eastAsia="zh-CN"/>
        </w:rPr>
        <w:t>haematological</w:t>
      </w:r>
      <w:proofErr w:type="spellEnd"/>
      <w:r>
        <w:rPr>
          <w:color w:val="auto"/>
          <w:lang w:eastAsia="zh-CN"/>
        </w:rPr>
        <w:t xml:space="preserve"> parameters of the fish </w:t>
      </w:r>
      <w:r>
        <w:rPr>
          <w:i/>
          <w:iCs/>
          <w:color w:val="auto"/>
          <w:lang w:eastAsia="zh-CN"/>
        </w:rPr>
        <w:t xml:space="preserve">L. </w:t>
      </w:r>
      <w:proofErr w:type="spellStart"/>
      <w:r>
        <w:rPr>
          <w:i/>
          <w:iCs/>
          <w:color w:val="auto"/>
          <w:lang w:eastAsia="zh-CN"/>
        </w:rPr>
        <w:t>rohita</w:t>
      </w:r>
      <w:proofErr w:type="spellEnd"/>
      <w:r>
        <w:rPr>
          <w:color w:val="auto"/>
          <w:lang w:eastAsia="zh-CN"/>
        </w:rPr>
        <w:t xml:space="preserve"> subjected to a sublethal dosage of 60 ppm of </w:t>
      </w:r>
      <w:proofErr w:type="spellStart"/>
      <w:r>
        <w:rPr>
          <w:color w:val="auto"/>
          <w:lang w:eastAsia="zh-CN"/>
        </w:rPr>
        <w:t>Monocrotophos</w:t>
      </w:r>
      <w:proofErr w:type="spellEnd"/>
      <w:r>
        <w:rPr>
          <w:color w:val="auto"/>
          <w:lang w:eastAsia="zh-CN"/>
        </w:rPr>
        <w:t xml:space="preserve"> are shown in Figs. 3 to 5. During sublethal concentration of 60ppm treatment red blood corpuscle (RBC) and hemoglobin levels decreased whereas White blood corpuscle (WBC) increased in the </w:t>
      </w:r>
      <w:proofErr w:type="spellStart"/>
      <w:r>
        <w:rPr>
          <w:color w:val="auto"/>
          <w:lang w:eastAsia="zh-CN"/>
        </w:rPr>
        <w:t>Monocrotophos</w:t>
      </w:r>
      <w:proofErr w:type="spellEnd"/>
      <w:r>
        <w:rPr>
          <w:color w:val="auto"/>
          <w:lang w:eastAsia="zh-CN"/>
        </w:rPr>
        <w:t xml:space="preserve"> - treated fishes. The graphical depictions of the alterations in the sublethal study are shown in Figs. 3-5.</w:t>
      </w:r>
    </w:p>
    <w:p w14:paraId="39A75A7D" w14:textId="77777777" w:rsidR="008E10DE" w:rsidRDefault="008E10DE">
      <w:pPr>
        <w:pStyle w:val="Default"/>
        <w:spacing w:line="20" w:lineRule="atLeast"/>
        <w:jc w:val="both"/>
        <w:rPr>
          <w:b/>
          <w:bCs/>
          <w:color w:val="auto"/>
          <w:lang w:eastAsia="zh-CN"/>
        </w:rPr>
      </w:pPr>
    </w:p>
    <w:p w14:paraId="64475256" w14:textId="77777777" w:rsidR="008E10DE" w:rsidRDefault="00000000">
      <w:pPr>
        <w:pStyle w:val="Default"/>
        <w:jc w:val="center"/>
        <w:rPr>
          <w:b/>
          <w:bCs/>
          <w:color w:val="auto"/>
        </w:rPr>
      </w:pPr>
      <w:r>
        <w:rPr>
          <w:b/>
          <w:bCs/>
          <w:noProof/>
          <w:color w:val="auto"/>
        </w:rPr>
        <w:lastRenderedPageBreak/>
        <w:drawing>
          <wp:inline distT="0" distB="0" distL="114300" distR="114300" wp14:anchorId="1D915E4B" wp14:editId="6CDB26FB">
            <wp:extent cx="4995545" cy="3262630"/>
            <wp:effectExtent l="0" t="0" r="14605" b="13970"/>
            <wp:docPr id="2" name="Picture 2" descr="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BC"/>
                    <pic:cNvPicPr>
                      <a:picLocks noChangeAspect="1"/>
                    </pic:cNvPicPr>
                  </pic:nvPicPr>
                  <pic:blipFill>
                    <a:blip r:embed="rId9"/>
                    <a:stretch>
                      <a:fillRect/>
                    </a:stretch>
                  </pic:blipFill>
                  <pic:spPr>
                    <a:xfrm>
                      <a:off x="0" y="0"/>
                      <a:ext cx="4995545" cy="3262630"/>
                    </a:xfrm>
                    <a:prstGeom prst="rect">
                      <a:avLst/>
                    </a:prstGeom>
                  </pic:spPr>
                </pic:pic>
              </a:graphicData>
            </a:graphic>
          </wp:inline>
        </w:drawing>
      </w:r>
    </w:p>
    <w:p w14:paraId="1F2EA0C9" w14:textId="77777777" w:rsidR="008E10DE" w:rsidRDefault="008E10DE">
      <w:pPr>
        <w:pStyle w:val="Default"/>
        <w:spacing w:line="20" w:lineRule="atLeast"/>
        <w:ind w:firstLine="720"/>
        <w:jc w:val="center"/>
        <w:rPr>
          <w:b/>
          <w:bCs/>
          <w:color w:val="auto"/>
        </w:rPr>
      </w:pPr>
    </w:p>
    <w:p w14:paraId="5ADAF5F1" w14:textId="77777777" w:rsidR="008E10DE" w:rsidRDefault="00000000">
      <w:pPr>
        <w:pStyle w:val="Default"/>
        <w:spacing w:line="20" w:lineRule="atLeast"/>
        <w:ind w:firstLine="720"/>
        <w:jc w:val="center"/>
        <w:rPr>
          <w:b/>
          <w:bCs/>
          <w:color w:val="auto"/>
        </w:rPr>
      </w:pPr>
      <w:r>
        <w:rPr>
          <w:b/>
          <w:bCs/>
          <w:color w:val="auto"/>
        </w:rPr>
        <w:t xml:space="preserve">Fig. 3. Graph showing changes in the total erythrocyte count (RBC) </w:t>
      </w:r>
    </w:p>
    <w:p w14:paraId="1D19FDDD" w14:textId="77777777" w:rsidR="008E10DE" w:rsidRDefault="00000000">
      <w:pPr>
        <w:pStyle w:val="Default"/>
        <w:spacing w:line="20" w:lineRule="atLeast"/>
        <w:ind w:firstLine="720"/>
        <w:jc w:val="center"/>
        <w:rPr>
          <w:b/>
          <w:bCs/>
          <w:color w:val="auto"/>
        </w:rPr>
      </w:pPr>
      <w:r>
        <w:rPr>
          <w:b/>
          <w:bCs/>
          <w:color w:val="auto"/>
        </w:rPr>
        <w:t>(x10</w:t>
      </w:r>
      <w:r>
        <w:rPr>
          <w:b/>
          <w:bCs/>
          <w:color w:val="auto"/>
          <w:vertAlign w:val="superscript"/>
        </w:rPr>
        <w:t xml:space="preserve">6 </w:t>
      </w:r>
      <w:r>
        <w:rPr>
          <w:b/>
          <w:bCs/>
          <w:color w:val="auto"/>
        </w:rPr>
        <w:t>cu mm</w:t>
      </w:r>
      <w:proofErr w:type="gramStart"/>
      <w:r>
        <w:rPr>
          <w:b/>
          <w:bCs/>
          <w:color w:val="auto"/>
        </w:rPr>
        <w:t>)  of</w:t>
      </w:r>
      <w:proofErr w:type="gramEnd"/>
      <w:r>
        <w:rPr>
          <w:b/>
          <w:bCs/>
          <w:color w:val="auto"/>
        </w:rPr>
        <w:t xml:space="preserve"> </w:t>
      </w:r>
      <w:r>
        <w:rPr>
          <w:b/>
          <w:bCs/>
          <w:i/>
          <w:iCs/>
          <w:color w:val="auto"/>
        </w:rPr>
        <w:t xml:space="preserve">L. </w:t>
      </w:r>
      <w:proofErr w:type="spellStart"/>
      <w:r>
        <w:rPr>
          <w:b/>
          <w:bCs/>
          <w:i/>
          <w:iCs/>
          <w:color w:val="auto"/>
        </w:rPr>
        <w:t>rohita</w:t>
      </w:r>
      <w:proofErr w:type="spellEnd"/>
      <w:r>
        <w:rPr>
          <w:b/>
          <w:bCs/>
          <w:color w:val="auto"/>
        </w:rPr>
        <w:t xml:space="preserve"> exposed to sublethal concentrations of </w:t>
      </w:r>
      <w:proofErr w:type="spellStart"/>
      <w:r>
        <w:rPr>
          <w:b/>
          <w:bCs/>
          <w:color w:val="auto"/>
        </w:rPr>
        <w:t>Monocrotophos</w:t>
      </w:r>
      <w:proofErr w:type="spellEnd"/>
      <w:r>
        <w:rPr>
          <w:b/>
          <w:bCs/>
          <w:color w:val="auto"/>
        </w:rPr>
        <w:t xml:space="preserve">. (Data Mean ± </w:t>
      </w:r>
      <w:proofErr w:type="gramStart"/>
      <w:r>
        <w:rPr>
          <w:b/>
          <w:bCs/>
          <w:color w:val="auto"/>
        </w:rPr>
        <w:t>SD)  *</w:t>
      </w:r>
      <w:proofErr w:type="gramEnd"/>
      <w:r>
        <w:rPr>
          <w:b/>
          <w:bCs/>
          <w:color w:val="auto"/>
        </w:rPr>
        <w:t xml:space="preserve"> P&lt;0.05</w:t>
      </w:r>
    </w:p>
    <w:p w14:paraId="092CBC90" w14:textId="77777777" w:rsidR="008E10DE" w:rsidRDefault="008E10DE">
      <w:pPr>
        <w:pStyle w:val="Default"/>
        <w:spacing w:line="20" w:lineRule="atLeast"/>
        <w:ind w:firstLine="720"/>
        <w:jc w:val="center"/>
        <w:rPr>
          <w:color w:val="auto"/>
        </w:rPr>
      </w:pPr>
    </w:p>
    <w:p w14:paraId="144A9969" w14:textId="77777777" w:rsidR="008E10DE" w:rsidRDefault="008E10DE">
      <w:pPr>
        <w:pStyle w:val="Default"/>
        <w:spacing w:line="20" w:lineRule="atLeast"/>
        <w:jc w:val="both"/>
        <w:rPr>
          <w:color w:val="auto"/>
        </w:rPr>
      </w:pPr>
    </w:p>
    <w:p w14:paraId="0CEC145C" w14:textId="77777777" w:rsidR="008E10DE" w:rsidRDefault="00000000">
      <w:pPr>
        <w:pStyle w:val="Default"/>
        <w:jc w:val="center"/>
        <w:rPr>
          <w:b/>
          <w:bCs/>
          <w:color w:val="auto"/>
        </w:rPr>
      </w:pPr>
      <w:r>
        <w:rPr>
          <w:b/>
          <w:bCs/>
          <w:noProof/>
          <w:color w:val="auto"/>
        </w:rPr>
        <w:drawing>
          <wp:inline distT="0" distB="0" distL="114300" distR="114300" wp14:anchorId="2E734CD1" wp14:editId="1856BB7B">
            <wp:extent cx="4972685" cy="3274060"/>
            <wp:effectExtent l="0" t="0" r="18415" b="2540"/>
            <wp:docPr id="4" name="Picture 4" descr="h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emo"/>
                    <pic:cNvPicPr>
                      <a:picLocks noChangeAspect="1"/>
                    </pic:cNvPicPr>
                  </pic:nvPicPr>
                  <pic:blipFill>
                    <a:blip r:embed="rId10"/>
                    <a:stretch>
                      <a:fillRect/>
                    </a:stretch>
                  </pic:blipFill>
                  <pic:spPr>
                    <a:xfrm>
                      <a:off x="0" y="0"/>
                      <a:ext cx="4972685" cy="3274060"/>
                    </a:xfrm>
                    <a:prstGeom prst="rect">
                      <a:avLst/>
                    </a:prstGeom>
                  </pic:spPr>
                </pic:pic>
              </a:graphicData>
            </a:graphic>
          </wp:inline>
        </w:drawing>
      </w:r>
    </w:p>
    <w:p w14:paraId="57D5BE46" w14:textId="77777777" w:rsidR="008E10DE" w:rsidRDefault="008E10DE">
      <w:pPr>
        <w:pStyle w:val="Default"/>
        <w:spacing w:line="20" w:lineRule="atLeast"/>
        <w:jc w:val="center"/>
        <w:rPr>
          <w:b/>
          <w:bCs/>
          <w:color w:val="auto"/>
        </w:rPr>
      </w:pPr>
    </w:p>
    <w:p w14:paraId="3DF16DC1" w14:textId="77777777" w:rsidR="008E10DE" w:rsidRDefault="00000000">
      <w:pPr>
        <w:pStyle w:val="Default"/>
        <w:spacing w:line="20" w:lineRule="atLeast"/>
        <w:jc w:val="center"/>
        <w:rPr>
          <w:b/>
          <w:bCs/>
          <w:color w:val="auto"/>
        </w:rPr>
      </w:pPr>
      <w:r>
        <w:rPr>
          <w:b/>
          <w:bCs/>
          <w:color w:val="auto"/>
        </w:rPr>
        <w:t xml:space="preserve">Fig. 4. Graph showing changes in the </w:t>
      </w:r>
      <w:proofErr w:type="spellStart"/>
      <w:r>
        <w:rPr>
          <w:b/>
          <w:bCs/>
          <w:color w:val="auto"/>
        </w:rPr>
        <w:t>Haemoglobin</w:t>
      </w:r>
      <w:proofErr w:type="spellEnd"/>
      <w:r>
        <w:rPr>
          <w:b/>
          <w:bCs/>
          <w:color w:val="auto"/>
        </w:rPr>
        <w:t xml:space="preserve"> content (gm %) of </w:t>
      </w:r>
      <w:r>
        <w:rPr>
          <w:b/>
          <w:bCs/>
          <w:i/>
          <w:iCs/>
          <w:color w:val="auto"/>
        </w:rPr>
        <w:t xml:space="preserve">L. </w:t>
      </w:r>
      <w:proofErr w:type="spellStart"/>
      <w:r>
        <w:rPr>
          <w:b/>
          <w:bCs/>
          <w:i/>
          <w:iCs/>
          <w:color w:val="auto"/>
        </w:rPr>
        <w:t>rohita</w:t>
      </w:r>
      <w:proofErr w:type="spellEnd"/>
      <w:r>
        <w:rPr>
          <w:b/>
          <w:bCs/>
          <w:i/>
          <w:iCs/>
          <w:color w:val="auto"/>
        </w:rPr>
        <w:t xml:space="preserve"> </w:t>
      </w:r>
      <w:r>
        <w:rPr>
          <w:b/>
          <w:bCs/>
          <w:color w:val="auto"/>
        </w:rPr>
        <w:t xml:space="preserve">exposed to sublethal concentrations of </w:t>
      </w:r>
      <w:proofErr w:type="spellStart"/>
      <w:r>
        <w:rPr>
          <w:b/>
          <w:bCs/>
          <w:color w:val="auto"/>
        </w:rPr>
        <w:t>Monocrotophos</w:t>
      </w:r>
      <w:proofErr w:type="spellEnd"/>
      <w:r>
        <w:rPr>
          <w:b/>
          <w:bCs/>
          <w:color w:val="auto"/>
        </w:rPr>
        <w:t xml:space="preserve">. (Data Mean ± </w:t>
      </w:r>
      <w:proofErr w:type="gramStart"/>
      <w:r>
        <w:rPr>
          <w:b/>
          <w:bCs/>
          <w:color w:val="auto"/>
        </w:rPr>
        <w:t>SD)  *</w:t>
      </w:r>
      <w:proofErr w:type="gramEnd"/>
      <w:r>
        <w:rPr>
          <w:b/>
          <w:bCs/>
          <w:color w:val="auto"/>
        </w:rPr>
        <w:t xml:space="preserve"> P&lt;0.05</w:t>
      </w:r>
    </w:p>
    <w:p w14:paraId="720C5549" w14:textId="77777777" w:rsidR="008E10DE" w:rsidRDefault="00000000">
      <w:pPr>
        <w:pStyle w:val="Default"/>
        <w:jc w:val="center"/>
        <w:rPr>
          <w:b/>
          <w:bCs/>
          <w:color w:val="auto"/>
        </w:rPr>
      </w:pPr>
      <w:r>
        <w:rPr>
          <w:b/>
          <w:bCs/>
          <w:noProof/>
          <w:color w:val="auto"/>
        </w:rPr>
        <w:lastRenderedPageBreak/>
        <w:drawing>
          <wp:inline distT="0" distB="0" distL="114300" distR="114300" wp14:anchorId="52631115" wp14:editId="3D9343B2">
            <wp:extent cx="4959350" cy="3000375"/>
            <wp:effectExtent l="0" t="0" r="12700" b="9525"/>
            <wp:docPr id="5" name="Picture 5" descr="W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BC"/>
                    <pic:cNvPicPr>
                      <a:picLocks noChangeAspect="1"/>
                    </pic:cNvPicPr>
                  </pic:nvPicPr>
                  <pic:blipFill>
                    <a:blip r:embed="rId11"/>
                    <a:stretch>
                      <a:fillRect/>
                    </a:stretch>
                  </pic:blipFill>
                  <pic:spPr>
                    <a:xfrm>
                      <a:off x="0" y="0"/>
                      <a:ext cx="4959350" cy="3000375"/>
                    </a:xfrm>
                    <a:prstGeom prst="rect">
                      <a:avLst/>
                    </a:prstGeom>
                  </pic:spPr>
                </pic:pic>
              </a:graphicData>
            </a:graphic>
          </wp:inline>
        </w:drawing>
      </w:r>
    </w:p>
    <w:p w14:paraId="5E30B8FE" w14:textId="77777777" w:rsidR="008E10DE" w:rsidRDefault="008E10DE">
      <w:pPr>
        <w:pStyle w:val="Default"/>
        <w:spacing w:line="20" w:lineRule="atLeast"/>
        <w:ind w:firstLine="720"/>
        <w:jc w:val="center"/>
        <w:rPr>
          <w:b/>
          <w:bCs/>
          <w:color w:val="auto"/>
        </w:rPr>
      </w:pPr>
    </w:p>
    <w:p w14:paraId="0E35E2A2" w14:textId="77777777" w:rsidR="008E10DE" w:rsidRDefault="00000000">
      <w:pPr>
        <w:pStyle w:val="Default"/>
        <w:spacing w:line="20" w:lineRule="atLeast"/>
        <w:ind w:firstLine="720"/>
        <w:jc w:val="center"/>
        <w:rPr>
          <w:b/>
          <w:bCs/>
          <w:color w:val="auto"/>
        </w:rPr>
      </w:pPr>
      <w:r>
        <w:rPr>
          <w:b/>
          <w:bCs/>
          <w:color w:val="auto"/>
        </w:rPr>
        <w:t xml:space="preserve">Fig. 5. Graph showing changes in the total leucocyte count </w:t>
      </w:r>
    </w:p>
    <w:p w14:paraId="44442C14" w14:textId="77777777" w:rsidR="008E10DE" w:rsidRDefault="00000000">
      <w:pPr>
        <w:pStyle w:val="Default"/>
        <w:spacing w:line="20" w:lineRule="atLeast"/>
        <w:ind w:firstLine="720"/>
        <w:jc w:val="center"/>
        <w:rPr>
          <w:b/>
          <w:bCs/>
          <w:color w:val="auto"/>
        </w:rPr>
      </w:pPr>
      <w:proofErr w:type="gramStart"/>
      <w:r>
        <w:rPr>
          <w:b/>
          <w:bCs/>
          <w:color w:val="auto"/>
        </w:rPr>
        <w:t>( x</w:t>
      </w:r>
      <w:proofErr w:type="gramEnd"/>
      <w:r>
        <w:rPr>
          <w:b/>
          <w:bCs/>
          <w:color w:val="auto"/>
        </w:rPr>
        <w:t>10</w:t>
      </w:r>
      <w:r>
        <w:rPr>
          <w:b/>
          <w:bCs/>
          <w:color w:val="auto"/>
          <w:vertAlign w:val="superscript"/>
        </w:rPr>
        <w:t>3</w:t>
      </w:r>
      <w:r>
        <w:rPr>
          <w:b/>
          <w:bCs/>
          <w:color w:val="auto"/>
        </w:rPr>
        <w:t xml:space="preserve"> cu mm)  of </w:t>
      </w:r>
      <w:r>
        <w:rPr>
          <w:b/>
          <w:bCs/>
          <w:i/>
          <w:iCs/>
          <w:color w:val="auto"/>
        </w:rPr>
        <w:t xml:space="preserve">L. </w:t>
      </w:r>
      <w:proofErr w:type="spellStart"/>
      <w:r>
        <w:rPr>
          <w:b/>
          <w:bCs/>
          <w:i/>
          <w:iCs/>
          <w:color w:val="auto"/>
        </w:rPr>
        <w:t>rohita</w:t>
      </w:r>
      <w:proofErr w:type="spellEnd"/>
      <w:r>
        <w:rPr>
          <w:b/>
          <w:bCs/>
          <w:color w:val="auto"/>
        </w:rPr>
        <w:t xml:space="preserve"> exposed to sublethal concentrations of </w:t>
      </w:r>
      <w:proofErr w:type="spellStart"/>
      <w:r>
        <w:rPr>
          <w:b/>
          <w:bCs/>
          <w:color w:val="auto"/>
        </w:rPr>
        <w:t>Monocrotophos</w:t>
      </w:r>
      <w:proofErr w:type="spellEnd"/>
      <w:r>
        <w:rPr>
          <w:b/>
          <w:bCs/>
          <w:color w:val="auto"/>
        </w:rPr>
        <w:t xml:space="preserve"> (Data Mean ± SD)  * P&lt;0.05</w:t>
      </w:r>
    </w:p>
    <w:p w14:paraId="065BE332" w14:textId="77777777" w:rsidR="008E10DE" w:rsidRDefault="008E10DE">
      <w:pPr>
        <w:pStyle w:val="Default"/>
        <w:spacing w:line="20" w:lineRule="atLeast"/>
        <w:ind w:firstLine="720"/>
        <w:jc w:val="center"/>
        <w:rPr>
          <w:b/>
          <w:bCs/>
          <w:color w:val="auto"/>
        </w:rPr>
      </w:pPr>
    </w:p>
    <w:p w14:paraId="0E27A62C" w14:textId="77777777" w:rsidR="008E10DE" w:rsidRDefault="00000000">
      <w:pPr>
        <w:spacing w:line="20" w:lineRule="atLeast"/>
        <w:jc w:val="both"/>
        <w:rPr>
          <w:rFonts w:ascii="Times New Roman" w:eastAsia="Georgia" w:hAnsi="Times New Roman" w:cs="Times New Roman"/>
          <w:sz w:val="24"/>
          <w:szCs w:val="24"/>
        </w:rPr>
      </w:pPr>
      <w:proofErr w:type="spellStart"/>
      <w:r>
        <w:rPr>
          <w:rFonts w:ascii="Times New Roman" w:eastAsia="Georgia" w:hAnsi="Times New Roman" w:cs="Times New Roman"/>
          <w:sz w:val="24"/>
          <w:szCs w:val="24"/>
        </w:rPr>
        <w:t>Haematological</w:t>
      </w:r>
      <w:proofErr w:type="spellEnd"/>
      <w:r>
        <w:rPr>
          <w:rFonts w:ascii="Times New Roman" w:eastAsia="Georgia" w:hAnsi="Times New Roman" w:cs="Times New Roman"/>
          <w:sz w:val="24"/>
          <w:szCs w:val="24"/>
        </w:rPr>
        <w:t xml:space="preserve"> parameters act as valuable tools for diagnosing the health and physiological condition of fish, and are therefore effective bioindicators for monitoring stress in fish due to xenobiotic exposure (</w:t>
      </w:r>
      <w:proofErr w:type="spellStart"/>
      <w:r>
        <w:rPr>
          <w:rFonts w:ascii="Times New Roman" w:eastAsia="Georgia" w:hAnsi="Times New Roman" w:cs="Times New Roman"/>
          <w:sz w:val="24"/>
          <w:szCs w:val="24"/>
        </w:rPr>
        <w:t>Oluah</w:t>
      </w:r>
      <w:proofErr w:type="spellEnd"/>
      <w:r>
        <w:rPr>
          <w:rFonts w:ascii="Times New Roman" w:eastAsia="Georgia" w:hAnsi="Times New Roman" w:cs="Times New Roman"/>
          <w:sz w:val="24"/>
          <w:szCs w:val="24"/>
        </w:rPr>
        <w:t xml:space="preserve"> et al., 2020; Kumar et al., 2022a; Das et al., 2024). From the </w:t>
      </w:r>
      <w:proofErr w:type="spellStart"/>
      <w:r>
        <w:rPr>
          <w:rFonts w:ascii="Times New Roman" w:eastAsia="Georgia" w:hAnsi="Times New Roman" w:cs="Times New Roman"/>
          <w:sz w:val="24"/>
          <w:szCs w:val="24"/>
        </w:rPr>
        <w:t>haematological</w:t>
      </w:r>
      <w:proofErr w:type="spellEnd"/>
      <w:r>
        <w:rPr>
          <w:rFonts w:ascii="Times New Roman" w:eastAsia="Georgia" w:hAnsi="Times New Roman" w:cs="Times New Roman"/>
          <w:sz w:val="24"/>
          <w:szCs w:val="24"/>
        </w:rPr>
        <w:t xml:space="preserve"> perspective, there were notable changes in the </w:t>
      </w:r>
      <w:proofErr w:type="spellStart"/>
      <w:r>
        <w:rPr>
          <w:rFonts w:ascii="Times New Roman" w:eastAsia="Georgia" w:hAnsi="Times New Roman" w:cs="Times New Roman"/>
          <w:sz w:val="24"/>
          <w:szCs w:val="24"/>
        </w:rPr>
        <w:t>haematological</w:t>
      </w:r>
      <w:proofErr w:type="spellEnd"/>
      <w:r>
        <w:rPr>
          <w:rFonts w:ascii="Times New Roman" w:eastAsia="Georgia" w:hAnsi="Times New Roman" w:cs="Times New Roman"/>
          <w:sz w:val="24"/>
          <w:szCs w:val="24"/>
        </w:rPr>
        <w:t xml:space="preserve"> parameters when compared to control fish, suggesting a variation that depends on concentration and exposure duration. The observed </w:t>
      </w:r>
      <w:proofErr w:type="spellStart"/>
      <w:r>
        <w:rPr>
          <w:rFonts w:ascii="Times New Roman" w:eastAsia="Georgia" w:hAnsi="Times New Roman" w:cs="Times New Roman"/>
          <w:sz w:val="24"/>
          <w:szCs w:val="24"/>
        </w:rPr>
        <w:t>haematological</w:t>
      </w:r>
      <w:proofErr w:type="spellEnd"/>
      <w:r>
        <w:rPr>
          <w:rFonts w:ascii="Times New Roman" w:eastAsia="Georgia" w:hAnsi="Times New Roman" w:cs="Times New Roman"/>
          <w:sz w:val="24"/>
          <w:szCs w:val="24"/>
        </w:rPr>
        <w:t xml:space="preserve"> changes occurred due to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which impacted the structural and functional components, physiology, and metabolism of fish blood, as blood plays a crucial role in various physiological processes. The reduction in erythrocyte and </w:t>
      </w:r>
      <w:proofErr w:type="spellStart"/>
      <w:r>
        <w:rPr>
          <w:rFonts w:ascii="Times New Roman" w:eastAsia="Georgia" w:hAnsi="Times New Roman" w:cs="Times New Roman"/>
          <w:sz w:val="24"/>
          <w:szCs w:val="24"/>
        </w:rPr>
        <w:t>haemoglobin</w:t>
      </w:r>
      <w:proofErr w:type="spellEnd"/>
      <w:r>
        <w:rPr>
          <w:rFonts w:ascii="Times New Roman" w:eastAsia="Georgia" w:hAnsi="Times New Roman" w:cs="Times New Roman"/>
          <w:sz w:val="24"/>
          <w:szCs w:val="24"/>
        </w:rPr>
        <w:t xml:space="preserve"> counts indicated that the fish's physiological condition had changed due to pesticide exposure (Joseph et al., 2024). </w:t>
      </w:r>
    </w:p>
    <w:p w14:paraId="221E9185" w14:textId="77777777" w:rsidR="008E10DE" w:rsidRDefault="008E10DE">
      <w:pPr>
        <w:spacing w:line="20" w:lineRule="atLeast"/>
        <w:jc w:val="both"/>
        <w:rPr>
          <w:rFonts w:ascii="Times New Roman" w:eastAsia="Georgia" w:hAnsi="Times New Roman" w:cs="Times New Roman"/>
          <w:sz w:val="24"/>
          <w:szCs w:val="24"/>
        </w:rPr>
      </w:pPr>
    </w:p>
    <w:p w14:paraId="09C16340" w14:textId="77777777" w:rsidR="008E10DE" w:rsidRDefault="00000000">
      <w:pPr>
        <w:spacing w:line="20" w:lineRule="atLeast"/>
        <w:jc w:val="both"/>
        <w:rPr>
          <w:rFonts w:ascii="Times New Roman" w:eastAsia="Georgia" w:hAnsi="Times New Roman" w:cs="Times New Roman"/>
          <w:sz w:val="24"/>
          <w:szCs w:val="24"/>
        </w:rPr>
      </w:pPr>
      <w:r>
        <w:rPr>
          <w:rFonts w:ascii="Times New Roman" w:eastAsia="Georgia" w:hAnsi="Times New Roman" w:cs="Times New Roman"/>
          <w:sz w:val="24"/>
          <w:szCs w:val="24"/>
        </w:rPr>
        <w:t xml:space="preserve">The current research observed a reduction in erythrocyte and </w:t>
      </w:r>
      <w:proofErr w:type="spellStart"/>
      <w:r>
        <w:rPr>
          <w:rFonts w:ascii="Times New Roman" w:eastAsia="Georgia" w:hAnsi="Times New Roman" w:cs="Times New Roman"/>
          <w:sz w:val="24"/>
          <w:szCs w:val="24"/>
        </w:rPr>
        <w:t>haemoglobin</w:t>
      </w:r>
      <w:proofErr w:type="spellEnd"/>
      <w:r>
        <w:rPr>
          <w:rFonts w:ascii="Times New Roman" w:eastAsia="Georgia" w:hAnsi="Times New Roman" w:cs="Times New Roman"/>
          <w:sz w:val="24"/>
          <w:szCs w:val="24"/>
        </w:rPr>
        <w:t xml:space="preserve"> counts corresponding to higher concentrations and longer exposure durations. The decrease in erythrocyte counts may result from heightened erythrocyte lysing and hemoglobinization, shrinkage of erythrocytes, destruction of red cells, and inhibition of erythropoiesis (Farag et al., 2021) caused by </w:t>
      </w:r>
      <w:proofErr w:type="spellStart"/>
      <w:r>
        <w:rPr>
          <w:rFonts w:ascii="Times New Roman" w:eastAsia="Georgia" w:hAnsi="Times New Roman" w:cs="Times New Roman"/>
          <w:sz w:val="24"/>
          <w:szCs w:val="24"/>
        </w:rPr>
        <w:t>pesticides.In</w:t>
      </w:r>
      <w:proofErr w:type="spellEnd"/>
      <w:r>
        <w:rPr>
          <w:rFonts w:ascii="Times New Roman" w:eastAsia="Georgia" w:hAnsi="Times New Roman" w:cs="Times New Roman"/>
          <w:sz w:val="24"/>
          <w:szCs w:val="24"/>
        </w:rPr>
        <w:t xml:space="preserve"> line with our findings, a reduction in erythrocyte and Hb counts was noted in</w:t>
      </w:r>
      <w:r>
        <w:rPr>
          <w:rFonts w:ascii="Times New Roman" w:eastAsia="Georgia" w:hAnsi="Times New Roman" w:cs="Times New Roman"/>
          <w:i/>
          <w:iCs/>
          <w:sz w:val="24"/>
          <w:szCs w:val="24"/>
        </w:rPr>
        <w:t xml:space="preserve"> C. </w:t>
      </w:r>
      <w:proofErr w:type="spellStart"/>
      <w:r>
        <w:rPr>
          <w:rFonts w:ascii="Times New Roman" w:eastAsia="Georgia" w:hAnsi="Times New Roman" w:cs="Times New Roman"/>
          <w:i/>
          <w:iCs/>
          <w:sz w:val="24"/>
          <w:szCs w:val="24"/>
        </w:rPr>
        <w:t>gariepinus</w:t>
      </w:r>
      <w:proofErr w:type="spellEnd"/>
      <w:r>
        <w:rPr>
          <w:rFonts w:ascii="Times New Roman" w:eastAsia="Georgia" w:hAnsi="Times New Roman" w:cs="Times New Roman"/>
          <w:sz w:val="24"/>
          <w:szCs w:val="24"/>
        </w:rPr>
        <w:t> subjected to diuron (Joseph et al., 2023); in </w:t>
      </w:r>
      <w:r>
        <w:rPr>
          <w:rFonts w:ascii="Times New Roman" w:eastAsia="Georgia" w:hAnsi="Times New Roman" w:cs="Times New Roman"/>
          <w:i/>
          <w:iCs/>
          <w:sz w:val="24"/>
          <w:szCs w:val="24"/>
        </w:rPr>
        <w:t>C. carpio</w:t>
      </w:r>
      <w:r>
        <w:rPr>
          <w:rFonts w:ascii="Times New Roman" w:eastAsia="Georgia" w:hAnsi="Times New Roman" w:cs="Times New Roman"/>
          <w:sz w:val="24"/>
          <w:szCs w:val="24"/>
        </w:rPr>
        <w:t> exposed to glyphosate (Gholami-</w:t>
      </w:r>
      <w:proofErr w:type="spellStart"/>
      <w:r>
        <w:rPr>
          <w:rFonts w:ascii="Times New Roman" w:eastAsia="Georgia" w:hAnsi="Times New Roman" w:cs="Times New Roman"/>
          <w:sz w:val="24"/>
          <w:szCs w:val="24"/>
        </w:rPr>
        <w:t>Seyedkolaei</w:t>
      </w:r>
      <w:proofErr w:type="spellEnd"/>
      <w:r>
        <w:rPr>
          <w:rFonts w:ascii="Times New Roman" w:eastAsia="Georgia" w:hAnsi="Times New Roman" w:cs="Times New Roman"/>
          <w:sz w:val="24"/>
          <w:szCs w:val="24"/>
        </w:rPr>
        <w:t xml:space="preserve"> et al., 2013); in </w:t>
      </w:r>
      <w:r>
        <w:rPr>
          <w:rFonts w:ascii="Times New Roman" w:eastAsia="Georgia" w:hAnsi="Times New Roman" w:cs="Times New Roman"/>
          <w:i/>
          <w:iCs/>
          <w:sz w:val="24"/>
          <w:szCs w:val="24"/>
        </w:rPr>
        <w:t xml:space="preserve">C. </w:t>
      </w:r>
      <w:proofErr w:type="spellStart"/>
      <w:r>
        <w:rPr>
          <w:rFonts w:ascii="Times New Roman" w:eastAsia="Georgia" w:hAnsi="Times New Roman" w:cs="Times New Roman"/>
          <w:i/>
          <w:iCs/>
          <w:sz w:val="24"/>
          <w:szCs w:val="24"/>
        </w:rPr>
        <w:t>batrachu</w:t>
      </w:r>
      <w:r>
        <w:rPr>
          <w:rFonts w:ascii="Times New Roman" w:eastAsia="Georgia" w:hAnsi="Times New Roman" w:cs="Times New Roman"/>
          <w:sz w:val="24"/>
          <w:szCs w:val="24"/>
        </w:rPr>
        <w:t>s</w:t>
      </w:r>
      <w:proofErr w:type="spellEnd"/>
      <w:r>
        <w:rPr>
          <w:rFonts w:ascii="Times New Roman" w:eastAsia="Georgia" w:hAnsi="Times New Roman" w:cs="Times New Roman"/>
          <w:sz w:val="24"/>
          <w:szCs w:val="24"/>
        </w:rPr>
        <w:t> exposed to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(Narra, 2016); and in </w:t>
      </w:r>
      <w:r>
        <w:rPr>
          <w:rFonts w:ascii="Times New Roman" w:eastAsia="Georgia" w:hAnsi="Times New Roman" w:cs="Times New Roman"/>
          <w:i/>
          <w:iCs/>
          <w:sz w:val="24"/>
          <w:szCs w:val="24"/>
        </w:rPr>
        <w:t>L. </w:t>
      </w:r>
      <w:proofErr w:type="spellStart"/>
      <w:r>
        <w:rPr>
          <w:rFonts w:ascii="Times New Roman" w:eastAsia="Georgia" w:hAnsi="Times New Roman" w:cs="Times New Roman"/>
          <w:i/>
          <w:iCs/>
          <w:sz w:val="24"/>
          <w:szCs w:val="24"/>
        </w:rPr>
        <w:t>rohita</w:t>
      </w:r>
      <w:proofErr w:type="spellEnd"/>
      <w:r>
        <w:rPr>
          <w:rFonts w:ascii="Times New Roman" w:eastAsia="Georgia" w:hAnsi="Times New Roman" w:cs="Times New Roman"/>
          <w:sz w:val="24"/>
          <w:szCs w:val="24"/>
        </w:rPr>
        <w:t> exposed to butachlor (Kumar et al., 2022b), </w:t>
      </w:r>
      <w:proofErr w:type="spellStart"/>
      <w:r>
        <w:rPr>
          <w:rFonts w:ascii="Times New Roman" w:eastAsia="Georgia" w:hAnsi="Times New Roman" w:cs="Times New Roman"/>
          <w:sz w:val="24"/>
          <w:szCs w:val="24"/>
        </w:rPr>
        <w:t>emamectin</w:t>
      </w:r>
      <w:proofErr w:type="spellEnd"/>
      <w:r>
        <w:rPr>
          <w:rFonts w:ascii="Times New Roman" w:eastAsia="Georgia" w:hAnsi="Times New Roman" w:cs="Times New Roman"/>
          <w:sz w:val="24"/>
          <w:szCs w:val="24"/>
        </w:rPr>
        <w:t> benzoate (Kumar et al., 2022a), and cypermethrin (Das and Mukherjee, 2003).</w:t>
      </w:r>
    </w:p>
    <w:p w14:paraId="5B09501C" w14:textId="77777777" w:rsidR="008E10DE" w:rsidRDefault="008E10DE">
      <w:pPr>
        <w:spacing w:line="20" w:lineRule="atLeast"/>
        <w:jc w:val="both"/>
        <w:rPr>
          <w:rFonts w:ascii="Times New Roman" w:eastAsia="Georgia" w:hAnsi="Times New Roman" w:cs="Times New Roman"/>
          <w:sz w:val="24"/>
          <w:szCs w:val="24"/>
        </w:rPr>
      </w:pPr>
    </w:p>
    <w:p w14:paraId="0F53356A" w14:textId="77777777" w:rsidR="008E10DE" w:rsidRDefault="00000000">
      <w:pPr>
        <w:spacing w:line="20" w:lineRule="atLeast"/>
        <w:jc w:val="both"/>
        <w:rPr>
          <w:rFonts w:ascii="Times New Roman" w:eastAsia="Georgia" w:hAnsi="Times New Roman" w:cs="Times New Roman"/>
          <w:sz w:val="24"/>
          <w:szCs w:val="24"/>
        </w:rPr>
      </w:pPr>
      <w:r>
        <w:rPr>
          <w:rFonts w:ascii="Times New Roman" w:eastAsia="Georgia" w:hAnsi="Times New Roman" w:cs="Times New Roman"/>
          <w:sz w:val="24"/>
          <w:szCs w:val="24"/>
        </w:rPr>
        <w:t xml:space="preserve">This study found that leucocyte count increased alongside higher concentrations and longer durations of </w:t>
      </w:r>
      <w:proofErr w:type="spellStart"/>
      <w:proofErr w:type="gram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exposure</w:t>
      </w:r>
      <w:proofErr w:type="gramEnd"/>
      <w:r>
        <w:rPr>
          <w:rFonts w:ascii="Times New Roman" w:eastAsia="Georgia" w:hAnsi="Times New Roman" w:cs="Times New Roman"/>
          <w:sz w:val="24"/>
          <w:szCs w:val="24"/>
        </w:rPr>
        <w:t xml:space="preserve">. An elevated leucocyte count may indicate that fish can establish a defensive mechanism to manage the toxic stress associated with </w:t>
      </w:r>
      <w:proofErr w:type="spellStart"/>
      <w:r>
        <w:rPr>
          <w:rFonts w:ascii="Times New Roman" w:eastAsia="Georgia" w:hAnsi="Times New Roman" w:cs="Times New Roman"/>
          <w:sz w:val="24"/>
          <w:szCs w:val="24"/>
        </w:rPr>
        <w:t>monocrotophos</w:t>
      </w:r>
      <w:proofErr w:type="spellEnd"/>
      <w:r>
        <w:rPr>
          <w:rFonts w:ascii="Times New Roman" w:eastAsia="Georgia" w:hAnsi="Times New Roman" w:cs="Times New Roman"/>
          <w:sz w:val="24"/>
          <w:szCs w:val="24"/>
        </w:rPr>
        <w:t xml:space="preserve"> intoxication. The increases in leucocyte counts </w:t>
      </w:r>
      <w:r>
        <w:rPr>
          <w:rFonts w:ascii="Times New Roman" w:eastAsia="Georgia" w:hAnsi="Times New Roman" w:cs="Times New Roman"/>
          <w:sz w:val="24"/>
          <w:szCs w:val="24"/>
        </w:rPr>
        <w:lastRenderedPageBreak/>
        <w:t xml:space="preserve">observed in this study aligns with the findings regarding sub-lethal concentrations of </w:t>
      </w:r>
      <w:proofErr w:type="spellStart"/>
      <w:r>
        <w:rPr>
          <w:rFonts w:ascii="Times New Roman" w:eastAsia="Georgia" w:hAnsi="Times New Roman" w:cs="Times New Roman"/>
          <w:sz w:val="24"/>
          <w:szCs w:val="24"/>
        </w:rPr>
        <w:t>sumithion</w:t>
      </w:r>
      <w:proofErr w:type="spellEnd"/>
      <w:r>
        <w:rPr>
          <w:rFonts w:ascii="Times New Roman" w:eastAsia="Georgia" w:hAnsi="Times New Roman" w:cs="Times New Roman"/>
          <w:sz w:val="24"/>
          <w:szCs w:val="24"/>
        </w:rPr>
        <w:t xml:space="preserve"> on </w:t>
      </w:r>
      <w:r>
        <w:rPr>
          <w:rFonts w:ascii="Times New Roman" w:eastAsia="Georgia" w:hAnsi="Times New Roman" w:cs="Times New Roman"/>
          <w:i/>
          <w:iCs/>
          <w:sz w:val="24"/>
          <w:szCs w:val="24"/>
        </w:rPr>
        <w:t xml:space="preserve">B. </w:t>
      </w:r>
      <w:proofErr w:type="spellStart"/>
      <w:r>
        <w:rPr>
          <w:rFonts w:ascii="Times New Roman" w:eastAsia="Georgia" w:hAnsi="Times New Roman" w:cs="Times New Roman"/>
          <w:i/>
          <w:iCs/>
          <w:sz w:val="24"/>
          <w:szCs w:val="24"/>
        </w:rPr>
        <w:t>gonionotus</w:t>
      </w:r>
      <w:proofErr w:type="spellEnd"/>
      <w:r>
        <w:rPr>
          <w:rFonts w:ascii="Times New Roman" w:eastAsia="Georgia" w:hAnsi="Times New Roman" w:cs="Times New Roman"/>
          <w:i/>
          <w:iCs/>
          <w:sz w:val="24"/>
          <w:szCs w:val="24"/>
        </w:rPr>
        <w:t xml:space="preserve"> </w:t>
      </w:r>
      <w:r>
        <w:rPr>
          <w:rFonts w:ascii="Times New Roman" w:eastAsia="Georgia" w:hAnsi="Times New Roman" w:cs="Times New Roman"/>
          <w:sz w:val="24"/>
          <w:szCs w:val="24"/>
        </w:rPr>
        <w:t xml:space="preserve">(Kole et al., 2022); </w:t>
      </w:r>
      <w:proofErr w:type="spellStart"/>
      <w:r>
        <w:rPr>
          <w:rFonts w:ascii="Times New Roman" w:eastAsia="Georgia" w:hAnsi="Times New Roman" w:cs="Times New Roman"/>
          <w:sz w:val="24"/>
          <w:szCs w:val="24"/>
        </w:rPr>
        <w:t>profennofos</w:t>
      </w:r>
      <w:proofErr w:type="spellEnd"/>
      <w:r>
        <w:rPr>
          <w:rFonts w:ascii="Times New Roman" w:eastAsia="Georgia" w:hAnsi="Times New Roman" w:cs="Times New Roman"/>
          <w:sz w:val="24"/>
          <w:szCs w:val="24"/>
        </w:rPr>
        <w:t xml:space="preserve"> on </w:t>
      </w:r>
      <w:r>
        <w:rPr>
          <w:rFonts w:ascii="Times New Roman" w:eastAsia="Georgia" w:hAnsi="Times New Roman" w:cs="Times New Roman"/>
          <w:i/>
          <w:iCs/>
          <w:sz w:val="24"/>
          <w:szCs w:val="24"/>
        </w:rPr>
        <w:t>O. niloticus</w:t>
      </w:r>
      <w:r>
        <w:rPr>
          <w:rFonts w:ascii="Times New Roman" w:eastAsia="Georgia" w:hAnsi="Times New Roman" w:cs="Times New Roman"/>
          <w:sz w:val="24"/>
          <w:szCs w:val="24"/>
        </w:rPr>
        <w:t xml:space="preserve"> (Al-Emran et al., 2022); and </w:t>
      </w:r>
      <w:proofErr w:type="spellStart"/>
      <w:r>
        <w:rPr>
          <w:rFonts w:ascii="Times New Roman" w:eastAsia="Georgia" w:hAnsi="Times New Roman" w:cs="Times New Roman"/>
          <w:sz w:val="24"/>
          <w:szCs w:val="24"/>
        </w:rPr>
        <w:t>ronstar</w:t>
      </w:r>
      <w:proofErr w:type="spellEnd"/>
      <w:r>
        <w:rPr>
          <w:rFonts w:ascii="Times New Roman" w:eastAsia="Georgia" w:hAnsi="Times New Roman" w:cs="Times New Roman"/>
          <w:sz w:val="24"/>
          <w:szCs w:val="24"/>
        </w:rPr>
        <w:t xml:space="preserve">® on </w:t>
      </w:r>
      <w:r>
        <w:rPr>
          <w:rFonts w:ascii="Times New Roman" w:eastAsia="Georgia" w:hAnsi="Times New Roman" w:cs="Times New Roman"/>
          <w:i/>
          <w:iCs/>
          <w:sz w:val="24"/>
          <w:szCs w:val="24"/>
        </w:rPr>
        <w:t xml:space="preserve">C. </w:t>
      </w:r>
      <w:proofErr w:type="spellStart"/>
      <w:r>
        <w:rPr>
          <w:rFonts w:ascii="Times New Roman" w:eastAsia="Georgia" w:hAnsi="Times New Roman" w:cs="Times New Roman"/>
          <w:i/>
          <w:iCs/>
          <w:sz w:val="24"/>
          <w:szCs w:val="24"/>
        </w:rPr>
        <w:t>gairepinus</w:t>
      </w:r>
      <w:proofErr w:type="spellEnd"/>
      <w:r>
        <w:rPr>
          <w:rFonts w:ascii="Times New Roman" w:eastAsia="Georgia" w:hAnsi="Times New Roman" w:cs="Times New Roman"/>
          <w:sz w:val="24"/>
          <w:szCs w:val="24"/>
        </w:rPr>
        <w:t xml:space="preserve"> (</w:t>
      </w:r>
      <w:proofErr w:type="spellStart"/>
      <w:r>
        <w:rPr>
          <w:rFonts w:ascii="Times New Roman" w:eastAsia="Georgia" w:hAnsi="Times New Roman" w:cs="Times New Roman"/>
          <w:sz w:val="24"/>
          <w:szCs w:val="24"/>
        </w:rPr>
        <w:t>Oluah</w:t>
      </w:r>
      <w:proofErr w:type="spellEnd"/>
      <w:r>
        <w:rPr>
          <w:rFonts w:ascii="Times New Roman" w:eastAsia="Georgia" w:hAnsi="Times New Roman" w:cs="Times New Roman"/>
          <w:sz w:val="24"/>
          <w:szCs w:val="24"/>
        </w:rPr>
        <w:t xml:space="preserve"> et al., 2020).</w:t>
      </w:r>
    </w:p>
    <w:p w14:paraId="0634E4ED" w14:textId="77777777" w:rsidR="008E10DE" w:rsidRDefault="008E10DE">
      <w:pPr>
        <w:spacing w:line="20" w:lineRule="atLeast"/>
        <w:jc w:val="both"/>
        <w:rPr>
          <w:rFonts w:ascii="Times New Roman" w:eastAsia="Georgia" w:hAnsi="Times New Roman" w:cs="Times New Roman"/>
          <w:sz w:val="24"/>
          <w:szCs w:val="24"/>
        </w:rPr>
      </w:pPr>
    </w:p>
    <w:p w14:paraId="363EFB2A" w14:textId="77777777" w:rsidR="008E10DE" w:rsidRDefault="00000000">
      <w:pPr>
        <w:spacing w:line="20" w:lineRule="atLeast"/>
        <w:jc w:val="both"/>
        <w:rPr>
          <w:rFonts w:ascii="Times New Roman" w:hAnsi="Times New Roman" w:cs="Times New Roman"/>
          <w:b/>
          <w:bCs/>
          <w:iCs/>
          <w:sz w:val="24"/>
          <w:szCs w:val="24"/>
        </w:rPr>
      </w:pPr>
      <w:r>
        <w:rPr>
          <w:rFonts w:ascii="Times New Roman" w:hAnsi="Times New Roman" w:cs="Times New Roman"/>
          <w:b/>
          <w:bCs/>
          <w:iCs/>
          <w:sz w:val="24"/>
          <w:szCs w:val="24"/>
        </w:rPr>
        <w:t>3.4 Morphological assessment of blood cells</w:t>
      </w:r>
    </w:p>
    <w:p w14:paraId="29365466" w14:textId="77777777" w:rsidR="008E10DE" w:rsidRDefault="008E10DE">
      <w:pPr>
        <w:spacing w:line="20" w:lineRule="atLeast"/>
        <w:jc w:val="both"/>
        <w:rPr>
          <w:rFonts w:ascii="Times New Roman" w:eastAsia="Cambria" w:hAnsi="Times New Roman" w:cs="Times New Roman"/>
          <w:sz w:val="24"/>
          <w:szCs w:val="24"/>
          <w:shd w:val="clear" w:color="auto" w:fill="FFFFFF"/>
        </w:rPr>
      </w:pPr>
    </w:p>
    <w:p w14:paraId="2450943D" w14:textId="77777777" w:rsidR="008E10DE" w:rsidRDefault="00000000">
      <w:pPr>
        <w:spacing w:line="20" w:lineRule="atLeast"/>
        <w:jc w:val="both"/>
        <w:rPr>
          <w:rFonts w:ascii="Times New Roman" w:eastAsia="Cambria" w:hAnsi="Times New Roman" w:cs="Times New Roman"/>
          <w:sz w:val="24"/>
          <w:szCs w:val="24"/>
          <w:shd w:val="clear" w:color="auto" w:fill="FFFFFF"/>
        </w:rPr>
      </w:pPr>
      <w:r>
        <w:rPr>
          <w:rFonts w:ascii="Times New Roman" w:eastAsia="Cambria" w:hAnsi="Times New Roman" w:cs="Times New Roman"/>
          <w:sz w:val="24"/>
          <w:szCs w:val="24"/>
          <w:shd w:val="clear" w:color="auto" w:fill="FFFFFF"/>
        </w:rPr>
        <w:t xml:space="preserve">Erythrocytes serve as a crucial diagnostic tool for assessing the functional and structural condition of fish subjected to various toxicants. Erythrocytes can respond to environmental stresses, and changes in erythrocyte characteristics are the most common indicators of toxicants found in aquatic environments (Islam et al., 2020).  The blood smear of the control group showed normal erythrocytes and leukocytes, with erythrocytes present in greater numbers than leukocytes (Fig. 6A). Nevertheless, notable changes were noted in the groups treated with </w:t>
      </w:r>
      <w:proofErr w:type="spellStart"/>
      <w:r>
        <w:rPr>
          <w:rFonts w:ascii="Times New Roman" w:eastAsia="Cambria" w:hAnsi="Times New Roman" w:cs="Times New Roman"/>
          <w:sz w:val="24"/>
          <w:szCs w:val="24"/>
          <w:shd w:val="clear" w:color="auto" w:fill="FFFFFF"/>
        </w:rPr>
        <w:t>Monocrotophos</w:t>
      </w:r>
      <w:proofErr w:type="spellEnd"/>
      <w:r>
        <w:rPr>
          <w:rFonts w:ascii="Times New Roman" w:eastAsia="Cambria" w:hAnsi="Times New Roman" w:cs="Times New Roman"/>
          <w:sz w:val="24"/>
          <w:szCs w:val="24"/>
          <w:shd w:val="clear" w:color="auto" w:fill="FFFFFF"/>
        </w:rPr>
        <w:t xml:space="preserve">. In fish exposed to 10 ppm </w:t>
      </w:r>
      <w:proofErr w:type="spellStart"/>
      <w:r>
        <w:rPr>
          <w:rFonts w:ascii="Times New Roman" w:eastAsia="Cambria" w:hAnsi="Times New Roman" w:cs="Times New Roman"/>
          <w:sz w:val="24"/>
          <w:szCs w:val="24"/>
          <w:shd w:val="clear" w:color="auto" w:fill="FFFFFF"/>
        </w:rPr>
        <w:t>Monocrotophos</w:t>
      </w:r>
      <w:proofErr w:type="spellEnd"/>
      <w:r>
        <w:rPr>
          <w:rFonts w:ascii="Times New Roman" w:eastAsia="Cambria" w:hAnsi="Times New Roman" w:cs="Times New Roman"/>
          <w:sz w:val="24"/>
          <w:szCs w:val="24"/>
          <w:shd w:val="clear" w:color="auto" w:fill="FFFFFF"/>
        </w:rPr>
        <w:t xml:space="preserve">, there was a significant rise in leukocyte counts (Fig. 6B). The erythrocytes in this group exhibited swelling and disrupted membranes, suggesting cellular damage (Fig. 6C). At a concentration of 40 ppm, exposure to </w:t>
      </w:r>
      <w:proofErr w:type="spellStart"/>
      <w:r>
        <w:rPr>
          <w:rFonts w:ascii="Times New Roman" w:eastAsia="Cambria" w:hAnsi="Times New Roman" w:cs="Times New Roman"/>
          <w:sz w:val="24"/>
          <w:szCs w:val="24"/>
          <w:shd w:val="clear" w:color="auto" w:fill="FFFFFF"/>
        </w:rPr>
        <w:t>Monocrotophos</w:t>
      </w:r>
      <w:proofErr w:type="spellEnd"/>
      <w:r>
        <w:rPr>
          <w:rFonts w:ascii="Times New Roman" w:eastAsia="Cambria" w:hAnsi="Times New Roman" w:cs="Times New Roman"/>
          <w:sz w:val="24"/>
          <w:szCs w:val="24"/>
          <w:shd w:val="clear" w:color="auto" w:fill="FFFFFF"/>
        </w:rPr>
        <w:t xml:space="preserve"> led to the fusion of erythrocyte membranes, which resulted in the creation of syncytia (Fig. 6D). This condition indicates significant membrane damage and impairment of cellular function. Furthermore, necrotic blebs and pyknotic nuclei were noted in erythrocytes, indicating necrotic cell death in the treated groups (Figs. 6E </w:t>
      </w:r>
      <w:proofErr w:type="gramStart"/>
      <w:r>
        <w:rPr>
          <w:rFonts w:ascii="Times New Roman" w:eastAsia="Cambria" w:hAnsi="Times New Roman" w:cs="Times New Roman"/>
          <w:sz w:val="24"/>
          <w:szCs w:val="24"/>
          <w:shd w:val="clear" w:color="auto" w:fill="FFFFFF"/>
        </w:rPr>
        <w:t>and  F</w:t>
      </w:r>
      <w:proofErr w:type="gramEnd"/>
      <w:r>
        <w:rPr>
          <w:rFonts w:ascii="Times New Roman" w:eastAsia="Cambria" w:hAnsi="Times New Roman" w:cs="Times New Roman"/>
          <w:sz w:val="24"/>
          <w:szCs w:val="24"/>
          <w:shd w:val="clear" w:color="auto" w:fill="FFFFFF"/>
        </w:rPr>
        <w:t xml:space="preserve">). The effects intensified at elevated sub-lethal concentrations of </w:t>
      </w:r>
      <w:proofErr w:type="spellStart"/>
      <w:r>
        <w:rPr>
          <w:rFonts w:ascii="Times New Roman" w:eastAsia="Cambria" w:hAnsi="Times New Roman" w:cs="Times New Roman"/>
          <w:sz w:val="24"/>
          <w:szCs w:val="24"/>
          <w:shd w:val="clear" w:color="auto" w:fill="FFFFFF"/>
        </w:rPr>
        <w:t>Monocrotophos</w:t>
      </w:r>
      <w:proofErr w:type="spellEnd"/>
      <w:r>
        <w:rPr>
          <w:rFonts w:ascii="Times New Roman" w:eastAsia="Cambria" w:hAnsi="Times New Roman" w:cs="Times New Roman"/>
          <w:sz w:val="24"/>
          <w:szCs w:val="24"/>
          <w:shd w:val="clear" w:color="auto" w:fill="FFFFFF"/>
        </w:rPr>
        <w:t xml:space="preserve">, resulting in a significant reduction in total erythrocyte counts (Fig. 6G). The results demonstrate significant </w:t>
      </w:r>
      <w:proofErr w:type="spellStart"/>
      <w:r>
        <w:rPr>
          <w:rFonts w:ascii="Times New Roman" w:eastAsia="Cambria" w:hAnsi="Times New Roman" w:cs="Times New Roman"/>
          <w:sz w:val="24"/>
          <w:szCs w:val="24"/>
          <w:shd w:val="clear" w:color="auto" w:fill="FFFFFF"/>
        </w:rPr>
        <w:t>haematological</w:t>
      </w:r>
      <w:proofErr w:type="spellEnd"/>
      <w:r>
        <w:rPr>
          <w:rFonts w:ascii="Times New Roman" w:eastAsia="Cambria" w:hAnsi="Times New Roman" w:cs="Times New Roman"/>
          <w:sz w:val="24"/>
          <w:szCs w:val="24"/>
          <w:shd w:val="clear" w:color="auto" w:fill="FFFFFF"/>
        </w:rPr>
        <w:t xml:space="preserve"> toxicity caused by </w:t>
      </w:r>
      <w:proofErr w:type="spellStart"/>
      <w:r>
        <w:rPr>
          <w:rFonts w:ascii="Times New Roman" w:eastAsia="Cambria" w:hAnsi="Times New Roman" w:cs="Times New Roman"/>
          <w:sz w:val="24"/>
          <w:szCs w:val="24"/>
          <w:shd w:val="clear" w:color="auto" w:fill="FFFFFF"/>
        </w:rPr>
        <w:t>Monocrotophos</w:t>
      </w:r>
      <w:proofErr w:type="spellEnd"/>
      <w:r>
        <w:rPr>
          <w:rFonts w:ascii="Times New Roman" w:eastAsia="Cambria" w:hAnsi="Times New Roman" w:cs="Times New Roman"/>
          <w:sz w:val="24"/>
          <w:szCs w:val="24"/>
          <w:shd w:val="clear" w:color="auto" w:fill="FFFFFF"/>
        </w:rPr>
        <w:t xml:space="preserve"> in </w:t>
      </w:r>
      <w:r>
        <w:rPr>
          <w:rFonts w:ascii="Times New Roman" w:eastAsia="Cambria" w:hAnsi="Times New Roman" w:cs="Times New Roman"/>
          <w:i/>
          <w:iCs/>
          <w:sz w:val="24"/>
          <w:szCs w:val="24"/>
          <w:shd w:val="clear" w:color="auto" w:fill="FFFFFF"/>
        </w:rPr>
        <w:t xml:space="preserve">L. </w:t>
      </w:r>
      <w:proofErr w:type="spellStart"/>
      <w:r>
        <w:rPr>
          <w:rFonts w:ascii="Times New Roman" w:eastAsia="Cambria" w:hAnsi="Times New Roman" w:cs="Times New Roman"/>
          <w:i/>
          <w:iCs/>
          <w:sz w:val="24"/>
          <w:szCs w:val="24"/>
          <w:shd w:val="clear" w:color="auto" w:fill="FFFFFF"/>
        </w:rPr>
        <w:t>rohita</w:t>
      </w:r>
      <w:proofErr w:type="spellEnd"/>
      <w:r>
        <w:rPr>
          <w:rFonts w:ascii="Times New Roman" w:eastAsia="Cambria" w:hAnsi="Times New Roman" w:cs="Times New Roman"/>
          <w:sz w:val="24"/>
          <w:szCs w:val="24"/>
          <w:shd w:val="clear" w:color="auto" w:fill="FFFFFF"/>
        </w:rPr>
        <w:t xml:space="preserve">. </w:t>
      </w:r>
    </w:p>
    <w:p w14:paraId="4253B111" w14:textId="77777777" w:rsidR="008E10DE" w:rsidRDefault="008E10DE">
      <w:pPr>
        <w:spacing w:line="20" w:lineRule="atLeast"/>
        <w:jc w:val="both"/>
        <w:rPr>
          <w:rFonts w:ascii="Times New Roman" w:eastAsia="Cambria" w:hAnsi="Times New Roman" w:cs="Times New Roman"/>
          <w:sz w:val="24"/>
          <w:szCs w:val="24"/>
          <w:shd w:val="clear" w:color="auto" w:fill="FFFFFF"/>
        </w:rPr>
      </w:pPr>
    </w:p>
    <w:p w14:paraId="1FBCA8E7" w14:textId="77777777" w:rsidR="008E10DE" w:rsidRDefault="00000000">
      <w:pPr>
        <w:spacing w:line="20" w:lineRule="atLeast"/>
        <w:jc w:val="both"/>
        <w:rPr>
          <w:rFonts w:ascii="Times New Roman" w:hAnsi="Times New Roman" w:cs="Times New Roman"/>
          <w:sz w:val="24"/>
          <w:szCs w:val="24"/>
        </w:rPr>
      </w:pPr>
      <w:r>
        <w:rPr>
          <w:rFonts w:ascii="Times New Roman" w:hAnsi="Times New Roman" w:cs="Times New Roman"/>
          <w:sz w:val="24"/>
          <w:szCs w:val="24"/>
        </w:rPr>
        <w:t>The most probable reasons for the decrease in RBC are the destruction of red blood cells and the inhibition of erythropoiesis. Research has demonstrated that disruptions in the haemopoietic process can hasten the breakdown and shrinkage of red blood cells, as well as erythrocyte lysis, which may subsequently result in decreased levels of RBC, HGB, and HCT (Gholami-</w:t>
      </w:r>
      <w:proofErr w:type="spellStart"/>
      <w:r>
        <w:rPr>
          <w:rFonts w:ascii="Times New Roman" w:hAnsi="Times New Roman" w:cs="Times New Roman"/>
          <w:sz w:val="24"/>
          <w:szCs w:val="24"/>
        </w:rPr>
        <w:t>Seyedkolaei</w:t>
      </w:r>
      <w:proofErr w:type="spellEnd"/>
      <w:r>
        <w:rPr>
          <w:rFonts w:ascii="Times New Roman" w:hAnsi="Times New Roman" w:cs="Times New Roman"/>
          <w:sz w:val="24"/>
          <w:szCs w:val="24"/>
        </w:rPr>
        <w:t xml:space="preserve"> et al. 2013). The frequencies of observed erythrocytic nuclear abnormalities, including degeneration, bi-nucleus, micronucleus, notch nucleus, and nuclear bridge, as well as erythrocytic cellular abnormalities like echinocytes, fusion, elongation, and tear drop morphology, showed a significant increase in a concentration-dependent manner (Ritu et al., 2022).  The failure of tubulin </w:t>
      </w:r>
      <w:proofErr w:type="spellStart"/>
      <w:r>
        <w:rPr>
          <w:rFonts w:ascii="Times New Roman" w:hAnsi="Times New Roman" w:cs="Times New Roman"/>
          <w:sz w:val="24"/>
          <w:szCs w:val="24"/>
        </w:rPr>
        <w:t>polymerisation</w:t>
      </w:r>
      <w:proofErr w:type="spellEnd"/>
      <w:r>
        <w:rPr>
          <w:rFonts w:ascii="Times New Roman" w:hAnsi="Times New Roman" w:cs="Times New Roman"/>
          <w:sz w:val="24"/>
          <w:szCs w:val="24"/>
        </w:rPr>
        <w:t xml:space="preserve"> can lead to various nuclear abnormalities in erythrocytes, including binucleated cells, nuclear buds, nuclear bridges, </w:t>
      </w:r>
      <w:proofErr w:type="spellStart"/>
      <w:r>
        <w:rPr>
          <w:rFonts w:ascii="Times New Roman" w:hAnsi="Times New Roman" w:cs="Times New Roman"/>
          <w:sz w:val="24"/>
          <w:szCs w:val="24"/>
        </w:rPr>
        <w:t>karyopyknosis</w:t>
      </w:r>
      <w:proofErr w:type="spellEnd"/>
      <w:r>
        <w:rPr>
          <w:rFonts w:ascii="Times New Roman" w:hAnsi="Times New Roman" w:cs="Times New Roman"/>
          <w:sz w:val="24"/>
          <w:szCs w:val="24"/>
        </w:rPr>
        <w:t xml:space="preserve">, and notched nuclei, which may arise under stress induced by toxicants (Ghaffar et al., 2015; </w:t>
      </w:r>
      <w:proofErr w:type="spellStart"/>
      <w:r>
        <w:rPr>
          <w:rFonts w:ascii="Times New Roman" w:hAnsi="Times New Roman" w:cs="Times New Roman"/>
          <w:sz w:val="24"/>
          <w:szCs w:val="24"/>
        </w:rPr>
        <w:t>Vardavas</w:t>
      </w:r>
      <w:proofErr w:type="spellEnd"/>
      <w:r>
        <w:rPr>
          <w:rFonts w:ascii="Times New Roman" w:hAnsi="Times New Roman" w:cs="Times New Roman"/>
          <w:sz w:val="24"/>
          <w:szCs w:val="24"/>
        </w:rPr>
        <w:t xml:space="preserve"> et al., 2016). Moreover, the development of binucleated cells and notched nuclei can occur due to mitotic fusions resulting from the </w:t>
      </w:r>
      <w:proofErr w:type="spellStart"/>
      <w:r>
        <w:rPr>
          <w:rFonts w:ascii="Times New Roman" w:hAnsi="Times New Roman" w:cs="Times New Roman"/>
          <w:sz w:val="24"/>
          <w:szCs w:val="24"/>
        </w:rPr>
        <w:t>aneugenic</w:t>
      </w:r>
      <w:proofErr w:type="spellEnd"/>
      <w:r>
        <w:rPr>
          <w:rFonts w:ascii="Times New Roman" w:hAnsi="Times New Roman" w:cs="Times New Roman"/>
          <w:sz w:val="24"/>
          <w:szCs w:val="24"/>
        </w:rPr>
        <w:t xml:space="preserve"> effects of toxicants (Ventura et al., 2008). Additionally, it can be inferred that these kinds of abnormalities in erythrocytes may lead to morphological alterations in the plasma membrane, which impacts surface deformation and increases the susceptibility of erythrocytes to rupture while traversing small capillaries (Islam et al., 2020).</w:t>
      </w:r>
    </w:p>
    <w:p w14:paraId="23A86396" w14:textId="77777777" w:rsidR="008E10DE" w:rsidRDefault="008E10DE">
      <w:pPr>
        <w:pStyle w:val="Default"/>
        <w:spacing w:line="20" w:lineRule="atLeast"/>
        <w:ind w:firstLine="720"/>
        <w:jc w:val="both"/>
        <w:rPr>
          <w:color w:val="auto"/>
        </w:rPr>
      </w:pPr>
    </w:p>
    <w:p w14:paraId="0E0137C7" w14:textId="77777777" w:rsidR="008E10DE" w:rsidRDefault="008E10DE">
      <w:pPr>
        <w:spacing w:line="20" w:lineRule="atLeast"/>
        <w:jc w:val="both"/>
        <w:rPr>
          <w:rFonts w:ascii="Times New Roman" w:hAnsi="Times New Roman" w:cs="Times New Roman"/>
          <w:b/>
          <w:sz w:val="24"/>
          <w:szCs w:val="24"/>
        </w:rPr>
      </w:pPr>
    </w:p>
    <w:p w14:paraId="5FC58F4E" w14:textId="77777777" w:rsidR="008E10DE" w:rsidRDefault="00000000">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114300" distR="114300" wp14:anchorId="5598E12C" wp14:editId="65034932">
            <wp:extent cx="5269230" cy="8124190"/>
            <wp:effectExtent l="0" t="0" r="7620" b="10160"/>
            <wp:docPr id="3" name="Picture 3"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1"/>
                    <pic:cNvPicPr>
                      <a:picLocks noChangeAspect="1"/>
                    </pic:cNvPicPr>
                  </pic:nvPicPr>
                  <pic:blipFill>
                    <a:blip r:embed="rId12"/>
                    <a:stretch>
                      <a:fillRect/>
                    </a:stretch>
                  </pic:blipFill>
                  <pic:spPr>
                    <a:xfrm>
                      <a:off x="0" y="0"/>
                      <a:ext cx="5269230" cy="8124190"/>
                    </a:xfrm>
                    <a:prstGeom prst="rect">
                      <a:avLst/>
                    </a:prstGeom>
                  </pic:spPr>
                </pic:pic>
              </a:graphicData>
            </a:graphic>
          </wp:inline>
        </w:drawing>
      </w:r>
    </w:p>
    <w:p w14:paraId="39177E26" w14:textId="77777777" w:rsidR="008E10DE" w:rsidRDefault="008E10DE">
      <w:pPr>
        <w:spacing w:line="20" w:lineRule="atLeast"/>
        <w:jc w:val="both"/>
        <w:rPr>
          <w:rFonts w:ascii="Times New Roman" w:hAnsi="Times New Roman" w:cs="Times New Roman"/>
          <w:b/>
          <w:sz w:val="24"/>
          <w:szCs w:val="24"/>
        </w:rPr>
      </w:pPr>
    </w:p>
    <w:p w14:paraId="554F5756"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Fig. 6. Morphological Alterations in the blood cells of </w:t>
      </w:r>
      <w:r>
        <w:rPr>
          <w:rFonts w:ascii="Times New Roman" w:hAnsi="Times New Roman" w:cs="Times New Roman"/>
          <w:b/>
          <w:i/>
          <w:sz w:val="24"/>
          <w:szCs w:val="24"/>
        </w:rPr>
        <w:t xml:space="preserve">L. </w:t>
      </w:r>
      <w:proofErr w:type="spellStart"/>
      <w:r>
        <w:rPr>
          <w:rFonts w:ascii="Times New Roman" w:hAnsi="Times New Roman" w:cs="Times New Roman"/>
          <w:b/>
          <w:i/>
          <w:sz w:val="24"/>
          <w:szCs w:val="24"/>
        </w:rPr>
        <w:t>rohita</w:t>
      </w:r>
      <w:proofErr w:type="spellEnd"/>
      <w:r>
        <w:rPr>
          <w:rFonts w:ascii="Times New Roman" w:hAnsi="Times New Roman" w:cs="Times New Roman"/>
          <w:b/>
          <w:sz w:val="24"/>
          <w:szCs w:val="24"/>
        </w:rPr>
        <w:t xml:space="preserve"> exposed to sublethal concentrations of </w:t>
      </w:r>
      <w:proofErr w:type="spellStart"/>
      <w:r>
        <w:rPr>
          <w:rFonts w:ascii="Times New Roman" w:hAnsi="Times New Roman" w:cs="Times New Roman"/>
          <w:b/>
          <w:sz w:val="24"/>
          <w:szCs w:val="24"/>
        </w:rPr>
        <w:t>Monocrotophos</w:t>
      </w:r>
      <w:proofErr w:type="spellEnd"/>
    </w:p>
    <w:p w14:paraId="5FD66EC8" w14:textId="77777777" w:rsidR="008E10DE" w:rsidRDefault="008E10DE">
      <w:pPr>
        <w:spacing w:line="20" w:lineRule="atLeast"/>
        <w:jc w:val="both"/>
        <w:rPr>
          <w:rFonts w:ascii="Times New Roman" w:hAnsi="Times New Roman" w:cs="Times New Roman"/>
          <w:sz w:val="24"/>
          <w:szCs w:val="24"/>
        </w:rPr>
      </w:pPr>
    </w:p>
    <w:p w14:paraId="4064E81E" w14:textId="77777777" w:rsidR="008E10DE" w:rsidRDefault="00000000">
      <w:pPr>
        <w:spacing w:line="20" w:lineRule="atLeast"/>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3.5 Comet Assay</w:t>
      </w:r>
    </w:p>
    <w:p w14:paraId="7A298B3B" w14:textId="77777777" w:rsidR="008E10DE" w:rsidRDefault="008E10DE">
      <w:pPr>
        <w:spacing w:line="20" w:lineRule="atLeast"/>
        <w:jc w:val="both"/>
        <w:rPr>
          <w:rFonts w:ascii="Times New Roman" w:hAnsi="Times New Roman" w:cs="Times New Roman"/>
          <w:b/>
          <w:bCs/>
          <w:iCs/>
          <w:sz w:val="24"/>
          <w:szCs w:val="24"/>
        </w:rPr>
      </w:pPr>
    </w:p>
    <w:p w14:paraId="26CF4973" w14:textId="77777777" w:rsidR="008E10DE" w:rsidRDefault="00000000">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Exposure lower concentrations of </w:t>
      </w:r>
      <w:proofErr w:type="spellStart"/>
      <w:proofErr w:type="gram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resulted</w:t>
      </w:r>
      <w:proofErr w:type="gramEnd"/>
      <w:r>
        <w:rPr>
          <w:rFonts w:ascii="Times New Roman" w:hAnsi="Times New Roman" w:cs="Times New Roman"/>
          <w:sz w:val="24"/>
          <w:szCs w:val="24"/>
        </w:rPr>
        <w:t xml:space="preserve"> in significant changes in erythrocyte shape, indicating that even at sub-lethal levels, the pesticide promotes cellular stress and structural modifications. At a dosage of 40 ppm, exposure to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resulted in substantial DNA damage in the blood erythrocytes of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(Fig. 7B). This damage triggered a series of biological processes leading to apoptosis, a regulated type of cell death, in contrast to the normal morphology and preserved DNA seen in the control group (Fig. 7A). The observed results underscore the concentration-dependent character of the damage, with higher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concentrations exacerbating the severity of the toxic effects on erythrocyte DNA. At 40 ppm, the level of DNA damage surpassed the repair threshold, initiating cell death processes such apoptosis. </w:t>
      </w:r>
      <w:proofErr w:type="spellStart"/>
      <w:proofErr w:type="gram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has</w:t>
      </w:r>
      <w:proofErr w:type="gramEnd"/>
      <w:r>
        <w:rPr>
          <w:rFonts w:ascii="Times New Roman" w:hAnsi="Times New Roman" w:cs="Times New Roman"/>
          <w:sz w:val="24"/>
          <w:szCs w:val="24"/>
        </w:rPr>
        <w:t xml:space="preserve"> been shown to induce genotoxicity via DNA damage (Blasiak et al., 2000; Matsumoto et al., 2003) and to modify the nuclear architecture of blood cells (Lim et al., 2003; Sharaf et al., 2010).Toxicities from this possible </w:t>
      </w:r>
      <w:proofErr w:type="spellStart"/>
      <w:r>
        <w:rPr>
          <w:rFonts w:ascii="Times New Roman" w:hAnsi="Times New Roman" w:cs="Times New Roman"/>
          <w:sz w:val="24"/>
          <w:szCs w:val="24"/>
        </w:rPr>
        <w:t>genotoxicant</w:t>
      </w:r>
      <w:proofErr w:type="spellEnd"/>
      <w:r>
        <w:rPr>
          <w:rFonts w:ascii="Times New Roman" w:hAnsi="Times New Roman" w:cs="Times New Roman"/>
          <w:sz w:val="24"/>
          <w:szCs w:val="24"/>
        </w:rPr>
        <w:t xml:space="preserve"> may cause DNA damage by modifying DNA bases and disrupting DNA strands (Borah, R.N. Yadav, 1995), perhaps resulting in aneuploidy. Evidence is evident in the instance of Channa punctata subjected to atrazine-based herbicides (Nwani et al., 2018).</w:t>
      </w:r>
    </w:p>
    <w:p w14:paraId="794193B8" w14:textId="77777777" w:rsidR="008E10DE" w:rsidRDefault="008E10DE">
      <w:pPr>
        <w:spacing w:line="20" w:lineRule="atLeast"/>
        <w:jc w:val="both"/>
        <w:rPr>
          <w:rFonts w:ascii="Times New Roman" w:hAnsi="Times New Roman" w:cs="Times New Roman"/>
          <w:sz w:val="24"/>
          <w:szCs w:val="24"/>
        </w:rPr>
      </w:pPr>
    </w:p>
    <w:p w14:paraId="63CCFCF7" w14:textId="77777777" w:rsidR="008E10DE" w:rsidRDefault="00000000">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114300" distR="114300" wp14:anchorId="4A1BF8CD" wp14:editId="2E24B10E">
            <wp:extent cx="5351780" cy="2381250"/>
            <wp:effectExtent l="0" t="0" r="127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3"/>
                    <a:stretch>
                      <a:fillRect/>
                    </a:stretch>
                  </pic:blipFill>
                  <pic:spPr>
                    <a:xfrm>
                      <a:off x="0" y="0"/>
                      <a:ext cx="5351780" cy="2381250"/>
                    </a:xfrm>
                    <a:prstGeom prst="rect">
                      <a:avLst/>
                    </a:prstGeom>
                    <a:noFill/>
                    <a:ln>
                      <a:noFill/>
                    </a:ln>
                  </pic:spPr>
                </pic:pic>
              </a:graphicData>
            </a:graphic>
          </wp:inline>
        </w:drawing>
      </w:r>
    </w:p>
    <w:p w14:paraId="4A118B23" w14:textId="77777777" w:rsidR="008E10DE" w:rsidRDefault="008E10DE">
      <w:pPr>
        <w:spacing w:line="20" w:lineRule="atLeast"/>
        <w:jc w:val="center"/>
        <w:rPr>
          <w:rFonts w:ascii="Times New Roman" w:hAnsi="Times New Roman" w:cs="Times New Roman"/>
          <w:b/>
          <w:bCs/>
          <w:sz w:val="24"/>
          <w:szCs w:val="24"/>
        </w:rPr>
      </w:pPr>
    </w:p>
    <w:p w14:paraId="1E139DC6" w14:textId="77777777" w:rsidR="008E10DE" w:rsidRDefault="00000000">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Fig. 7. Apoptotic Cell death as evidenced by Comet Assay in the erythrocytes of </w:t>
      </w:r>
      <w:r>
        <w:rPr>
          <w:rFonts w:ascii="Times New Roman" w:hAnsi="Times New Roman" w:cs="Times New Roman"/>
          <w:b/>
          <w:bCs/>
          <w:i/>
          <w:sz w:val="24"/>
          <w:szCs w:val="24"/>
        </w:rPr>
        <w:t xml:space="preserve">L. </w:t>
      </w:r>
      <w:proofErr w:type="spellStart"/>
      <w:r>
        <w:rPr>
          <w:rFonts w:ascii="Times New Roman" w:hAnsi="Times New Roman" w:cs="Times New Roman"/>
          <w:b/>
          <w:bCs/>
          <w:i/>
          <w:sz w:val="24"/>
          <w:szCs w:val="24"/>
        </w:rPr>
        <w:t>rohita</w:t>
      </w:r>
      <w:proofErr w:type="spellEnd"/>
      <w:r>
        <w:rPr>
          <w:rFonts w:ascii="Times New Roman" w:hAnsi="Times New Roman" w:cs="Times New Roman"/>
          <w:b/>
          <w:bCs/>
          <w:sz w:val="24"/>
          <w:szCs w:val="24"/>
        </w:rPr>
        <w:t xml:space="preserve"> exposed to sublethal concentrations of </w:t>
      </w:r>
      <w:proofErr w:type="spellStart"/>
      <w:r>
        <w:rPr>
          <w:rFonts w:ascii="Times New Roman" w:hAnsi="Times New Roman" w:cs="Times New Roman"/>
          <w:b/>
          <w:bCs/>
          <w:sz w:val="24"/>
          <w:szCs w:val="24"/>
        </w:rPr>
        <w:t>Monocrotophos</w:t>
      </w:r>
      <w:proofErr w:type="spellEnd"/>
      <w:r>
        <w:rPr>
          <w:rFonts w:ascii="Times New Roman" w:hAnsi="Times New Roman" w:cs="Times New Roman"/>
          <w:b/>
          <w:bCs/>
          <w:sz w:val="24"/>
          <w:szCs w:val="24"/>
        </w:rPr>
        <w:t xml:space="preserve"> </w:t>
      </w:r>
    </w:p>
    <w:p w14:paraId="71988985" w14:textId="77777777" w:rsidR="008E10DE" w:rsidRDefault="008E10DE">
      <w:pPr>
        <w:spacing w:line="20" w:lineRule="atLeast"/>
        <w:jc w:val="center"/>
        <w:rPr>
          <w:rFonts w:ascii="Times New Roman" w:hAnsi="Times New Roman" w:cs="Times New Roman"/>
          <w:bCs/>
          <w:sz w:val="24"/>
          <w:szCs w:val="24"/>
        </w:rPr>
      </w:pPr>
    </w:p>
    <w:p w14:paraId="03E0B64C" w14:textId="77777777" w:rsidR="008E10DE" w:rsidRDefault="00000000">
      <w:pPr>
        <w:spacing w:line="20" w:lineRule="atLeast"/>
        <w:jc w:val="both"/>
        <w:rPr>
          <w:rFonts w:ascii="Times New Roman" w:hAnsi="Times New Roman" w:cs="Times New Roman"/>
          <w:b/>
          <w:sz w:val="24"/>
          <w:szCs w:val="24"/>
        </w:rPr>
      </w:pPr>
      <w:r>
        <w:rPr>
          <w:rFonts w:ascii="Times New Roman" w:hAnsi="Times New Roman" w:cs="Times New Roman"/>
          <w:b/>
          <w:sz w:val="24"/>
          <w:szCs w:val="24"/>
        </w:rPr>
        <w:t>3.5 Histological alterations</w:t>
      </w:r>
    </w:p>
    <w:p w14:paraId="5EBE2234" w14:textId="77777777" w:rsidR="008E10DE" w:rsidRDefault="008E10DE">
      <w:pPr>
        <w:spacing w:line="20" w:lineRule="atLeast"/>
        <w:rPr>
          <w:rFonts w:ascii="Times New Roman" w:hAnsi="Times New Roman" w:cs="Times New Roman"/>
          <w:b/>
          <w:sz w:val="24"/>
          <w:szCs w:val="24"/>
        </w:rPr>
      </w:pPr>
    </w:p>
    <w:p w14:paraId="3F32FF41" w14:textId="77777777" w:rsidR="008E10DE" w:rsidRDefault="00000000">
      <w:pPr>
        <w:spacing w:line="20" w:lineRule="atLeast"/>
        <w:rPr>
          <w:rFonts w:ascii="Times New Roman" w:hAnsi="Times New Roman" w:cs="Times New Roman"/>
          <w:b/>
          <w:sz w:val="24"/>
          <w:szCs w:val="24"/>
        </w:rPr>
      </w:pPr>
      <w:r>
        <w:rPr>
          <w:rFonts w:ascii="Times New Roman" w:hAnsi="Times New Roman" w:cs="Times New Roman"/>
          <w:b/>
          <w:sz w:val="24"/>
          <w:szCs w:val="24"/>
        </w:rPr>
        <w:t>3.5.1 Effect on gill tissue</w:t>
      </w:r>
    </w:p>
    <w:p w14:paraId="22773CB4" w14:textId="77777777" w:rsidR="008E10DE" w:rsidRDefault="008E10DE">
      <w:pPr>
        <w:autoSpaceDE w:val="0"/>
        <w:autoSpaceDN w:val="0"/>
        <w:adjustRightInd w:val="0"/>
        <w:spacing w:line="20" w:lineRule="atLeast"/>
        <w:jc w:val="both"/>
        <w:rPr>
          <w:rFonts w:ascii="Times New Roman" w:hAnsi="Times New Roman" w:cs="Times New Roman"/>
          <w:sz w:val="24"/>
          <w:szCs w:val="24"/>
        </w:rPr>
      </w:pPr>
    </w:p>
    <w:p w14:paraId="536081EF" w14:textId="77777777" w:rsidR="008E10DE" w:rsidRDefault="00000000">
      <w:pPr>
        <w:autoSpaceDE w:val="0"/>
        <w:autoSpaceDN w:val="0"/>
        <w:adjustRightInd w:val="0"/>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Histopathological alterations have been observed in the gills of </w:t>
      </w:r>
      <w:r>
        <w:rPr>
          <w:rFonts w:ascii="Times New Roman" w:hAnsi="Times New Roman" w:cs="Times New Roman"/>
          <w:i/>
          <w:iCs/>
          <w:sz w:val="24"/>
          <w:szCs w:val="24"/>
        </w:rPr>
        <w:t xml:space="preserve">L. </w:t>
      </w:r>
      <w:proofErr w:type="spellStart"/>
      <w:r>
        <w:rPr>
          <w:rFonts w:ascii="Times New Roman" w:hAnsi="Times New Roman" w:cs="Times New Roman"/>
          <w:i/>
          <w:iCs/>
          <w:sz w:val="24"/>
          <w:szCs w:val="24"/>
        </w:rPr>
        <w:t>rohita</w:t>
      </w:r>
      <w:proofErr w:type="spellEnd"/>
      <w:r>
        <w:rPr>
          <w:rFonts w:ascii="Times New Roman" w:hAnsi="Times New Roman" w:cs="Times New Roman"/>
          <w:sz w:val="24"/>
          <w:szCs w:val="24"/>
        </w:rPr>
        <w:t xml:space="preserve"> subjected to a sublethal dosage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(60 ppm) over a duration of 30 days (Figs. 8a-f). No alterations were seen in the gill of the control fish (Figure. 8a). Fish gills exposed to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exhibited swelling and erosion, along with curling and clubbing of the gill epithelium in the Secondary Gill Lamellae, and dilation of blood vessels (Figs. 8 b and c). Significant swelling at the ends of secondary gill lamellae owing to lamellar oedema was the prominent histological alteration seen (Figs. 8 d and e). A notable characteristic was the aggregation of lamellae in the secondary gill lamellae. </w:t>
      </w:r>
      <w:r>
        <w:rPr>
          <w:rFonts w:ascii="Times New Roman" w:hAnsi="Times New Roman" w:cs="Times New Roman"/>
          <w:sz w:val="24"/>
          <w:szCs w:val="24"/>
        </w:rPr>
        <w:lastRenderedPageBreak/>
        <w:t xml:space="preserve">The photomicrograph clearly indicates that lamellar fusion has occurred as a result of extended exposure to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(Fig. 8f).</w:t>
      </w:r>
    </w:p>
    <w:p w14:paraId="38657EAC" w14:textId="77777777" w:rsidR="008E10DE" w:rsidRDefault="008E10DE">
      <w:pPr>
        <w:autoSpaceDE w:val="0"/>
        <w:autoSpaceDN w:val="0"/>
        <w:adjustRightInd w:val="0"/>
        <w:spacing w:line="20" w:lineRule="atLeast"/>
        <w:ind w:firstLine="720"/>
        <w:jc w:val="both"/>
        <w:rPr>
          <w:rFonts w:ascii="Times New Roman" w:hAnsi="Times New Roman" w:cs="Times New Roman"/>
          <w:sz w:val="24"/>
          <w:szCs w:val="24"/>
        </w:rPr>
      </w:pPr>
    </w:p>
    <w:p w14:paraId="28B965F3"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114300" distR="114300" wp14:anchorId="50A94518" wp14:editId="08CC8FDA">
            <wp:extent cx="5269230" cy="3680460"/>
            <wp:effectExtent l="0" t="0" r="7620" b="15240"/>
            <wp:docPr id="23" name="Picture 23" descr="gil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illll"/>
                    <pic:cNvPicPr>
                      <a:picLocks noChangeAspect="1"/>
                    </pic:cNvPicPr>
                  </pic:nvPicPr>
                  <pic:blipFill>
                    <a:blip r:embed="rId14"/>
                    <a:stretch>
                      <a:fillRect/>
                    </a:stretch>
                  </pic:blipFill>
                  <pic:spPr>
                    <a:xfrm>
                      <a:off x="0" y="0"/>
                      <a:ext cx="5269230" cy="3680460"/>
                    </a:xfrm>
                    <a:prstGeom prst="rect">
                      <a:avLst/>
                    </a:prstGeom>
                  </pic:spPr>
                </pic:pic>
              </a:graphicData>
            </a:graphic>
          </wp:inline>
        </w:drawing>
      </w:r>
    </w:p>
    <w:p w14:paraId="6B88F078" w14:textId="77777777" w:rsidR="008E10DE" w:rsidRDefault="008E10DE">
      <w:pPr>
        <w:spacing w:line="20" w:lineRule="atLeast"/>
        <w:jc w:val="center"/>
        <w:rPr>
          <w:rFonts w:ascii="Times New Roman" w:hAnsi="Times New Roman" w:cs="Times New Roman"/>
          <w:b/>
          <w:sz w:val="24"/>
          <w:szCs w:val="24"/>
        </w:rPr>
      </w:pPr>
    </w:p>
    <w:p w14:paraId="7F7E1996" w14:textId="77777777" w:rsidR="008E10DE" w:rsidRDefault="0000000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Fig. 8. Histological alterations in Gill of </w:t>
      </w:r>
      <w:r>
        <w:rPr>
          <w:rFonts w:ascii="Times New Roman" w:hAnsi="Times New Roman" w:cs="Times New Roman"/>
          <w:b/>
          <w:i/>
          <w:iCs/>
          <w:sz w:val="24"/>
          <w:szCs w:val="24"/>
        </w:rPr>
        <w:t xml:space="preserve">L. </w:t>
      </w:r>
      <w:proofErr w:type="spellStart"/>
      <w:r>
        <w:rPr>
          <w:rFonts w:ascii="Times New Roman" w:hAnsi="Times New Roman" w:cs="Times New Roman"/>
          <w:b/>
          <w:i/>
          <w:iCs/>
          <w:sz w:val="24"/>
          <w:szCs w:val="24"/>
        </w:rPr>
        <w:t>rohita</w:t>
      </w:r>
      <w:proofErr w:type="spellEnd"/>
      <w:r>
        <w:rPr>
          <w:rFonts w:ascii="Times New Roman" w:hAnsi="Times New Roman" w:cs="Times New Roman"/>
          <w:b/>
          <w:sz w:val="24"/>
          <w:szCs w:val="24"/>
        </w:rPr>
        <w:t xml:space="preserve"> exposed to the sublethal </w:t>
      </w:r>
    </w:p>
    <w:p w14:paraId="23A88236" w14:textId="77777777" w:rsidR="008E10DE" w:rsidRDefault="00000000">
      <w:pPr>
        <w:spacing w:line="20" w:lineRule="atLeast"/>
        <w:jc w:val="center"/>
        <w:rPr>
          <w:rFonts w:ascii="Times New Roman" w:hAnsi="Times New Roman" w:cs="Times New Roman"/>
          <w:bCs/>
          <w:sz w:val="24"/>
          <w:szCs w:val="24"/>
        </w:rPr>
      </w:pPr>
      <w:r>
        <w:rPr>
          <w:rFonts w:ascii="Times New Roman" w:hAnsi="Times New Roman" w:cs="Times New Roman"/>
          <w:b/>
          <w:sz w:val="24"/>
          <w:szCs w:val="24"/>
        </w:rPr>
        <w:t xml:space="preserve">(60 ppm) concentration of </w:t>
      </w:r>
      <w:proofErr w:type="spellStart"/>
      <w:r>
        <w:rPr>
          <w:rFonts w:ascii="Times New Roman" w:hAnsi="Times New Roman" w:cs="Times New Roman"/>
          <w:b/>
          <w:sz w:val="24"/>
          <w:szCs w:val="24"/>
        </w:rPr>
        <w:t>Monocrotophos</w:t>
      </w:r>
      <w:proofErr w:type="spellEnd"/>
      <w:r>
        <w:rPr>
          <w:rFonts w:ascii="Times New Roman" w:hAnsi="Times New Roman" w:cs="Times New Roman"/>
          <w:b/>
          <w:sz w:val="24"/>
          <w:szCs w:val="24"/>
        </w:rPr>
        <w:t xml:space="preserve"> for 30 days.</w:t>
      </w:r>
      <w:r>
        <w:rPr>
          <w:rFonts w:ascii="Times New Roman" w:hAnsi="Times New Roman" w:cs="Times New Roman"/>
          <w:bCs/>
          <w:sz w:val="24"/>
          <w:szCs w:val="24"/>
        </w:rPr>
        <w:t xml:space="preserve"> </w:t>
      </w:r>
    </w:p>
    <w:p w14:paraId="129808B1" w14:textId="77777777" w:rsidR="008E10DE" w:rsidRDefault="00000000">
      <w:pPr>
        <w:numPr>
          <w:ilvl w:val="0"/>
          <w:numId w:val="2"/>
        </w:numPr>
        <w:spacing w:line="20" w:lineRule="atLeast"/>
        <w:jc w:val="center"/>
        <w:rPr>
          <w:rFonts w:ascii="Times New Roman" w:hAnsi="Times New Roman" w:cs="Times New Roman"/>
          <w:bCs/>
          <w:sz w:val="24"/>
          <w:szCs w:val="24"/>
        </w:rPr>
      </w:pPr>
      <w:r>
        <w:rPr>
          <w:rFonts w:ascii="Times New Roman" w:hAnsi="Times New Roman" w:cs="Times New Roman"/>
          <w:bCs/>
          <w:sz w:val="24"/>
          <w:szCs w:val="24"/>
        </w:rPr>
        <w:t xml:space="preserve">Control gill.  PGL-Primary Gill Lamellae; SGL-Secondary Gill Lamellae, b- </w:t>
      </w:r>
      <w:proofErr w:type="spellStart"/>
      <w:r>
        <w:rPr>
          <w:rFonts w:ascii="Times New Roman" w:hAnsi="Times New Roman" w:cs="Times New Roman"/>
          <w:bCs/>
          <w:sz w:val="24"/>
          <w:szCs w:val="24"/>
        </w:rPr>
        <w:t>Monocrotophos</w:t>
      </w:r>
      <w:proofErr w:type="spellEnd"/>
      <w:r>
        <w:rPr>
          <w:rFonts w:ascii="Times New Roman" w:hAnsi="Times New Roman" w:cs="Times New Roman"/>
          <w:bCs/>
          <w:sz w:val="24"/>
          <w:szCs w:val="24"/>
        </w:rPr>
        <w:t xml:space="preserve"> exposed swelling and erosion of the gill epithelium (arrows), c- curling and clubbing, d- interlamellar bridge formation or fusion. e - epithelial cell degeneration, f- epithelial cell erosion (arrows). Hematoxylin and Eosin stain, magnification: 100 and 400X.</w:t>
      </w:r>
    </w:p>
    <w:p w14:paraId="6D92352E" w14:textId="77777777" w:rsidR="008E10DE" w:rsidRDefault="008E10DE">
      <w:pPr>
        <w:spacing w:line="20" w:lineRule="atLeast"/>
        <w:jc w:val="both"/>
        <w:rPr>
          <w:rFonts w:ascii="Times New Roman" w:hAnsi="Times New Roman" w:cs="Times New Roman"/>
          <w:bCs/>
          <w:sz w:val="24"/>
          <w:szCs w:val="24"/>
        </w:rPr>
      </w:pPr>
    </w:p>
    <w:p w14:paraId="1D0F1F79" w14:textId="77777777" w:rsidR="008E10DE" w:rsidRDefault="00000000">
      <w:pPr>
        <w:spacing w:line="20" w:lineRule="atLeast"/>
        <w:jc w:val="both"/>
        <w:rPr>
          <w:rFonts w:ascii="Times New Roman" w:hAnsi="Times New Roman" w:cs="Times New Roman"/>
          <w:b/>
          <w:sz w:val="24"/>
          <w:szCs w:val="24"/>
        </w:rPr>
      </w:pPr>
      <w:r>
        <w:rPr>
          <w:rFonts w:ascii="Times New Roman" w:hAnsi="Times New Roman" w:cs="Times New Roman"/>
          <w:b/>
          <w:sz w:val="24"/>
          <w:szCs w:val="24"/>
        </w:rPr>
        <w:t>3.5.2 Effect on liver tissue</w:t>
      </w:r>
    </w:p>
    <w:p w14:paraId="68371EE0" w14:textId="77777777" w:rsidR="008E10DE" w:rsidRDefault="008E10DE">
      <w:pPr>
        <w:spacing w:line="20" w:lineRule="atLeast"/>
        <w:jc w:val="both"/>
        <w:rPr>
          <w:rFonts w:ascii="Times New Roman" w:hAnsi="Times New Roman" w:cs="Times New Roman"/>
          <w:b/>
          <w:sz w:val="24"/>
          <w:szCs w:val="24"/>
        </w:rPr>
      </w:pPr>
    </w:p>
    <w:p w14:paraId="25A860E0" w14:textId="77777777" w:rsidR="008E10DE" w:rsidRDefault="00000000">
      <w:pPr>
        <w:spacing w:line="20" w:lineRule="atLeast"/>
        <w:jc w:val="both"/>
        <w:rPr>
          <w:rFonts w:ascii="Times New Roman" w:hAnsi="Times New Roman" w:cs="Times New Roman"/>
          <w:sz w:val="24"/>
          <w:szCs w:val="24"/>
        </w:rPr>
      </w:pPr>
      <w:r>
        <w:rPr>
          <w:rFonts w:ascii="Times New Roman" w:eastAsia="Cambria" w:hAnsi="Times New Roman" w:cs="Times New Roman"/>
          <w:sz w:val="24"/>
          <w:szCs w:val="24"/>
          <w:shd w:val="clear" w:color="auto" w:fill="FFFFFF"/>
        </w:rPr>
        <w:t xml:space="preserve">Medium to extreme </w:t>
      </w:r>
      <w:proofErr w:type="spellStart"/>
      <w:r>
        <w:rPr>
          <w:rFonts w:ascii="Times New Roman" w:eastAsia="Cambria" w:hAnsi="Times New Roman" w:cs="Times New Roman"/>
          <w:sz w:val="24"/>
          <w:szCs w:val="24"/>
          <w:shd w:val="clear" w:color="auto" w:fill="FFFFFF"/>
        </w:rPr>
        <w:t>histo</w:t>
      </w:r>
      <w:proofErr w:type="spellEnd"/>
      <w:r>
        <w:rPr>
          <w:rFonts w:ascii="Times New Roman" w:eastAsia="Cambria" w:hAnsi="Times New Roman" w:cs="Times New Roman"/>
          <w:sz w:val="24"/>
          <w:szCs w:val="24"/>
          <w:shd w:val="clear" w:color="auto" w:fill="FFFFFF"/>
        </w:rPr>
        <w:t xml:space="preserve">-pathological anomalies in the liver like congestion, ceroid production, hemorrhage, nuclear pyknosis, karyorrhexis, </w:t>
      </w:r>
      <w:proofErr w:type="spellStart"/>
      <w:r>
        <w:rPr>
          <w:rFonts w:ascii="Times New Roman" w:eastAsia="Cambria" w:hAnsi="Times New Roman" w:cs="Times New Roman"/>
          <w:sz w:val="24"/>
          <w:szCs w:val="24"/>
          <w:shd w:val="clear" w:color="auto" w:fill="FFFFFF"/>
        </w:rPr>
        <w:t>karyolysis</w:t>
      </w:r>
      <w:proofErr w:type="spellEnd"/>
      <w:r>
        <w:rPr>
          <w:rFonts w:ascii="Times New Roman" w:eastAsia="Cambria" w:hAnsi="Times New Roman" w:cs="Times New Roman"/>
          <w:sz w:val="24"/>
          <w:szCs w:val="24"/>
          <w:shd w:val="clear" w:color="auto" w:fill="FFFFFF"/>
        </w:rPr>
        <w:t xml:space="preserve">, binucleated hepatocytes, nuclear hypertrophy, eccentric nuclei and vacuolar disintegration were observed at days-30 of the experiment. Numerous </w:t>
      </w:r>
      <w:proofErr w:type="spellStart"/>
      <w:r>
        <w:rPr>
          <w:rFonts w:ascii="Times New Roman" w:eastAsia="Cambria" w:hAnsi="Times New Roman" w:cs="Times New Roman"/>
          <w:sz w:val="24"/>
          <w:szCs w:val="24"/>
          <w:shd w:val="clear" w:color="auto" w:fill="FFFFFF"/>
        </w:rPr>
        <w:t>histo</w:t>
      </w:r>
      <w:proofErr w:type="spellEnd"/>
      <w:r>
        <w:rPr>
          <w:rFonts w:ascii="Times New Roman" w:eastAsia="Cambria" w:hAnsi="Times New Roman" w:cs="Times New Roman"/>
          <w:sz w:val="24"/>
          <w:szCs w:val="24"/>
          <w:shd w:val="clear" w:color="auto" w:fill="FFFFFF"/>
        </w:rPr>
        <w:t xml:space="preserve">-pathological defects in the fish liver exposed to high concentrations (60ppm) of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w:t>
      </w:r>
      <w:r>
        <w:rPr>
          <w:rFonts w:ascii="Times New Roman" w:eastAsia="Cambria" w:hAnsi="Times New Roman" w:cs="Times New Roman"/>
          <w:sz w:val="24"/>
          <w:szCs w:val="24"/>
          <w:shd w:val="clear" w:color="auto" w:fill="FFFFFF"/>
        </w:rPr>
        <w:t xml:space="preserve"> showed vacuolar disintegration, karyorrhexis, </w:t>
      </w:r>
      <w:proofErr w:type="spellStart"/>
      <w:r>
        <w:rPr>
          <w:rFonts w:ascii="Times New Roman" w:eastAsia="Cambria" w:hAnsi="Times New Roman" w:cs="Times New Roman"/>
          <w:sz w:val="24"/>
          <w:szCs w:val="24"/>
          <w:shd w:val="clear" w:color="auto" w:fill="FFFFFF"/>
        </w:rPr>
        <w:t>karyolysis</w:t>
      </w:r>
      <w:proofErr w:type="spellEnd"/>
      <w:r>
        <w:rPr>
          <w:rFonts w:ascii="Times New Roman" w:eastAsia="Cambria" w:hAnsi="Times New Roman" w:cs="Times New Roman"/>
          <w:sz w:val="24"/>
          <w:szCs w:val="24"/>
          <w:shd w:val="clear" w:color="auto" w:fill="FFFFFF"/>
        </w:rPr>
        <w:t xml:space="preserve"> on days-30 of the experiment (</w:t>
      </w:r>
      <w:hyperlink r:id="rId15" w:anchor="pone.0304387.g012" w:history="1">
        <w:r w:rsidR="008E10DE">
          <w:rPr>
            <w:rStyle w:val="Hyperlink"/>
            <w:rFonts w:ascii="Times New Roman" w:eastAsia="Cambria" w:hAnsi="Times New Roman" w:cs="Times New Roman"/>
            <w:color w:val="auto"/>
            <w:sz w:val="24"/>
            <w:szCs w:val="24"/>
            <w:u w:val="none"/>
            <w:shd w:val="clear" w:color="auto" w:fill="FFFFFF"/>
          </w:rPr>
          <w:t>Fig. 9</w:t>
        </w:r>
      </w:hyperlink>
      <w:r>
        <w:rPr>
          <w:rFonts w:ascii="Times New Roman" w:eastAsia="Cambria" w:hAnsi="Times New Roman" w:cs="Times New Roman"/>
          <w:sz w:val="24"/>
          <w:szCs w:val="24"/>
          <w:shd w:val="clear" w:color="auto" w:fill="FFFFFF"/>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In liver histology of control group, the hepatocytes were normally arranged in cords of cells (Fig. 9a) In the present study, the liver of </w:t>
      </w:r>
      <w:r>
        <w:rPr>
          <w:rFonts w:ascii="Times New Roman" w:eastAsia="Times New Roman" w:hAnsi="Times New Roman" w:cs="Times New Roman"/>
          <w:i/>
          <w:sz w:val="24"/>
          <w:szCs w:val="24"/>
        </w:rPr>
        <w:t xml:space="preserve">L. </w:t>
      </w:r>
      <w:proofErr w:type="spellStart"/>
      <w:r>
        <w:rPr>
          <w:rFonts w:ascii="Times New Roman" w:eastAsia="Times New Roman" w:hAnsi="Times New Roman" w:cs="Times New Roman"/>
          <w:i/>
          <w:sz w:val="24"/>
          <w:szCs w:val="24"/>
        </w:rPr>
        <w:t>rohita</w:t>
      </w:r>
      <w:proofErr w:type="spellEnd"/>
      <w:r>
        <w:rPr>
          <w:rFonts w:ascii="Times New Roman" w:eastAsia="Times New Roman" w:hAnsi="Times New Roman" w:cs="Times New Roman"/>
          <w:sz w:val="24"/>
          <w:szCs w:val="24"/>
        </w:rPr>
        <w:t xml:space="preserve">, treated with sub lethal concentrations of </w:t>
      </w:r>
      <w:proofErr w:type="spellStart"/>
      <w:r>
        <w:rPr>
          <w:rFonts w:ascii="Times New Roman" w:eastAsia="Times New Roman" w:hAnsi="Times New Roman" w:cs="Times New Roman"/>
          <w:sz w:val="24"/>
          <w:szCs w:val="24"/>
        </w:rPr>
        <w:t>Monocrotophos</w:t>
      </w:r>
      <w:proofErr w:type="spellEnd"/>
      <w:r>
        <w:rPr>
          <w:rFonts w:ascii="Times New Roman" w:eastAsia="Times New Roman" w:hAnsi="Times New Roman" w:cs="Times New Roman"/>
          <w:sz w:val="24"/>
          <w:szCs w:val="24"/>
        </w:rPr>
        <w:t xml:space="preserve"> showed congestion of blood vessels (Fig. 9b), nuclear vacuolization (Fig. 9c) and the pyknotic nuclei released were seen pushed to the sinusoids (Fig. 9d).  </w:t>
      </w:r>
      <w:proofErr w:type="spellStart"/>
      <w:r>
        <w:rPr>
          <w:rFonts w:ascii="Times New Roman" w:eastAsia="Times New Roman" w:hAnsi="Times New Roman" w:cs="Times New Roman"/>
          <w:sz w:val="24"/>
          <w:szCs w:val="24"/>
        </w:rPr>
        <w:t>Karyopyknosis</w:t>
      </w:r>
      <w:proofErr w:type="spellEnd"/>
      <w:r>
        <w:rPr>
          <w:rFonts w:ascii="Times New Roman" w:eastAsia="Times New Roman" w:hAnsi="Times New Roman" w:cs="Times New Roman"/>
          <w:sz w:val="24"/>
          <w:szCs w:val="24"/>
        </w:rPr>
        <w:t xml:space="preserve"> which is marked by irreversible condensation of chromatin, which was followed by karyorrhexis marked by fragmentation of the nucleus in necrotic cells was also observed (Fig. 9e). The displacing and compressing the nucleus karyorrhexis was also observed ,whereby its chromatin is distributed irregularly throughout the cytoplasm, </w:t>
      </w:r>
      <w:proofErr w:type="spellStart"/>
      <w:r>
        <w:rPr>
          <w:rFonts w:ascii="Times New Roman" w:eastAsia="Times New Roman" w:hAnsi="Times New Roman" w:cs="Times New Roman"/>
          <w:sz w:val="24"/>
          <w:szCs w:val="24"/>
        </w:rPr>
        <w:t>karyopyknosis</w:t>
      </w:r>
      <w:proofErr w:type="spellEnd"/>
      <w:r>
        <w:rPr>
          <w:rFonts w:ascii="Times New Roman" w:eastAsia="Times New Roman" w:hAnsi="Times New Roman" w:cs="Times New Roman"/>
          <w:sz w:val="24"/>
          <w:szCs w:val="24"/>
        </w:rPr>
        <w:t xml:space="preserve">, nuclear and cytoplasmic </w:t>
      </w:r>
      <w:r>
        <w:rPr>
          <w:rFonts w:ascii="Times New Roman" w:eastAsia="Times New Roman" w:hAnsi="Times New Roman" w:cs="Times New Roman"/>
          <w:sz w:val="24"/>
          <w:szCs w:val="24"/>
        </w:rPr>
        <w:lastRenderedPageBreak/>
        <w:t xml:space="preserve">vacuolization, cytoplasmic degeneration or collapse leading to increase in size i.e. ballooning degeneration, and the pyknotic nuclei released were seen pushed to the sinusoids, in the most worse condition worn out hepatocytes along with pyknotic nucleus were seen in the sinusoids signifying complete degeneration of hepatic tissue (Fig. 9f). </w:t>
      </w:r>
    </w:p>
    <w:p w14:paraId="479941A0" w14:textId="77777777" w:rsidR="008E10DE" w:rsidRDefault="008E10DE">
      <w:pPr>
        <w:spacing w:line="20" w:lineRule="atLeast"/>
        <w:jc w:val="both"/>
        <w:rPr>
          <w:rFonts w:ascii="Times New Roman" w:hAnsi="Times New Roman" w:cs="Times New Roman"/>
          <w:b/>
          <w:sz w:val="24"/>
          <w:szCs w:val="24"/>
        </w:rPr>
      </w:pPr>
    </w:p>
    <w:p w14:paraId="5D775F34" w14:textId="77777777" w:rsidR="008E10DE" w:rsidRDefault="00000000">
      <w:pPr>
        <w:spacing w:line="20" w:lineRule="atLeast"/>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114300" distR="114300" wp14:anchorId="2AB7416A" wp14:editId="53554138">
            <wp:extent cx="5267960" cy="3775075"/>
            <wp:effectExtent l="0" t="0" r="8890" b="15875"/>
            <wp:docPr id="24" name="Picture 24" descr="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ver"/>
                    <pic:cNvPicPr>
                      <a:picLocks noChangeAspect="1"/>
                    </pic:cNvPicPr>
                  </pic:nvPicPr>
                  <pic:blipFill>
                    <a:blip r:embed="rId16"/>
                    <a:stretch>
                      <a:fillRect/>
                    </a:stretch>
                  </pic:blipFill>
                  <pic:spPr>
                    <a:xfrm>
                      <a:off x="0" y="0"/>
                      <a:ext cx="5267960" cy="3775075"/>
                    </a:xfrm>
                    <a:prstGeom prst="rect">
                      <a:avLst/>
                    </a:prstGeom>
                  </pic:spPr>
                </pic:pic>
              </a:graphicData>
            </a:graphic>
          </wp:inline>
        </w:drawing>
      </w:r>
    </w:p>
    <w:p w14:paraId="478C440D" w14:textId="77777777" w:rsidR="008E10DE" w:rsidRDefault="008E10DE">
      <w:pPr>
        <w:spacing w:line="20" w:lineRule="atLeast"/>
        <w:jc w:val="center"/>
        <w:rPr>
          <w:rFonts w:ascii="Times New Roman" w:hAnsi="Times New Roman" w:cs="Times New Roman"/>
          <w:bCs/>
          <w:sz w:val="24"/>
          <w:szCs w:val="24"/>
        </w:rPr>
      </w:pPr>
    </w:p>
    <w:p w14:paraId="6B1B91B8" w14:textId="77777777" w:rsidR="008E10DE" w:rsidRDefault="00000000">
      <w:pPr>
        <w:spacing w:line="20" w:lineRule="atLeast"/>
        <w:jc w:val="center"/>
        <w:rPr>
          <w:rFonts w:ascii="Times New Roman" w:hAnsi="Times New Roman" w:cs="Times New Roman"/>
          <w:bCs/>
          <w:sz w:val="24"/>
          <w:szCs w:val="24"/>
        </w:rPr>
      </w:pPr>
      <w:r>
        <w:rPr>
          <w:rFonts w:ascii="Times New Roman" w:hAnsi="Times New Roman" w:cs="Times New Roman"/>
          <w:b/>
          <w:sz w:val="24"/>
          <w:szCs w:val="24"/>
        </w:rPr>
        <w:t xml:space="preserve">Fig. 9. The affected liver exposed to 60ppm </w:t>
      </w:r>
      <w:proofErr w:type="spellStart"/>
      <w:r>
        <w:rPr>
          <w:rFonts w:ascii="Times New Roman" w:hAnsi="Times New Roman" w:cs="Times New Roman"/>
          <w:b/>
          <w:sz w:val="24"/>
          <w:szCs w:val="24"/>
        </w:rPr>
        <w:t>Monocrotophos</w:t>
      </w:r>
      <w:proofErr w:type="spellEnd"/>
      <w:r>
        <w:rPr>
          <w:rFonts w:ascii="Times New Roman" w:hAnsi="Times New Roman" w:cs="Times New Roman"/>
          <w:b/>
          <w:sz w:val="24"/>
          <w:szCs w:val="24"/>
        </w:rPr>
        <w:t xml:space="preserve"> at days-30</w:t>
      </w:r>
    </w:p>
    <w:p w14:paraId="1BB2285F" w14:textId="77777777" w:rsidR="008E10DE" w:rsidRDefault="00000000">
      <w:pPr>
        <w:spacing w:line="20" w:lineRule="atLeast"/>
        <w:jc w:val="center"/>
        <w:rPr>
          <w:rFonts w:ascii="Times New Roman" w:hAnsi="Times New Roman" w:cs="Times New Roman"/>
          <w:bCs/>
          <w:sz w:val="24"/>
          <w:szCs w:val="24"/>
        </w:rPr>
      </w:pPr>
      <w:r>
        <w:rPr>
          <w:rFonts w:ascii="Times New Roman" w:hAnsi="Times New Roman" w:cs="Times New Roman"/>
          <w:bCs/>
          <w:sz w:val="24"/>
          <w:szCs w:val="24"/>
        </w:rPr>
        <w:t>a- control, b</w:t>
      </w:r>
      <w:proofErr w:type="gramStart"/>
      <w:r>
        <w:rPr>
          <w:rFonts w:ascii="Times New Roman" w:hAnsi="Times New Roman" w:cs="Times New Roman"/>
          <w:bCs/>
          <w:sz w:val="24"/>
          <w:szCs w:val="24"/>
        </w:rPr>
        <w:t>-  and</w:t>
      </w:r>
      <w:proofErr w:type="gramEnd"/>
      <w:r>
        <w:rPr>
          <w:rFonts w:ascii="Times New Roman" w:hAnsi="Times New Roman" w:cs="Times New Roman"/>
          <w:bCs/>
          <w:sz w:val="24"/>
          <w:szCs w:val="24"/>
        </w:rPr>
        <w:t xml:space="preserve">  (b) </w:t>
      </w:r>
      <w:r>
        <w:rPr>
          <w:rFonts w:ascii="Times New Roman" w:eastAsia="Times New Roman" w:hAnsi="Times New Roman" w:cs="Times New Roman"/>
          <w:bCs/>
          <w:sz w:val="24"/>
          <w:szCs w:val="24"/>
        </w:rPr>
        <w:t xml:space="preserve">congestion of blood vessels, c- nuclear vacuolization, d- </w:t>
      </w:r>
      <w:r>
        <w:rPr>
          <w:rFonts w:ascii="Times New Roman" w:hAnsi="Times New Roman" w:cs="Times New Roman"/>
          <w:bCs/>
          <w:sz w:val="24"/>
          <w:szCs w:val="24"/>
        </w:rPr>
        <w:t xml:space="preserve">nuclear pyknosis, e- karyorrhexis, </w:t>
      </w:r>
      <w:proofErr w:type="spellStart"/>
      <w:r>
        <w:rPr>
          <w:rFonts w:ascii="Times New Roman" w:hAnsi="Times New Roman" w:cs="Times New Roman"/>
          <w:bCs/>
          <w:sz w:val="24"/>
          <w:szCs w:val="24"/>
        </w:rPr>
        <w:t>karyolysis</w:t>
      </w:r>
      <w:proofErr w:type="spellEnd"/>
      <w:r>
        <w:rPr>
          <w:rFonts w:ascii="Times New Roman" w:hAnsi="Times New Roman" w:cs="Times New Roman"/>
          <w:bCs/>
          <w:sz w:val="24"/>
          <w:szCs w:val="24"/>
        </w:rPr>
        <w:t>, binucleated hepatocytes, nuclear hypertrophy, eccentric nuclei and inflammatory exudate and f- pyknotic nuclei (arrows) and disintegrated hepatocytes from liver tissue . Hematoxylin and Eosin stain, magnification: 100 and 400X.</w:t>
      </w:r>
    </w:p>
    <w:p w14:paraId="1CC386FA" w14:textId="77777777" w:rsidR="008E10DE" w:rsidRDefault="008E10DE">
      <w:pPr>
        <w:spacing w:line="20" w:lineRule="atLeast"/>
        <w:jc w:val="both"/>
        <w:rPr>
          <w:rFonts w:ascii="Times New Roman" w:hAnsi="Times New Roman" w:cs="Times New Roman"/>
          <w:bCs/>
          <w:sz w:val="24"/>
          <w:szCs w:val="24"/>
        </w:rPr>
      </w:pPr>
    </w:p>
    <w:p w14:paraId="141DDCB8" w14:textId="77777777" w:rsidR="008E10DE" w:rsidRDefault="00000000">
      <w:pPr>
        <w:spacing w:line="20" w:lineRule="atLeast"/>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Our findings are consistent with previous histopathological studies on various fish species, including </w:t>
      </w:r>
      <w:proofErr w:type="spellStart"/>
      <w:r>
        <w:rPr>
          <w:rFonts w:ascii="Times New Roman" w:eastAsia="SimSun" w:hAnsi="Times New Roman" w:cs="Times New Roman"/>
          <w:sz w:val="24"/>
          <w:szCs w:val="24"/>
          <w:shd w:val="clear" w:color="auto" w:fill="FFFFFF"/>
        </w:rPr>
        <w:t>Heteropneustes</w:t>
      </w:r>
      <w:proofErr w:type="spellEnd"/>
      <w:r>
        <w:rPr>
          <w:rFonts w:ascii="Times New Roman" w:eastAsia="SimSun" w:hAnsi="Times New Roman" w:cs="Times New Roman"/>
          <w:sz w:val="24"/>
          <w:szCs w:val="24"/>
          <w:shd w:val="clear" w:color="auto" w:fill="FFFFFF"/>
        </w:rPr>
        <w:t xml:space="preserve"> </w:t>
      </w:r>
      <w:proofErr w:type="spellStart"/>
      <w:r>
        <w:rPr>
          <w:rFonts w:ascii="Times New Roman" w:eastAsia="SimSun" w:hAnsi="Times New Roman" w:cs="Times New Roman"/>
          <w:sz w:val="24"/>
          <w:szCs w:val="24"/>
          <w:shd w:val="clear" w:color="auto" w:fill="FFFFFF"/>
        </w:rPr>
        <w:t>fossilis</w:t>
      </w:r>
      <w:proofErr w:type="spellEnd"/>
      <w:r>
        <w:rPr>
          <w:rFonts w:ascii="Times New Roman" w:eastAsia="SimSun" w:hAnsi="Times New Roman" w:cs="Times New Roman"/>
          <w:sz w:val="24"/>
          <w:szCs w:val="24"/>
          <w:shd w:val="clear" w:color="auto" w:fill="FFFFFF"/>
        </w:rPr>
        <w:t xml:space="preserve"> (</w:t>
      </w:r>
      <w:proofErr w:type="spellStart"/>
      <w:r>
        <w:rPr>
          <w:rFonts w:ascii="Times New Roman" w:eastAsia="SimSun" w:hAnsi="Times New Roman" w:cs="Times New Roman"/>
          <w:sz w:val="24"/>
          <w:szCs w:val="24"/>
          <w:shd w:val="clear" w:color="auto" w:fill="FFFFFF"/>
        </w:rPr>
        <w:t>Pattnaik</w:t>
      </w:r>
      <w:proofErr w:type="spellEnd"/>
      <w:r>
        <w:rPr>
          <w:rFonts w:ascii="Times New Roman" w:eastAsia="SimSun" w:hAnsi="Times New Roman" w:cs="Times New Roman"/>
          <w:sz w:val="24"/>
          <w:szCs w:val="24"/>
          <w:shd w:val="clear" w:color="auto" w:fill="FFFFFF"/>
        </w:rPr>
        <w:t xml:space="preserve"> et al., 2022), Rutilus </w:t>
      </w:r>
      <w:proofErr w:type="spellStart"/>
      <w:r>
        <w:rPr>
          <w:rFonts w:ascii="Times New Roman" w:eastAsia="SimSun" w:hAnsi="Times New Roman" w:cs="Times New Roman"/>
          <w:sz w:val="24"/>
          <w:szCs w:val="24"/>
          <w:shd w:val="clear" w:color="auto" w:fill="FFFFFF"/>
        </w:rPr>
        <w:t>rutilus</w:t>
      </w:r>
      <w:proofErr w:type="spellEnd"/>
      <w:r>
        <w:rPr>
          <w:rFonts w:ascii="Times New Roman" w:eastAsia="SimSun" w:hAnsi="Times New Roman" w:cs="Times New Roman"/>
          <w:sz w:val="24"/>
          <w:szCs w:val="24"/>
          <w:shd w:val="clear" w:color="auto" w:fill="FFFFFF"/>
        </w:rPr>
        <w:t xml:space="preserve"> (</w:t>
      </w:r>
      <w:proofErr w:type="spellStart"/>
      <w:r>
        <w:rPr>
          <w:rFonts w:ascii="Times New Roman" w:eastAsia="SimSun" w:hAnsi="Times New Roman" w:cs="Times New Roman"/>
          <w:sz w:val="24"/>
          <w:szCs w:val="24"/>
          <w:shd w:val="clear" w:color="auto" w:fill="FFFFFF"/>
        </w:rPr>
        <w:t>Katuli</w:t>
      </w:r>
      <w:proofErr w:type="spellEnd"/>
      <w:r>
        <w:rPr>
          <w:rFonts w:ascii="Times New Roman" w:eastAsia="SimSun" w:hAnsi="Times New Roman" w:cs="Times New Roman"/>
          <w:sz w:val="24"/>
          <w:szCs w:val="24"/>
          <w:shd w:val="clear" w:color="auto" w:fill="FFFFFF"/>
        </w:rPr>
        <w:t xml:space="preserve"> et al., 2014), Scophthalmus maximus (</w:t>
      </w:r>
      <w:proofErr w:type="spellStart"/>
      <w:r>
        <w:rPr>
          <w:rFonts w:ascii="Times New Roman" w:eastAsia="SimSun" w:hAnsi="Times New Roman" w:cs="Times New Roman"/>
          <w:sz w:val="24"/>
          <w:szCs w:val="24"/>
          <w:shd w:val="clear" w:color="auto" w:fill="FFFFFF"/>
        </w:rPr>
        <w:t>Rosety-Rodrıguez</w:t>
      </w:r>
      <w:proofErr w:type="spellEnd"/>
      <w:r>
        <w:rPr>
          <w:rFonts w:ascii="Times New Roman" w:eastAsia="SimSun" w:hAnsi="Times New Roman" w:cs="Times New Roman"/>
          <w:sz w:val="24"/>
          <w:szCs w:val="24"/>
          <w:shd w:val="clear" w:color="auto" w:fill="FFFFFF"/>
        </w:rPr>
        <w:t xml:space="preserve"> et al., 2002), </w:t>
      </w:r>
      <w:proofErr w:type="spellStart"/>
      <w:r>
        <w:rPr>
          <w:rFonts w:ascii="Times New Roman" w:eastAsia="SimSun" w:hAnsi="Times New Roman" w:cs="Times New Roman"/>
          <w:sz w:val="24"/>
          <w:szCs w:val="24"/>
          <w:shd w:val="clear" w:color="auto" w:fill="FFFFFF"/>
        </w:rPr>
        <w:t>Catla</w:t>
      </w:r>
      <w:proofErr w:type="spellEnd"/>
      <w:r>
        <w:rPr>
          <w:rFonts w:ascii="Times New Roman" w:eastAsia="SimSun" w:hAnsi="Times New Roman" w:cs="Times New Roman"/>
          <w:sz w:val="24"/>
          <w:szCs w:val="24"/>
          <w:shd w:val="clear" w:color="auto" w:fill="FFFFFF"/>
        </w:rPr>
        <w:t xml:space="preserve"> </w:t>
      </w:r>
      <w:proofErr w:type="spellStart"/>
      <w:r>
        <w:rPr>
          <w:rFonts w:ascii="Times New Roman" w:eastAsia="SimSun" w:hAnsi="Times New Roman" w:cs="Times New Roman"/>
          <w:sz w:val="24"/>
          <w:szCs w:val="24"/>
          <w:shd w:val="clear" w:color="auto" w:fill="FFFFFF"/>
        </w:rPr>
        <w:t>catla</w:t>
      </w:r>
      <w:proofErr w:type="spellEnd"/>
      <w:r>
        <w:rPr>
          <w:rFonts w:ascii="Times New Roman" w:eastAsia="SimSun" w:hAnsi="Times New Roman" w:cs="Times New Roman"/>
          <w:sz w:val="24"/>
          <w:szCs w:val="24"/>
          <w:shd w:val="clear" w:color="auto" w:fill="FFFFFF"/>
        </w:rPr>
        <w:t xml:space="preserve"> (Maharajan and </w:t>
      </w:r>
      <w:proofErr w:type="spellStart"/>
      <w:r>
        <w:rPr>
          <w:rFonts w:ascii="Times New Roman" w:eastAsia="SimSun" w:hAnsi="Times New Roman" w:cs="Times New Roman"/>
          <w:sz w:val="24"/>
          <w:szCs w:val="24"/>
          <w:shd w:val="clear" w:color="auto" w:fill="FFFFFF"/>
        </w:rPr>
        <w:t>Parurukmani</w:t>
      </w:r>
      <w:proofErr w:type="spellEnd"/>
      <w:r>
        <w:rPr>
          <w:rFonts w:ascii="Times New Roman" w:eastAsia="SimSun" w:hAnsi="Times New Roman" w:cs="Times New Roman"/>
          <w:sz w:val="24"/>
          <w:szCs w:val="24"/>
          <w:shd w:val="clear" w:color="auto" w:fill="FFFFFF"/>
        </w:rPr>
        <w:t xml:space="preserve">, 2012), and </w:t>
      </w:r>
      <w:proofErr w:type="spellStart"/>
      <w:r>
        <w:rPr>
          <w:rFonts w:ascii="Times New Roman" w:eastAsia="SimSun" w:hAnsi="Times New Roman" w:cs="Times New Roman"/>
          <w:sz w:val="24"/>
          <w:szCs w:val="24"/>
          <w:shd w:val="clear" w:color="auto" w:fill="FFFFFF"/>
        </w:rPr>
        <w:t>Scatophagus</w:t>
      </w:r>
      <w:proofErr w:type="spellEnd"/>
      <w:r>
        <w:rPr>
          <w:rFonts w:ascii="Times New Roman" w:eastAsia="SimSun" w:hAnsi="Times New Roman" w:cs="Times New Roman"/>
          <w:sz w:val="24"/>
          <w:szCs w:val="24"/>
          <w:shd w:val="clear" w:color="auto" w:fill="FFFFFF"/>
        </w:rPr>
        <w:t xml:space="preserve"> argus (Ghasemzadeh et al., 2015). These studies reported that pesticide exposure led to epithelial lifting, necrotic lamellae in gill tissues, oedema, lamellar fusion, and abnormalities in secondary gill lamellae. Similarly, histological alterations in gills following chlorpyrifos exposure have been documented in Oreochromis niloticus (Zahran et al., 2018) and Channa punctatus (Devi and Mishra, 2013). Our current investigation supports these findings, as we observed mucus accumulation within the secondary lamellae and a reduction in inter-lamellar cell mass. Similar observations were reported by Karmakar et al. (2016) in </w:t>
      </w:r>
      <w:r>
        <w:rPr>
          <w:rFonts w:ascii="Times New Roman" w:eastAsia="SimSun" w:hAnsi="Times New Roman" w:cs="Times New Roman"/>
          <w:i/>
          <w:iCs/>
          <w:sz w:val="24"/>
          <w:szCs w:val="24"/>
          <w:shd w:val="clear" w:color="auto" w:fill="FFFFFF"/>
        </w:rPr>
        <w:t xml:space="preserve">L. </w:t>
      </w:r>
      <w:proofErr w:type="spellStart"/>
      <w:r>
        <w:rPr>
          <w:rFonts w:ascii="Times New Roman" w:eastAsia="SimSun" w:hAnsi="Times New Roman" w:cs="Times New Roman"/>
          <w:i/>
          <w:iCs/>
          <w:sz w:val="24"/>
          <w:szCs w:val="24"/>
          <w:shd w:val="clear" w:color="auto" w:fill="FFFFFF"/>
        </w:rPr>
        <w:t>rohita</w:t>
      </w:r>
      <w:proofErr w:type="spellEnd"/>
      <w:r>
        <w:rPr>
          <w:rFonts w:ascii="Times New Roman" w:eastAsia="SimSun" w:hAnsi="Times New Roman" w:cs="Times New Roman"/>
          <w:sz w:val="24"/>
          <w:szCs w:val="24"/>
          <w:shd w:val="clear" w:color="auto" w:fill="FFFFFF"/>
        </w:rPr>
        <w:t xml:space="preserve"> exposed to toxicants. Moreover, recent studies have employed histological examinations to </w:t>
      </w:r>
      <w:proofErr w:type="spellStart"/>
      <w:r>
        <w:rPr>
          <w:rFonts w:ascii="Times New Roman" w:eastAsia="SimSun" w:hAnsi="Times New Roman" w:cs="Times New Roman"/>
          <w:sz w:val="24"/>
          <w:szCs w:val="24"/>
          <w:shd w:val="clear" w:color="auto" w:fill="FFFFFF"/>
        </w:rPr>
        <w:t>characterise</w:t>
      </w:r>
      <w:proofErr w:type="spellEnd"/>
      <w:r>
        <w:rPr>
          <w:rFonts w:ascii="Times New Roman" w:eastAsia="SimSun" w:hAnsi="Times New Roman" w:cs="Times New Roman"/>
          <w:sz w:val="24"/>
          <w:szCs w:val="24"/>
          <w:shd w:val="clear" w:color="auto" w:fill="FFFFFF"/>
        </w:rPr>
        <w:t xml:space="preserve"> the toxic effects of </w:t>
      </w:r>
      <w:proofErr w:type="spellStart"/>
      <w:r>
        <w:rPr>
          <w:rFonts w:ascii="Times New Roman" w:eastAsia="SimSun" w:hAnsi="Times New Roman" w:cs="Times New Roman"/>
          <w:sz w:val="24"/>
          <w:szCs w:val="24"/>
          <w:shd w:val="clear" w:color="auto" w:fill="FFFFFF"/>
        </w:rPr>
        <w:lastRenderedPageBreak/>
        <w:t>monocrotophos</w:t>
      </w:r>
      <w:proofErr w:type="spellEnd"/>
      <w:r>
        <w:rPr>
          <w:rFonts w:ascii="Times New Roman" w:eastAsia="SimSun" w:hAnsi="Times New Roman" w:cs="Times New Roman"/>
          <w:sz w:val="24"/>
          <w:szCs w:val="24"/>
          <w:shd w:val="clear" w:color="auto" w:fill="FFFFFF"/>
        </w:rPr>
        <w:t xml:space="preserve"> on multiple organs, including the gills, heart, kidney, and liver (Sivakumar et al., 2022).</w:t>
      </w:r>
    </w:p>
    <w:p w14:paraId="58A945A6" w14:textId="77777777" w:rsidR="008E10DE" w:rsidRDefault="008E10DE">
      <w:pPr>
        <w:spacing w:line="20" w:lineRule="atLeast"/>
        <w:jc w:val="both"/>
        <w:rPr>
          <w:rFonts w:ascii="Times New Roman" w:eastAsia="SimSun" w:hAnsi="Times New Roman" w:cs="Times New Roman"/>
          <w:sz w:val="24"/>
          <w:szCs w:val="24"/>
          <w:shd w:val="clear" w:color="auto" w:fill="FFFFFF"/>
        </w:rPr>
      </w:pPr>
    </w:p>
    <w:p w14:paraId="70E1E418" w14:textId="77777777" w:rsidR="008E10DE" w:rsidRDefault="00000000">
      <w:pPr>
        <w:numPr>
          <w:ilvl w:val="0"/>
          <w:numId w:val="1"/>
        </w:numPr>
        <w:spacing w:line="20" w:lineRule="atLeast"/>
        <w:jc w:val="both"/>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CONCLUSION</w:t>
      </w:r>
    </w:p>
    <w:p w14:paraId="24F8510D" w14:textId="77777777" w:rsidR="008E10DE" w:rsidRDefault="008E10DE">
      <w:pPr>
        <w:spacing w:line="20" w:lineRule="atLeast"/>
        <w:jc w:val="both"/>
        <w:rPr>
          <w:rFonts w:ascii="Times New Roman" w:eastAsia="SimSun" w:hAnsi="Times New Roman" w:cs="Times New Roman"/>
          <w:b/>
          <w:bCs/>
          <w:sz w:val="24"/>
          <w:szCs w:val="24"/>
          <w:shd w:val="clear" w:color="auto" w:fill="FFFFFF"/>
        </w:rPr>
      </w:pPr>
    </w:p>
    <w:p w14:paraId="654A1B97" w14:textId="77777777" w:rsidR="008E10DE" w:rsidRDefault="00000000">
      <w:pPr>
        <w:spacing w:line="20" w:lineRule="atLeast"/>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This research examines the harmful effects of </w:t>
      </w:r>
      <w:proofErr w:type="spellStart"/>
      <w:r>
        <w:rPr>
          <w:rFonts w:ascii="Times New Roman" w:eastAsia="SimSun" w:hAnsi="Times New Roman" w:cs="Times New Roman"/>
          <w:sz w:val="24"/>
          <w:szCs w:val="24"/>
          <w:shd w:val="clear" w:color="auto" w:fill="FFFFFF"/>
        </w:rPr>
        <w:t>Monocrotophos</w:t>
      </w:r>
      <w:proofErr w:type="spellEnd"/>
      <w:r>
        <w:rPr>
          <w:rFonts w:ascii="Times New Roman" w:eastAsia="SimSun" w:hAnsi="Times New Roman" w:cs="Times New Roman"/>
          <w:sz w:val="24"/>
          <w:szCs w:val="24"/>
          <w:shd w:val="clear" w:color="auto" w:fill="FFFFFF"/>
        </w:rPr>
        <w:t xml:space="preserve"> at sub-lethal doses on various </w:t>
      </w:r>
      <w:proofErr w:type="spellStart"/>
      <w:r>
        <w:rPr>
          <w:rFonts w:ascii="Times New Roman" w:eastAsia="SimSun" w:hAnsi="Times New Roman" w:cs="Times New Roman"/>
          <w:sz w:val="24"/>
          <w:szCs w:val="24"/>
          <w:shd w:val="clear" w:color="auto" w:fill="FFFFFF"/>
        </w:rPr>
        <w:t>haematological</w:t>
      </w:r>
      <w:proofErr w:type="spellEnd"/>
      <w:r>
        <w:rPr>
          <w:rFonts w:ascii="Times New Roman" w:eastAsia="SimSun" w:hAnsi="Times New Roman" w:cs="Times New Roman"/>
          <w:sz w:val="24"/>
          <w:szCs w:val="24"/>
          <w:shd w:val="clear" w:color="auto" w:fill="FFFFFF"/>
        </w:rPr>
        <w:t xml:space="preserve"> and histopathological parameters of </w:t>
      </w:r>
      <w:r>
        <w:rPr>
          <w:rFonts w:ascii="Times New Roman" w:eastAsia="SimSun" w:hAnsi="Times New Roman" w:cs="Times New Roman"/>
          <w:i/>
          <w:iCs/>
          <w:sz w:val="24"/>
          <w:szCs w:val="24"/>
          <w:shd w:val="clear" w:color="auto" w:fill="FFFFFF"/>
        </w:rPr>
        <w:t xml:space="preserve">L. </w:t>
      </w:r>
      <w:proofErr w:type="spellStart"/>
      <w:r>
        <w:rPr>
          <w:rFonts w:ascii="Times New Roman" w:eastAsia="SimSun" w:hAnsi="Times New Roman" w:cs="Times New Roman"/>
          <w:i/>
          <w:iCs/>
          <w:sz w:val="24"/>
          <w:szCs w:val="24"/>
          <w:shd w:val="clear" w:color="auto" w:fill="FFFFFF"/>
        </w:rPr>
        <w:t>rohita</w:t>
      </w:r>
      <w:proofErr w:type="spellEnd"/>
      <w:r>
        <w:rPr>
          <w:rFonts w:ascii="Times New Roman" w:eastAsia="SimSun" w:hAnsi="Times New Roman" w:cs="Times New Roman"/>
          <w:sz w:val="24"/>
          <w:szCs w:val="24"/>
          <w:shd w:val="clear" w:color="auto" w:fill="FFFFFF"/>
        </w:rPr>
        <w:t xml:space="preserve"> gills and liver tissues. Our results revealed that </w:t>
      </w:r>
      <w:proofErr w:type="spellStart"/>
      <w:r>
        <w:rPr>
          <w:rFonts w:ascii="Times New Roman" w:eastAsia="SimSun" w:hAnsi="Times New Roman" w:cs="Times New Roman"/>
          <w:sz w:val="24"/>
          <w:szCs w:val="24"/>
          <w:shd w:val="clear" w:color="auto" w:fill="FFFFFF"/>
        </w:rPr>
        <w:t>monocrotophos</w:t>
      </w:r>
      <w:proofErr w:type="spellEnd"/>
      <w:r>
        <w:rPr>
          <w:rFonts w:ascii="Times New Roman" w:eastAsia="SimSun" w:hAnsi="Times New Roman" w:cs="Times New Roman"/>
          <w:sz w:val="24"/>
          <w:szCs w:val="24"/>
          <w:shd w:val="clear" w:color="auto" w:fill="FFFFFF"/>
        </w:rPr>
        <w:t xml:space="preserve"> has severe toxic effects on freshwater fish, severely affecting blood biochemistry and tissue integrity in an approach that is dependent on both concentration and exposure duration. These parameters serve to be accurate markers of the fish physiological health and may be used to determine the negative impacts of </w:t>
      </w:r>
      <w:proofErr w:type="spellStart"/>
      <w:r>
        <w:rPr>
          <w:rFonts w:ascii="Times New Roman" w:eastAsia="SimSun" w:hAnsi="Times New Roman" w:cs="Times New Roman"/>
          <w:sz w:val="24"/>
          <w:szCs w:val="24"/>
          <w:shd w:val="clear" w:color="auto" w:fill="FFFFFF"/>
        </w:rPr>
        <w:t>monocrotophos</w:t>
      </w:r>
      <w:proofErr w:type="spellEnd"/>
      <w:r>
        <w:rPr>
          <w:rFonts w:ascii="Times New Roman" w:eastAsia="SimSun" w:hAnsi="Times New Roman" w:cs="Times New Roman"/>
          <w:sz w:val="24"/>
          <w:szCs w:val="24"/>
          <w:shd w:val="clear" w:color="auto" w:fill="FFFFFF"/>
        </w:rPr>
        <w:t xml:space="preserve"> in aquatic environments. As a result, it is essential to control the broad use of pesticides and take preventative measures to reduce water pollution from this harmful chemical.</w:t>
      </w:r>
    </w:p>
    <w:p w14:paraId="67114EB6" w14:textId="77777777" w:rsidR="008E10DE" w:rsidRDefault="008E10DE">
      <w:pPr>
        <w:spacing w:line="20" w:lineRule="atLeast"/>
        <w:jc w:val="both"/>
        <w:rPr>
          <w:rFonts w:ascii="Times New Roman" w:eastAsia="SimSun" w:hAnsi="Times New Roman" w:cs="Times New Roman"/>
          <w:b/>
          <w:bCs/>
          <w:sz w:val="24"/>
          <w:szCs w:val="24"/>
          <w:shd w:val="clear" w:color="auto" w:fill="FFFFFF"/>
        </w:rPr>
      </w:pPr>
    </w:p>
    <w:p w14:paraId="634A71D3" w14:textId="77777777" w:rsidR="008E10DE" w:rsidRDefault="008E10DE">
      <w:pPr>
        <w:spacing w:line="20" w:lineRule="atLeast"/>
        <w:jc w:val="both"/>
        <w:rPr>
          <w:rFonts w:ascii="Times New Roman" w:eastAsia="SimSun" w:hAnsi="Times New Roman" w:cs="Times New Roman"/>
          <w:sz w:val="24"/>
          <w:szCs w:val="24"/>
          <w:shd w:val="clear" w:color="auto" w:fill="FFFFFF"/>
        </w:rPr>
      </w:pPr>
    </w:p>
    <w:p w14:paraId="3C90E6C1" w14:textId="77777777" w:rsidR="00BC2318" w:rsidRPr="003A29C6" w:rsidRDefault="00BC2318" w:rsidP="00BC2318">
      <w:pPr>
        <w:jc w:val="both"/>
        <w:outlineLvl w:val="0"/>
        <w:rPr>
          <w:rFonts w:ascii="Arial" w:hAnsi="Arial" w:cs="Arial"/>
        </w:rPr>
      </w:pPr>
      <w:r w:rsidRPr="003A29C6">
        <w:rPr>
          <w:rFonts w:ascii="Arial" w:hAnsi="Arial" w:cs="Arial"/>
          <w:b/>
          <w:bCs/>
        </w:rPr>
        <w:t>COMPETING INTERESTS DISCLAIMER:</w:t>
      </w:r>
    </w:p>
    <w:p w14:paraId="1DF159F3" w14:textId="77777777" w:rsidR="00BC2318" w:rsidRDefault="00BC2318" w:rsidP="00BC2318">
      <w:r w:rsidRPr="00A10EDE">
        <w:t>Authors have declared that they have no known competing financial interests OR non-financial interests OR personal relationships that could have appeared to influence the work reported in this paper.</w:t>
      </w:r>
    </w:p>
    <w:p w14:paraId="2D9A72C5" w14:textId="77777777" w:rsidR="00BC2318" w:rsidRDefault="00BC2318">
      <w:pPr>
        <w:spacing w:line="20" w:lineRule="atLeast"/>
        <w:jc w:val="both"/>
        <w:rPr>
          <w:rFonts w:ascii="Times New Roman" w:eastAsia="SimSun" w:hAnsi="Times New Roman" w:cs="Times New Roman"/>
          <w:sz w:val="24"/>
          <w:szCs w:val="24"/>
          <w:shd w:val="clear" w:color="auto" w:fill="FFFFFF"/>
        </w:rPr>
      </w:pPr>
    </w:p>
    <w:p w14:paraId="39FD8471" w14:textId="77777777" w:rsidR="008E10DE" w:rsidRDefault="00000000">
      <w:pPr>
        <w:spacing w:before="120" w:after="120" w:line="360" w:lineRule="auto"/>
        <w:jc w:val="both"/>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REFERENCES</w:t>
      </w:r>
    </w:p>
    <w:p w14:paraId="4DCEC641" w14:textId="77777777" w:rsidR="008E10DE" w:rsidRDefault="00000000">
      <w:pPr>
        <w:pStyle w:val="NormalWeb"/>
        <w:spacing w:beforeLines="50" w:before="120" w:beforeAutospacing="0" w:afterLines="50" w:after="120" w:afterAutospacing="0"/>
        <w:jc w:val="both"/>
      </w:pPr>
      <w:r>
        <w:t xml:space="preserve">Abdel-Tawwab, M., Monier, M. N., </w:t>
      </w:r>
      <w:proofErr w:type="spellStart"/>
      <w:r>
        <w:t>Hoseinifar</w:t>
      </w:r>
      <w:proofErr w:type="spellEnd"/>
      <w:r>
        <w:t xml:space="preserve">, S. H., &amp; </w:t>
      </w:r>
      <w:proofErr w:type="spellStart"/>
      <w:r>
        <w:t>Faggio</w:t>
      </w:r>
      <w:proofErr w:type="spellEnd"/>
      <w:r>
        <w:t xml:space="preserve">, C. (2019). Fish response to hypoxia stress: Growth, physiological, and immunological biomarkers. </w:t>
      </w:r>
      <w:r>
        <w:rPr>
          <w:rStyle w:val="Emphasis"/>
        </w:rPr>
        <w:t>Fish Physiology and Biochemistry, 45</w:t>
      </w:r>
      <w:r>
        <w:t>(4), 997–1013.</w:t>
      </w:r>
    </w:p>
    <w:p w14:paraId="10989856" w14:textId="77777777" w:rsidR="008E10DE" w:rsidRDefault="00000000">
      <w:pPr>
        <w:pStyle w:val="NormalWeb"/>
        <w:spacing w:beforeLines="50" w:before="120" w:beforeAutospacing="0" w:afterLines="50" w:after="120" w:afterAutospacing="0"/>
        <w:jc w:val="both"/>
      </w:pPr>
      <w:r>
        <w:t xml:space="preserve">Al-Emran, M., Hasan, N. A., Khan, M. P., Islam, S. M., Bashar, A., </w:t>
      </w:r>
      <w:proofErr w:type="spellStart"/>
      <w:r>
        <w:t>Zulfahmi</w:t>
      </w:r>
      <w:proofErr w:type="spellEnd"/>
      <w:r>
        <w:t>, I., &amp; Sumon, K. A. (2022). Alterations in hematological parameters and the structure of peripheral erythrocytes in Nile tilapia (</w:t>
      </w:r>
      <w:r>
        <w:rPr>
          <w:rStyle w:val="Emphasis"/>
        </w:rPr>
        <w:t>Oreochromis niloticus</w:t>
      </w:r>
      <w:r>
        <w:t xml:space="preserve">) exposed to </w:t>
      </w:r>
      <w:proofErr w:type="spellStart"/>
      <w:r>
        <w:t>profenofos</w:t>
      </w:r>
      <w:proofErr w:type="spellEnd"/>
      <w:r>
        <w:t xml:space="preserve">. </w:t>
      </w:r>
      <w:r>
        <w:rPr>
          <w:rStyle w:val="Emphasis"/>
        </w:rPr>
        <w:t>Environmental Science and Pollution Research</w:t>
      </w:r>
      <w:r>
        <w:t>. https://doi.org/10.1007/s11356-022-19612-y</w:t>
      </w:r>
    </w:p>
    <w:p w14:paraId="4918E439" w14:textId="77777777" w:rsidR="008E10DE" w:rsidRDefault="00000000">
      <w:pPr>
        <w:spacing w:beforeLines="50" w:before="120" w:afterLines="50" w:after="120"/>
        <w:jc w:val="both"/>
        <w:rPr>
          <w:rFonts w:ascii="Times New Roman" w:hAnsi="Times New Roman" w:cs="Times New Roman"/>
          <w:sz w:val="24"/>
          <w:szCs w:val="24"/>
        </w:rPr>
      </w:pPr>
      <w:proofErr w:type="spellStart"/>
      <w:r>
        <w:rPr>
          <w:rFonts w:ascii="Times New Roman" w:hAnsi="Times New Roman" w:cs="Times New Roman"/>
          <w:sz w:val="24"/>
          <w:szCs w:val="24"/>
        </w:rPr>
        <w:t>Binukumari</w:t>
      </w:r>
      <w:proofErr w:type="spellEnd"/>
      <w:r>
        <w:rPr>
          <w:rFonts w:ascii="Times New Roman" w:hAnsi="Times New Roman" w:cs="Times New Roman"/>
          <w:sz w:val="24"/>
          <w:szCs w:val="24"/>
        </w:rPr>
        <w:t xml:space="preserve">, S., Devi, K. A., &amp; Vasanthi, J. (2016). Applications in environmental risk assessment of biochemical analysis on the Indian freshwater fish, </w:t>
      </w:r>
      <w:proofErr w:type="spellStart"/>
      <w:r>
        <w:rPr>
          <w:rStyle w:val="Emphasis"/>
          <w:rFonts w:ascii="Times New Roman" w:hAnsi="Times New Roman" w:cs="Times New Roman"/>
          <w:sz w:val="24"/>
          <w:szCs w:val="24"/>
        </w:rPr>
        <w:t>Labeo</w:t>
      </w:r>
      <w:proofErr w:type="spellEnd"/>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rohita</w:t>
      </w:r>
      <w:proofErr w:type="spellEnd"/>
      <w:r>
        <w:rPr>
          <w:rFonts w:ascii="Times New Roman" w:hAnsi="Times New Roman" w:cs="Times New Roman"/>
          <w:sz w:val="24"/>
          <w:szCs w:val="24"/>
        </w:rPr>
        <w:t xml:space="preserve"> exposed to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pesticide. </w:t>
      </w:r>
      <w:r>
        <w:rPr>
          <w:rStyle w:val="Emphasis"/>
          <w:rFonts w:ascii="Times New Roman" w:hAnsi="Times New Roman" w:cs="Times New Roman"/>
          <w:sz w:val="24"/>
          <w:szCs w:val="24"/>
        </w:rPr>
        <w:t>Environmental Toxicology and Pharmacology, 47</w:t>
      </w:r>
      <w:r>
        <w:rPr>
          <w:rFonts w:ascii="Times New Roman" w:hAnsi="Times New Roman" w:cs="Times New Roman"/>
          <w:sz w:val="24"/>
          <w:szCs w:val="24"/>
        </w:rPr>
        <w:t>, 200–205.</w:t>
      </w:r>
    </w:p>
    <w:p w14:paraId="5AF83566" w14:textId="77777777" w:rsidR="008E10DE" w:rsidRDefault="00000000">
      <w:pPr>
        <w:pStyle w:val="NormalWeb"/>
        <w:spacing w:beforeLines="50" w:before="120" w:beforeAutospacing="0" w:afterLines="50" w:after="120" w:afterAutospacing="0"/>
        <w:jc w:val="both"/>
      </w:pPr>
      <w:r>
        <w:t xml:space="preserve">Blasiak, J., &amp; Kowalik, J. (2000). A comparison of the in vitro genotoxicity of tri- and hexavalent chromium. </w:t>
      </w:r>
      <w:proofErr w:type="spellStart"/>
      <w:r>
        <w:rPr>
          <w:rStyle w:val="Emphasis"/>
        </w:rPr>
        <w:t>Mutat</w:t>
      </w:r>
      <w:proofErr w:type="spellEnd"/>
      <w:r>
        <w:rPr>
          <w:rStyle w:val="Emphasis"/>
        </w:rPr>
        <w:t>. Res.</w:t>
      </w:r>
      <w:r>
        <w:t xml:space="preserve">, 469, 135–145. </w:t>
      </w:r>
    </w:p>
    <w:p w14:paraId="7F2569F6" w14:textId="77777777" w:rsidR="008E10DE" w:rsidRDefault="00000000">
      <w:pPr>
        <w:spacing w:beforeLines="50" w:before="120" w:afterLines="50" w:after="120"/>
        <w:rPr>
          <w:rFonts w:ascii="Times New Roman" w:hAnsi="Times New Roman" w:cs="Times New Roman"/>
          <w:sz w:val="24"/>
          <w:szCs w:val="24"/>
        </w:rPr>
      </w:pPr>
      <w:proofErr w:type="spellStart"/>
      <w:r>
        <w:rPr>
          <w:rFonts w:ascii="Times New Roman" w:eastAsia="SimSun" w:hAnsi="Times New Roman" w:cs="Times New Roman"/>
          <w:color w:val="222222"/>
          <w:sz w:val="24"/>
          <w:szCs w:val="24"/>
          <w:shd w:val="clear" w:color="auto" w:fill="FFFFFF"/>
        </w:rPr>
        <w:t>Blaxhall</w:t>
      </w:r>
      <w:proofErr w:type="spellEnd"/>
      <w:r>
        <w:rPr>
          <w:rFonts w:ascii="Times New Roman" w:eastAsia="SimSun" w:hAnsi="Times New Roman" w:cs="Times New Roman"/>
          <w:color w:val="222222"/>
          <w:sz w:val="24"/>
          <w:szCs w:val="24"/>
          <w:shd w:val="clear" w:color="auto" w:fill="FFFFFF"/>
        </w:rPr>
        <w:t xml:space="preserve">, P. C. (1972). The </w:t>
      </w:r>
      <w:proofErr w:type="spellStart"/>
      <w:r>
        <w:rPr>
          <w:rFonts w:ascii="Times New Roman" w:eastAsia="SimSun" w:hAnsi="Times New Roman" w:cs="Times New Roman"/>
          <w:color w:val="222222"/>
          <w:sz w:val="24"/>
          <w:szCs w:val="24"/>
          <w:shd w:val="clear" w:color="auto" w:fill="FFFFFF"/>
        </w:rPr>
        <w:t>haematological</w:t>
      </w:r>
      <w:proofErr w:type="spellEnd"/>
      <w:r>
        <w:rPr>
          <w:rFonts w:ascii="Times New Roman" w:eastAsia="SimSun" w:hAnsi="Times New Roman" w:cs="Times New Roman"/>
          <w:color w:val="222222"/>
          <w:sz w:val="24"/>
          <w:szCs w:val="24"/>
          <w:shd w:val="clear" w:color="auto" w:fill="FFFFFF"/>
        </w:rPr>
        <w:t xml:space="preserve"> assessment of the health of freshwater fish: a review of selected literature. </w:t>
      </w:r>
      <w:r>
        <w:rPr>
          <w:rFonts w:ascii="Times New Roman" w:eastAsia="SimSun" w:hAnsi="Times New Roman" w:cs="Times New Roman"/>
          <w:i/>
          <w:iCs/>
          <w:color w:val="222222"/>
          <w:sz w:val="24"/>
          <w:szCs w:val="24"/>
          <w:shd w:val="clear" w:color="auto" w:fill="FFFFFF"/>
        </w:rPr>
        <w:t>Journal of fish biology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w:t>
      </w:r>
      <w:r>
        <w:rPr>
          <w:rFonts w:ascii="Times New Roman" w:eastAsia="SimSun" w:hAnsi="Times New Roman" w:cs="Times New Roman"/>
          <w:color w:val="222222"/>
          <w:sz w:val="24"/>
          <w:szCs w:val="24"/>
          <w:shd w:val="clear" w:color="auto" w:fill="FFFFFF"/>
        </w:rPr>
        <w:t>(4), 593-604.</w:t>
      </w:r>
    </w:p>
    <w:p w14:paraId="595EEF63" w14:textId="77777777" w:rsidR="008E10DE" w:rsidRDefault="00000000">
      <w:pPr>
        <w:pStyle w:val="NormalWeb"/>
        <w:spacing w:beforeLines="50" w:before="120" w:beforeAutospacing="0" w:afterLines="50" w:after="120" w:afterAutospacing="0"/>
        <w:jc w:val="both"/>
      </w:pPr>
      <w:r>
        <w:t xml:space="preserve">Borah, T., &amp; Yadav, R.N. (1995). Static bioassay and toxicity of two pesticides, </w:t>
      </w:r>
      <w:proofErr w:type="spellStart"/>
      <w:r>
        <w:t>rogor</w:t>
      </w:r>
      <w:proofErr w:type="spellEnd"/>
      <w:r>
        <w:t xml:space="preserve"> and endosulfan, to air-breathing fish </w:t>
      </w:r>
      <w:proofErr w:type="spellStart"/>
      <w:r>
        <w:rPr>
          <w:rStyle w:val="Emphasis"/>
        </w:rPr>
        <w:t>Heteropneustes</w:t>
      </w:r>
      <w:proofErr w:type="spellEnd"/>
      <w:r>
        <w:rPr>
          <w:rStyle w:val="Emphasis"/>
        </w:rPr>
        <w:t xml:space="preserve"> </w:t>
      </w:r>
      <w:proofErr w:type="spellStart"/>
      <w:r>
        <w:rPr>
          <w:rStyle w:val="Emphasis"/>
        </w:rPr>
        <w:t>fossilis</w:t>
      </w:r>
      <w:proofErr w:type="spellEnd"/>
      <w:r>
        <w:t xml:space="preserve"> with special reference to behavior. </w:t>
      </w:r>
      <w:proofErr w:type="spellStart"/>
      <w:r>
        <w:rPr>
          <w:rStyle w:val="Emphasis"/>
        </w:rPr>
        <w:t>Pollut</w:t>
      </w:r>
      <w:proofErr w:type="spellEnd"/>
      <w:r>
        <w:rPr>
          <w:rStyle w:val="Emphasis"/>
        </w:rPr>
        <w:t>. Res.</w:t>
      </w:r>
      <w:r>
        <w:t>, 15, 435–438.</w:t>
      </w:r>
    </w:p>
    <w:p w14:paraId="2A128DE5" w14:textId="77777777" w:rsidR="008E10DE" w:rsidRDefault="00000000">
      <w:pPr>
        <w:pStyle w:val="NormalWeb"/>
        <w:spacing w:beforeLines="50" w:before="120" w:beforeAutospacing="0" w:afterLines="50" w:after="120" w:afterAutospacing="0"/>
        <w:jc w:val="both"/>
      </w:pPr>
      <w:r>
        <w:t xml:space="preserve">Dar, S. A., Chatterjee, A., Rather, M. A., Chetia, D., Srivastava, P. P., &amp; Gupta, S. (2020). Identification, functional characterization, and expression profiling of cytochrome P450 1A (CYP1A) gene in </w:t>
      </w:r>
      <w:proofErr w:type="spellStart"/>
      <w:r>
        <w:t>Labeo</w:t>
      </w:r>
      <w:proofErr w:type="spellEnd"/>
      <w:r>
        <w:t xml:space="preserve"> </w:t>
      </w:r>
      <w:proofErr w:type="spellStart"/>
      <w:r>
        <w:t>rohita</w:t>
      </w:r>
      <w:proofErr w:type="spellEnd"/>
      <w:r>
        <w:t xml:space="preserve"> against </w:t>
      </w:r>
      <w:proofErr w:type="spellStart"/>
      <w:r>
        <w:t>emamectin</w:t>
      </w:r>
      <w:proofErr w:type="spellEnd"/>
      <w:r>
        <w:t xml:space="preserve"> benzoate. </w:t>
      </w:r>
      <w:r>
        <w:rPr>
          <w:i/>
          <w:iCs/>
        </w:rPr>
        <w:t>International Journal of Biological Macromolecules</w:t>
      </w:r>
      <w:r>
        <w:t>, 158, 1268–1278.</w:t>
      </w:r>
    </w:p>
    <w:p w14:paraId="24DA575F" w14:textId="77777777" w:rsidR="008E10DE" w:rsidRDefault="00000000">
      <w:pPr>
        <w:pStyle w:val="NormalWeb"/>
        <w:spacing w:beforeLines="50" w:before="120" w:beforeAutospacing="0" w:afterLines="50" w:after="120" w:afterAutospacing="0"/>
        <w:jc w:val="both"/>
      </w:pPr>
      <w:r>
        <w:lastRenderedPageBreak/>
        <w:t xml:space="preserve">Dar, M. A., Hamid, B., &amp; Kaushik, G. (2023). Temporal trends in the use and concentration of organophosphorus pesticides in Indian riverine water, toxicity, and their risk assessment. </w:t>
      </w:r>
      <w:r>
        <w:rPr>
          <w:rStyle w:val="Emphasis"/>
        </w:rPr>
        <w:t>Regional Studies in Marine Science, 59</w:t>
      </w:r>
      <w:r>
        <w:t>, 102814.</w:t>
      </w:r>
    </w:p>
    <w:p w14:paraId="67568E6F" w14:textId="77777777" w:rsidR="008E10DE" w:rsidRDefault="00000000">
      <w:pPr>
        <w:pStyle w:val="NormalWeb"/>
        <w:spacing w:beforeLines="50" w:before="120" w:beforeAutospacing="0" w:afterLines="50" w:after="120" w:afterAutospacing="0"/>
        <w:jc w:val="both"/>
      </w:pPr>
      <w:r>
        <w:t xml:space="preserve">Das, B. K., &amp; Mukherjee, S. C. (2003). Toxicity of cypermethrin in </w:t>
      </w:r>
      <w:proofErr w:type="spellStart"/>
      <w:r>
        <w:rPr>
          <w:rStyle w:val="Emphasis"/>
        </w:rPr>
        <w:t>Labeo</w:t>
      </w:r>
      <w:proofErr w:type="spellEnd"/>
      <w:r>
        <w:rPr>
          <w:rStyle w:val="Emphasis"/>
        </w:rPr>
        <w:t xml:space="preserve"> </w:t>
      </w:r>
      <w:proofErr w:type="spellStart"/>
      <w:r>
        <w:rPr>
          <w:rStyle w:val="Emphasis"/>
        </w:rPr>
        <w:t>rohita</w:t>
      </w:r>
      <w:proofErr w:type="spellEnd"/>
      <w:r>
        <w:t xml:space="preserve"> fingerlings: Biochemical, enzymatic, and hematological consequences. </w:t>
      </w:r>
      <w:r>
        <w:rPr>
          <w:rStyle w:val="Emphasis"/>
        </w:rPr>
        <w:t>Comparative Biochemistry and Physiology Part C: Toxicology &amp; Pharmacology, 134</w:t>
      </w:r>
      <w:r>
        <w:t>(1), 109–121.</w:t>
      </w:r>
    </w:p>
    <w:p w14:paraId="7EA317A1"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Das, B. K., Nayak, K. K., &amp; Kumar, V. (2024). Alteration of </w:t>
      </w:r>
      <w:proofErr w:type="spellStart"/>
      <w:r>
        <w:rPr>
          <w:rFonts w:ascii="Times New Roman" w:hAnsi="Times New Roman" w:cs="Times New Roman"/>
          <w:sz w:val="24"/>
          <w:szCs w:val="24"/>
        </w:rPr>
        <w:t>haematological</w:t>
      </w:r>
      <w:proofErr w:type="spellEnd"/>
      <w:r>
        <w:rPr>
          <w:rFonts w:ascii="Times New Roman" w:hAnsi="Times New Roman" w:cs="Times New Roman"/>
          <w:sz w:val="24"/>
          <w:szCs w:val="24"/>
        </w:rPr>
        <w:t xml:space="preserve"> and biochemical biomarkers after sub-lethal chronic malathion (</w:t>
      </w:r>
      <w:proofErr w:type="spellStart"/>
      <w:r>
        <w:rPr>
          <w:rFonts w:ascii="Times New Roman" w:hAnsi="Times New Roman" w:cs="Times New Roman"/>
          <w:sz w:val="24"/>
          <w:szCs w:val="24"/>
        </w:rPr>
        <w:t>Elathion</w:t>
      </w:r>
      <w:proofErr w:type="spellEnd"/>
      <w:r>
        <w:rPr>
          <w:rFonts w:ascii="Times New Roman" w:hAnsi="Times New Roman" w:cs="Times New Roman"/>
          <w:sz w:val="24"/>
          <w:szCs w:val="24"/>
        </w:rPr>
        <w:t xml:space="preserve">®) intoxication in freshwater fish, </w:t>
      </w:r>
      <w:proofErr w:type="spellStart"/>
      <w:r>
        <w:rPr>
          <w:rStyle w:val="Emphasis"/>
          <w:rFonts w:ascii="Times New Roman" w:hAnsi="Times New Roman" w:cs="Times New Roman"/>
          <w:sz w:val="24"/>
          <w:szCs w:val="24"/>
        </w:rPr>
        <w:t>Labeo</w:t>
      </w:r>
      <w:proofErr w:type="spellEnd"/>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rohita</w:t>
      </w:r>
      <w:proofErr w:type="spellEnd"/>
      <w:r>
        <w:rPr>
          <w:rFonts w:ascii="Times New Roman" w:hAnsi="Times New Roman" w:cs="Times New Roman"/>
          <w:sz w:val="24"/>
          <w:szCs w:val="24"/>
        </w:rPr>
        <w:t xml:space="preserve"> (Hamilton, 1822). </w:t>
      </w:r>
      <w:r>
        <w:rPr>
          <w:rStyle w:val="Emphasis"/>
          <w:rFonts w:ascii="Times New Roman" w:hAnsi="Times New Roman" w:cs="Times New Roman"/>
          <w:sz w:val="24"/>
          <w:szCs w:val="24"/>
        </w:rPr>
        <w:t>Comparative Biochemistry and Physiology Part C: Toxicology &amp; Pharmacology, 277</w:t>
      </w:r>
      <w:r>
        <w:rPr>
          <w:rFonts w:ascii="Times New Roman" w:hAnsi="Times New Roman" w:cs="Times New Roman"/>
          <w:sz w:val="24"/>
          <w:szCs w:val="24"/>
        </w:rPr>
        <w:t xml:space="preserve">, 109844. </w:t>
      </w:r>
    </w:p>
    <w:p w14:paraId="51CE7D7D" w14:textId="77777777" w:rsidR="008E10DE" w:rsidRDefault="00000000">
      <w:pPr>
        <w:pStyle w:val="NormalWeb"/>
        <w:spacing w:beforeLines="50" w:before="120" w:beforeAutospacing="0" w:afterLines="50" w:after="120" w:afterAutospacing="0"/>
        <w:jc w:val="both"/>
      </w:pPr>
      <w:r>
        <w:t xml:space="preserve">Davoodi, R., &amp; Abdi, G. (2012). Comparative study on the acute toxicity of synthetic pesticides, permethrin 25% and </w:t>
      </w:r>
      <w:proofErr w:type="spellStart"/>
      <w:r>
        <w:t>monocrotophos</w:t>
      </w:r>
      <w:proofErr w:type="spellEnd"/>
      <w:r>
        <w:t xml:space="preserve"> 36%, and neem-based pesticide, neem gold EC 0.03%, to juvenile </w:t>
      </w:r>
      <w:r>
        <w:rPr>
          <w:rStyle w:val="Emphasis"/>
        </w:rPr>
        <w:t>Cyprinus carpio</w:t>
      </w:r>
      <w:r>
        <w:t xml:space="preserve"> Linn. </w:t>
      </w:r>
      <w:r>
        <w:rPr>
          <w:rStyle w:val="Emphasis"/>
        </w:rPr>
        <w:t>Journal of Biological and Environmental Sciences, 6</w:t>
      </w:r>
      <w:r>
        <w:t>(16).</w:t>
      </w:r>
    </w:p>
    <w:p w14:paraId="79B103F1" w14:textId="77777777" w:rsidR="008E10DE" w:rsidRDefault="00000000">
      <w:pPr>
        <w:pStyle w:val="NormalWeb"/>
        <w:spacing w:beforeLines="50" w:before="120" w:beforeAutospacing="0" w:afterLines="50" w:after="120" w:afterAutospacing="0"/>
        <w:jc w:val="both"/>
      </w:pPr>
      <w:r>
        <w:t xml:space="preserve">Devi, Y., &amp; Mishra, A. (2013). Histopathological alterations in gill and liver anatomy of freshwater, air-breathing fish </w:t>
      </w:r>
      <w:r>
        <w:rPr>
          <w:rStyle w:val="Emphasis"/>
        </w:rPr>
        <w:t>Channa punctatus</w:t>
      </w:r>
      <w:r>
        <w:t xml:space="preserve"> after pesticide </w:t>
      </w:r>
      <w:proofErr w:type="spellStart"/>
      <w:r>
        <w:t>Hilban</w:t>
      </w:r>
      <w:proofErr w:type="spellEnd"/>
      <w:r>
        <w:t xml:space="preserve">® (chlorpyrifos) treatment. </w:t>
      </w:r>
      <w:r>
        <w:rPr>
          <w:rStyle w:val="Emphasis"/>
        </w:rPr>
        <w:t>Advances in Bio Research, 4</w:t>
      </w:r>
      <w:r>
        <w:t>(2), 57–62.</w:t>
      </w:r>
    </w:p>
    <w:p w14:paraId="16F12519" w14:textId="77777777" w:rsidR="008E10DE" w:rsidRDefault="00000000">
      <w:pPr>
        <w:pStyle w:val="NormalWeb"/>
        <w:spacing w:beforeLines="50" w:before="120" w:beforeAutospacing="0" w:afterLines="50" w:after="120" w:afterAutospacing="0"/>
        <w:jc w:val="both"/>
      </w:pPr>
      <w:r>
        <w:t xml:space="preserve">Farag, M. R., </w:t>
      </w:r>
      <w:proofErr w:type="spellStart"/>
      <w:r>
        <w:t>Alagawany</w:t>
      </w:r>
      <w:proofErr w:type="spellEnd"/>
      <w:r>
        <w:t xml:space="preserve">, M., Taha, H. S., Ismail, T. A., Khalil, S. R., &amp; Abou-Zeid, S. M. (2021). Immune response and susceptibility of Nile tilapia fish to </w:t>
      </w:r>
      <w:r>
        <w:rPr>
          <w:rStyle w:val="Emphasis"/>
        </w:rPr>
        <w:t xml:space="preserve">Aeromonas </w:t>
      </w:r>
      <w:proofErr w:type="spellStart"/>
      <w:r>
        <w:rPr>
          <w:rStyle w:val="Emphasis"/>
        </w:rPr>
        <w:t>hydrophila</w:t>
      </w:r>
      <w:proofErr w:type="spellEnd"/>
      <w:r>
        <w:t xml:space="preserve"> infection following exposure to bifenthrin and/or supplementation with </w:t>
      </w:r>
      <w:r>
        <w:rPr>
          <w:rStyle w:val="Emphasis"/>
        </w:rPr>
        <w:t xml:space="preserve">Petroselinum </w:t>
      </w:r>
      <w:proofErr w:type="spellStart"/>
      <w:r>
        <w:rPr>
          <w:rStyle w:val="Emphasis"/>
        </w:rPr>
        <w:t>crispum</w:t>
      </w:r>
      <w:proofErr w:type="spellEnd"/>
      <w:r>
        <w:t xml:space="preserve"> essential oil. </w:t>
      </w:r>
      <w:r>
        <w:rPr>
          <w:rStyle w:val="Emphasis"/>
        </w:rPr>
        <w:t>Ecotoxicology and Environmental Safety, 216</w:t>
      </w:r>
      <w:r>
        <w:t xml:space="preserve">, 112205. </w:t>
      </w:r>
    </w:p>
    <w:p w14:paraId="3C28DCF7"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Finney, D. J. (1978). </w:t>
      </w:r>
      <w:r>
        <w:rPr>
          <w:rStyle w:val="Emphasis"/>
          <w:rFonts w:ascii="Times New Roman" w:hAnsi="Times New Roman" w:cs="Times New Roman"/>
          <w:sz w:val="24"/>
          <w:szCs w:val="24"/>
        </w:rPr>
        <w:t>Statistical methods in biological assay</w:t>
      </w:r>
      <w:r>
        <w:rPr>
          <w:rFonts w:ascii="Times New Roman" w:hAnsi="Times New Roman" w:cs="Times New Roman"/>
          <w:sz w:val="24"/>
          <w:szCs w:val="24"/>
        </w:rPr>
        <w:t xml:space="preserve"> (3rd ed.). Charles Griffin &amp; Company Press, 508.</w:t>
      </w:r>
    </w:p>
    <w:p w14:paraId="06B1C201" w14:textId="77777777" w:rsidR="008E10DE" w:rsidRDefault="00000000">
      <w:pPr>
        <w:pStyle w:val="NormalWeb"/>
        <w:spacing w:beforeLines="50" w:before="120" w:beforeAutospacing="0" w:afterLines="50" w:after="120" w:afterAutospacing="0"/>
        <w:jc w:val="both"/>
      </w:pPr>
      <w:r>
        <w:t xml:space="preserve">Ghaffar, A., Riaz, H., Ahrar, K., &amp; Abbas, R. Z. (2015). </w:t>
      </w:r>
      <w:proofErr w:type="spellStart"/>
      <w:r>
        <w:t>Hemato</w:t>
      </w:r>
      <w:proofErr w:type="spellEnd"/>
      <w:r>
        <w:t xml:space="preserve">-biochemical and genetic damage caused by </w:t>
      </w:r>
      <w:proofErr w:type="spellStart"/>
      <w:r>
        <w:t>triazophos</w:t>
      </w:r>
      <w:proofErr w:type="spellEnd"/>
      <w:r>
        <w:t xml:space="preserve"> in freshwater fish </w:t>
      </w:r>
      <w:proofErr w:type="spellStart"/>
      <w:r>
        <w:rPr>
          <w:rStyle w:val="Emphasis"/>
        </w:rPr>
        <w:t>Labeo</w:t>
      </w:r>
      <w:proofErr w:type="spellEnd"/>
      <w:r>
        <w:rPr>
          <w:rStyle w:val="Emphasis"/>
        </w:rPr>
        <w:t xml:space="preserve"> </w:t>
      </w:r>
      <w:proofErr w:type="spellStart"/>
      <w:r>
        <w:rPr>
          <w:rStyle w:val="Emphasis"/>
        </w:rPr>
        <w:t>rohita</w:t>
      </w:r>
      <w:proofErr w:type="spellEnd"/>
      <w:r>
        <w:t xml:space="preserve">. </w:t>
      </w:r>
      <w:r>
        <w:rPr>
          <w:rStyle w:val="Emphasis"/>
        </w:rPr>
        <w:t>International Journal of Agriculture and Biology, 17</w:t>
      </w:r>
      <w:r>
        <w:t>(4), 637–642.</w:t>
      </w:r>
    </w:p>
    <w:p w14:paraId="6C6C64C5" w14:textId="77777777" w:rsidR="008E10DE" w:rsidRDefault="00000000">
      <w:pPr>
        <w:pStyle w:val="NormalWeb"/>
        <w:spacing w:beforeLines="50" w:before="120" w:beforeAutospacing="0" w:afterLines="50" w:after="120" w:afterAutospacing="0"/>
        <w:jc w:val="both"/>
      </w:pPr>
      <w:r>
        <w:t xml:space="preserve">Ghasemzadeh, J., </w:t>
      </w:r>
      <w:proofErr w:type="spellStart"/>
      <w:r>
        <w:t>Sinaei</w:t>
      </w:r>
      <w:proofErr w:type="spellEnd"/>
      <w:r>
        <w:t xml:space="preserve">, M., &amp; </w:t>
      </w:r>
      <w:proofErr w:type="spellStart"/>
      <w:r>
        <w:t>Bolouki</w:t>
      </w:r>
      <w:proofErr w:type="spellEnd"/>
      <w:r>
        <w:t>, M. (2015). Biochemical and histological changes in fish, spotted scat (</w:t>
      </w:r>
      <w:proofErr w:type="spellStart"/>
      <w:r>
        <w:rPr>
          <w:rStyle w:val="Emphasis"/>
        </w:rPr>
        <w:t>Scatophagus</w:t>
      </w:r>
      <w:proofErr w:type="spellEnd"/>
      <w:r>
        <w:rPr>
          <w:rStyle w:val="Emphasis"/>
        </w:rPr>
        <w:t xml:space="preserve"> argus</w:t>
      </w:r>
      <w:r>
        <w:t xml:space="preserve">) exposed to diazinon. </w:t>
      </w:r>
      <w:r>
        <w:rPr>
          <w:rStyle w:val="Emphasis"/>
        </w:rPr>
        <w:t>Bulletin of Environmental Contamination and Toxicology, 94</w:t>
      </w:r>
      <w:r>
        <w:t xml:space="preserve">(2), 164–170. </w:t>
      </w:r>
    </w:p>
    <w:p w14:paraId="1562D38D" w14:textId="77777777" w:rsidR="008E10DE" w:rsidRDefault="00000000">
      <w:pPr>
        <w:pStyle w:val="NormalWeb"/>
        <w:spacing w:beforeLines="50" w:before="120" w:beforeAutospacing="0" w:afterLines="50" w:after="120" w:afterAutospacing="0"/>
        <w:jc w:val="both"/>
      </w:pPr>
      <w:r>
        <w:t>Gholami-</w:t>
      </w:r>
      <w:proofErr w:type="spellStart"/>
      <w:r>
        <w:t>Seyedkolaei</w:t>
      </w:r>
      <w:proofErr w:type="spellEnd"/>
      <w:r>
        <w:t xml:space="preserve">, S. J., </w:t>
      </w:r>
      <w:proofErr w:type="spellStart"/>
      <w:r>
        <w:t>Mirvaghefi</w:t>
      </w:r>
      <w:proofErr w:type="spellEnd"/>
      <w:r>
        <w:t xml:space="preserve">, A., Farahmand, H., &amp; </w:t>
      </w:r>
      <w:proofErr w:type="spellStart"/>
      <w:r>
        <w:t>Kosari</w:t>
      </w:r>
      <w:proofErr w:type="spellEnd"/>
      <w:r>
        <w:t xml:space="preserve">, A. A. (2013). Effect of a glyphosate-based herbicide in </w:t>
      </w:r>
      <w:r>
        <w:rPr>
          <w:rStyle w:val="Emphasis"/>
        </w:rPr>
        <w:t>Cyprinus carpio</w:t>
      </w:r>
      <w:r>
        <w:t xml:space="preserve">: Assessment of acetylcholinesterase activity, hematological responses, and serum biochemical parameters. </w:t>
      </w:r>
      <w:r>
        <w:rPr>
          <w:rStyle w:val="Emphasis"/>
        </w:rPr>
        <w:t>Ecotoxicology and Environmental Safety, 98</w:t>
      </w:r>
      <w:r>
        <w:t>, 135–141.</w:t>
      </w:r>
    </w:p>
    <w:p w14:paraId="0B5A96FA" w14:textId="77777777" w:rsidR="008E10DE" w:rsidRDefault="00000000">
      <w:pPr>
        <w:pStyle w:val="NormalWeb"/>
        <w:spacing w:beforeLines="50" w:before="120" w:beforeAutospacing="0" w:afterLines="50" w:after="120" w:afterAutospacing="0"/>
        <w:jc w:val="both"/>
      </w:pPr>
      <w:r>
        <w:t xml:space="preserve">Islam, S. M., Rohani, M. F., Zabed, S. A., Islam, M. T., Jannat, R., Akter, Y., &amp; Shahjahan, M. (2020). Acute effects of chromium on </w:t>
      </w:r>
      <w:proofErr w:type="spellStart"/>
      <w:r>
        <w:t>hemato</w:t>
      </w:r>
      <w:proofErr w:type="spellEnd"/>
      <w:r>
        <w:t>-biochemical parameters and morphology of erythrocytes in striped catfish (</w:t>
      </w:r>
      <w:proofErr w:type="spellStart"/>
      <w:r>
        <w:rPr>
          <w:rStyle w:val="Emphasis"/>
        </w:rPr>
        <w:t>Pangasianodon</w:t>
      </w:r>
      <w:proofErr w:type="spellEnd"/>
      <w:r>
        <w:rPr>
          <w:rStyle w:val="Emphasis"/>
        </w:rPr>
        <w:t xml:space="preserve"> </w:t>
      </w:r>
      <w:proofErr w:type="spellStart"/>
      <w:r>
        <w:rPr>
          <w:rStyle w:val="Emphasis"/>
        </w:rPr>
        <w:t>hypophthalmus</w:t>
      </w:r>
      <w:proofErr w:type="spellEnd"/>
      <w:r>
        <w:t xml:space="preserve">). </w:t>
      </w:r>
      <w:r>
        <w:rPr>
          <w:rStyle w:val="Emphasis"/>
        </w:rPr>
        <w:t>Toxicology Reports, 7</w:t>
      </w:r>
      <w:r>
        <w:t xml:space="preserve">, 664–670. </w:t>
      </w:r>
    </w:p>
    <w:p w14:paraId="2D5EA4A0"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Joseph, A., Bassey, A., </w:t>
      </w:r>
      <w:proofErr w:type="spellStart"/>
      <w:r>
        <w:rPr>
          <w:rFonts w:ascii="Times New Roman" w:hAnsi="Times New Roman" w:cs="Times New Roman"/>
          <w:sz w:val="24"/>
          <w:szCs w:val="24"/>
        </w:rPr>
        <w:t>Ebari</w:t>
      </w:r>
      <w:proofErr w:type="spellEnd"/>
      <w:r>
        <w:rPr>
          <w:rFonts w:ascii="Times New Roman" w:hAnsi="Times New Roman" w:cs="Times New Roman"/>
          <w:sz w:val="24"/>
          <w:szCs w:val="24"/>
        </w:rPr>
        <w:t xml:space="preserve">, S., &amp; Eni, G. (2024). Hormonal and </w:t>
      </w:r>
      <w:proofErr w:type="spellStart"/>
      <w:r>
        <w:rPr>
          <w:rFonts w:ascii="Times New Roman" w:hAnsi="Times New Roman" w:cs="Times New Roman"/>
          <w:sz w:val="24"/>
          <w:szCs w:val="24"/>
        </w:rPr>
        <w:t>haematological</w:t>
      </w:r>
      <w:proofErr w:type="spellEnd"/>
      <w:r>
        <w:rPr>
          <w:rFonts w:ascii="Times New Roman" w:hAnsi="Times New Roman" w:cs="Times New Roman"/>
          <w:sz w:val="24"/>
          <w:szCs w:val="24"/>
        </w:rPr>
        <w:t xml:space="preserve"> biomarkers as indicators of stress induced by Diuron herbicide toxicity on </w:t>
      </w:r>
      <w:r>
        <w:rPr>
          <w:rStyle w:val="Emphasis"/>
          <w:rFonts w:ascii="Times New Roman" w:hAnsi="Times New Roman" w:cs="Times New Roman"/>
          <w:sz w:val="24"/>
          <w:szCs w:val="24"/>
        </w:rPr>
        <w:t xml:space="preserve">Clarias </w:t>
      </w:r>
      <w:proofErr w:type="spellStart"/>
      <w:r>
        <w:rPr>
          <w:rStyle w:val="Emphasis"/>
          <w:rFonts w:ascii="Times New Roman" w:hAnsi="Times New Roman" w:cs="Times New Roman"/>
          <w:sz w:val="24"/>
          <w:szCs w:val="24"/>
        </w:rPr>
        <w:t>gariepinus</w:t>
      </w:r>
      <w:proofErr w:type="spellEnd"/>
      <w:r>
        <w:rPr>
          <w:rFonts w:ascii="Times New Roman" w:hAnsi="Times New Roman" w:cs="Times New Roman"/>
          <w:sz w:val="24"/>
          <w:szCs w:val="24"/>
        </w:rPr>
        <w:t xml:space="preserve"> (Burchell, 1822) sub-adults. </w:t>
      </w:r>
      <w:r>
        <w:rPr>
          <w:rStyle w:val="Emphasis"/>
          <w:rFonts w:ascii="Times New Roman" w:hAnsi="Times New Roman" w:cs="Times New Roman"/>
          <w:sz w:val="24"/>
          <w:szCs w:val="24"/>
        </w:rPr>
        <w:t>Comparative Biochemistry and Physiology Part C: Toxicology &amp; Pharmacology, 276</w:t>
      </w:r>
      <w:r>
        <w:rPr>
          <w:rFonts w:ascii="Times New Roman" w:hAnsi="Times New Roman" w:cs="Times New Roman"/>
          <w:sz w:val="24"/>
          <w:szCs w:val="24"/>
        </w:rPr>
        <w:t xml:space="preserve">, 109802. </w:t>
      </w:r>
    </w:p>
    <w:p w14:paraId="22DE639F" w14:textId="77777777" w:rsidR="008E10DE" w:rsidRDefault="00000000">
      <w:pPr>
        <w:pStyle w:val="NormalWeb"/>
        <w:spacing w:beforeLines="50" w:before="120" w:beforeAutospacing="0" w:afterLines="50" w:after="120" w:afterAutospacing="0"/>
        <w:jc w:val="both"/>
      </w:pPr>
      <w:r>
        <w:t xml:space="preserve">Karmakar, S., Patra, K., Jana, S., Mandal, D. P., &amp; Bhattacharjee, S. (2016). Exposure to environmentally relevant concentrations of malathion induces significant cellular, </w:t>
      </w:r>
      <w:r>
        <w:lastRenderedPageBreak/>
        <w:t xml:space="preserve">biochemical, and histological alterations in </w:t>
      </w:r>
      <w:proofErr w:type="spellStart"/>
      <w:r>
        <w:rPr>
          <w:rStyle w:val="Emphasis"/>
        </w:rPr>
        <w:t>Labeo</w:t>
      </w:r>
      <w:proofErr w:type="spellEnd"/>
      <w:r>
        <w:rPr>
          <w:rStyle w:val="Emphasis"/>
        </w:rPr>
        <w:t xml:space="preserve"> </w:t>
      </w:r>
      <w:proofErr w:type="spellStart"/>
      <w:r>
        <w:rPr>
          <w:rStyle w:val="Emphasis"/>
        </w:rPr>
        <w:t>rohita</w:t>
      </w:r>
      <w:proofErr w:type="spellEnd"/>
      <w:r>
        <w:t xml:space="preserve">. </w:t>
      </w:r>
      <w:r>
        <w:rPr>
          <w:rStyle w:val="Emphasis"/>
        </w:rPr>
        <w:t>Pesticide Biochemistry and Physiology, 126</w:t>
      </w:r>
      <w:r>
        <w:t xml:space="preserve">, 49–57. </w:t>
      </w:r>
    </w:p>
    <w:p w14:paraId="48A087E7" w14:textId="77777777" w:rsidR="008E10DE" w:rsidRPr="00280F9E" w:rsidRDefault="00000000">
      <w:pPr>
        <w:pStyle w:val="NormalWeb"/>
        <w:spacing w:beforeLines="50" w:before="120" w:beforeAutospacing="0" w:afterLines="50" w:after="120" w:afterAutospacing="0"/>
        <w:jc w:val="both"/>
        <w:rPr>
          <w:lang w:val="de-DE"/>
        </w:rPr>
      </w:pPr>
      <w:proofErr w:type="spellStart"/>
      <w:r>
        <w:t>Katuli</w:t>
      </w:r>
      <w:proofErr w:type="spellEnd"/>
      <w:r>
        <w:t xml:space="preserve">, K. K., Amiri, B.M., </w:t>
      </w:r>
      <w:proofErr w:type="spellStart"/>
      <w:r>
        <w:t>Massarsky</w:t>
      </w:r>
      <w:proofErr w:type="spellEnd"/>
      <w:r>
        <w:t xml:space="preserve">, A., &amp; </w:t>
      </w:r>
      <w:proofErr w:type="spellStart"/>
      <w:r>
        <w:t>Yelghi</w:t>
      </w:r>
      <w:proofErr w:type="spellEnd"/>
      <w:r>
        <w:t>, S. (2014). Impact of a short-term diazinon exposure on the osmoregulation potentiality of Caspian roach (</w:t>
      </w:r>
      <w:r>
        <w:rPr>
          <w:rStyle w:val="Emphasis"/>
        </w:rPr>
        <w:t>Rutilus rutilus</w:t>
      </w:r>
      <w:r>
        <w:t xml:space="preserve">) fingerlings. </w:t>
      </w:r>
      <w:r w:rsidRPr="00280F9E">
        <w:rPr>
          <w:rStyle w:val="Emphasis"/>
          <w:lang w:val="de-DE"/>
        </w:rPr>
        <w:t>Chemosphere, 108</w:t>
      </w:r>
      <w:r w:rsidRPr="00280F9E">
        <w:rPr>
          <w:lang w:val="de-DE"/>
        </w:rPr>
        <w:t xml:space="preserve">, 396-404. </w:t>
      </w:r>
    </w:p>
    <w:p w14:paraId="518A8B26" w14:textId="77777777" w:rsidR="008E10DE" w:rsidRDefault="00000000">
      <w:pPr>
        <w:pStyle w:val="NormalWeb"/>
        <w:spacing w:beforeLines="50" w:before="120" w:beforeAutospacing="0" w:afterLines="50" w:after="120" w:afterAutospacing="0"/>
        <w:jc w:val="both"/>
      </w:pPr>
      <w:r w:rsidRPr="00280F9E">
        <w:rPr>
          <w:lang w:val="de-DE"/>
        </w:rPr>
        <w:t xml:space="preserve">Krause, K. H., van Thriel, C., De Sousa, P. A., Leist, M., &amp; Hengstler, J. G. (2013). </w:t>
      </w:r>
      <w:proofErr w:type="spellStart"/>
      <w:r>
        <w:t>Monocrotophos</w:t>
      </w:r>
      <w:proofErr w:type="spellEnd"/>
      <w:r>
        <w:t xml:space="preserve"> in </w:t>
      </w:r>
      <w:proofErr w:type="spellStart"/>
      <w:r>
        <w:t>Gandaman</w:t>
      </w:r>
      <w:proofErr w:type="spellEnd"/>
      <w:r>
        <w:t xml:space="preserve"> village: India school lunch deaths and need for improved toxicity testing. </w:t>
      </w:r>
      <w:r>
        <w:rPr>
          <w:rStyle w:val="Emphasis"/>
        </w:rPr>
        <w:t>Archives of Toxicology, 87</w:t>
      </w:r>
      <w:r>
        <w:t>, 1877–1881.</w:t>
      </w:r>
    </w:p>
    <w:p w14:paraId="4B090FAA"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Kumar, V., Swain, H. S., Das, B. K., Roy, S., Upadhyay, A., Ramteke, M. H., &amp; Banerjee, H. (2022). Assessment of the effect of sub-lethal acute toxicity of </w:t>
      </w:r>
      <w:proofErr w:type="spellStart"/>
      <w:r>
        <w:rPr>
          <w:rFonts w:ascii="Times New Roman" w:hAnsi="Times New Roman" w:cs="Times New Roman"/>
          <w:sz w:val="24"/>
          <w:szCs w:val="24"/>
        </w:rPr>
        <w:t>Emamectin</w:t>
      </w:r>
      <w:proofErr w:type="spellEnd"/>
      <w:r>
        <w:rPr>
          <w:rFonts w:ascii="Times New Roman" w:hAnsi="Times New Roman" w:cs="Times New Roman"/>
          <w:sz w:val="24"/>
          <w:szCs w:val="24"/>
        </w:rPr>
        <w:t xml:space="preserve"> benzoate in </w:t>
      </w:r>
      <w:proofErr w:type="spellStart"/>
      <w:r>
        <w:rPr>
          <w:rStyle w:val="Emphasis"/>
          <w:rFonts w:ascii="Times New Roman" w:hAnsi="Times New Roman" w:cs="Times New Roman"/>
          <w:sz w:val="24"/>
          <w:szCs w:val="24"/>
        </w:rPr>
        <w:t>Labeo</w:t>
      </w:r>
      <w:proofErr w:type="spellEnd"/>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rohita</w:t>
      </w:r>
      <w:proofErr w:type="spellEnd"/>
      <w:r>
        <w:rPr>
          <w:rFonts w:ascii="Times New Roman" w:hAnsi="Times New Roman" w:cs="Times New Roman"/>
          <w:sz w:val="24"/>
          <w:szCs w:val="24"/>
        </w:rPr>
        <w:t xml:space="preserve"> using multiple biomarker approach. </w:t>
      </w:r>
      <w:r>
        <w:rPr>
          <w:rStyle w:val="Emphasis"/>
          <w:rFonts w:ascii="Times New Roman" w:hAnsi="Times New Roman" w:cs="Times New Roman"/>
          <w:sz w:val="24"/>
          <w:szCs w:val="24"/>
        </w:rPr>
        <w:t>Toxicology Reports, 9</w:t>
      </w:r>
      <w:r>
        <w:rPr>
          <w:rFonts w:ascii="Times New Roman" w:hAnsi="Times New Roman" w:cs="Times New Roman"/>
          <w:sz w:val="24"/>
          <w:szCs w:val="24"/>
        </w:rPr>
        <w:t>, 102–110.</w:t>
      </w:r>
    </w:p>
    <w:p w14:paraId="35AAC4F3" w14:textId="77777777" w:rsidR="008E10DE" w:rsidRDefault="00000000">
      <w:pPr>
        <w:pStyle w:val="NormalWeb"/>
        <w:spacing w:beforeLines="50" w:before="120" w:beforeAutospacing="0" w:afterLines="50" w:after="120" w:afterAutospacing="0"/>
        <w:jc w:val="both"/>
      </w:pPr>
      <w:r>
        <w:t xml:space="preserve">Lim, S., Ahn, S.Y., Song, I.C., Chung, M.H., &amp; Jang, H.C. (2009). Chronic exposure to the herbicide atrazine causes mitochondrial dysfunction and insulin resistance. </w:t>
      </w:r>
      <w:proofErr w:type="spellStart"/>
      <w:r>
        <w:rPr>
          <w:rStyle w:val="Emphasis"/>
        </w:rPr>
        <w:t>PLoS</w:t>
      </w:r>
      <w:proofErr w:type="spellEnd"/>
      <w:r>
        <w:rPr>
          <w:rStyle w:val="Emphasis"/>
        </w:rPr>
        <w:t xml:space="preserve"> One, 4</w:t>
      </w:r>
      <w:r>
        <w:t xml:space="preserve">(9), e5186. </w:t>
      </w:r>
    </w:p>
    <w:p w14:paraId="73527019" w14:textId="77777777" w:rsidR="008E10DE" w:rsidRDefault="00000000">
      <w:pPr>
        <w:pStyle w:val="NormalWeb"/>
        <w:spacing w:beforeLines="50" w:before="120" w:beforeAutospacing="0" w:afterLines="50" w:after="120" w:afterAutospacing="0"/>
        <w:jc w:val="both"/>
      </w:pPr>
      <w:r>
        <w:t xml:space="preserve">Maharajan, A., &amp; </w:t>
      </w:r>
      <w:proofErr w:type="spellStart"/>
      <w:r>
        <w:t>Parurukmani</w:t>
      </w:r>
      <w:proofErr w:type="spellEnd"/>
      <w:r>
        <w:t xml:space="preserve">, P. S. (2012). Effect of </w:t>
      </w:r>
      <w:proofErr w:type="spellStart"/>
      <w:r>
        <w:t>aluminium</w:t>
      </w:r>
      <w:proofErr w:type="spellEnd"/>
      <w:r>
        <w:t xml:space="preserve"> chloride toxicity against histopathology of gill and liver tissue of Indian major carp, </w:t>
      </w:r>
      <w:proofErr w:type="spellStart"/>
      <w:r>
        <w:rPr>
          <w:rStyle w:val="Emphasis"/>
        </w:rPr>
        <w:t>Catla</w:t>
      </w:r>
      <w:proofErr w:type="spellEnd"/>
      <w:r>
        <w:rPr>
          <w:rStyle w:val="Emphasis"/>
        </w:rPr>
        <w:t xml:space="preserve"> </w:t>
      </w:r>
      <w:proofErr w:type="spellStart"/>
      <w:r>
        <w:rPr>
          <w:rStyle w:val="Emphasis"/>
        </w:rPr>
        <w:t>Catla</w:t>
      </w:r>
      <w:proofErr w:type="spellEnd"/>
      <w:r>
        <w:t xml:space="preserve"> (Hamilton). </w:t>
      </w:r>
      <w:r>
        <w:rPr>
          <w:rStyle w:val="Emphasis"/>
        </w:rPr>
        <w:t>International Journal of Pharma and Bio Sciences, 3</w:t>
      </w:r>
      <w:r>
        <w:t>(3), 523–530.</w:t>
      </w:r>
    </w:p>
    <w:p w14:paraId="3CA35669" w14:textId="77777777" w:rsidR="008E10DE" w:rsidRDefault="00000000">
      <w:pPr>
        <w:pStyle w:val="NormalWeb"/>
        <w:spacing w:beforeLines="50" w:before="120" w:beforeAutospacing="0" w:afterLines="50" w:after="120" w:afterAutospacing="0"/>
        <w:jc w:val="both"/>
      </w:pPr>
      <w:r>
        <w:t xml:space="preserve">Matsumoto, S.T., Mantovani, M.S., </w:t>
      </w:r>
      <w:proofErr w:type="spellStart"/>
      <w:r>
        <w:t>Mallaguti</w:t>
      </w:r>
      <w:proofErr w:type="spellEnd"/>
      <w:r>
        <w:t xml:space="preserve">, M.I., &amp; Marin-Morales, M.A. (2003). Investigation of the genotoxic potential of the waters of a river receiving tannery effluents by means of the in vitro comet assay. </w:t>
      </w:r>
      <w:proofErr w:type="spellStart"/>
      <w:r>
        <w:rPr>
          <w:rStyle w:val="Emphasis"/>
        </w:rPr>
        <w:t>Cytologia</w:t>
      </w:r>
      <w:proofErr w:type="spellEnd"/>
      <w:r>
        <w:rPr>
          <w:rStyle w:val="Emphasis"/>
        </w:rPr>
        <w:t>, 68</w:t>
      </w:r>
      <w:r>
        <w:t xml:space="preserve">, 395–401. </w:t>
      </w:r>
    </w:p>
    <w:p w14:paraId="6136C033"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Maurya, P. K., Jyoti, S., &amp; Maurya, P. K. (2024). Acute toxicity of </w:t>
      </w:r>
      <w:proofErr w:type="spellStart"/>
      <w:r>
        <w:rPr>
          <w:rFonts w:ascii="Times New Roman" w:hAnsi="Times New Roman" w:cs="Times New Roman"/>
          <w:sz w:val="24"/>
          <w:szCs w:val="24"/>
        </w:rPr>
        <w:t>dithane</w:t>
      </w:r>
      <w:proofErr w:type="spellEnd"/>
      <w:r>
        <w:rPr>
          <w:rFonts w:ascii="Times New Roman" w:hAnsi="Times New Roman" w:cs="Times New Roman"/>
          <w:sz w:val="24"/>
          <w:szCs w:val="24"/>
        </w:rPr>
        <w:t xml:space="preserve"> M-45 in freshwater fish </w:t>
      </w:r>
      <w:proofErr w:type="spellStart"/>
      <w:r>
        <w:rPr>
          <w:rStyle w:val="Emphasis"/>
          <w:rFonts w:ascii="Times New Roman" w:hAnsi="Times New Roman" w:cs="Times New Roman"/>
          <w:sz w:val="24"/>
          <w:szCs w:val="24"/>
        </w:rPr>
        <w:t>Labeo</w:t>
      </w:r>
      <w:proofErr w:type="spellEnd"/>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rohita</w:t>
      </w:r>
      <w:proofErr w:type="spellEnd"/>
      <w:r>
        <w:rPr>
          <w:rFonts w:ascii="Times New Roman" w:hAnsi="Times New Roman" w:cs="Times New Roman"/>
          <w:sz w:val="24"/>
          <w:szCs w:val="24"/>
        </w:rPr>
        <w:t xml:space="preserve">: A laboratory study. </w:t>
      </w:r>
      <w:r>
        <w:rPr>
          <w:rStyle w:val="Emphasis"/>
          <w:rFonts w:ascii="Times New Roman" w:hAnsi="Times New Roman" w:cs="Times New Roman"/>
          <w:sz w:val="24"/>
          <w:szCs w:val="24"/>
        </w:rPr>
        <w:t>Environment Conservation Journal, 25</w:t>
      </w:r>
      <w:r>
        <w:rPr>
          <w:rFonts w:ascii="Times New Roman" w:hAnsi="Times New Roman" w:cs="Times New Roman"/>
          <w:sz w:val="24"/>
          <w:szCs w:val="24"/>
        </w:rPr>
        <w:t xml:space="preserve">(4), 1113–1119. </w:t>
      </w:r>
    </w:p>
    <w:p w14:paraId="0C785E5D" w14:textId="77777777" w:rsidR="008E10DE" w:rsidRDefault="00000000">
      <w:pPr>
        <w:pStyle w:val="NormalWeb"/>
        <w:spacing w:beforeLines="50" w:before="120" w:beforeAutospacing="0" w:afterLines="50" w:after="120" w:afterAutospacing="0"/>
        <w:jc w:val="both"/>
      </w:pPr>
      <w:r>
        <w:t xml:space="preserve">Narra, M. R. (2016). Single and cartel effect of pesticides on biochemical and hematological status of </w:t>
      </w:r>
      <w:r>
        <w:rPr>
          <w:rStyle w:val="Emphasis"/>
        </w:rPr>
        <w:t xml:space="preserve">Clarias </w:t>
      </w:r>
      <w:proofErr w:type="spellStart"/>
      <w:r>
        <w:rPr>
          <w:rStyle w:val="Emphasis"/>
        </w:rPr>
        <w:t>batrachus</w:t>
      </w:r>
      <w:proofErr w:type="spellEnd"/>
      <w:r>
        <w:t xml:space="preserve">: A long-term monitoring. </w:t>
      </w:r>
      <w:r>
        <w:rPr>
          <w:rStyle w:val="Emphasis"/>
        </w:rPr>
        <w:t>Chemosphere, 144</w:t>
      </w:r>
      <w:r>
        <w:t>, 966–974.</w:t>
      </w:r>
    </w:p>
    <w:p w14:paraId="00C8D69A" w14:textId="77777777" w:rsidR="008E10DE" w:rsidRDefault="00000000">
      <w:pPr>
        <w:pStyle w:val="NormalWeb"/>
        <w:spacing w:beforeLines="50" w:before="120" w:beforeAutospacing="0" w:afterLines="50" w:after="120" w:afterAutospacing="0"/>
        <w:jc w:val="both"/>
      </w:pPr>
      <w:r>
        <w:t xml:space="preserve">Nwani, B.D., Nagpure, N.S., Kumar, R., Kushwaha, B., Kumar, P., &amp; Lakra, W.S. (2011). Mutagenic and genotoxic assessment of atrazine-based herbicide to freshwater fish </w:t>
      </w:r>
      <w:r>
        <w:rPr>
          <w:rStyle w:val="Emphasis"/>
        </w:rPr>
        <w:t>Channa punctatus</w:t>
      </w:r>
      <w:r>
        <w:t xml:space="preserve"> (Bloch) using micronucleus test and single cell gel electrophoresis. </w:t>
      </w:r>
      <w:r>
        <w:rPr>
          <w:rStyle w:val="Emphasis"/>
        </w:rPr>
        <w:t xml:space="preserve">Environ. </w:t>
      </w:r>
      <w:proofErr w:type="spellStart"/>
      <w:r>
        <w:rPr>
          <w:rStyle w:val="Emphasis"/>
        </w:rPr>
        <w:t>Toxicol</w:t>
      </w:r>
      <w:proofErr w:type="spellEnd"/>
      <w:r>
        <w:rPr>
          <w:rStyle w:val="Emphasis"/>
        </w:rPr>
        <w:t xml:space="preserve">. </w:t>
      </w:r>
      <w:proofErr w:type="spellStart"/>
      <w:r>
        <w:rPr>
          <w:rStyle w:val="Emphasis"/>
        </w:rPr>
        <w:t>Pharmacol</w:t>
      </w:r>
      <w:proofErr w:type="spellEnd"/>
      <w:r>
        <w:rPr>
          <w:rStyle w:val="Emphasis"/>
        </w:rPr>
        <w:t>.</w:t>
      </w:r>
      <w:r>
        <w:t xml:space="preserve">, 31, 314–322. </w:t>
      </w:r>
    </w:p>
    <w:p w14:paraId="33DD89FE" w14:textId="77777777" w:rsidR="008E10DE" w:rsidRDefault="00000000">
      <w:pPr>
        <w:spacing w:beforeLines="50" w:before="120" w:afterLines="50" w:after="120"/>
        <w:jc w:val="both"/>
        <w:rPr>
          <w:rFonts w:ascii="Times New Roman" w:hAnsi="Times New Roman" w:cs="Times New Roman"/>
          <w:sz w:val="24"/>
          <w:szCs w:val="24"/>
        </w:rPr>
      </w:pPr>
      <w:proofErr w:type="spellStart"/>
      <w:r>
        <w:rPr>
          <w:rFonts w:ascii="Times New Roman" w:hAnsi="Times New Roman" w:cs="Times New Roman"/>
          <w:sz w:val="24"/>
          <w:szCs w:val="24"/>
        </w:rPr>
        <w:t>Oluah</w:t>
      </w:r>
      <w:proofErr w:type="spellEnd"/>
      <w:r>
        <w:rPr>
          <w:rFonts w:ascii="Times New Roman" w:hAnsi="Times New Roman" w:cs="Times New Roman"/>
          <w:sz w:val="24"/>
          <w:szCs w:val="24"/>
        </w:rPr>
        <w:t xml:space="preserve">, N. S., </w:t>
      </w:r>
      <w:proofErr w:type="spellStart"/>
      <w:r>
        <w:rPr>
          <w:rFonts w:ascii="Times New Roman" w:hAnsi="Times New Roman" w:cs="Times New Roman"/>
          <w:sz w:val="24"/>
          <w:szCs w:val="24"/>
        </w:rPr>
        <w:t>Aguzie</w:t>
      </w:r>
      <w:proofErr w:type="spellEnd"/>
      <w:r>
        <w:rPr>
          <w:rFonts w:ascii="Times New Roman" w:hAnsi="Times New Roman" w:cs="Times New Roman"/>
          <w:sz w:val="24"/>
          <w:szCs w:val="24"/>
        </w:rPr>
        <w:t xml:space="preserve">, I. O., Ekechukwu, N. E., Madu, J. C., </w:t>
      </w:r>
      <w:proofErr w:type="spellStart"/>
      <w:r>
        <w:rPr>
          <w:rFonts w:ascii="Times New Roman" w:hAnsi="Times New Roman" w:cs="Times New Roman"/>
          <w:sz w:val="24"/>
          <w:szCs w:val="24"/>
        </w:rPr>
        <w:t>Ngene</w:t>
      </w:r>
      <w:proofErr w:type="spellEnd"/>
      <w:r>
        <w:rPr>
          <w:rFonts w:ascii="Times New Roman" w:hAnsi="Times New Roman" w:cs="Times New Roman"/>
          <w:sz w:val="24"/>
          <w:szCs w:val="24"/>
        </w:rPr>
        <w:t xml:space="preserve">, C. I., &amp; </w:t>
      </w:r>
      <w:proofErr w:type="spellStart"/>
      <w:r>
        <w:rPr>
          <w:rFonts w:ascii="Times New Roman" w:hAnsi="Times New Roman" w:cs="Times New Roman"/>
          <w:sz w:val="24"/>
          <w:szCs w:val="24"/>
        </w:rPr>
        <w:t>Oluah</w:t>
      </w:r>
      <w:proofErr w:type="spellEnd"/>
      <w:r>
        <w:rPr>
          <w:rFonts w:ascii="Times New Roman" w:hAnsi="Times New Roman" w:cs="Times New Roman"/>
          <w:sz w:val="24"/>
          <w:szCs w:val="24"/>
        </w:rPr>
        <w:t xml:space="preserve">, C. (2020). Hematological and immunological responses in the African catfish </w:t>
      </w:r>
      <w:r>
        <w:rPr>
          <w:rStyle w:val="Emphasis"/>
          <w:rFonts w:ascii="Times New Roman" w:hAnsi="Times New Roman" w:cs="Times New Roman"/>
          <w:sz w:val="24"/>
          <w:szCs w:val="24"/>
        </w:rPr>
        <w:t xml:space="preserve">Clarias </w:t>
      </w:r>
      <w:proofErr w:type="spellStart"/>
      <w:r>
        <w:rPr>
          <w:rStyle w:val="Emphasis"/>
          <w:rFonts w:ascii="Times New Roman" w:hAnsi="Times New Roman" w:cs="Times New Roman"/>
          <w:sz w:val="24"/>
          <w:szCs w:val="24"/>
        </w:rPr>
        <w:t>gariepinus</w:t>
      </w:r>
      <w:proofErr w:type="spellEnd"/>
      <w:r>
        <w:rPr>
          <w:rFonts w:ascii="Times New Roman" w:hAnsi="Times New Roman" w:cs="Times New Roman"/>
          <w:sz w:val="24"/>
          <w:szCs w:val="24"/>
        </w:rPr>
        <w:t xml:space="preserve"> exposed to sublethal concentrations of herbicide </w:t>
      </w:r>
      <w:proofErr w:type="spellStart"/>
      <w:r>
        <w:rPr>
          <w:rFonts w:ascii="Times New Roman" w:hAnsi="Times New Roman" w:cs="Times New Roman"/>
          <w:sz w:val="24"/>
          <w:szCs w:val="24"/>
        </w:rPr>
        <w:t>Ronstar</w:t>
      </w:r>
      <w:proofErr w:type="spellEnd"/>
      <w:r>
        <w:rPr>
          <w:rFonts w:ascii="Times New Roman" w:hAnsi="Times New Roman" w:cs="Times New Roman"/>
          <w:sz w:val="24"/>
          <w:szCs w:val="24"/>
        </w:rPr>
        <w:t xml:space="preserve">®. </w:t>
      </w:r>
      <w:r>
        <w:rPr>
          <w:rStyle w:val="Emphasis"/>
          <w:rFonts w:ascii="Times New Roman" w:hAnsi="Times New Roman" w:cs="Times New Roman"/>
          <w:sz w:val="24"/>
          <w:szCs w:val="24"/>
        </w:rPr>
        <w:t>Ecotoxicology and Environmental Safety, 201</w:t>
      </w:r>
      <w:r>
        <w:rPr>
          <w:rFonts w:ascii="Times New Roman" w:hAnsi="Times New Roman" w:cs="Times New Roman"/>
          <w:sz w:val="24"/>
          <w:szCs w:val="24"/>
        </w:rPr>
        <w:t xml:space="preserve">, 110824. </w:t>
      </w:r>
    </w:p>
    <w:p w14:paraId="5503AA04" w14:textId="77777777" w:rsidR="008E10DE" w:rsidRDefault="00000000">
      <w:pPr>
        <w:spacing w:beforeLines="50" w:before="120" w:afterLines="50" w:after="120"/>
        <w:jc w:val="both"/>
        <w:rPr>
          <w:rFonts w:ascii="Times New Roman" w:hAnsi="Times New Roman" w:cs="Times New Roman"/>
          <w:sz w:val="24"/>
          <w:szCs w:val="24"/>
        </w:rPr>
      </w:pPr>
      <w:proofErr w:type="spellStart"/>
      <w:r>
        <w:rPr>
          <w:rFonts w:ascii="Times New Roman" w:hAnsi="Times New Roman" w:cs="Times New Roman"/>
          <w:sz w:val="24"/>
          <w:szCs w:val="24"/>
        </w:rPr>
        <w:t>Pattnaik</w:t>
      </w:r>
      <w:proofErr w:type="spellEnd"/>
      <w:r>
        <w:rPr>
          <w:rFonts w:ascii="Times New Roman" w:hAnsi="Times New Roman" w:cs="Times New Roman"/>
          <w:sz w:val="24"/>
          <w:szCs w:val="24"/>
        </w:rPr>
        <w:t xml:space="preserve">, S., Samal, S., Mishra, C. S. K., Ghosh, P., Muduli, N., Biswal, M., &amp; </w:t>
      </w:r>
      <w:proofErr w:type="spellStart"/>
      <w:r>
        <w:rPr>
          <w:rFonts w:ascii="Times New Roman" w:hAnsi="Times New Roman" w:cs="Times New Roman"/>
          <w:sz w:val="24"/>
          <w:szCs w:val="24"/>
        </w:rPr>
        <w:t>Sundaray</w:t>
      </w:r>
      <w:proofErr w:type="spellEnd"/>
      <w:r>
        <w:rPr>
          <w:rFonts w:ascii="Times New Roman" w:hAnsi="Times New Roman" w:cs="Times New Roman"/>
          <w:sz w:val="24"/>
          <w:szCs w:val="24"/>
        </w:rPr>
        <w:t xml:space="preserve">, J. K. (2022). Effect of organophosphate,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haematological</w:t>
      </w:r>
      <w:proofErr w:type="spellEnd"/>
      <w:r>
        <w:rPr>
          <w:rFonts w:ascii="Times New Roman" w:hAnsi="Times New Roman" w:cs="Times New Roman"/>
          <w:sz w:val="24"/>
          <w:szCs w:val="24"/>
        </w:rPr>
        <w:t xml:space="preserve">, histological, and biochemical indices in the subtropical catfish </w:t>
      </w:r>
      <w:proofErr w:type="spellStart"/>
      <w:r>
        <w:rPr>
          <w:rStyle w:val="Emphasis"/>
          <w:rFonts w:ascii="Times New Roman" w:hAnsi="Times New Roman" w:cs="Times New Roman"/>
          <w:sz w:val="24"/>
          <w:szCs w:val="24"/>
        </w:rPr>
        <w:t>Heteropneustes</w:t>
      </w:r>
      <w:proofErr w:type="spellEnd"/>
      <w:r>
        <w:rPr>
          <w:rStyle w:val="Emphasis"/>
          <w:rFonts w:ascii="Times New Roman" w:hAnsi="Times New Roman" w:cs="Times New Roman"/>
          <w:sz w:val="24"/>
          <w:szCs w:val="24"/>
        </w:rPr>
        <w:t xml:space="preserve"> </w:t>
      </w:r>
      <w:proofErr w:type="spellStart"/>
      <w:r>
        <w:rPr>
          <w:rStyle w:val="Emphasis"/>
          <w:rFonts w:ascii="Times New Roman" w:hAnsi="Times New Roman" w:cs="Times New Roman"/>
          <w:sz w:val="24"/>
          <w:szCs w:val="24"/>
        </w:rPr>
        <w:t>fossilis</w:t>
      </w:r>
      <w:proofErr w:type="spellEnd"/>
      <w:r>
        <w:rPr>
          <w:rFonts w:ascii="Times New Roman" w:hAnsi="Times New Roman" w:cs="Times New Roman"/>
          <w:sz w:val="24"/>
          <w:szCs w:val="24"/>
        </w:rPr>
        <w:t xml:space="preserve"> (Bloch, 1794). </w:t>
      </w:r>
      <w:r>
        <w:rPr>
          <w:rStyle w:val="Emphasis"/>
          <w:rFonts w:ascii="Times New Roman" w:hAnsi="Times New Roman" w:cs="Times New Roman"/>
          <w:sz w:val="24"/>
          <w:szCs w:val="24"/>
        </w:rPr>
        <w:t>Journal of the Indian Society of Coastal Agricultural Research, 40</w:t>
      </w:r>
      <w:r>
        <w:rPr>
          <w:rFonts w:ascii="Times New Roman" w:hAnsi="Times New Roman" w:cs="Times New Roman"/>
          <w:sz w:val="24"/>
          <w:szCs w:val="24"/>
        </w:rPr>
        <w:t xml:space="preserve">(1), 25–35. </w:t>
      </w:r>
    </w:p>
    <w:p w14:paraId="089E5182" w14:textId="77777777" w:rsidR="008E10DE" w:rsidRDefault="00000000">
      <w:pPr>
        <w:spacing w:beforeLines="50" w:before="120" w:afterLines="50" w:after="120"/>
        <w:jc w:val="both"/>
        <w:rPr>
          <w:rFonts w:ascii="Times New Roman" w:hAnsi="Times New Roman" w:cs="Times New Roman"/>
          <w:sz w:val="24"/>
          <w:szCs w:val="24"/>
        </w:rPr>
      </w:pPr>
      <w:r>
        <w:rPr>
          <w:rFonts w:ascii="Times New Roman" w:hAnsi="Times New Roman" w:cs="Times New Roman"/>
          <w:sz w:val="24"/>
          <w:szCs w:val="24"/>
        </w:rPr>
        <w:t xml:space="preserve">Rajan, D. K., Mohan, K., </w:t>
      </w:r>
      <w:proofErr w:type="spellStart"/>
      <w:r>
        <w:rPr>
          <w:rFonts w:ascii="Times New Roman" w:hAnsi="Times New Roman" w:cs="Times New Roman"/>
          <w:sz w:val="24"/>
          <w:szCs w:val="24"/>
        </w:rPr>
        <w:t>Rajarajeswaran</w:t>
      </w:r>
      <w:proofErr w:type="spellEnd"/>
      <w:r>
        <w:rPr>
          <w:rFonts w:ascii="Times New Roman" w:hAnsi="Times New Roman" w:cs="Times New Roman"/>
          <w:sz w:val="24"/>
          <w:szCs w:val="24"/>
        </w:rPr>
        <w:t xml:space="preserve">, J., Divya, D., </w:t>
      </w:r>
      <w:proofErr w:type="spellStart"/>
      <w:r>
        <w:rPr>
          <w:rFonts w:ascii="Times New Roman" w:hAnsi="Times New Roman" w:cs="Times New Roman"/>
          <w:sz w:val="24"/>
          <w:szCs w:val="24"/>
        </w:rPr>
        <w:t>Thanigaivel</w:t>
      </w:r>
      <w:proofErr w:type="spellEnd"/>
      <w:r>
        <w:rPr>
          <w:rFonts w:ascii="Times New Roman" w:hAnsi="Times New Roman" w:cs="Times New Roman"/>
          <w:sz w:val="24"/>
          <w:szCs w:val="24"/>
        </w:rPr>
        <w:t xml:space="preserve">, S., &amp; Zhang, S. (2024). Toxic effects of organophosphate pesticide </w:t>
      </w:r>
      <w:proofErr w:type="spellStart"/>
      <w:r>
        <w:rPr>
          <w:rFonts w:ascii="Times New Roman" w:hAnsi="Times New Roman" w:cs="Times New Roman"/>
          <w:sz w:val="24"/>
          <w:szCs w:val="24"/>
        </w:rPr>
        <w:t>monocrotophos</w:t>
      </w:r>
      <w:proofErr w:type="spellEnd"/>
      <w:r>
        <w:rPr>
          <w:rFonts w:ascii="Times New Roman" w:hAnsi="Times New Roman" w:cs="Times New Roman"/>
          <w:sz w:val="24"/>
          <w:szCs w:val="24"/>
        </w:rPr>
        <w:t xml:space="preserve"> in aquatic organisms: A review of challenges, regulations, and future perspectives. </w:t>
      </w:r>
      <w:r>
        <w:rPr>
          <w:rStyle w:val="Emphasis"/>
          <w:rFonts w:ascii="Times New Roman" w:hAnsi="Times New Roman" w:cs="Times New Roman"/>
          <w:sz w:val="24"/>
          <w:szCs w:val="24"/>
        </w:rPr>
        <w:t>Environmental Research, 244</w:t>
      </w:r>
      <w:r>
        <w:rPr>
          <w:rFonts w:ascii="Times New Roman" w:hAnsi="Times New Roman" w:cs="Times New Roman"/>
          <w:sz w:val="24"/>
          <w:szCs w:val="24"/>
        </w:rPr>
        <w:t xml:space="preserve">, 117947. </w:t>
      </w:r>
    </w:p>
    <w:p w14:paraId="3CA98F31" w14:textId="77777777" w:rsidR="008E10DE" w:rsidRDefault="00000000">
      <w:pPr>
        <w:pStyle w:val="NormalWeb"/>
        <w:spacing w:beforeLines="50" w:before="120" w:beforeAutospacing="0" w:afterLines="50" w:after="120" w:afterAutospacing="0"/>
        <w:jc w:val="both"/>
      </w:pPr>
      <w:r>
        <w:lastRenderedPageBreak/>
        <w:t xml:space="preserve">Ritu, R. F., Islam, S. M., Rashid, H., Haque, S. M., </w:t>
      </w:r>
      <w:proofErr w:type="spellStart"/>
      <w:r>
        <w:t>Zulfahmi</w:t>
      </w:r>
      <w:proofErr w:type="spellEnd"/>
      <w:r>
        <w:t xml:space="preserve">, I., &amp; Sumon, K. A. (2022). Application of fenitrothion on </w:t>
      </w:r>
      <w:proofErr w:type="spellStart"/>
      <w:r>
        <w:rPr>
          <w:rStyle w:val="Emphasis"/>
        </w:rPr>
        <w:t>Heteropneustes</w:t>
      </w:r>
      <w:proofErr w:type="spellEnd"/>
      <w:r>
        <w:rPr>
          <w:rStyle w:val="Emphasis"/>
        </w:rPr>
        <w:t xml:space="preserve"> </w:t>
      </w:r>
      <w:proofErr w:type="spellStart"/>
      <w:r>
        <w:rPr>
          <w:rStyle w:val="Emphasis"/>
        </w:rPr>
        <w:t>fossilis</w:t>
      </w:r>
      <w:proofErr w:type="spellEnd"/>
      <w:r>
        <w:t xml:space="preserve"> causes alteration in morphology of erythrocytes via modifying hematological parameters. </w:t>
      </w:r>
      <w:r>
        <w:rPr>
          <w:rStyle w:val="Emphasis"/>
        </w:rPr>
        <w:t>Toxicology Reports, 9</w:t>
      </w:r>
      <w:r>
        <w:t xml:space="preserve">, 895–904. </w:t>
      </w:r>
    </w:p>
    <w:p w14:paraId="4FE70FA9" w14:textId="77777777" w:rsidR="008E10DE" w:rsidRDefault="00000000">
      <w:pPr>
        <w:pStyle w:val="NormalWeb"/>
        <w:spacing w:beforeLines="50" w:before="120" w:beforeAutospacing="0" w:afterLines="50" w:after="120" w:afterAutospacing="0"/>
        <w:jc w:val="both"/>
      </w:pPr>
      <w:proofErr w:type="spellStart"/>
      <w:r>
        <w:t>Rosety</w:t>
      </w:r>
      <w:proofErr w:type="spellEnd"/>
      <w:r>
        <w:t xml:space="preserve">-Rodríguez, M., Ordoñez, F.J., </w:t>
      </w:r>
      <w:proofErr w:type="spellStart"/>
      <w:r>
        <w:t>Rosety</w:t>
      </w:r>
      <w:proofErr w:type="spellEnd"/>
      <w:r>
        <w:t xml:space="preserve">, M., </w:t>
      </w:r>
      <w:proofErr w:type="spellStart"/>
      <w:r>
        <w:t>Rosety</w:t>
      </w:r>
      <w:proofErr w:type="spellEnd"/>
      <w:r>
        <w:t xml:space="preserve">, J.M., </w:t>
      </w:r>
      <w:proofErr w:type="spellStart"/>
      <w:r>
        <w:t>Rosety</w:t>
      </w:r>
      <w:proofErr w:type="spellEnd"/>
      <w:r>
        <w:t xml:space="preserve">, I., </w:t>
      </w:r>
      <w:proofErr w:type="spellStart"/>
      <w:r>
        <w:t>Ribelles</w:t>
      </w:r>
      <w:proofErr w:type="spellEnd"/>
      <w:r>
        <w:t xml:space="preserve">, A., &amp; Carrasco, C. (2002). Morpho-histochemical changes in the gills of turbot, </w:t>
      </w:r>
      <w:r>
        <w:rPr>
          <w:rStyle w:val="Emphasis"/>
        </w:rPr>
        <w:t>Scophthalmus maximus</w:t>
      </w:r>
      <w:r>
        <w:t xml:space="preserve"> L., induced by sodium dodecyl sulfate. </w:t>
      </w:r>
      <w:r>
        <w:rPr>
          <w:rStyle w:val="Emphasis"/>
        </w:rPr>
        <w:t>Ecotoxicology and Environmental Safety, 51</w:t>
      </w:r>
      <w:r>
        <w:t>(3), 223-228.</w:t>
      </w:r>
    </w:p>
    <w:p w14:paraId="6E509D75" w14:textId="77777777" w:rsidR="008E10DE" w:rsidRDefault="00000000">
      <w:pPr>
        <w:pStyle w:val="NormalWeb"/>
        <w:spacing w:beforeLines="50" w:before="120" w:beforeAutospacing="0" w:afterLines="50" w:after="120" w:afterAutospacing="0"/>
        <w:jc w:val="both"/>
      </w:pPr>
      <w:r>
        <w:t xml:space="preserve">Sharaf, S., Khan, A., Khan, M.Z., Aslam, F., Saleemi, M.K., Mahmood, F. (2010). </w:t>
      </w:r>
      <w:proofErr w:type="spellStart"/>
      <w:r>
        <w:t>Clinicohematological</w:t>
      </w:r>
      <w:proofErr w:type="spellEnd"/>
      <w:r>
        <w:t xml:space="preserve"> and micronuclear changes induced by cypermethrin in broiler chicks: Their attenuation with vitamin E and selenium. </w:t>
      </w:r>
      <w:r>
        <w:rPr>
          <w:rStyle w:val="Emphasis"/>
        </w:rPr>
        <w:t xml:space="preserve">Expt. </w:t>
      </w:r>
      <w:proofErr w:type="spellStart"/>
      <w:r>
        <w:rPr>
          <w:rStyle w:val="Emphasis"/>
        </w:rPr>
        <w:t>Toxicol</w:t>
      </w:r>
      <w:proofErr w:type="spellEnd"/>
      <w:r>
        <w:rPr>
          <w:rStyle w:val="Emphasis"/>
        </w:rPr>
        <w:t xml:space="preserve">. </w:t>
      </w:r>
      <w:proofErr w:type="spellStart"/>
      <w:r>
        <w:rPr>
          <w:rStyle w:val="Emphasis"/>
        </w:rPr>
        <w:t>Pathol</w:t>
      </w:r>
      <w:proofErr w:type="spellEnd"/>
      <w:r>
        <w:rPr>
          <w:rStyle w:val="Emphasis"/>
        </w:rPr>
        <w:t>.</w:t>
      </w:r>
      <w:r>
        <w:t xml:space="preserve">, 62, 333–341. </w:t>
      </w:r>
    </w:p>
    <w:p w14:paraId="25B59441" w14:textId="77777777" w:rsidR="008E10DE" w:rsidRDefault="00000000">
      <w:pPr>
        <w:pStyle w:val="NormalWeb"/>
        <w:spacing w:beforeLines="50" w:before="120" w:beforeAutospacing="0" w:afterLines="50" w:after="120" w:afterAutospacing="0"/>
        <w:jc w:val="both"/>
      </w:pPr>
      <w:r>
        <w:rPr>
          <w:color w:val="222222"/>
          <w:shd w:val="clear" w:color="auto" w:fill="FFFFFF"/>
        </w:rPr>
        <w:t>Singh, N. P., Danner, D. B., Tice, R. R., Pearson, J. D., Brant, L. J., Morrell, C. H., &amp; Schneider, E. L. (1991). Basal DNA damage in individual human lymphocytes with age. </w:t>
      </w:r>
      <w:r>
        <w:rPr>
          <w:i/>
          <w:iCs/>
          <w:color w:val="222222"/>
          <w:shd w:val="clear" w:color="auto" w:fill="FFFFFF"/>
        </w:rPr>
        <w:t>Mutation Research/</w:t>
      </w:r>
      <w:proofErr w:type="spellStart"/>
      <w:r>
        <w:rPr>
          <w:i/>
          <w:iCs/>
          <w:color w:val="222222"/>
          <w:shd w:val="clear" w:color="auto" w:fill="FFFFFF"/>
        </w:rPr>
        <w:t>DNAging</w:t>
      </w:r>
      <w:proofErr w:type="spellEnd"/>
      <w:r>
        <w:rPr>
          <w:color w:val="222222"/>
          <w:shd w:val="clear" w:color="auto" w:fill="FFFFFF"/>
        </w:rPr>
        <w:t>, </w:t>
      </w:r>
      <w:r>
        <w:rPr>
          <w:i/>
          <w:iCs/>
          <w:color w:val="222222"/>
          <w:shd w:val="clear" w:color="auto" w:fill="FFFFFF"/>
        </w:rPr>
        <w:t>256</w:t>
      </w:r>
      <w:r>
        <w:rPr>
          <w:color w:val="222222"/>
          <w:shd w:val="clear" w:color="auto" w:fill="FFFFFF"/>
        </w:rPr>
        <w:t>(1), 1-6.</w:t>
      </w:r>
    </w:p>
    <w:p w14:paraId="42055A1B" w14:textId="77777777" w:rsidR="008E10DE" w:rsidRDefault="00000000">
      <w:pPr>
        <w:pStyle w:val="NormalWeb"/>
        <w:spacing w:beforeLines="50" w:before="120" w:beforeAutospacing="0" w:afterLines="50" w:after="120" w:afterAutospacing="0"/>
        <w:jc w:val="both"/>
      </w:pPr>
      <w:r>
        <w:t xml:space="preserve">Singh, S., Kumar, V., Kanwar, R., Wani, A. B., Gill, J. P. K., Garg, V. K., &amp; Ramamurthy, P. C. (2021). Toxicity and detoxification of </w:t>
      </w:r>
      <w:proofErr w:type="spellStart"/>
      <w:r>
        <w:t>monocrotophos</w:t>
      </w:r>
      <w:proofErr w:type="spellEnd"/>
      <w:r>
        <w:t xml:space="preserve"> from the ecosystem using different approaches: A review. </w:t>
      </w:r>
      <w:r>
        <w:rPr>
          <w:rStyle w:val="Emphasis"/>
        </w:rPr>
        <w:t>Chemosphere, 275</w:t>
      </w:r>
      <w:r>
        <w:t xml:space="preserve">, 130051. </w:t>
      </w:r>
    </w:p>
    <w:p w14:paraId="625E8523" w14:textId="77777777" w:rsidR="008E10DE" w:rsidRDefault="00000000">
      <w:pPr>
        <w:pStyle w:val="NormalWeb"/>
        <w:spacing w:beforeLines="50" w:before="120" w:beforeAutospacing="0" w:afterLines="50" w:after="120" w:afterAutospacing="0"/>
        <w:jc w:val="both"/>
      </w:pPr>
      <w:r>
        <w:t xml:space="preserve">Sivakumar, J., Bhuvaneswari, S., Venu, S., </w:t>
      </w:r>
      <w:proofErr w:type="spellStart"/>
      <w:r>
        <w:t>Pathra</w:t>
      </w:r>
      <w:proofErr w:type="spellEnd"/>
      <w:r>
        <w:t xml:space="preserve">, A., Rajkumar, M., &amp; </w:t>
      </w:r>
      <w:proofErr w:type="spellStart"/>
      <w:r>
        <w:t>Sankarganesh</w:t>
      </w:r>
      <w:proofErr w:type="spellEnd"/>
      <w:r>
        <w:t xml:space="preserve">, C. S. P. (2022). Acute toxicity of </w:t>
      </w:r>
      <w:proofErr w:type="spellStart"/>
      <w:r>
        <w:t>monocrotophos</w:t>
      </w:r>
      <w:proofErr w:type="spellEnd"/>
      <w:r>
        <w:t xml:space="preserve"> on histological alterations in the Hong Kong cat fish, </w:t>
      </w:r>
      <w:r>
        <w:rPr>
          <w:rStyle w:val="Emphasis"/>
        </w:rPr>
        <w:t>Clarias fuscus</w:t>
      </w:r>
      <w:r>
        <w:t xml:space="preserve"> (</w:t>
      </w:r>
      <w:proofErr w:type="spellStart"/>
      <w:r>
        <w:t>Lacepède</w:t>
      </w:r>
      <w:proofErr w:type="spellEnd"/>
      <w:r>
        <w:t>, 1803).</w:t>
      </w:r>
    </w:p>
    <w:p w14:paraId="5F268CEB" w14:textId="77777777" w:rsidR="008E10DE" w:rsidRDefault="00000000">
      <w:pPr>
        <w:pStyle w:val="NormalWeb"/>
        <w:spacing w:beforeLines="50" w:before="120" w:beforeAutospacing="0" w:afterLines="50" w:after="120" w:afterAutospacing="0"/>
        <w:jc w:val="both"/>
      </w:pPr>
      <w:r>
        <w:t xml:space="preserve">Sprague, J. B. (1971). Measurement of pollution toxicity to fish III. Sublethal effects and “safe” concentration. </w:t>
      </w:r>
      <w:r>
        <w:rPr>
          <w:rStyle w:val="Emphasis"/>
        </w:rPr>
        <w:t>Water Research, 5</w:t>
      </w:r>
      <w:r>
        <w:t xml:space="preserve">(6), 245–266. </w:t>
      </w:r>
    </w:p>
    <w:p w14:paraId="64F90137" w14:textId="77777777" w:rsidR="008E10DE" w:rsidRDefault="00000000">
      <w:pPr>
        <w:pStyle w:val="NormalWeb"/>
        <w:spacing w:beforeLines="50" w:before="120" w:beforeAutospacing="0" w:afterLines="50" w:after="120" w:afterAutospacing="0"/>
        <w:jc w:val="both"/>
        <w:rPr>
          <w:color w:val="222222"/>
          <w:shd w:val="clear" w:color="auto" w:fill="FFFFFF"/>
        </w:rPr>
      </w:pPr>
      <w:r>
        <w:t xml:space="preserve">Tamizhazhagan, V., &amp; </w:t>
      </w:r>
      <w:proofErr w:type="spellStart"/>
      <w:r>
        <w:t>Pugazhendy</w:t>
      </w:r>
      <w:proofErr w:type="spellEnd"/>
      <w:r>
        <w:t xml:space="preserve">, K. (2016). The toxicity effect of </w:t>
      </w:r>
      <w:proofErr w:type="spellStart"/>
      <w:r>
        <w:t>monocrotophos</w:t>
      </w:r>
      <w:proofErr w:type="spellEnd"/>
      <w:r>
        <w:t xml:space="preserve"> 36% EC on the biochemical changes in </w:t>
      </w:r>
      <w:proofErr w:type="spellStart"/>
      <w:r>
        <w:rPr>
          <w:rStyle w:val="Emphasis"/>
        </w:rPr>
        <w:t>Labeo</w:t>
      </w:r>
      <w:proofErr w:type="spellEnd"/>
      <w:r>
        <w:rPr>
          <w:rStyle w:val="Emphasis"/>
        </w:rPr>
        <w:t xml:space="preserve"> </w:t>
      </w:r>
      <w:proofErr w:type="spellStart"/>
      <w:r>
        <w:rPr>
          <w:rStyle w:val="Emphasis"/>
        </w:rPr>
        <w:t>rohita</w:t>
      </w:r>
      <w:proofErr w:type="spellEnd"/>
      <w:r>
        <w:t xml:space="preserve"> (Hamilton, 1882). </w:t>
      </w:r>
      <w:r>
        <w:rPr>
          <w:rStyle w:val="Emphasis"/>
        </w:rPr>
        <w:t>International Journal for Scientific Research and Development, 3</w:t>
      </w:r>
      <w:r>
        <w:t>(11), 802–808.</w:t>
      </w:r>
    </w:p>
    <w:p w14:paraId="3FB07FC2" w14:textId="77777777" w:rsidR="008E10DE" w:rsidRDefault="00000000">
      <w:pPr>
        <w:pStyle w:val="NormalWeb"/>
        <w:spacing w:beforeLines="50" w:before="120" w:beforeAutospacing="0" w:afterLines="50" w:after="120" w:afterAutospacing="0"/>
        <w:jc w:val="both"/>
      </w:pPr>
      <w:proofErr w:type="spellStart"/>
      <w:r>
        <w:t>Vardavas</w:t>
      </w:r>
      <w:proofErr w:type="spellEnd"/>
      <w:r>
        <w:t xml:space="preserve">, A. I., </w:t>
      </w:r>
      <w:proofErr w:type="spellStart"/>
      <w:r>
        <w:t>Stivaktakis</w:t>
      </w:r>
      <w:proofErr w:type="spellEnd"/>
      <w:r>
        <w:t xml:space="preserve">, P. D., </w:t>
      </w:r>
      <w:proofErr w:type="spellStart"/>
      <w:r>
        <w:t>Tzatzarakis</w:t>
      </w:r>
      <w:proofErr w:type="spellEnd"/>
      <w:r>
        <w:t xml:space="preserve">, M. N., </w:t>
      </w:r>
      <w:proofErr w:type="spellStart"/>
      <w:r>
        <w:t>Fragkiadaki</w:t>
      </w:r>
      <w:proofErr w:type="spellEnd"/>
      <w:r>
        <w:t xml:space="preserve">, P., Vasilaki, F., </w:t>
      </w:r>
      <w:proofErr w:type="spellStart"/>
      <w:r>
        <w:t>Tzardi</w:t>
      </w:r>
      <w:proofErr w:type="spellEnd"/>
      <w:r>
        <w:t xml:space="preserve">, M., &amp; </w:t>
      </w:r>
      <w:proofErr w:type="spellStart"/>
      <w:r>
        <w:t>Tsatsakis</w:t>
      </w:r>
      <w:proofErr w:type="spellEnd"/>
      <w:r>
        <w:t xml:space="preserve">, A. M. (2016). Long-term exposure to cypermethrin and piperonyl butoxide cause liver and kidney inflammation and induce genotoxicity in New Zealand white male rabbits. </w:t>
      </w:r>
      <w:r>
        <w:rPr>
          <w:rStyle w:val="Emphasis"/>
        </w:rPr>
        <w:t>Food and Chemical Toxicology, 94</w:t>
      </w:r>
      <w:r>
        <w:t xml:space="preserve">, 250–259. </w:t>
      </w:r>
    </w:p>
    <w:p w14:paraId="71221B14" w14:textId="77777777" w:rsidR="008E10DE" w:rsidRDefault="00000000">
      <w:pPr>
        <w:pStyle w:val="NormalWeb"/>
        <w:spacing w:beforeLines="50" w:before="120" w:beforeAutospacing="0" w:afterLines="50" w:after="120" w:afterAutospacing="0"/>
        <w:jc w:val="both"/>
      </w:pPr>
      <w:r>
        <w:t xml:space="preserve">Velmurugan, B., </w:t>
      </w:r>
      <w:proofErr w:type="spellStart"/>
      <w:r>
        <w:t>Selvanayagam</w:t>
      </w:r>
      <w:proofErr w:type="spellEnd"/>
      <w:r>
        <w:t xml:space="preserve">, M., Cengiz, E. I., &amp; Unlu, E. (2007). The effects of </w:t>
      </w:r>
      <w:proofErr w:type="spellStart"/>
      <w:r>
        <w:t>monocrotophos</w:t>
      </w:r>
      <w:proofErr w:type="spellEnd"/>
      <w:r>
        <w:t xml:space="preserve"> to different tissues of freshwater fish </w:t>
      </w:r>
      <w:proofErr w:type="spellStart"/>
      <w:r>
        <w:rPr>
          <w:rStyle w:val="Emphasis"/>
        </w:rPr>
        <w:t>Cirrhinus</w:t>
      </w:r>
      <w:proofErr w:type="spellEnd"/>
      <w:r>
        <w:rPr>
          <w:rStyle w:val="Emphasis"/>
        </w:rPr>
        <w:t xml:space="preserve"> </w:t>
      </w:r>
      <w:proofErr w:type="spellStart"/>
      <w:r>
        <w:rPr>
          <w:rStyle w:val="Emphasis"/>
        </w:rPr>
        <w:t>mrigala</w:t>
      </w:r>
      <w:proofErr w:type="spellEnd"/>
      <w:r>
        <w:t xml:space="preserve">. </w:t>
      </w:r>
      <w:r>
        <w:rPr>
          <w:rStyle w:val="Emphasis"/>
        </w:rPr>
        <w:t>Bulletin of Environmental Contamination and Toxicology, 78</w:t>
      </w:r>
      <w:r>
        <w:t xml:space="preserve">(6), 450–454. </w:t>
      </w:r>
    </w:p>
    <w:p w14:paraId="4475B3CB" w14:textId="77777777" w:rsidR="008E10DE" w:rsidRDefault="00000000">
      <w:pPr>
        <w:pStyle w:val="NormalWeb"/>
        <w:spacing w:beforeLines="50" w:before="120" w:beforeAutospacing="0" w:afterLines="50" w:after="120" w:afterAutospacing="0"/>
        <w:jc w:val="both"/>
      </w:pPr>
      <w:r>
        <w:t>Ventura, B.C., Angeli, D.F., &amp; Marin-</w:t>
      </w:r>
      <w:proofErr w:type="spellStart"/>
      <w:r>
        <w:t>Molares</w:t>
      </w:r>
      <w:proofErr w:type="spellEnd"/>
      <w:r>
        <w:t xml:space="preserve">, M.A. (2008). Mutagenic and genotoxic effects of the atrazine herbicide in </w:t>
      </w:r>
      <w:r>
        <w:rPr>
          <w:rStyle w:val="Emphasis"/>
        </w:rPr>
        <w:t>Oreochromis niloticus</w:t>
      </w:r>
      <w:r>
        <w:t xml:space="preserve"> (Perciformes, </w:t>
      </w:r>
      <w:proofErr w:type="spellStart"/>
      <w:r>
        <w:t>Cichlidae</w:t>
      </w:r>
      <w:proofErr w:type="spellEnd"/>
      <w:r>
        <w:t xml:space="preserve">) detected by the micronuclei test and the comet assay. </w:t>
      </w:r>
      <w:r>
        <w:rPr>
          <w:rStyle w:val="Emphasis"/>
        </w:rPr>
        <w:t xml:space="preserve">Pest. </w:t>
      </w:r>
      <w:proofErr w:type="spellStart"/>
      <w:r>
        <w:rPr>
          <w:rStyle w:val="Emphasis"/>
        </w:rPr>
        <w:t>Biochem</w:t>
      </w:r>
      <w:proofErr w:type="spellEnd"/>
      <w:r>
        <w:rPr>
          <w:rStyle w:val="Emphasis"/>
        </w:rPr>
        <w:t xml:space="preserve">. </w:t>
      </w:r>
      <w:proofErr w:type="spellStart"/>
      <w:r>
        <w:rPr>
          <w:rStyle w:val="Emphasis"/>
        </w:rPr>
        <w:t>Physiol</w:t>
      </w:r>
      <w:proofErr w:type="spellEnd"/>
      <w:r>
        <w:t xml:space="preserve">, 90, 42–51. </w:t>
      </w:r>
    </w:p>
    <w:p w14:paraId="727F5161" w14:textId="77777777" w:rsidR="008E10DE" w:rsidRDefault="00000000">
      <w:pPr>
        <w:pStyle w:val="NormalWeb"/>
        <w:spacing w:beforeLines="50" w:before="120" w:beforeAutospacing="0" w:afterLines="50" w:after="120" w:afterAutospacing="0"/>
        <w:jc w:val="both"/>
        <w:rPr>
          <w:b/>
          <w:bCs/>
          <w:shd w:val="clear" w:color="auto" w:fill="FFFFFF"/>
        </w:rPr>
      </w:pPr>
      <w:r>
        <w:t xml:space="preserve">Zahran, E., Risha, E., </w:t>
      </w:r>
      <w:proofErr w:type="spellStart"/>
      <w:r>
        <w:t>Awadin</w:t>
      </w:r>
      <w:proofErr w:type="spellEnd"/>
      <w:r>
        <w:t xml:space="preserve">, W., &amp; </w:t>
      </w:r>
      <w:proofErr w:type="spellStart"/>
      <w:r>
        <w:t>Palić</w:t>
      </w:r>
      <w:proofErr w:type="spellEnd"/>
      <w:r>
        <w:t>, D. (2018). Acute exposure to chlorpyrifos induces reversible changes in health parameters of Nile tilapia (</w:t>
      </w:r>
      <w:r>
        <w:rPr>
          <w:rStyle w:val="Emphasis"/>
        </w:rPr>
        <w:t>Oreochromis niloticus</w:t>
      </w:r>
      <w:r>
        <w:t xml:space="preserve">). </w:t>
      </w:r>
      <w:r>
        <w:rPr>
          <w:rStyle w:val="Emphasis"/>
        </w:rPr>
        <w:t>Aquatic Toxicology, 197</w:t>
      </w:r>
      <w:r>
        <w:t xml:space="preserve">, 47–59. </w:t>
      </w:r>
    </w:p>
    <w:sectPr w:rsidR="008E10DE">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AA813" w14:textId="77777777" w:rsidR="00BF6005" w:rsidRDefault="00BF6005" w:rsidP="00280F9E">
      <w:r>
        <w:separator/>
      </w:r>
    </w:p>
  </w:endnote>
  <w:endnote w:type="continuationSeparator" w:id="0">
    <w:p w14:paraId="084D0624" w14:textId="77777777" w:rsidR="00BF6005" w:rsidRDefault="00BF6005" w:rsidP="0028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05AD4" w14:textId="77777777" w:rsidR="00280F9E" w:rsidRDefault="00280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1241E" w14:textId="77777777" w:rsidR="00280F9E" w:rsidRDefault="00280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05756" w14:textId="77777777" w:rsidR="00280F9E" w:rsidRDefault="00280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7117F" w14:textId="77777777" w:rsidR="00BF6005" w:rsidRDefault="00BF6005" w:rsidP="00280F9E">
      <w:r>
        <w:separator/>
      </w:r>
    </w:p>
  </w:footnote>
  <w:footnote w:type="continuationSeparator" w:id="0">
    <w:p w14:paraId="71D34D1C" w14:textId="77777777" w:rsidR="00BF6005" w:rsidRDefault="00BF6005" w:rsidP="00280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60335" w14:textId="51DBF322" w:rsidR="00280F9E" w:rsidRDefault="00280F9E">
    <w:pPr>
      <w:pStyle w:val="Header"/>
    </w:pPr>
    <w:r>
      <w:rPr>
        <w:noProof/>
      </w:rPr>
      <w:pict w14:anchorId="2DD4A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672"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10E56" w14:textId="479E745F" w:rsidR="00280F9E" w:rsidRDefault="00280F9E">
    <w:pPr>
      <w:pStyle w:val="Header"/>
    </w:pPr>
    <w:r>
      <w:rPr>
        <w:noProof/>
      </w:rPr>
      <w:pict w14:anchorId="07FB1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673"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986BC" w14:textId="52B835E7" w:rsidR="00280F9E" w:rsidRDefault="00280F9E">
    <w:pPr>
      <w:pStyle w:val="Header"/>
    </w:pPr>
    <w:r>
      <w:rPr>
        <w:noProof/>
      </w:rPr>
      <w:pict w14:anchorId="72557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671"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2837"/>
    <w:multiLevelType w:val="singleLevel"/>
    <w:tmpl w:val="0BB52837"/>
    <w:lvl w:ilvl="0">
      <w:start w:val="1"/>
      <w:numFmt w:val="lowerLetter"/>
      <w:suff w:val="nothing"/>
      <w:lvlText w:val="%1-"/>
      <w:lvlJc w:val="left"/>
    </w:lvl>
  </w:abstractNum>
  <w:abstractNum w:abstractNumId="1" w15:restartNumberingAfterBreak="0">
    <w:nsid w:val="2FE906B3"/>
    <w:multiLevelType w:val="multilevel"/>
    <w:tmpl w:val="2FE906B3"/>
    <w:lvl w:ilvl="0">
      <w:start w:val="1"/>
      <w:numFmt w:val="decimal"/>
      <w:suff w:val="space"/>
      <w:lvlText w:val="%1."/>
      <w:lvlJc w:val="left"/>
    </w:lvl>
    <w:lvl w:ilvl="1">
      <w:start w:val="1"/>
      <w:numFmt w:val="decimal"/>
      <w:suff w:val="space"/>
      <w:lvlText w:val="%1.%2"/>
      <w:lvlJc w:val="left"/>
      <w:pPr>
        <w:ind w:left="0" w:firstLine="0"/>
      </w:pPr>
      <w:rPr>
        <w:rFonts w:hint="default"/>
        <w:i w:val="0"/>
        <w:i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541896081">
    <w:abstractNumId w:val="1"/>
  </w:num>
  <w:num w:numId="2" w16cid:durableId="72491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embedSystemFonts/>
  <w:proofState w:spelling="clean" w:grammar="clean"/>
  <w:defaultTabStop w:val="720"/>
  <w:drawingGridVerticalSpacing w:val="156"/>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3F6150"/>
    <w:rsid w:val="00134DCD"/>
    <w:rsid w:val="00280F9E"/>
    <w:rsid w:val="002D2F1D"/>
    <w:rsid w:val="00314511"/>
    <w:rsid w:val="00431C50"/>
    <w:rsid w:val="005702B0"/>
    <w:rsid w:val="005A7E4B"/>
    <w:rsid w:val="006B61A3"/>
    <w:rsid w:val="008E10DE"/>
    <w:rsid w:val="00BC2318"/>
    <w:rsid w:val="00BF6005"/>
    <w:rsid w:val="00F73594"/>
    <w:rsid w:val="00FE08BB"/>
    <w:rsid w:val="0126724F"/>
    <w:rsid w:val="056D1023"/>
    <w:rsid w:val="0B8E38E9"/>
    <w:rsid w:val="0C2B51F5"/>
    <w:rsid w:val="0D556114"/>
    <w:rsid w:val="0E98217C"/>
    <w:rsid w:val="12417EAC"/>
    <w:rsid w:val="12C909E1"/>
    <w:rsid w:val="16EF3640"/>
    <w:rsid w:val="183F0EDC"/>
    <w:rsid w:val="19E8153E"/>
    <w:rsid w:val="1C6D07AB"/>
    <w:rsid w:val="1E83119C"/>
    <w:rsid w:val="235339FE"/>
    <w:rsid w:val="2C6F515F"/>
    <w:rsid w:val="2FC51CEF"/>
    <w:rsid w:val="2FE62223"/>
    <w:rsid w:val="2FF919F0"/>
    <w:rsid w:val="31622A14"/>
    <w:rsid w:val="34856F31"/>
    <w:rsid w:val="35755D87"/>
    <w:rsid w:val="36B00EEF"/>
    <w:rsid w:val="37372126"/>
    <w:rsid w:val="383905CC"/>
    <w:rsid w:val="3A40759F"/>
    <w:rsid w:val="3C045F6C"/>
    <w:rsid w:val="3D241BFB"/>
    <w:rsid w:val="3E8E5A0F"/>
    <w:rsid w:val="3F6E2720"/>
    <w:rsid w:val="403E1AF3"/>
    <w:rsid w:val="444C2A52"/>
    <w:rsid w:val="4670321D"/>
    <w:rsid w:val="471A5C34"/>
    <w:rsid w:val="486056FD"/>
    <w:rsid w:val="4DE061D0"/>
    <w:rsid w:val="4E776E4B"/>
    <w:rsid w:val="50E66AAC"/>
    <w:rsid w:val="51623003"/>
    <w:rsid w:val="52C806AF"/>
    <w:rsid w:val="53D7279A"/>
    <w:rsid w:val="56171AFC"/>
    <w:rsid w:val="574B7E9E"/>
    <w:rsid w:val="59414694"/>
    <w:rsid w:val="59891EBB"/>
    <w:rsid w:val="5A0C0330"/>
    <w:rsid w:val="5C3F6150"/>
    <w:rsid w:val="5ED11C1E"/>
    <w:rsid w:val="61A274BD"/>
    <w:rsid w:val="62842D9D"/>
    <w:rsid w:val="660A596B"/>
    <w:rsid w:val="67111A53"/>
    <w:rsid w:val="68EA072F"/>
    <w:rsid w:val="69EB4B37"/>
    <w:rsid w:val="707A0EB9"/>
    <w:rsid w:val="7A417DBA"/>
    <w:rsid w:val="7A9912E8"/>
    <w:rsid w:val="7AF1123E"/>
    <w:rsid w:val="7C042B60"/>
    <w:rsid w:val="7C850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E3144"/>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rPr>
      <w:rFonts w:ascii="Calibri" w:eastAsia="Calibri" w:hAnsi="Calibri" w:cs="Times New Roman"/>
    </w:rPr>
  </w:style>
  <w:style w:type="paragraph" w:customStyle="1" w:styleId="Default">
    <w:name w:val="Default"/>
    <w:qFormat/>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rsid w:val="00280F9E"/>
    <w:pPr>
      <w:tabs>
        <w:tab w:val="center" w:pos="4680"/>
        <w:tab w:val="right" w:pos="9360"/>
      </w:tabs>
    </w:pPr>
  </w:style>
  <w:style w:type="character" w:customStyle="1" w:styleId="HeaderChar">
    <w:name w:val="Header Char"/>
    <w:basedOn w:val="DefaultParagraphFont"/>
    <w:link w:val="Header"/>
    <w:rsid w:val="00280F9E"/>
    <w:rPr>
      <w:rFonts w:asciiTheme="minorHAnsi" w:eastAsiaTheme="minorEastAsia" w:hAnsiTheme="minorHAnsi" w:cstheme="minorBidi"/>
      <w:lang w:val="en-US" w:eastAsia="zh-CN"/>
    </w:rPr>
  </w:style>
  <w:style w:type="paragraph" w:styleId="Footer">
    <w:name w:val="footer"/>
    <w:basedOn w:val="Normal"/>
    <w:link w:val="FooterChar"/>
    <w:rsid w:val="00280F9E"/>
    <w:pPr>
      <w:tabs>
        <w:tab w:val="center" w:pos="4680"/>
        <w:tab w:val="right" w:pos="9360"/>
      </w:tabs>
    </w:pPr>
  </w:style>
  <w:style w:type="character" w:customStyle="1" w:styleId="FooterChar">
    <w:name w:val="Footer Char"/>
    <w:basedOn w:val="DefaultParagraphFont"/>
    <w:link w:val="Footer"/>
    <w:rsid w:val="00280F9E"/>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mc.ncbi.nlm.nih.gov/articles/PMC11226008/"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user%201\Desktop\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lgn="ctr">
              <a:defRPr lang="en-US" sz="1800" b="1" i="0" u="none" strike="noStrike" kern="1200" baseline="0">
                <a:solidFill>
                  <a:schemeClr val="dk1"/>
                </a:solidFill>
                <a:latin typeface="Berlin Sans FB Demi" pitchFamily="34" charset="0"/>
                <a:ea typeface="+mn-ea"/>
                <a:cs typeface="+mn-cs"/>
              </a:defRPr>
            </a:pPr>
            <a:r>
              <a:rPr lang="en-US" sz="1600" b="0" u="sng" dirty="0">
                <a:solidFill>
                  <a:schemeClr val="accent2">
                    <a:lumMod val="75000"/>
                  </a:schemeClr>
                </a:solidFill>
                <a:latin typeface="Berlin Sans FB Demi" pitchFamily="34" charset="0"/>
              </a:rPr>
              <a:t>% Mortality Vs Concentration of Monocrotophos</a:t>
            </a:r>
          </a:p>
        </c:rich>
      </c:tx>
      <c:layout>
        <c:manualLayout>
          <c:xMode val="edge"/>
          <c:yMode val="edge"/>
          <c:x val="0.18394756211029201"/>
          <c:y val="3.3651763678793898E-3"/>
        </c:manualLayout>
      </c:layout>
      <c:overlay val="0"/>
    </c:title>
    <c:autoTitleDeleted val="0"/>
    <c:plotArea>
      <c:layout>
        <c:manualLayout>
          <c:layoutTarget val="inner"/>
          <c:xMode val="edge"/>
          <c:yMode val="edge"/>
          <c:x val="0.144775316720852"/>
          <c:y val="0.18808459054447599"/>
          <c:w val="0.75214604784551398"/>
          <c:h val="0.61244159896750905"/>
        </c:manualLayout>
      </c:layout>
      <c:lineChart>
        <c:grouping val="standard"/>
        <c:varyColors val="0"/>
        <c:ser>
          <c:idx val="0"/>
          <c:order val="0"/>
          <c:tx>
            <c:strRef>
              <c:f>Sheet1!$H$8:$H$9</c:f>
              <c:strCache>
                <c:ptCount val="1"/>
                <c:pt idx="0">
                  <c:v>% Mortality</c:v>
                </c:pt>
              </c:strCache>
            </c:strRef>
          </c:tx>
          <c:spPr>
            <a:ln w="25400" cap="flat" cmpd="sng" algn="ctr">
              <a:solidFill>
                <a:schemeClr val="accent2">
                  <a:shade val="50000"/>
                </a:schemeClr>
              </a:solidFill>
              <a:prstDash val="solid"/>
              <a:round/>
            </a:ln>
            <a:effectLst/>
          </c:spPr>
          <c:marker>
            <c:symbol val="none"/>
          </c:marker>
          <c:cat>
            <c:strRef>
              <c:f>Sheet1!$G$10:$G$17</c:f>
              <c:strCache>
                <c:ptCount val="8"/>
                <c:pt idx="0">
                  <c:v>Control</c:v>
                </c:pt>
                <c:pt idx="1">
                  <c:v>10</c:v>
                </c:pt>
                <c:pt idx="2">
                  <c:v>20</c:v>
                </c:pt>
                <c:pt idx="3">
                  <c:v>40</c:v>
                </c:pt>
                <c:pt idx="4">
                  <c:v>60</c:v>
                </c:pt>
                <c:pt idx="5">
                  <c:v>80</c:v>
                </c:pt>
                <c:pt idx="6">
                  <c:v>100</c:v>
                </c:pt>
                <c:pt idx="7">
                  <c:v>120</c:v>
                </c:pt>
              </c:strCache>
            </c:strRef>
          </c:cat>
          <c:val>
            <c:numRef>
              <c:f>Sheet1!$H$10:$H$17</c:f>
              <c:numCache>
                <c:formatCode>General</c:formatCode>
                <c:ptCount val="8"/>
                <c:pt idx="0">
                  <c:v>0</c:v>
                </c:pt>
                <c:pt idx="1">
                  <c:v>16.600000000000001</c:v>
                </c:pt>
                <c:pt idx="2">
                  <c:v>31.33</c:v>
                </c:pt>
                <c:pt idx="3">
                  <c:v>42.5</c:v>
                </c:pt>
                <c:pt idx="4">
                  <c:v>64.3</c:v>
                </c:pt>
                <c:pt idx="5">
                  <c:v>83.3</c:v>
                </c:pt>
                <c:pt idx="6">
                  <c:v>86.33</c:v>
                </c:pt>
                <c:pt idx="7">
                  <c:v>89.6</c:v>
                </c:pt>
              </c:numCache>
            </c:numRef>
          </c:val>
          <c:smooth val="0"/>
          <c:extLst>
            <c:ext xmlns:c16="http://schemas.microsoft.com/office/drawing/2014/chart" uri="{C3380CC4-5D6E-409C-BE32-E72D297353CC}">
              <c16:uniqueId val="{00000000-F606-4492-B4EF-AE4B96603FE6}"/>
            </c:ext>
          </c:extLst>
        </c:ser>
        <c:dLbls>
          <c:showLegendKey val="0"/>
          <c:showVal val="0"/>
          <c:showCatName val="0"/>
          <c:showSerName val="0"/>
          <c:showPercent val="0"/>
          <c:showBubbleSize val="0"/>
        </c:dLbls>
        <c:smooth val="0"/>
        <c:axId val="122163200"/>
        <c:axId val="122166656"/>
      </c:lineChart>
      <c:catAx>
        <c:axId val="12216320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dk1"/>
                    </a:solidFill>
                    <a:latin typeface="+mn-lt"/>
                    <a:ea typeface="+mn-ea"/>
                    <a:cs typeface="+mn-cs"/>
                  </a:defRPr>
                </a:pPr>
                <a:r>
                  <a:rPr lang="en-US" sz="1200" dirty="0"/>
                  <a:t>Groups</a:t>
                </a:r>
              </a:p>
            </c:rich>
          </c:tx>
          <c:layout>
            <c:manualLayout>
              <c:xMode val="edge"/>
              <c:yMode val="edge"/>
              <c:x val="0.397767130960482"/>
              <c:y val="0.90353037959807303"/>
            </c:manualLayout>
          </c:layout>
          <c:overlay val="0"/>
          <c:spPr>
            <a:solidFill>
              <a:schemeClr val="lt1"/>
            </a:solidFill>
            <a:ln w="25400" cap="flat" cmpd="sng" algn="ctr">
              <a:solidFill>
                <a:schemeClr val="accent3"/>
              </a:solidFill>
              <a:prstDash val="solid"/>
            </a:ln>
            <a:effectLst/>
          </c:spPr>
        </c:title>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crossAx val="122166656"/>
        <c:crosses val="autoZero"/>
        <c:auto val="1"/>
        <c:lblAlgn val="ctr"/>
        <c:lblOffset val="100"/>
        <c:noMultiLvlLbl val="0"/>
      </c:catAx>
      <c:valAx>
        <c:axId val="122166656"/>
        <c:scaling>
          <c:orientation val="minMax"/>
        </c:scaling>
        <c:delete val="0"/>
        <c:axPos val="l"/>
        <c:majorGridlines/>
        <c:title>
          <c:tx>
            <c:rich>
              <a:bodyPr rot="-5400000" spcFirstLastPara="0" vertOverflow="ellipsis" vert="horz" wrap="square" anchor="ctr" anchorCtr="1"/>
              <a:lstStyle/>
              <a:p>
                <a:pPr>
                  <a:defRPr lang="en-US" sz="1400" b="1" i="0" u="none" strike="noStrike" kern="1200" baseline="0">
                    <a:solidFill>
                      <a:schemeClr val="dk1"/>
                    </a:solidFill>
                    <a:latin typeface="+mn-lt"/>
                    <a:ea typeface="+mn-ea"/>
                    <a:cs typeface="+mn-cs"/>
                  </a:defRPr>
                </a:pPr>
                <a:r>
                  <a:rPr lang="en-US" sz="1400" b="1" dirty="0">
                    <a:solidFill>
                      <a:schemeClr val="dk1"/>
                    </a:solidFill>
                    <a:latin typeface="+mn-lt"/>
                    <a:ea typeface="+mn-ea"/>
                    <a:cs typeface="+mn-cs"/>
                  </a:rPr>
                  <a:t>Mortality %</a:t>
                </a:r>
              </a:p>
            </c:rich>
          </c:tx>
          <c:layout>
            <c:manualLayout>
              <c:xMode val="edge"/>
              <c:yMode val="edge"/>
              <c:x val="3.2613145579024901E-2"/>
              <c:y val="0.317368164800296"/>
            </c:manualLayout>
          </c:layout>
          <c:overlay val="0"/>
          <c:spPr>
            <a:solidFill>
              <a:schemeClr val="lt1"/>
            </a:solidFill>
            <a:ln w="25400" cap="flat" cmpd="sng" algn="ctr">
              <a:solidFill>
                <a:schemeClr val="accent3"/>
              </a:solidFill>
              <a:prstDash val="solid"/>
            </a:ln>
            <a:effectLst/>
          </c:spPr>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crossAx val="122163200"/>
        <c:crosses val="autoZero"/>
        <c:crossBetween val="between"/>
      </c:valAx>
      <c:spPr>
        <a:solidFill>
          <a:schemeClr val="lt1"/>
        </a:solidFill>
        <a:ln w="28575" cap="flat" cmpd="sng" algn="ctr">
          <a:solidFill>
            <a:schemeClr val="accent3"/>
          </a:solidFill>
          <a:prstDash val="solid"/>
        </a:ln>
        <a:effectLst/>
      </c:spPr>
    </c:plotArea>
    <c:plotVisOnly val="1"/>
    <c:dispBlanksAs val="gap"/>
    <c:showDLblsOverMax val="0"/>
    <c:extLst>
      <c:ext uri="{0b15fc19-7d7d-44ad-8c2d-2c3a37ce22c3}">
        <chartProps xmlns="https://web.wps.cn/et/2018/main" chartId="{ac6f88ed-091d-4d16-921d-f8cb0768216f}"/>
      </c:ext>
    </c:extLst>
  </c:chart>
  <c:spPr>
    <a:solidFill>
      <a:schemeClr val="lt1"/>
    </a:solidFill>
    <a:ln w="28575" cap="flat" cmpd="sng" algn="ctr">
      <a:solidFill>
        <a:schemeClr val="accent3"/>
      </a:solidFill>
      <a:prstDash val="solid"/>
      <a:round/>
    </a:ln>
    <a:effectLst/>
  </c:spPr>
  <c:txPr>
    <a:bodyPr/>
    <a:lstStyle/>
    <a:p>
      <a:pPr>
        <a:defRPr lang="en-US">
          <a:solidFill>
            <a:schemeClr val="dk1"/>
          </a:solidFill>
          <a:latin typeface="+mn-lt"/>
          <a:ea typeface="+mn-ea"/>
          <a:cs typeface="+mn-c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cdr:x>
      <cdr:y>0.9297</cdr:y>
    </cdr:from>
    <cdr:to>
      <cdr:x>1</cdr:x>
      <cdr:y>0.99938</cdr:y>
    </cdr:to>
    <cdr:sp macro="" textlink="">
      <cdr:nvSpPr>
        <cdr:cNvPr id="2" name="Rectangles 1"/>
        <cdr:cNvSpPr/>
      </cdr:nvSpPr>
      <cdr:spPr>
        <a:xfrm xmlns:a="http://schemas.openxmlformats.org/drawingml/2006/main">
          <a:off x="4000500" y="3344387"/>
          <a:ext cx="1714500" cy="250658"/>
        </a:xfrm>
        <a:prstGeom xmlns:a="http://schemas.openxmlformats.org/drawingml/2006/main" prst="rect">
          <a:avLst/>
        </a:prstGeom>
        <a:ln xmlns:a="http://schemas.openxmlformats.org/drawingml/2006/main">
          <a:solidFill>
            <a:schemeClr val="accent3">
              <a:lumMod val="75000"/>
            </a:schemeClr>
          </a:solidFill>
        </a:ln>
      </cdr:spPr>
      <cdr:style>
        <a:lnRef xmlns:a="http://schemas.openxmlformats.org/drawingml/2006/main" idx="2">
          <a:schemeClr val="accent3">
            <a:shade val="50000"/>
          </a:schemeClr>
        </a:lnRef>
        <a:fillRef xmlns:a="http://schemas.openxmlformats.org/drawingml/2006/main" idx="1">
          <a:schemeClr val="accent3"/>
        </a:fillRef>
        <a:effectRef xmlns:a="http://schemas.openxmlformats.org/drawingml/2006/main" idx="0">
          <a:schemeClr val="accent3"/>
        </a:effectRef>
        <a:fontRef xmlns:a="http://schemas.openxmlformats.org/drawingml/2006/main" idx="minor">
          <a:schemeClr val="lt1"/>
        </a:fontRef>
      </cdr:style>
      <cdr:txBody>
        <a:bodyPr xmlns:a="http://schemas.openxmlformats.org/drawingml/2006/main" vert="horz" wrap="none" lIns="45720" tIns="45720" rIns="45720" bIns="45720" anchor="t" anchorCtr="0">
          <a:normAutofit/>
        </a:bodyPr>
        <a:lstStyle xmlns:a="http://schemas.openxmlformats.org/drawingml/2006/main"/>
        <a:p xmlns:a="http://schemas.openxmlformats.org/drawingml/2006/main">
          <a:pPr algn="ctr"/>
          <a:r>
            <a:rPr lang="en-US" sz="1200" b="1" dirty="0">
              <a:solidFill>
                <a:schemeClr val="bg2">
                  <a:lumMod val="10000"/>
                </a:schemeClr>
              </a:solidFill>
              <a:latin typeface="Arial Narrow" pitchFamily="34" charset="0"/>
              <a:cs typeface="Arial" panose="020B0604020202020204" pitchFamily="2" charset="0"/>
            </a:rPr>
            <a:t>LC</a:t>
          </a:r>
          <a:r>
            <a:rPr lang="en-US" sz="1200" b="1" baseline="-25000" dirty="0">
              <a:solidFill>
                <a:schemeClr val="bg2">
                  <a:lumMod val="10000"/>
                </a:schemeClr>
              </a:solidFill>
              <a:latin typeface="Arial Narrow" pitchFamily="34" charset="0"/>
              <a:cs typeface="Arial" panose="020B0604020202020204" pitchFamily="2" charset="0"/>
            </a:rPr>
            <a:t>50</a:t>
          </a:r>
          <a:r>
            <a:rPr lang="en-US" sz="1200" b="1" dirty="0">
              <a:solidFill>
                <a:schemeClr val="bg2">
                  <a:lumMod val="10000"/>
                </a:schemeClr>
              </a:solidFill>
              <a:latin typeface="Arial Narrow" pitchFamily="34" charset="0"/>
              <a:cs typeface="Arial" panose="020B0604020202020204" pitchFamily="2" charset="0"/>
            </a:rPr>
            <a:t>  of MC = 48.5 ppm</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6198</Words>
  <Characters>35332</Characters>
  <Application>Microsoft Office Word</Application>
  <DocSecurity>0</DocSecurity>
  <Lines>294</Lines>
  <Paragraphs>82</Paragraphs>
  <ScaleCrop>false</ScaleCrop>
  <Company/>
  <LinksUpToDate>false</LinksUpToDate>
  <CharactersWithSpaces>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Editor-23</cp:lastModifiedBy>
  <cp:revision>7</cp:revision>
  <dcterms:created xsi:type="dcterms:W3CDTF">2024-12-21T08:01:00Z</dcterms:created>
  <dcterms:modified xsi:type="dcterms:W3CDTF">2024-12-27T07:35:00Z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0DFF373577F146E79EAF7A685906C536_13</vt:lpwstr>
  </property>
</Properties>
</file>