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27EB1" w14:textId="77777777" w:rsidR="00E875F0" w:rsidRDefault="0091135B">
      <w:pPr>
        <w:pStyle w:val="Heading1"/>
        <w:spacing w:line="242" w:lineRule="auto"/>
        <w:ind w:left="403" w:right="382"/>
        <w:jc w:val="center"/>
      </w:pPr>
      <w:r w:rsidRPr="00A6540B">
        <w:t>MODERATING</w:t>
      </w:r>
      <w:r w:rsidRPr="00A6540B">
        <w:rPr>
          <w:spacing w:val="40"/>
        </w:rPr>
        <w:t xml:space="preserve"> </w:t>
      </w:r>
      <w:r w:rsidRPr="00A6540B">
        <w:t>EFFECT</w:t>
      </w:r>
      <w:r w:rsidRPr="00A6540B">
        <w:rPr>
          <w:spacing w:val="40"/>
        </w:rPr>
        <w:t xml:space="preserve"> </w:t>
      </w:r>
      <w:r w:rsidRPr="00A6540B">
        <w:t>OF</w:t>
      </w:r>
      <w:r w:rsidRPr="00A6540B">
        <w:rPr>
          <w:spacing w:val="40"/>
        </w:rPr>
        <w:t xml:space="preserve"> </w:t>
      </w:r>
      <w:r w:rsidRPr="00A6540B">
        <w:t>TAX</w:t>
      </w:r>
      <w:r w:rsidRPr="00A6540B">
        <w:rPr>
          <w:spacing w:val="40"/>
        </w:rPr>
        <w:t xml:space="preserve"> </w:t>
      </w:r>
      <w:r w:rsidRPr="00A6540B">
        <w:t>ON</w:t>
      </w:r>
      <w:r w:rsidRPr="00A6540B">
        <w:rPr>
          <w:spacing w:val="40"/>
        </w:rPr>
        <w:t xml:space="preserve"> </w:t>
      </w:r>
      <w:r w:rsidRPr="00A6540B">
        <w:t>FIRM</w:t>
      </w:r>
      <w:r w:rsidR="00E161BF">
        <w:t>S</w:t>
      </w:r>
      <w:r w:rsidR="001C7B03">
        <w:t>’</w:t>
      </w:r>
      <w:r w:rsidRPr="00A6540B">
        <w:rPr>
          <w:spacing w:val="40"/>
        </w:rPr>
        <w:t xml:space="preserve"> </w:t>
      </w:r>
      <w:r w:rsidR="00E161BF">
        <w:t>LIQUIDITY, PROFITABILITY</w:t>
      </w:r>
      <w:r w:rsidRPr="00A6540B">
        <w:t xml:space="preserve"> AND SHARE RETURNS </w:t>
      </w:r>
      <w:r>
        <w:t>OF</w:t>
      </w:r>
      <w:r w:rsidRPr="00A6540B">
        <w:t xml:space="preserve"> AGRICULTURAL FIRMS LISTED AT N</w:t>
      </w:r>
      <w:r w:rsidR="00E161BF">
        <w:t xml:space="preserve">AIROBI </w:t>
      </w:r>
      <w:r w:rsidRPr="00A6540B">
        <w:t>S</w:t>
      </w:r>
      <w:r w:rsidR="00E161BF">
        <w:t xml:space="preserve">ECURITIES </w:t>
      </w:r>
      <w:r w:rsidRPr="00A6540B">
        <w:t>E</w:t>
      </w:r>
      <w:r w:rsidR="00E161BF">
        <w:t>XCHANGE</w:t>
      </w:r>
    </w:p>
    <w:p w14:paraId="648F5927" w14:textId="77777777" w:rsidR="00CE70E3" w:rsidRDefault="00CE70E3">
      <w:pPr>
        <w:ind w:left="1927" w:right="1906"/>
        <w:jc w:val="center"/>
        <w:rPr>
          <w:sz w:val="20"/>
        </w:rPr>
      </w:pPr>
    </w:p>
    <w:p w14:paraId="63744A40" w14:textId="77777777" w:rsidR="00EC1D9D" w:rsidRDefault="00EC1D9D">
      <w:pPr>
        <w:ind w:left="1927" w:right="1906"/>
        <w:jc w:val="center"/>
        <w:rPr>
          <w:sz w:val="20"/>
        </w:rPr>
      </w:pPr>
    </w:p>
    <w:p w14:paraId="7B4EA019" w14:textId="77777777" w:rsidR="00E875F0" w:rsidRDefault="00E875F0">
      <w:pPr>
        <w:pStyle w:val="BodyText"/>
        <w:spacing w:before="5"/>
        <w:rPr>
          <w:sz w:val="20"/>
        </w:rPr>
      </w:pPr>
    </w:p>
    <w:p w14:paraId="1260DEEA" w14:textId="77777777" w:rsidR="00E875F0" w:rsidRDefault="007F27FB">
      <w:pPr>
        <w:spacing w:before="1" w:line="228" w:lineRule="exact"/>
        <w:ind w:left="1927" w:right="1909"/>
        <w:jc w:val="center"/>
        <w:rPr>
          <w:b/>
          <w:sz w:val="20"/>
        </w:rPr>
      </w:pPr>
      <w:r>
        <w:rPr>
          <w:b/>
          <w:sz w:val="20"/>
        </w:rPr>
        <w:t>Abstract</w:t>
      </w:r>
    </w:p>
    <w:p w14:paraId="295465FD" w14:textId="77777777" w:rsidR="00E875F0" w:rsidRDefault="00614B9F">
      <w:pPr>
        <w:ind w:left="240" w:right="212"/>
        <w:jc w:val="both"/>
        <w:rPr>
          <w:i/>
          <w:sz w:val="20"/>
        </w:rPr>
      </w:pPr>
      <w:r>
        <w:rPr>
          <w:i/>
          <w:sz w:val="20"/>
        </w:rPr>
        <w:t xml:space="preserve">The aim of this study was to investigate </w:t>
      </w:r>
      <w:r w:rsidRPr="00A6540B">
        <w:t>moderating</w:t>
      </w:r>
      <w:r w:rsidRPr="00A6540B">
        <w:rPr>
          <w:spacing w:val="40"/>
        </w:rPr>
        <w:t xml:space="preserve"> </w:t>
      </w:r>
      <w:r w:rsidRPr="00614B9F">
        <w:rPr>
          <w:i/>
        </w:rPr>
        <w:t>effect</w:t>
      </w:r>
      <w:r w:rsidRPr="00614B9F">
        <w:rPr>
          <w:i/>
          <w:spacing w:val="40"/>
        </w:rPr>
        <w:t xml:space="preserve"> </w:t>
      </w:r>
      <w:r w:rsidRPr="00614B9F">
        <w:rPr>
          <w:i/>
        </w:rPr>
        <w:t>of</w:t>
      </w:r>
      <w:r w:rsidRPr="00614B9F">
        <w:rPr>
          <w:i/>
          <w:spacing w:val="40"/>
        </w:rPr>
        <w:t xml:space="preserve"> </w:t>
      </w:r>
      <w:r w:rsidRPr="00614B9F">
        <w:rPr>
          <w:i/>
        </w:rPr>
        <w:t>tax</w:t>
      </w:r>
      <w:r w:rsidRPr="00614B9F">
        <w:rPr>
          <w:i/>
          <w:spacing w:val="40"/>
        </w:rPr>
        <w:t xml:space="preserve"> </w:t>
      </w:r>
      <w:r w:rsidRPr="00614B9F">
        <w:rPr>
          <w:i/>
        </w:rPr>
        <w:t>on</w:t>
      </w:r>
      <w:r w:rsidRPr="00614B9F">
        <w:rPr>
          <w:i/>
          <w:spacing w:val="40"/>
        </w:rPr>
        <w:t xml:space="preserve"> </w:t>
      </w:r>
      <w:r w:rsidR="00E7436E">
        <w:rPr>
          <w:i/>
        </w:rPr>
        <w:t>liquidity, profitability</w:t>
      </w:r>
      <w:r w:rsidRPr="00614B9F">
        <w:rPr>
          <w:i/>
        </w:rPr>
        <w:t xml:space="preserve"> and share returns of Agricultural Firms Listed at NSE, Kenya</w:t>
      </w:r>
      <w:r w:rsidR="007F27FB" w:rsidRPr="00614B9F">
        <w:rPr>
          <w:i/>
          <w:sz w:val="20"/>
        </w:rPr>
        <w:t>.</w:t>
      </w:r>
      <w:r w:rsidRPr="00614B9F">
        <w:rPr>
          <w:i/>
          <w:szCs w:val="24"/>
        </w:rPr>
        <w:t xml:space="preserve"> F</w:t>
      </w:r>
      <w:r w:rsidR="00E7436E">
        <w:rPr>
          <w:i/>
          <w:szCs w:val="24"/>
        </w:rPr>
        <w:t>our</w:t>
      </w:r>
      <w:r w:rsidRPr="00614B9F">
        <w:rPr>
          <w:i/>
          <w:szCs w:val="24"/>
        </w:rPr>
        <w:t xml:space="preserve"> theories anchored this study with the aim of grounding it based on scholarly work. </w:t>
      </w:r>
      <w:r w:rsidR="00E7436E">
        <w:rPr>
          <w:i/>
          <w:szCs w:val="24"/>
        </w:rPr>
        <w:t>Liquid Asset Theory</w:t>
      </w:r>
      <w:r w:rsidRPr="00614B9F">
        <w:rPr>
          <w:i/>
          <w:szCs w:val="24"/>
        </w:rPr>
        <w:t>, Agency theory, Tax clientele effect theory</w:t>
      </w:r>
      <w:r w:rsidR="00E7436E">
        <w:rPr>
          <w:i/>
          <w:szCs w:val="24"/>
        </w:rPr>
        <w:t xml:space="preserve"> and Capital Market Theory</w:t>
      </w:r>
      <w:r w:rsidRPr="00614B9F">
        <w:rPr>
          <w:i/>
          <w:szCs w:val="24"/>
        </w:rPr>
        <w:t>. The study took census of all the 7 firms</w:t>
      </w:r>
      <w:r w:rsidR="00E7436E">
        <w:rPr>
          <w:i/>
          <w:szCs w:val="24"/>
        </w:rPr>
        <w:t xml:space="preserve"> </w:t>
      </w:r>
      <w:r w:rsidR="00E7436E">
        <w:t>the Agricultural sector of the NSE</w:t>
      </w:r>
      <w:r w:rsidRPr="00614B9F">
        <w:rPr>
          <w:i/>
          <w:szCs w:val="24"/>
        </w:rPr>
        <w:t xml:space="preserve"> over the 2018-2022 sample period using secondary data, to be obtained using a data capture sheet. The study established that tax had a significant moderating effect in the relationship of the </w:t>
      </w:r>
      <w:r w:rsidR="00E7436E">
        <w:rPr>
          <w:i/>
          <w:szCs w:val="24"/>
        </w:rPr>
        <w:t>liquidity</w:t>
      </w:r>
      <w:r w:rsidRPr="00614B9F">
        <w:rPr>
          <w:i/>
          <w:szCs w:val="24"/>
        </w:rPr>
        <w:t>, profitability and share returns of agricultural firms listed at NSE, Kenya based on the changes in R</w:t>
      </w:r>
      <w:r w:rsidRPr="00614B9F">
        <w:rPr>
          <w:i/>
          <w:szCs w:val="24"/>
          <w:vertAlign w:val="superscript"/>
        </w:rPr>
        <w:t>2</w:t>
      </w:r>
      <w:r w:rsidRPr="00614B9F">
        <w:rPr>
          <w:i/>
          <w:szCs w:val="24"/>
        </w:rPr>
        <w:t xml:space="preserve"> of 1</w:t>
      </w:r>
      <w:r w:rsidR="00E7436E">
        <w:rPr>
          <w:i/>
          <w:szCs w:val="24"/>
        </w:rPr>
        <w:t>2</w:t>
      </w:r>
      <w:r w:rsidRPr="00614B9F">
        <w:rPr>
          <w:i/>
          <w:szCs w:val="24"/>
        </w:rPr>
        <w:t xml:space="preserve">% after the introduction of tax in the interaction. The research output </w:t>
      </w:r>
      <w:r w:rsidR="00E7436E">
        <w:rPr>
          <w:i/>
          <w:szCs w:val="24"/>
        </w:rPr>
        <w:t>i</w:t>
      </w:r>
      <w:r w:rsidRPr="00614B9F">
        <w:rPr>
          <w:i/>
          <w:szCs w:val="24"/>
        </w:rPr>
        <w:t>s expected to advise strategy of investment in the stock markets, enrich academic research and suggest areas for further research.</w:t>
      </w:r>
    </w:p>
    <w:p w14:paraId="25D9707B" w14:textId="77777777" w:rsidR="00E875F0" w:rsidRDefault="00E875F0">
      <w:pPr>
        <w:pStyle w:val="BodyText"/>
        <w:rPr>
          <w:i/>
          <w:sz w:val="20"/>
        </w:rPr>
      </w:pPr>
    </w:p>
    <w:p w14:paraId="21BCE2CC" w14:textId="77777777" w:rsidR="00E875F0" w:rsidRDefault="009D0BEE" w:rsidP="00E7436E">
      <w:pPr>
        <w:ind w:left="394" w:right="382"/>
        <w:rPr>
          <w:sz w:val="20"/>
        </w:rPr>
      </w:pPr>
      <w:r>
        <w:rPr>
          <w:noProof/>
        </w:rPr>
        <mc:AlternateContent>
          <mc:Choice Requires="wps">
            <w:drawing>
              <wp:anchor distT="0" distB="0" distL="0" distR="0" simplePos="0" relativeHeight="487588352" behindDoc="1" locked="0" layoutInCell="1" allowOverlap="1" wp14:anchorId="754369E9" wp14:editId="3642FCF7">
                <wp:simplePos x="0" y="0"/>
                <wp:positionH relativeFrom="page">
                  <wp:posOffset>896620</wp:posOffset>
                </wp:positionH>
                <wp:positionV relativeFrom="paragraph">
                  <wp:posOffset>161290</wp:posOffset>
                </wp:positionV>
                <wp:extent cx="5768975" cy="6350"/>
                <wp:effectExtent l="0" t="0" r="0" b="0"/>
                <wp:wrapTopAndBottom/>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B7C213" id="Rectangle 3" o:spid="_x0000_s1026" style="position:absolute;margin-left:70.6pt;margin-top:12.7pt;width:454.25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" fillcolor="black" stroked="f">
                <w10:wrap type="topAndBottom" anchorx="page"/>
              </v:rect>
            </w:pict>
          </mc:Fallback>
        </mc:AlternateContent>
      </w:r>
      <w:r w:rsidR="007F27FB">
        <w:rPr>
          <w:b/>
          <w:sz w:val="20"/>
        </w:rPr>
        <w:t>Key</w:t>
      </w:r>
      <w:r w:rsidR="007F27FB">
        <w:rPr>
          <w:b/>
          <w:spacing w:val="-3"/>
          <w:sz w:val="20"/>
        </w:rPr>
        <w:t xml:space="preserve"> </w:t>
      </w:r>
      <w:r w:rsidR="007F27FB">
        <w:rPr>
          <w:b/>
          <w:sz w:val="20"/>
        </w:rPr>
        <w:t>Words:</w:t>
      </w:r>
      <w:r w:rsidR="007F27FB">
        <w:rPr>
          <w:b/>
          <w:spacing w:val="-2"/>
          <w:sz w:val="20"/>
        </w:rPr>
        <w:t xml:space="preserve"> </w:t>
      </w:r>
      <w:r w:rsidR="007F27FB">
        <w:rPr>
          <w:sz w:val="20"/>
        </w:rPr>
        <w:t>Financial</w:t>
      </w:r>
      <w:r w:rsidR="007F27FB">
        <w:rPr>
          <w:spacing w:val="-2"/>
          <w:sz w:val="20"/>
        </w:rPr>
        <w:t xml:space="preserve"> </w:t>
      </w:r>
      <w:r w:rsidR="00381A11">
        <w:rPr>
          <w:sz w:val="20"/>
        </w:rPr>
        <w:t>Performance</w:t>
      </w:r>
      <w:r w:rsidR="007F27FB">
        <w:rPr>
          <w:sz w:val="20"/>
        </w:rPr>
        <w:t>,</w:t>
      </w:r>
      <w:r w:rsidR="007F27FB">
        <w:rPr>
          <w:spacing w:val="-3"/>
          <w:sz w:val="20"/>
        </w:rPr>
        <w:t xml:space="preserve"> </w:t>
      </w:r>
      <w:r w:rsidR="00381A11">
        <w:rPr>
          <w:sz w:val="20"/>
        </w:rPr>
        <w:t>Taxation</w:t>
      </w:r>
      <w:r w:rsidR="007F27FB">
        <w:rPr>
          <w:sz w:val="20"/>
        </w:rPr>
        <w:t>,</w:t>
      </w:r>
      <w:r w:rsidR="007F27FB">
        <w:rPr>
          <w:spacing w:val="-3"/>
          <w:sz w:val="20"/>
        </w:rPr>
        <w:t xml:space="preserve"> </w:t>
      </w:r>
      <w:r w:rsidR="00381A11">
        <w:rPr>
          <w:sz w:val="20"/>
        </w:rPr>
        <w:t>Share Returns</w:t>
      </w:r>
      <w:r w:rsidR="00E7436E">
        <w:rPr>
          <w:sz w:val="20"/>
        </w:rPr>
        <w:t>, Liquidity, Profitability</w:t>
      </w:r>
    </w:p>
    <w:p w14:paraId="665563DB" w14:textId="77777777" w:rsidR="00C504B5" w:rsidRDefault="00C504B5" w:rsidP="00E7436E">
      <w:pPr>
        <w:ind w:left="394" w:right="382"/>
        <w:rPr>
          <w:sz w:val="20"/>
        </w:rPr>
      </w:pPr>
    </w:p>
    <w:p w14:paraId="74E4A7CA" w14:textId="77777777" w:rsidR="00E875F0" w:rsidRDefault="007F27FB" w:rsidP="00A71CBC">
      <w:pPr>
        <w:pStyle w:val="Heading1"/>
        <w:numPr>
          <w:ilvl w:val="0"/>
          <w:numId w:val="3"/>
        </w:numPr>
        <w:spacing w:line="241" w:lineRule="exact"/>
        <w:ind w:left="360" w:right="1908"/>
        <w:jc w:val="left"/>
      </w:pPr>
      <w:r>
        <w:t>INTRODUCTION</w:t>
      </w:r>
    </w:p>
    <w:p w14:paraId="0305EB6B" w14:textId="77777777" w:rsidR="00E875F0" w:rsidRDefault="002A51BB">
      <w:pPr>
        <w:pStyle w:val="BodyText"/>
        <w:spacing w:before="5"/>
      </w:pPr>
      <w:r w:rsidRPr="00A6540B">
        <w:t>Share return, also referred to as stock return or equity return, provides insight into how an investment in a particular company's shares has fared over time (Gormsen &amp; Koijen, 2020).</w:t>
      </w:r>
      <w:r>
        <w:t xml:space="preserve"> </w:t>
      </w:r>
      <w:r w:rsidRPr="00A6540B">
        <w:t>Globally, share returns are an important component of the performance of publicly traded companies</w:t>
      </w:r>
      <w:r w:rsidRPr="00A6540B">
        <w:rPr>
          <w:spacing w:val="-15"/>
        </w:rPr>
        <w:t xml:space="preserve"> </w:t>
      </w:r>
      <w:r w:rsidRPr="00A6540B">
        <w:t>in</w:t>
      </w:r>
      <w:r w:rsidRPr="00A6540B">
        <w:rPr>
          <w:spacing w:val="-14"/>
        </w:rPr>
        <w:t xml:space="preserve"> </w:t>
      </w:r>
      <w:r w:rsidRPr="00A6540B">
        <w:t>the</w:t>
      </w:r>
      <w:r w:rsidRPr="00A6540B">
        <w:rPr>
          <w:spacing w:val="-15"/>
        </w:rPr>
        <w:t xml:space="preserve"> </w:t>
      </w:r>
      <w:r w:rsidRPr="00A6540B">
        <w:t>United</w:t>
      </w:r>
      <w:r w:rsidRPr="00A6540B">
        <w:rPr>
          <w:spacing w:val="-13"/>
        </w:rPr>
        <w:t xml:space="preserve"> </w:t>
      </w:r>
      <w:r w:rsidRPr="00A6540B">
        <w:t>States,</w:t>
      </w:r>
      <w:r w:rsidRPr="00A6540B">
        <w:rPr>
          <w:spacing w:val="-14"/>
        </w:rPr>
        <w:t xml:space="preserve"> </w:t>
      </w:r>
      <w:r w:rsidRPr="00A6540B">
        <w:t>China,</w:t>
      </w:r>
      <w:r w:rsidRPr="00A6540B">
        <w:rPr>
          <w:spacing w:val="-15"/>
        </w:rPr>
        <w:t xml:space="preserve"> </w:t>
      </w:r>
      <w:r w:rsidRPr="00A6540B">
        <w:t>and</w:t>
      </w:r>
      <w:r w:rsidRPr="00A6540B">
        <w:rPr>
          <w:spacing w:val="-14"/>
        </w:rPr>
        <w:t xml:space="preserve"> </w:t>
      </w:r>
      <w:r w:rsidRPr="00A6540B">
        <w:t>the</w:t>
      </w:r>
      <w:r w:rsidRPr="00A6540B">
        <w:rPr>
          <w:spacing w:val="-15"/>
        </w:rPr>
        <w:t xml:space="preserve"> </w:t>
      </w:r>
      <w:r w:rsidRPr="00A6540B">
        <w:t>United</w:t>
      </w:r>
      <w:r w:rsidRPr="00A6540B">
        <w:rPr>
          <w:spacing w:val="-14"/>
        </w:rPr>
        <w:t xml:space="preserve"> </w:t>
      </w:r>
      <w:r w:rsidRPr="00A6540B">
        <w:t>Kingdom.</w:t>
      </w:r>
      <w:r w:rsidRPr="00A6540B">
        <w:rPr>
          <w:spacing w:val="-14"/>
        </w:rPr>
        <w:t xml:space="preserve"> </w:t>
      </w:r>
      <w:r w:rsidRPr="00A6540B">
        <w:t>The</w:t>
      </w:r>
      <w:r w:rsidRPr="00A6540B">
        <w:rPr>
          <w:spacing w:val="-15"/>
        </w:rPr>
        <w:t xml:space="preserve"> </w:t>
      </w:r>
      <w:r w:rsidRPr="00A6540B">
        <w:t>S&amp;P</w:t>
      </w:r>
      <w:r w:rsidRPr="00A6540B">
        <w:rPr>
          <w:spacing w:val="-15"/>
        </w:rPr>
        <w:t xml:space="preserve"> </w:t>
      </w:r>
      <w:r w:rsidRPr="00A6540B">
        <w:t>500</w:t>
      </w:r>
      <w:r w:rsidRPr="00A6540B">
        <w:rPr>
          <w:spacing w:val="-14"/>
        </w:rPr>
        <w:t xml:space="preserve"> </w:t>
      </w:r>
      <w:r w:rsidRPr="00A6540B">
        <w:t>is</w:t>
      </w:r>
      <w:r w:rsidRPr="00A6540B">
        <w:rPr>
          <w:spacing w:val="-14"/>
        </w:rPr>
        <w:t xml:space="preserve"> </w:t>
      </w:r>
      <w:r w:rsidRPr="00A6540B">
        <w:t>the</w:t>
      </w:r>
      <w:r w:rsidRPr="00A6540B">
        <w:rPr>
          <w:spacing w:val="-15"/>
        </w:rPr>
        <w:t xml:space="preserve"> </w:t>
      </w:r>
      <w:r w:rsidRPr="00A6540B">
        <w:t>primary</w:t>
      </w:r>
      <w:r w:rsidRPr="00A6540B">
        <w:rPr>
          <w:spacing w:val="-15"/>
        </w:rPr>
        <w:t xml:space="preserve"> </w:t>
      </w:r>
      <w:r w:rsidRPr="00A6540B">
        <w:t>stock market index</w:t>
      </w:r>
      <w:r w:rsidRPr="00A6540B">
        <w:rPr>
          <w:spacing w:val="-1"/>
        </w:rPr>
        <w:t xml:space="preserve"> </w:t>
      </w:r>
      <w:r w:rsidRPr="00A6540B">
        <w:t>in the United</w:t>
      </w:r>
      <w:r w:rsidRPr="00A6540B">
        <w:rPr>
          <w:spacing w:val="-1"/>
        </w:rPr>
        <w:t xml:space="preserve"> </w:t>
      </w:r>
      <w:r w:rsidRPr="00A6540B">
        <w:t>States, measuring the performance</w:t>
      </w:r>
      <w:r w:rsidRPr="00A6540B">
        <w:rPr>
          <w:spacing w:val="-1"/>
        </w:rPr>
        <w:t xml:space="preserve"> </w:t>
      </w:r>
      <w:r w:rsidRPr="00A6540B">
        <w:t>of</w:t>
      </w:r>
      <w:r w:rsidRPr="00A6540B">
        <w:rPr>
          <w:spacing w:val="-1"/>
        </w:rPr>
        <w:t xml:space="preserve"> </w:t>
      </w:r>
      <w:r w:rsidRPr="00A6540B">
        <w:t>the</w:t>
      </w:r>
      <w:r w:rsidRPr="00A6540B">
        <w:rPr>
          <w:spacing w:val="-1"/>
        </w:rPr>
        <w:t xml:space="preserve"> </w:t>
      </w:r>
      <w:r w:rsidRPr="00A6540B">
        <w:t>top 500 companies listed</w:t>
      </w:r>
      <w:r w:rsidRPr="00A6540B">
        <w:rPr>
          <w:spacing w:val="-1"/>
        </w:rPr>
        <w:t xml:space="preserve"> </w:t>
      </w:r>
      <w:r w:rsidRPr="00A6540B">
        <w:t>on the New York Stock Exchange (NYSE) and the NASDAQ (Alareeni &amp; Hamdan, 2020). AlAli, (2020)</w:t>
      </w:r>
      <w:r w:rsidRPr="00A6540B">
        <w:rPr>
          <w:spacing w:val="-13"/>
        </w:rPr>
        <w:t xml:space="preserve"> </w:t>
      </w:r>
      <w:r w:rsidRPr="00A6540B">
        <w:t>According</w:t>
      </w:r>
      <w:r w:rsidRPr="00A6540B">
        <w:rPr>
          <w:spacing w:val="-12"/>
        </w:rPr>
        <w:t xml:space="preserve"> </w:t>
      </w:r>
      <w:r w:rsidRPr="00A6540B">
        <w:t>to</w:t>
      </w:r>
      <w:r w:rsidRPr="00A6540B">
        <w:rPr>
          <w:spacing w:val="-12"/>
        </w:rPr>
        <w:t xml:space="preserve"> </w:t>
      </w:r>
      <w:r w:rsidRPr="00A6540B">
        <w:t>the</w:t>
      </w:r>
      <w:r w:rsidRPr="00A6540B">
        <w:rPr>
          <w:spacing w:val="-11"/>
        </w:rPr>
        <w:t xml:space="preserve"> </w:t>
      </w:r>
      <w:r w:rsidRPr="00A6540B">
        <w:t>Shanghai</w:t>
      </w:r>
      <w:r w:rsidRPr="00A6540B">
        <w:rPr>
          <w:spacing w:val="-12"/>
        </w:rPr>
        <w:t xml:space="preserve"> </w:t>
      </w:r>
      <w:r w:rsidRPr="00A6540B">
        <w:t>Composite</w:t>
      </w:r>
      <w:r w:rsidRPr="00A6540B">
        <w:rPr>
          <w:spacing w:val="-13"/>
        </w:rPr>
        <w:t xml:space="preserve"> </w:t>
      </w:r>
      <w:r w:rsidRPr="00A6540B">
        <w:t>Index,</w:t>
      </w:r>
      <w:r w:rsidRPr="00A6540B">
        <w:rPr>
          <w:spacing w:val="-12"/>
        </w:rPr>
        <w:t xml:space="preserve"> </w:t>
      </w:r>
      <w:r w:rsidRPr="00A6540B">
        <w:t>the</w:t>
      </w:r>
      <w:r w:rsidRPr="00A6540B">
        <w:rPr>
          <w:spacing w:val="-13"/>
        </w:rPr>
        <w:t xml:space="preserve"> </w:t>
      </w:r>
      <w:r w:rsidRPr="00A6540B">
        <w:t>Shanghai</w:t>
      </w:r>
      <w:r w:rsidRPr="00A6540B">
        <w:rPr>
          <w:spacing w:val="-12"/>
        </w:rPr>
        <w:t xml:space="preserve"> </w:t>
      </w:r>
      <w:r w:rsidRPr="00A6540B">
        <w:t>Stock</w:t>
      </w:r>
      <w:r w:rsidRPr="00A6540B">
        <w:rPr>
          <w:spacing w:val="-13"/>
        </w:rPr>
        <w:t xml:space="preserve"> </w:t>
      </w:r>
      <w:r w:rsidRPr="00A6540B">
        <w:t>Exchange's</w:t>
      </w:r>
      <w:r w:rsidRPr="00A6540B">
        <w:rPr>
          <w:spacing w:val="-12"/>
        </w:rPr>
        <w:t xml:space="preserve"> </w:t>
      </w:r>
      <w:r w:rsidRPr="00A6540B">
        <w:t>primary</w:t>
      </w:r>
      <w:r w:rsidRPr="00A6540B">
        <w:rPr>
          <w:spacing w:val="-13"/>
        </w:rPr>
        <w:t xml:space="preserve"> </w:t>
      </w:r>
      <w:r w:rsidRPr="00A6540B">
        <w:t>stock market index, it measures the performance of the largest companies listed on the Shanghai Stock Exchange. The Financial Times Stock Exchange 100 Index (FTSE 100) is the primary stock market</w:t>
      </w:r>
      <w:r w:rsidRPr="00A6540B">
        <w:rPr>
          <w:spacing w:val="-2"/>
        </w:rPr>
        <w:t xml:space="preserve"> </w:t>
      </w:r>
      <w:r w:rsidRPr="00A6540B">
        <w:t>index</w:t>
      </w:r>
      <w:r w:rsidRPr="00A6540B">
        <w:rPr>
          <w:spacing w:val="-2"/>
        </w:rPr>
        <w:t xml:space="preserve"> </w:t>
      </w:r>
      <w:r w:rsidRPr="00A6540B">
        <w:t>in</w:t>
      </w:r>
      <w:r w:rsidRPr="00A6540B">
        <w:rPr>
          <w:spacing w:val="-2"/>
        </w:rPr>
        <w:t xml:space="preserve"> </w:t>
      </w:r>
      <w:r w:rsidRPr="00A6540B">
        <w:t>the</w:t>
      </w:r>
      <w:r w:rsidRPr="00A6540B">
        <w:rPr>
          <w:spacing w:val="-3"/>
        </w:rPr>
        <w:t xml:space="preserve"> </w:t>
      </w:r>
      <w:r w:rsidRPr="00A6540B">
        <w:t>United</w:t>
      </w:r>
      <w:r w:rsidRPr="00A6540B">
        <w:rPr>
          <w:spacing w:val="-2"/>
        </w:rPr>
        <w:t xml:space="preserve"> </w:t>
      </w:r>
      <w:r w:rsidRPr="00A6540B">
        <w:t>Kingdom,</w:t>
      </w:r>
      <w:r w:rsidRPr="00A6540B">
        <w:rPr>
          <w:spacing w:val="-2"/>
        </w:rPr>
        <w:t xml:space="preserve"> </w:t>
      </w:r>
      <w:r w:rsidRPr="00A6540B">
        <w:t>measuring</w:t>
      </w:r>
      <w:r w:rsidRPr="00A6540B">
        <w:rPr>
          <w:spacing w:val="-2"/>
        </w:rPr>
        <w:t xml:space="preserve"> </w:t>
      </w:r>
      <w:r w:rsidRPr="00A6540B">
        <w:t>the</w:t>
      </w:r>
      <w:r w:rsidRPr="00A6540B">
        <w:rPr>
          <w:spacing w:val="-3"/>
        </w:rPr>
        <w:t xml:space="preserve"> </w:t>
      </w:r>
      <w:r w:rsidRPr="00A6540B">
        <w:t>performance</w:t>
      </w:r>
      <w:r w:rsidRPr="00A6540B">
        <w:rPr>
          <w:spacing w:val="-3"/>
        </w:rPr>
        <w:t xml:space="preserve"> </w:t>
      </w:r>
      <w:r w:rsidRPr="00A6540B">
        <w:t>of</w:t>
      </w:r>
      <w:r w:rsidRPr="00A6540B">
        <w:rPr>
          <w:spacing w:val="-2"/>
        </w:rPr>
        <w:t xml:space="preserve"> </w:t>
      </w:r>
      <w:r w:rsidRPr="00A6540B">
        <w:t>the</w:t>
      </w:r>
      <w:r w:rsidRPr="00A6540B">
        <w:rPr>
          <w:spacing w:val="-4"/>
        </w:rPr>
        <w:t xml:space="preserve"> </w:t>
      </w:r>
      <w:r w:rsidRPr="00A6540B">
        <w:t>top 100</w:t>
      </w:r>
      <w:r w:rsidRPr="00A6540B">
        <w:rPr>
          <w:spacing w:val="-2"/>
        </w:rPr>
        <w:t xml:space="preserve"> </w:t>
      </w:r>
      <w:r w:rsidRPr="00A6540B">
        <w:t>companies</w:t>
      </w:r>
      <w:r w:rsidRPr="00A6540B">
        <w:rPr>
          <w:spacing w:val="-2"/>
        </w:rPr>
        <w:t xml:space="preserve"> </w:t>
      </w:r>
      <w:r w:rsidRPr="00A6540B">
        <w:t>listed on the London Stock Exchange (Elmghaamez &amp; Olarewaju, 2022). Share returns of these companies</w:t>
      </w:r>
      <w:r w:rsidRPr="00A6540B">
        <w:rPr>
          <w:spacing w:val="-15"/>
        </w:rPr>
        <w:t xml:space="preserve"> </w:t>
      </w:r>
      <w:r w:rsidRPr="00A6540B">
        <w:t>are</w:t>
      </w:r>
      <w:r w:rsidRPr="00A6540B">
        <w:rPr>
          <w:spacing w:val="-15"/>
        </w:rPr>
        <w:t xml:space="preserve"> </w:t>
      </w:r>
      <w:r w:rsidRPr="00A6540B">
        <w:t>closely</w:t>
      </w:r>
      <w:r w:rsidRPr="00A6540B">
        <w:rPr>
          <w:spacing w:val="-15"/>
        </w:rPr>
        <w:t xml:space="preserve"> </w:t>
      </w:r>
      <w:r w:rsidRPr="00A6540B">
        <w:t>monitored</w:t>
      </w:r>
      <w:r w:rsidRPr="00A6540B">
        <w:rPr>
          <w:spacing w:val="-15"/>
        </w:rPr>
        <w:t xml:space="preserve"> </w:t>
      </w:r>
      <w:r w:rsidRPr="00A6540B">
        <w:t>by</w:t>
      </w:r>
      <w:r w:rsidRPr="00A6540B">
        <w:rPr>
          <w:spacing w:val="-15"/>
        </w:rPr>
        <w:t xml:space="preserve"> </w:t>
      </w:r>
      <w:r w:rsidRPr="00A6540B">
        <w:t>investors</w:t>
      </w:r>
      <w:r w:rsidRPr="00A6540B">
        <w:rPr>
          <w:spacing w:val="-15"/>
        </w:rPr>
        <w:t xml:space="preserve"> </w:t>
      </w:r>
      <w:r w:rsidRPr="00A6540B">
        <w:t>and</w:t>
      </w:r>
      <w:r w:rsidRPr="00A6540B">
        <w:rPr>
          <w:spacing w:val="-14"/>
        </w:rPr>
        <w:t xml:space="preserve"> </w:t>
      </w:r>
      <w:r w:rsidRPr="00A6540B">
        <w:t>analysts</w:t>
      </w:r>
      <w:r w:rsidRPr="00A6540B">
        <w:rPr>
          <w:spacing w:val="-15"/>
        </w:rPr>
        <w:t xml:space="preserve"> </w:t>
      </w:r>
      <w:r w:rsidRPr="00A6540B">
        <w:t>as</w:t>
      </w:r>
      <w:r w:rsidRPr="00A6540B">
        <w:rPr>
          <w:spacing w:val="-15"/>
        </w:rPr>
        <w:t xml:space="preserve"> </w:t>
      </w:r>
      <w:r w:rsidRPr="00A6540B">
        <w:t>an</w:t>
      </w:r>
      <w:r w:rsidRPr="00A6540B">
        <w:rPr>
          <w:spacing w:val="-14"/>
        </w:rPr>
        <w:t xml:space="preserve"> </w:t>
      </w:r>
      <w:r w:rsidRPr="00A6540B">
        <w:t>indicator</w:t>
      </w:r>
      <w:r w:rsidRPr="00A6540B">
        <w:rPr>
          <w:spacing w:val="-15"/>
        </w:rPr>
        <w:t xml:space="preserve"> </w:t>
      </w:r>
      <w:r w:rsidRPr="00A6540B">
        <w:t>of</w:t>
      </w:r>
      <w:r w:rsidRPr="00A6540B">
        <w:rPr>
          <w:spacing w:val="-15"/>
        </w:rPr>
        <w:t xml:space="preserve"> </w:t>
      </w:r>
      <w:r w:rsidRPr="00A6540B">
        <w:t>the</w:t>
      </w:r>
      <w:r w:rsidRPr="00A6540B">
        <w:rPr>
          <w:spacing w:val="-15"/>
        </w:rPr>
        <w:t xml:space="preserve"> </w:t>
      </w:r>
      <w:r w:rsidRPr="00A6540B">
        <w:t>health</w:t>
      </w:r>
      <w:r w:rsidRPr="00A6540B">
        <w:rPr>
          <w:spacing w:val="-15"/>
        </w:rPr>
        <w:t xml:space="preserve"> </w:t>
      </w:r>
      <w:r w:rsidRPr="00A6540B">
        <w:t>of</w:t>
      </w:r>
      <w:r w:rsidRPr="00A6540B">
        <w:rPr>
          <w:spacing w:val="-15"/>
        </w:rPr>
        <w:t xml:space="preserve"> </w:t>
      </w:r>
      <w:r w:rsidRPr="00A6540B">
        <w:t>the</w:t>
      </w:r>
      <w:r w:rsidRPr="00A6540B">
        <w:rPr>
          <w:spacing w:val="-15"/>
        </w:rPr>
        <w:t xml:space="preserve"> </w:t>
      </w:r>
      <w:r w:rsidRPr="00A6540B">
        <w:t>USA, China and UK economy.</w:t>
      </w:r>
      <w:r w:rsidR="004E42E3">
        <w:t xml:space="preserve"> </w:t>
      </w:r>
      <w:r w:rsidR="004E42E3" w:rsidRPr="00A6540B">
        <w:t>Share</w:t>
      </w:r>
      <w:r w:rsidR="004E42E3" w:rsidRPr="00A6540B">
        <w:rPr>
          <w:spacing w:val="-8"/>
        </w:rPr>
        <w:t xml:space="preserve"> </w:t>
      </w:r>
      <w:r w:rsidR="004E42E3" w:rsidRPr="00A6540B">
        <w:t>returns</w:t>
      </w:r>
      <w:r w:rsidR="004E42E3" w:rsidRPr="00A6540B">
        <w:rPr>
          <w:spacing w:val="-4"/>
        </w:rPr>
        <w:t xml:space="preserve"> </w:t>
      </w:r>
      <w:r w:rsidR="004E42E3" w:rsidRPr="00A6540B">
        <w:t>are</w:t>
      </w:r>
      <w:r w:rsidR="004E42E3" w:rsidRPr="00A6540B">
        <w:rPr>
          <w:spacing w:val="-5"/>
        </w:rPr>
        <w:t xml:space="preserve"> </w:t>
      </w:r>
      <w:r w:rsidR="004E42E3" w:rsidRPr="00A6540B">
        <w:t>indeed</w:t>
      </w:r>
      <w:r w:rsidR="004E42E3" w:rsidRPr="00A6540B">
        <w:rPr>
          <w:spacing w:val="-2"/>
        </w:rPr>
        <w:t xml:space="preserve"> </w:t>
      </w:r>
      <w:r w:rsidR="004E42E3" w:rsidRPr="00A6540B">
        <w:t>critical</w:t>
      </w:r>
      <w:r w:rsidR="004E42E3" w:rsidRPr="00A6540B">
        <w:rPr>
          <w:spacing w:val="-5"/>
        </w:rPr>
        <w:t xml:space="preserve"> </w:t>
      </w:r>
      <w:r w:rsidR="004E42E3" w:rsidRPr="00A6540B">
        <w:t>indicators</w:t>
      </w:r>
      <w:r w:rsidR="004E42E3" w:rsidRPr="00A6540B">
        <w:rPr>
          <w:spacing w:val="-4"/>
        </w:rPr>
        <w:t xml:space="preserve"> </w:t>
      </w:r>
      <w:r w:rsidR="004E42E3" w:rsidRPr="00A6540B">
        <w:t>of</w:t>
      </w:r>
      <w:r w:rsidR="004E42E3" w:rsidRPr="00A6540B">
        <w:rPr>
          <w:spacing w:val="-4"/>
        </w:rPr>
        <w:t xml:space="preserve"> </w:t>
      </w:r>
      <w:r w:rsidR="004E42E3" w:rsidRPr="00A6540B">
        <w:t>a</w:t>
      </w:r>
      <w:r w:rsidR="004E42E3" w:rsidRPr="00A6540B">
        <w:rPr>
          <w:spacing w:val="-5"/>
        </w:rPr>
        <w:t xml:space="preserve"> </w:t>
      </w:r>
      <w:r w:rsidR="004E42E3" w:rsidRPr="00A6540B">
        <w:t>company's</w:t>
      </w:r>
      <w:r w:rsidR="004E42E3" w:rsidRPr="00A6540B">
        <w:rPr>
          <w:spacing w:val="-6"/>
        </w:rPr>
        <w:t xml:space="preserve"> </w:t>
      </w:r>
      <w:r w:rsidR="004E42E3" w:rsidRPr="00A6540B">
        <w:t>performance</w:t>
      </w:r>
      <w:r w:rsidR="004E42E3" w:rsidRPr="00A6540B">
        <w:rPr>
          <w:spacing w:val="-4"/>
        </w:rPr>
        <w:t xml:space="preserve"> </w:t>
      </w:r>
      <w:r w:rsidR="004E42E3" w:rsidRPr="00A6540B">
        <w:t>and</w:t>
      </w:r>
      <w:r w:rsidR="004E42E3" w:rsidRPr="00A6540B">
        <w:rPr>
          <w:spacing w:val="-6"/>
        </w:rPr>
        <w:t xml:space="preserve"> </w:t>
      </w:r>
      <w:r w:rsidR="004E42E3" w:rsidRPr="00A6540B">
        <w:t>are</w:t>
      </w:r>
      <w:r w:rsidR="004E42E3" w:rsidRPr="00A6540B">
        <w:rPr>
          <w:spacing w:val="-5"/>
        </w:rPr>
        <w:t xml:space="preserve"> </w:t>
      </w:r>
      <w:r w:rsidR="004E42E3" w:rsidRPr="00A6540B">
        <w:t>closely</w:t>
      </w:r>
      <w:r w:rsidR="004E42E3" w:rsidRPr="00A6540B">
        <w:rPr>
          <w:spacing w:val="-4"/>
        </w:rPr>
        <w:t xml:space="preserve"> </w:t>
      </w:r>
      <w:r w:rsidR="004E42E3" w:rsidRPr="00A6540B">
        <w:t>monitored by investors, analysts, and stakeholders (Uyaebo, Atoi, &amp; Usman, 2015). Similarly, in South Africa, the primary index of the stock market that measures the performance of the largest companies</w:t>
      </w:r>
      <w:r w:rsidR="004E42E3" w:rsidRPr="00A6540B">
        <w:rPr>
          <w:spacing w:val="-13"/>
        </w:rPr>
        <w:t xml:space="preserve"> </w:t>
      </w:r>
      <w:r w:rsidR="004E42E3" w:rsidRPr="00A6540B">
        <w:t>listed</w:t>
      </w:r>
      <w:r w:rsidR="004E42E3" w:rsidRPr="00A6540B">
        <w:rPr>
          <w:spacing w:val="-10"/>
        </w:rPr>
        <w:t xml:space="preserve"> </w:t>
      </w:r>
      <w:r w:rsidR="004E42E3" w:rsidRPr="00A6540B">
        <w:t>on</w:t>
      </w:r>
      <w:r w:rsidR="004E42E3" w:rsidRPr="00A6540B">
        <w:rPr>
          <w:spacing w:val="-11"/>
        </w:rPr>
        <w:t xml:space="preserve"> </w:t>
      </w:r>
      <w:r w:rsidR="004E42E3" w:rsidRPr="00A6540B">
        <w:t>the</w:t>
      </w:r>
      <w:r w:rsidR="004E42E3" w:rsidRPr="00A6540B">
        <w:rPr>
          <w:spacing w:val="-11"/>
        </w:rPr>
        <w:t xml:space="preserve"> </w:t>
      </w:r>
      <w:r w:rsidR="004E42E3" w:rsidRPr="00A6540B">
        <w:t>JSE</w:t>
      </w:r>
      <w:r w:rsidR="004E42E3" w:rsidRPr="00A6540B">
        <w:rPr>
          <w:spacing w:val="-11"/>
        </w:rPr>
        <w:t xml:space="preserve"> </w:t>
      </w:r>
      <w:r w:rsidR="004E42E3" w:rsidRPr="00A6540B">
        <w:t>is</w:t>
      </w:r>
      <w:r w:rsidR="004E42E3" w:rsidRPr="00A6540B">
        <w:rPr>
          <w:spacing w:val="-9"/>
        </w:rPr>
        <w:t xml:space="preserve"> </w:t>
      </w:r>
      <w:r w:rsidR="004E42E3" w:rsidRPr="00A6540B">
        <w:t>the</w:t>
      </w:r>
      <w:r w:rsidR="004E42E3" w:rsidRPr="00A6540B">
        <w:rPr>
          <w:spacing w:val="-10"/>
        </w:rPr>
        <w:t xml:space="preserve"> </w:t>
      </w:r>
      <w:r w:rsidR="004E42E3" w:rsidRPr="00A6540B">
        <w:t>FTSE/JSE</w:t>
      </w:r>
      <w:r w:rsidR="004E42E3" w:rsidRPr="00A6540B">
        <w:rPr>
          <w:spacing w:val="-10"/>
        </w:rPr>
        <w:t xml:space="preserve"> </w:t>
      </w:r>
      <w:r w:rsidR="004E42E3" w:rsidRPr="00A6540B">
        <w:t>Africa</w:t>
      </w:r>
      <w:r w:rsidR="004E42E3" w:rsidRPr="00A6540B">
        <w:rPr>
          <w:spacing w:val="-12"/>
        </w:rPr>
        <w:t xml:space="preserve"> </w:t>
      </w:r>
      <w:r w:rsidR="004E42E3" w:rsidRPr="00A6540B">
        <w:t>All</w:t>
      </w:r>
      <w:r w:rsidR="004E42E3" w:rsidRPr="00A6540B">
        <w:rPr>
          <w:spacing w:val="-10"/>
        </w:rPr>
        <w:t xml:space="preserve"> </w:t>
      </w:r>
      <w:r w:rsidR="004E42E3" w:rsidRPr="00A6540B">
        <w:t>Share</w:t>
      </w:r>
      <w:r w:rsidR="004E42E3" w:rsidRPr="00A6540B">
        <w:rPr>
          <w:spacing w:val="-10"/>
        </w:rPr>
        <w:t xml:space="preserve"> </w:t>
      </w:r>
      <w:r w:rsidR="004E42E3" w:rsidRPr="00A6540B">
        <w:t>Index</w:t>
      </w:r>
      <w:r w:rsidR="004E42E3" w:rsidRPr="00A6540B">
        <w:rPr>
          <w:spacing w:val="-8"/>
        </w:rPr>
        <w:t xml:space="preserve"> </w:t>
      </w:r>
      <w:r w:rsidR="004E42E3" w:rsidRPr="00A6540B">
        <w:t>(Russell,</w:t>
      </w:r>
      <w:r w:rsidR="004E42E3" w:rsidRPr="00A6540B">
        <w:rPr>
          <w:spacing w:val="-11"/>
        </w:rPr>
        <w:t xml:space="preserve"> </w:t>
      </w:r>
      <w:r w:rsidR="004E42E3" w:rsidRPr="00A6540B">
        <w:t>2017).</w:t>
      </w:r>
    </w:p>
    <w:p w14:paraId="1525253E" w14:textId="77777777" w:rsidR="004E42E3" w:rsidRDefault="004E42E3">
      <w:pPr>
        <w:pStyle w:val="BodyText"/>
        <w:spacing w:before="5"/>
      </w:pPr>
      <w:r w:rsidRPr="00A6540B">
        <w:t>From a Kenyan perspective, share returns are crucial for the performance of listed agricultural companies,</w:t>
      </w:r>
      <w:r w:rsidRPr="00A6540B">
        <w:rPr>
          <w:spacing w:val="-6"/>
        </w:rPr>
        <w:t xml:space="preserve"> </w:t>
      </w:r>
      <w:r w:rsidRPr="00A6540B">
        <w:t>which</w:t>
      </w:r>
      <w:r w:rsidRPr="00A6540B">
        <w:rPr>
          <w:spacing w:val="-6"/>
        </w:rPr>
        <w:t xml:space="preserve"> </w:t>
      </w:r>
      <w:r w:rsidRPr="00A6540B">
        <w:t>is</w:t>
      </w:r>
      <w:r w:rsidRPr="00A6540B">
        <w:rPr>
          <w:spacing w:val="-5"/>
        </w:rPr>
        <w:t xml:space="preserve"> </w:t>
      </w:r>
      <w:r w:rsidRPr="00A6540B">
        <w:t>the</w:t>
      </w:r>
      <w:r w:rsidRPr="00A6540B">
        <w:rPr>
          <w:spacing w:val="-9"/>
        </w:rPr>
        <w:t xml:space="preserve"> </w:t>
      </w:r>
      <w:r w:rsidRPr="00A6540B">
        <w:t>primary</w:t>
      </w:r>
      <w:r w:rsidRPr="00A6540B">
        <w:rPr>
          <w:spacing w:val="-7"/>
        </w:rPr>
        <w:t xml:space="preserve"> </w:t>
      </w:r>
      <w:r w:rsidRPr="00A6540B">
        <w:t>stock</w:t>
      </w:r>
      <w:r w:rsidRPr="00A6540B">
        <w:rPr>
          <w:spacing w:val="-6"/>
        </w:rPr>
        <w:t xml:space="preserve"> </w:t>
      </w:r>
      <w:r w:rsidRPr="00A6540B">
        <w:t>market</w:t>
      </w:r>
      <w:r w:rsidRPr="00A6540B">
        <w:rPr>
          <w:spacing w:val="-5"/>
        </w:rPr>
        <w:t xml:space="preserve"> </w:t>
      </w:r>
      <w:r w:rsidRPr="00A6540B">
        <w:t>in</w:t>
      </w:r>
      <w:r w:rsidRPr="00A6540B">
        <w:rPr>
          <w:spacing w:val="-8"/>
        </w:rPr>
        <w:t xml:space="preserve"> </w:t>
      </w:r>
      <w:r w:rsidRPr="00A6540B">
        <w:t>Kenya.</w:t>
      </w:r>
      <w:r w:rsidRPr="00A6540B">
        <w:rPr>
          <w:spacing w:val="-6"/>
        </w:rPr>
        <w:t xml:space="preserve"> </w:t>
      </w:r>
      <w:r w:rsidRPr="00A6540B">
        <w:t>According</w:t>
      </w:r>
      <w:r w:rsidRPr="00A6540B">
        <w:rPr>
          <w:spacing w:val="-6"/>
        </w:rPr>
        <w:t xml:space="preserve"> </w:t>
      </w:r>
      <w:r w:rsidRPr="00A6540B">
        <w:t>to</w:t>
      </w:r>
      <w:r w:rsidRPr="00A6540B">
        <w:rPr>
          <w:spacing w:val="-4"/>
        </w:rPr>
        <w:t xml:space="preserve"> </w:t>
      </w:r>
      <w:r w:rsidRPr="00A6540B">
        <w:t>Isaac</w:t>
      </w:r>
      <w:r w:rsidRPr="00A6540B">
        <w:rPr>
          <w:spacing w:val="-7"/>
        </w:rPr>
        <w:t xml:space="preserve"> </w:t>
      </w:r>
      <w:r w:rsidRPr="00A6540B">
        <w:t>(2022),</w:t>
      </w:r>
      <w:r w:rsidRPr="00A6540B">
        <w:rPr>
          <w:spacing w:val="-6"/>
        </w:rPr>
        <w:t xml:space="preserve"> </w:t>
      </w:r>
      <w:r w:rsidRPr="00A6540B">
        <w:t>the</w:t>
      </w:r>
      <w:r w:rsidRPr="00A6540B">
        <w:rPr>
          <w:spacing w:val="-6"/>
        </w:rPr>
        <w:t xml:space="preserve"> </w:t>
      </w:r>
      <w:r w:rsidRPr="00A6540B">
        <w:t>NSE</w:t>
      </w:r>
      <w:r w:rsidRPr="00A6540B">
        <w:rPr>
          <w:spacing w:val="-6"/>
        </w:rPr>
        <w:t xml:space="preserve"> </w:t>
      </w:r>
      <w:r w:rsidRPr="00A6540B">
        <w:t>is</w:t>
      </w:r>
      <w:r w:rsidRPr="00A6540B">
        <w:rPr>
          <w:spacing w:val="-8"/>
        </w:rPr>
        <w:t xml:space="preserve"> </w:t>
      </w:r>
      <w:r w:rsidRPr="00A6540B">
        <w:t>an essential</w:t>
      </w:r>
      <w:r w:rsidRPr="00A6540B">
        <w:rPr>
          <w:spacing w:val="-1"/>
        </w:rPr>
        <w:t xml:space="preserve"> </w:t>
      </w:r>
      <w:r w:rsidRPr="00A6540B">
        <w:t>contributor</w:t>
      </w:r>
      <w:r w:rsidRPr="00A6540B">
        <w:rPr>
          <w:spacing w:val="-2"/>
        </w:rPr>
        <w:t xml:space="preserve"> </w:t>
      </w:r>
      <w:r w:rsidRPr="00A6540B">
        <w:t>to</w:t>
      </w:r>
      <w:r w:rsidRPr="00A6540B">
        <w:rPr>
          <w:spacing w:val="-1"/>
        </w:rPr>
        <w:t xml:space="preserve"> </w:t>
      </w:r>
      <w:r w:rsidRPr="00A6540B">
        <w:t>the</w:t>
      </w:r>
      <w:r w:rsidRPr="00A6540B">
        <w:rPr>
          <w:spacing w:val="-2"/>
        </w:rPr>
        <w:t xml:space="preserve"> </w:t>
      </w:r>
      <w:r w:rsidRPr="00A6540B">
        <w:t>Kenyan</w:t>
      </w:r>
      <w:r w:rsidRPr="00A6540B">
        <w:rPr>
          <w:spacing w:val="-1"/>
        </w:rPr>
        <w:t xml:space="preserve"> </w:t>
      </w:r>
      <w:r w:rsidRPr="00A6540B">
        <w:t>economy,</w:t>
      </w:r>
      <w:r w:rsidRPr="00A6540B">
        <w:rPr>
          <w:spacing w:val="-1"/>
        </w:rPr>
        <w:t xml:space="preserve"> </w:t>
      </w:r>
      <w:r w:rsidRPr="00A6540B">
        <w:t>and share</w:t>
      </w:r>
      <w:r w:rsidRPr="00A6540B">
        <w:rPr>
          <w:spacing w:val="-3"/>
        </w:rPr>
        <w:t xml:space="preserve"> </w:t>
      </w:r>
      <w:r w:rsidRPr="00A6540B">
        <w:t>returns</w:t>
      </w:r>
      <w:r w:rsidRPr="00A6540B">
        <w:rPr>
          <w:spacing w:val="-1"/>
        </w:rPr>
        <w:t xml:space="preserve"> </w:t>
      </w:r>
      <w:r w:rsidRPr="00A6540B">
        <w:t>of</w:t>
      </w:r>
      <w:r w:rsidRPr="00A6540B">
        <w:rPr>
          <w:spacing w:val="-2"/>
        </w:rPr>
        <w:t xml:space="preserve"> </w:t>
      </w:r>
      <w:r w:rsidRPr="00A6540B">
        <w:t>listed</w:t>
      </w:r>
      <w:r w:rsidRPr="00A6540B">
        <w:rPr>
          <w:spacing w:val="-2"/>
        </w:rPr>
        <w:t xml:space="preserve"> </w:t>
      </w:r>
      <w:r w:rsidRPr="00A6540B">
        <w:t>firms</w:t>
      </w:r>
      <w:r w:rsidRPr="00A6540B">
        <w:rPr>
          <w:spacing w:val="-1"/>
        </w:rPr>
        <w:t xml:space="preserve"> </w:t>
      </w:r>
      <w:r w:rsidRPr="00A6540B">
        <w:t>are</w:t>
      </w:r>
      <w:r w:rsidRPr="00A6540B">
        <w:rPr>
          <w:spacing w:val="-3"/>
        </w:rPr>
        <w:t xml:space="preserve"> </w:t>
      </w:r>
      <w:r w:rsidRPr="00A6540B">
        <w:t>key</w:t>
      </w:r>
      <w:r w:rsidRPr="00A6540B">
        <w:rPr>
          <w:spacing w:val="-1"/>
        </w:rPr>
        <w:t xml:space="preserve"> </w:t>
      </w:r>
      <w:r w:rsidRPr="00A6540B">
        <w:t>in</w:t>
      </w:r>
      <w:r w:rsidRPr="00A6540B">
        <w:rPr>
          <w:spacing w:val="-1"/>
        </w:rPr>
        <w:t xml:space="preserve"> </w:t>
      </w:r>
      <w:r w:rsidRPr="00A6540B">
        <w:t>NSE</w:t>
      </w:r>
      <w:r w:rsidRPr="00A6540B">
        <w:rPr>
          <w:spacing w:val="-1"/>
        </w:rPr>
        <w:t xml:space="preserve"> </w:t>
      </w:r>
      <w:r w:rsidRPr="00A6540B">
        <w:t>are critical for the expansion of the agricultural sector, which is a vital contributor to the Kenyan economy. According to Gerio, Egessa, and Alala, (2021) the share returns of the firms are an important indicator of the health of the agricultural sector and the Kenyan economy as a whole.</w:t>
      </w:r>
    </w:p>
    <w:p w14:paraId="4D1265EF" w14:textId="77777777" w:rsidR="009774BE" w:rsidRPr="00A6540B" w:rsidRDefault="009774BE" w:rsidP="009774BE">
      <w:pPr>
        <w:pStyle w:val="BodyText"/>
      </w:pPr>
      <w:r w:rsidRPr="00A6540B">
        <w:t>Olang, Akenga and Mwangi, (2015) in the context of agricultural firms listed on the Nairobi Securities Exchange (NSE) or any other exchange, liquidity remains a critical aspect of financial management.</w:t>
      </w:r>
      <w:r w:rsidRPr="00A6540B">
        <w:rPr>
          <w:spacing w:val="-3"/>
        </w:rPr>
        <w:t xml:space="preserve"> </w:t>
      </w:r>
      <w:r w:rsidRPr="00A6540B">
        <w:t>The</w:t>
      </w:r>
      <w:r w:rsidRPr="00A6540B">
        <w:rPr>
          <w:spacing w:val="-5"/>
        </w:rPr>
        <w:t xml:space="preserve"> </w:t>
      </w:r>
      <w:r w:rsidRPr="00A6540B">
        <w:t>level</w:t>
      </w:r>
      <w:r w:rsidRPr="00A6540B">
        <w:rPr>
          <w:spacing w:val="-3"/>
        </w:rPr>
        <w:t xml:space="preserve"> </w:t>
      </w:r>
      <w:r w:rsidRPr="00A6540B">
        <w:t>of</w:t>
      </w:r>
      <w:r w:rsidRPr="00A6540B">
        <w:rPr>
          <w:spacing w:val="-3"/>
        </w:rPr>
        <w:t xml:space="preserve"> </w:t>
      </w:r>
      <w:r w:rsidRPr="00A6540B">
        <w:t>liquidity</w:t>
      </w:r>
      <w:r w:rsidRPr="00A6540B">
        <w:rPr>
          <w:spacing w:val="-3"/>
        </w:rPr>
        <w:t xml:space="preserve"> </w:t>
      </w:r>
      <w:r w:rsidRPr="00A6540B">
        <w:t>can</w:t>
      </w:r>
      <w:r w:rsidRPr="00A6540B">
        <w:rPr>
          <w:spacing w:val="-3"/>
        </w:rPr>
        <w:t xml:space="preserve"> </w:t>
      </w:r>
      <w:r w:rsidRPr="00A6540B">
        <w:t>affect</w:t>
      </w:r>
      <w:r w:rsidRPr="00A6540B">
        <w:rPr>
          <w:spacing w:val="-3"/>
        </w:rPr>
        <w:t xml:space="preserve"> </w:t>
      </w:r>
      <w:r w:rsidRPr="00A6540B">
        <w:t>share</w:t>
      </w:r>
      <w:r w:rsidRPr="00A6540B">
        <w:rPr>
          <w:spacing w:val="-4"/>
        </w:rPr>
        <w:t xml:space="preserve"> </w:t>
      </w:r>
      <w:r w:rsidRPr="00A6540B">
        <w:t>returns</w:t>
      </w:r>
      <w:r w:rsidRPr="00A6540B">
        <w:rPr>
          <w:spacing w:val="-3"/>
        </w:rPr>
        <w:t xml:space="preserve"> </w:t>
      </w:r>
      <w:r w:rsidRPr="00A6540B">
        <w:t>because</w:t>
      </w:r>
      <w:r w:rsidRPr="00A6540B">
        <w:rPr>
          <w:spacing w:val="-4"/>
        </w:rPr>
        <w:t xml:space="preserve"> </w:t>
      </w:r>
      <w:r w:rsidRPr="00A6540B">
        <w:t>if</w:t>
      </w:r>
      <w:r w:rsidRPr="00A6540B">
        <w:rPr>
          <w:spacing w:val="-3"/>
        </w:rPr>
        <w:t xml:space="preserve"> </w:t>
      </w:r>
      <w:r w:rsidRPr="00A6540B">
        <w:t>a</w:t>
      </w:r>
      <w:r w:rsidRPr="00A6540B">
        <w:rPr>
          <w:spacing w:val="-5"/>
        </w:rPr>
        <w:t xml:space="preserve"> </w:t>
      </w:r>
      <w:r w:rsidRPr="00A6540B">
        <w:t>firm failure</w:t>
      </w:r>
      <w:r w:rsidRPr="00A6540B">
        <w:rPr>
          <w:spacing w:val="-5"/>
        </w:rPr>
        <w:t xml:space="preserve"> </w:t>
      </w:r>
      <w:r w:rsidRPr="00A6540B">
        <w:t>to</w:t>
      </w:r>
      <w:r w:rsidRPr="00A6540B">
        <w:rPr>
          <w:spacing w:val="-3"/>
        </w:rPr>
        <w:t xml:space="preserve"> </w:t>
      </w:r>
      <w:r w:rsidRPr="00A6540B">
        <w:t>pay</w:t>
      </w:r>
      <w:r w:rsidRPr="00A6540B">
        <w:rPr>
          <w:spacing w:val="-3"/>
        </w:rPr>
        <w:t xml:space="preserve"> </w:t>
      </w:r>
      <w:r w:rsidRPr="00A6540B">
        <w:t>for</w:t>
      </w:r>
      <w:r w:rsidRPr="00A6540B">
        <w:rPr>
          <w:spacing w:val="-3"/>
        </w:rPr>
        <w:t xml:space="preserve"> </w:t>
      </w:r>
      <w:r w:rsidRPr="00A6540B">
        <w:t>the upcoming demands, which can lead to a decline in share prices.</w:t>
      </w:r>
      <w:r>
        <w:t xml:space="preserve"> Profitability </w:t>
      </w:r>
      <w:r w:rsidRPr="00A6540B">
        <w:t>provides</w:t>
      </w:r>
      <w:r w:rsidRPr="00A6540B">
        <w:rPr>
          <w:spacing w:val="-7"/>
        </w:rPr>
        <w:t xml:space="preserve"> </w:t>
      </w:r>
      <w:r w:rsidRPr="00A6540B">
        <w:t>insights</w:t>
      </w:r>
      <w:r w:rsidRPr="00A6540B">
        <w:rPr>
          <w:spacing w:val="-6"/>
        </w:rPr>
        <w:t xml:space="preserve"> </w:t>
      </w:r>
      <w:r w:rsidRPr="00A6540B">
        <w:t>into</w:t>
      </w:r>
      <w:r w:rsidRPr="00A6540B">
        <w:rPr>
          <w:spacing w:val="-9"/>
        </w:rPr>
        <w:t xml:space="preserve"> </w:t>
      </w:r>
      <w:r w:rsidRPr="00A6540B">
        <w:rPr>
          <w:spacing w:val="-5"/>
        </w:rPr>
        <w:t>the</w:t>
      </w:r>
      <w:r w:rsidRPr="00A6540B">
        <w:t xml:space="preserve"> company's efficiency, effectiveness, and overall financial strength (Kartikasari &amp; Merianti, 2016).In the context of agricultural firms listed on the NSE, profitability is crucial</w:t>
      </w:r>
      <w:r w:rsidRPr="00A6540B">
        <w:rPr>
          <w:spacing w:val="40"/>
        </w:rPr>
        <w:t xml:space="preserve"> </w:t>
      </w:r>
      <w:r w:rsidRPr="00A6540B">
        <w:t xml:space="preserve">since firms </w:t>
      </w:r>
      <w:r w:rsidRPr="00A6540B">
        <w:lastRenderedPageBreak/>
        <w:t>forecast performance. Increased profitability is a resultant of higher share returns because it indicates that a firm is generating strong returns on its investments.</w:t>
      </w:r>
      <w:r>
        <w:t xml:space="preserve"> </w:t>
      </w:r>
      <w:r w:rsidRPr="00A6540B">
        <w:t>Profitability can be measured using various financial ratios and metrics, including net profit margin, return on equity (ROE), return on assets (ROA), and earnings per share (EPS), among others (ROA). These metrics are commonly used by investors to assess a firm's financial performance</w:t>
      </w:r>
      <w:r w:rsidRPr="00A6540B">
        <w:rPr>
          <w:spacing w:val="-15"/>
        </w:rPr>
        <w:t xml:space="preserve"> </w:t>
      </w:r>
      <w:r w:rsidRPr="00A6540B">
        <w:t>and</w:t>
      </w:r>
      <w:r w:rsidRPr="00A6540B">
        <w:rPr>
          <w:spacing w:val="-15"/>
        </w:rPr>
        <w:t xml:space="preserve"> </w:t>
      </w:r>
      <w:r w:rsidRPr="00A6540B">
        <w:t>growth</w:t>
      </w:r>
      <w:r w:rsidRPr="00A6540B">
        <w:rPr>
          <w:spacing w:val="-15"/>
        </w:rPr>
        <w:t xml:space="preserve"> </w:t>
      </w:r>
      <w:r w:rsidRPr="00A6540B">
        <w:t>potential.</w:t>
      </w:r>
      <w:r w:rsidRPr="00A6540B">
        <w:rPr>
          <w:spacing w:val="-15"/>
        </w:rPr>
        <w:t xml:space="preserve"> </w:t>
      </w:r>
      <w:r w:rsidRPr="00A6540B">
        <w:t>A</w:t>
      </w:r>
      <w:r w:rsidRPr="00A6540B">
        <w:rPr>
          <w:spacing w:val="-15"/>
        </w:rPr>
        <w:t xml:space="preserve"> </w:t>
      </w:r>
      <w:r w:rsidRPr="00A6540B">
        <w:t>higher</w:t>
      </w:r>
      <w:r w:rsidRPr="00A6540B">
        <w:rPr>
          <w:spacing w:val="-15"/>
        </w:rPr>
        <w:t xml:space="preserve"> </w:t>
      </w:r>
      <w:r w:rsidRPr="00A6540B">
        <w:t>ROE</w:t>
      </w:r>
      <w:r w:rsidRPr="00A6540B">
        <w:rPr>
          <w:spacing w:val="-15"/>
        </w:rPr>
        <w:t xml:space="preserve"> </w:t>
      </w:r>
      <w:r w:rsidRPr="00A6540B">
        <w:t>or</w:t>
      </w:r>
      <w:r w:rsidRPr="00A6540B">
        <w:rPr>
          <w:spacing w:val="-15"/>
        </w:rPr>
        <w:t xml:space="preserve"> </w:t>
      </w:r>
      <w:r w:rsidRPr="00A6540B">
        <w:t>ROA</w:t>
      </w:r>
      <w:r w:rsidRPr="00A6540B">
        <w:rPr>
          <w:spacing w:val="-15"/>
        </w:rPr>
        <w:t xml:space="preserve"> </w:t>
      </w:r>
      <w:r w:rsidRPr="00A6540B">
        <w:t>is</w:t>
      </w:r>
      <w:r w:rsidRPr="00A6540B">
        <w:rPr>
          <w:spacing w:val="-15"/>
        </w:rPr>
        <w:t xml:space="preserve"> </w:t>
      </w:r>
      <w:r w:rsidRPr="00A6540B">
        <w:t>generally</w:t>
      </w:r>
      <w:r w:rsidRPr="00A6540B">
        <w:rPr>
          <w:spacing w:val="-15"/>
        </w:rPr>
        <w:t xml:space="preserve"> </w:t>
      </w:r>
      <w:r w:rsidRPr="00A6540B">
        <w:t>associated</w:t>
      </w:r>
      <w:r w:rsidRPr="00A6540B">
        <w:rPr>
          <w:spacing w:val="-15"/>
        </w:rPr>
        <w:t xml:space="preserve"> </w:t>
      </w:r>
      <w:r w:rsidRPr="00A6540B">
        <w:t>with</w:t>
      </w:r>
      <w:r w:rsidRPr="00A6540B">
        <w:rPr>
          <w:spacing w:val="-15"/>
        </w:rPr>
        <w:t xml:space="preserve"> </w:t>
      </w:r>
      <w:r w:rsidRPr="00A6540B">
        <w:t>higher</w:t>
      </w:r>
      <w:r w:rsidRPr="00A6540B">
        <w:rPr>
          <w:spacing w:val="-15"/>
        </w:rPr>
        <w:t xml:space="preserve"> </w:t>
      </w:r>
      <w:r w:rsidRPr="00A6540B">
        <w:t>share returns because it indicates that a firm is generating strong returns on its investments, which can attract more investors and drive up share prices.</w:t>
      </w:r>
    </w:p>
    <w:p w14:paraId="55DD6B52" w14:textId="77777777" w:rsidR="009774BE" w:rsidRDefault="009774BE" w:rsidP="009774BE">
      <w:pPr>
        <w:pStyle w:val="BodyText"/>
      </w:pPr>
      <w:r w:rsidRPr="00A6540B">
        <w:t xml:space="preserve">According to Kakiya, (2019) leverage refers to the use of debt or borrowed funds by a company to finance its operations, investments, or other activities. Leverage can take various forms, including loans, bonds, or </w:t>
      </w:r>
      <w:r w:rsidRPr="009774BE">
        <w:t>other</w:t>
      </w:r>
      <w:r w:rsidRPr="00A6540B">
        <w:t xml:space="preserve"> forms of debt financing. It involves borrowing money with the expectation that the returns on the investments or activities funded by the borrowed funds will exceed</w:t>
      </w:r>
      <w:r w:rsidRPr="00A6540B">
        <w:rPr>
          <w:spacing w:val="-7"/>
        </w:rPr>
        <w:t xml:space="preserve"> </w:t>
      </w:r>
      <w:r w:rsidRPr="00A6540B">
        <w:t>the</w:t>
      </w:r>
      <w:r w:rsidRPr="00A6540B">
        <w:rPr>
          <w:spacing w:val="-8"/>
        </w:rPr>
        <w:t xml:space="preserve"> </w:t>
      </w:r>
      <w:r w:rsidRPr="00A6540B">
        <w:t>cost</w:t>
      </w:r>
      <w:r w:rsidRPr="00A6540B">
        <w:rPr>
          <w:spacing w:val="-7"/>
        </w:rPr>
        <w:t xml:space="preserve"> </w:t>
      </w:r>
      <w:r w:rsidRPr="00A6540B">
        <w:t>of</w:t>
      </w:r>
      <w:r w:rsidRPr="00A6540B">
        <w:rPr>
          <w:spacing w:val="-8"/>
        </w:rPr>
        <w:t xml:space="preserve"> </w:t>
      </w:r>
      <w:r w:rsidRPr="00A6540B">
        <w:t>borrowing,</w:t>
      </w:r>
      <w:r w:rsidRPr="00A6540B">
        <w:rPr>
          <w:spacing w:val="-7"/>
        </w:rPr>
        <w:t xml:space="preserve"> </w:t>
      </w:r>
      <w:r w:rsidRPr="00A6540B">
        <w:t>thereby</w:t>
      </w:r>
      <w:r w:rsidRPr="00A6540B">
        <w:rPr>
          <w:spacing w:val="-7"/>
        </w:rPr>
        <w:t xml:space="preserve"> </w:t>
      </w:r>
      <w:r w:rsidRPr="00A6540B">
        <w:t>generating</w:t>
      </w:r>
      <w:r w:rsidRPr="00A6540B">
        <w:rPr>
          <w:spacing w:val="-7"/>
        </w:rPr>
        <w:t xml:space="preserve"> </w:t>
      </w:r>
      <w:r w:rsidRPr="00A6540B">
        <w:t>a</w:t>
      </w:r>
      <w:r w:rsidRPr="00A6540B">
        <w:rPr>
          <w:spacing w:val="-8"/>
        </w:rPr>
        <w:t xml:space="preserve"> </w:t>
      </w:r>
      <w:r w:rsidRPr="00A6540B">
        <w:t>positive</w:t>
      </w:r>
      <w:r w:rsidRPr="00A6540B">
        <w:rPr>
          <w:spacing w:val="-8"/>
        </w:rPr>
        <w:t xml:space="preserve"> </w:t>
      </w:r>
      <w:r w:rsidRPr="00A6540B">
        <w:t>return</w:t>
      </w:r>
      <w:r w:rsidRPr="00A6540B">
        <w:rPr>
          <w:spacing w:val="-8"/>
        </w:rPr>
        <w:t xml:space="preserve"> </w:t>
      </w:r>
      <w:r w:rsidRPr="00A6540B">
        <w:t>for</w:t>
      </w:r>
      <w:r w:rsidRPr="00A6540B">
        <w:rPr>
          <w:spacing w:val="-8"/>
        </w:rPr>
        <w:t xml:space="preserve"> </w:t>
      </w:r>
      <w:r w:rsidRPr="00A6540B">
        <w:t>the</w:t>
      </w:r>
      <w:r w:rsidRPr="00A6540B">
        <w:rPr>
          <w:spacing w:val="-8"/>
        </w:rPr>
        <w:t xml:space="preserve"> </w:t>
      </w:r>
      <w:r w:rsidRPr="00A6540B">
        <w:t>company's</w:t>
      </w:r>
      <w:r w:rsidRPr="00A6540B">
        <w:rPr>
          <w:spacing w:val="-8"/>
        </w:rPr>
        <w:t xml:space="preserve"> </w:t>
      </w:r>
      <w:r w:rsidRPr="00A6540B">
        <w:t>shareholders. In</w:t>
      </w:r>
      <w:r w:rsidRPr="00A6540B">
        <w:rPr>
          <w:spacing w:val="-1"/>
        </w:rPr>
        <w:t xml:space="preserve"> </w:t>
      </w:r>
      <w:r w:rsidRPr="00A6540B">
        <w:t>the context</w:t>
      </w:r>
      <w:r w:rsidRPr="00A6540B">
        <w:rPr>
          <w:spacing w:val="-1"/>
        </w:rPr>
        <w:t xml:space="preserve"> </w:t>
      </w:r>
      <w:r w:rsidRPr="00A6540B">
        <w:t>of</w:t>
      </w:r>
      <w:r w:rsidRPr="00A6540B">
        <w:rPr>
          <w:spacing w:val="-2"/>
        </w:rPr>
        <w:t xml:space="preserve"> </w:t>
      </w:r>
      <w:r w:rsidRPr="00A6540B">
        <w:t>agricultural</w:t>
      </w:r>
      <w:r w:rsidRPr="00A6540B">
        <w:rPr>
          <w:spacing w:val="-1"/>
        </w:rPr>
        <w:t xml:space="preserve"> </w:t>
      </w:r>
      <w:r w:rsidRPr="00A6540B">
        <w:t>firms</w:t>
      </w:r>
      <w:r w:rsidRPr="00A6540B">
        <w:rPr>
          <w:spacing w:val="-1"/>
        </w:rPr>
        <w:t xml:space="preserve"> </w:t>
      </w:r>
      <w:r w:rsidRPr="00A6540B">
        <w:t>listed</w:t>
      </w:r>
      <w:r w:rsidRPr="00A6540B">
        <w:rPr>
          <w:spacing w:val="-2"/>
        </w:rPr>
        <w:t xml:space="preserve"> </w:t>
      </w:r>
      <w:r w:rsidRPr="00A6540B">
        <w:t>on</w:t>
      </w:r>
      <w:r w:rsidRPr="00A6540B">
        <w:rPr>
          <w:spacing w:val="-1"/>
        </w:rPr>
        <w:t xml:space="preserve"> </w:t>
      </w:r>
      <w:r w:rsidRPr="00A6540B">
        <w:t>the NSE,</w:t>
      </w:r>
      <w:r w:rsidRPr="00A6540B">
        <w:rPr>
          <w:spacing w:val="-1"/>
        </w:rPr>
        <w:t xml:space="preserve"> </w:t>
      </w:r>
      <w:r w:rsidRPr="00A6540B">
        <w:t>leverage</w:t>
      </w:r>
      <w:r w:rsidRPr="00A6540B">
        <w:rPr>
          <w:spacing w:val="-2"/>
        </w:rPr>
        <w:t xml:space="preserve"> </w:t>
      </w:r>
      <w:r w:rsidRPr="00A6540B">
        <w:t>is</w:t>
      </w:r>
      <w:r w:rsidRPr="00A6540B">
        <w:rPr>
          <w:spacing w:val="-1"/>
        </w:rPr>
        <w:t xml:space="preserve"> </w:t>
      </w:r>
      <w:r w:rsidRPr="00A6540B">
        <w:t>important because</w:t>
      </w:r>
      <w:r w:rsidRPr="00A6540B">
        <w:rPr>
          <w:spacing w:val="-2"/>
        </w:rPr>
        <w:t xml:space="preserve"> </w:t>
      </w:r>
      <w:r w:rsidRPr="00A6540B">
        <w:t>it</w:t>
      </w:r>
      <w:r w:rsidRPr="00A6540B">
        <w:rPr>
          <w:spacing w:val="-1"/>
        </w:rPr>
        <w:t xml:space="preserve"> </w:t>
      </w:r>
      <w:r w:rsidRPr="00A6540B">
        <w:t>can</w:t>
      </w:r>
      <w:r w:rsidRPr="00A6540B">
        <w:rPr>
          <w:spacing w:val="-1"/>
        </w:rPr>
        <w:t xml:space="preserve"> </w:t>
      </w:r>
      <w:r w:rsidRPr="00A6540B">
        <w:t>impact a firm's financial stability and growth potential.</w:t>
      </w:r>
      <w:r>
        <w:t xml:space="preserve"> </w:t>
      </w:r>
      <w:r w:rsidRPr="00A6540B">
        <w:t>According to Hirdinis (2019) firm size, in the context of financial analysis, can refer to either</w:t>
      </w:r>
      <w:r w:rsidRPr="00A6540B">
        <w:rPr>
          <w:spacing w:val="-1"/>
        </w:rPr>
        <w:t xml:space="preserve"> </w:t>
      </w:r>
      <w:r w:rsidRPr="00A6540B">
        <w:t>the total value of a firm's assets or its market capitalization. Both measures are commonly used to gauge the size and scale of a company, but they capture different aspects of the firm's financial profile.</w:t>
      </w:r>
      <w:r w:rsidRPr="00A6540B">
        <w:rPr>
          <w:spacing w:val="-5"/>
        </w:rPr>
        <w:t xml:space="preserve"> </w:t>
      </w:r>
      <w:r w:rsidRPr="00A6540B">
        <w:t>In</w:t>
      </w:r>
      <w:r w:rsidRPr="00A6540B">
        <w:rPr>
          <w:spacing w:val="-7"/>
        </w:rPr>
        <w:t xml:space="preserve"> </w:t>
      </w:r>
      <w:r w:rsidRPr="00A6540B">
        <w:t>the</w:t>
      </w:r>
      <w:r w:rsidRPr="00A6540B">
        <w:rPr>
          <w:spacing w:val="-8"/>
        </w:rPr>
        <w:t xml:space="preserve"> </w:t>
      </w:r>
      <w:r w:rsidRPr="00A6540B">
        <w:t>context</w:t>
      </w:r>
      <w:r w:rsidRPr="00A6540B">
        <w:rPr>
          <w:spacing w:val="-7"/>
        </w:rPr>
        <w:t xml:space="preserve"> </w:t>
      </w:r>
      <w:r w:rsidRPr="00A6540B">
        <w:t>of</w:t>
      </w:r>
      <w:r w:rsidRPr="00A6540B">
        <w:rPr>
          <w:spacing w:val="-6"/>
        </w:rPr>
        <w:t xml:space="preserve"> </w:t>
      </w:r>
      <w:r w:rsidRPr="00A6540B">
        <w:t>agricultural</w:t>
      </w:r>
      <w:r w:rsidRPr="00A6540B">
        <w:rPr>
          <w:spacing w:val="-7"/>
        </w:rPr>
        <w:t xml:space="preserve"> </w:t>
      </w:r>
      <w:r w:rsidRPr="00A6540B">
        <w:t>firms</w:t>
      </w:r>
      <w:r w:rsidRPr="00A6540B">
        <w:rPr>
          <w:spacing w:val="-7"/>
        </w:rPr>
        <w:t xml:space="preserve"> </w:t>
      </w:r>
      <w:r w:rsidRPr="00A6540B">
        <w:t>listed</w:t>
      </w:r>
      <w:r w:rsidRPr="00A6540B">
        <w:rPr>
          <w:spacing w:val="-8"/>
        </w:rPr>
        <w:t xml:space="preserve"> </w:t>
      </w:r>
      <w:r w:rsidRPr="00A6540B">
        <w:t>on</w:t>
      </w:r>
      <w:r w:rsidRPr="00A6540B">
        <w:rPr>
          <w:spacing w:val="-7"/>
        </w:rPr>
        <w:t xml:space="preserve"> </w:t>
      </w:r>
      <w:r w:rsidRPr="00A6540B">
        <w:t>the</w:t>
      </w:r>
      <w:r w:rsidRPr="00A6540B">
        <w:rPr>
          <w:spacing w:val="-8"/>
        </w:rPr>
        <w:t xml:space="preserve"> </w:t>
      </w:r>
      <w:r w:rsidRPr="00A6540B">
        <w:t>NSE,</w:t>
      </w:r>
      <w:r w:rsidRPr="00A6540B">
        <w:rPr>
          <w:spacing w:val="-7"/>
        </w:rPr>
        <w:t xml:space="preserve"> </w:t>
      </w:r>
      <w:r w:rsidRPr="00A6540B">
        <w:t>firm</w:t>
      </w:r>
      <w:r w:rsidRPr="00A6540B">
        <w:rPr>
          <w:spacing w:val="-7"/>
        </w:rPr>
        <w:t xml:space="preserve"> </w:t>
      </w:r>
      <w:r w:rsidRPr="00A6540B">
        <w:t>size</w:t>
      </w:r>
      <w:r w:rsidRPr="00A6540B">
        <w:rPr>
          <w:spacing w:val="-8"/>
        </w:rPr>
        <w:t xml:space="preserve"> </w:t>
      </w:r>
      <w:r w:rsidRPr="00A6540B">
        <w:t>is</w:t>
      </w:r>
      <w:r w:rsidRPr="00A6540B">
        <w:rPr>
          <w:spacing w:val="-7"/>
        </w:rPr>
        <w:t xml:space="preserve"> </w:t>
      </w:r>
      <w:r w:rsidRPr="00A6540B">
        <w:t>important</w:t>
      </w:r>
      <w:r w:rsidRPr="00A6540B">
        <w:rPr>
          <w:spacing w:val="-7"/>
        </w:rPr>
        <w:t xml:space="preserve"> </w:t>
      </w:r>
      <w:r w:rsidRPr="00A6540B">
        <w:t>because</w:t>
      </w:r>
      <w:r w:rsidRPr="00A6540B">
        <w:rPr>
          <w:spacing w:val="-8"/>
        </w:rPr>
        <w:t xml:space="preserve"> </w:t>
      </w:r>
      <w:r w:rsidRPr="00A6540B">
        <w:t>larger firms may have a competitive advantage in terms of economies of scale, access to capital, and market power.</w:t>
      </w:r>
      <w:r>
        <w:t xml:space="preserve"> </w:t>
      </w:r>
      <w:r w:rsidRPr="00A6540B">
        <w:t>The agricultural sector is an important component of many economies, contributing to food security,</w:t>
      </w:r>
      <w:r w:rsidRPr="00A6540B">
        <w:rPr>
          <w:spacing w:val="-3"/>
        </w:rPr>
        <w:t xml:space="preserve"> </w:t>
      </w:r>
      <w:r w:rsidRPr="00A6540B">
        <w:t>employment,</w:t>
      </w:r>
      <w:r w:rsidRPr="00A6540B">
        <w:rPr>
          <w:spacing w:val="-3"/>
        </w:rPr>
        <w:t xml:space="preserve"> </w:t>
      </w:r>
      <w:r w:rsidRPr="00A6540B">
        <w:t>and</w:t>
      </w:r>
      <w:r w:rsidRPr="00A6540B">
        <w:rPr>
          <w:spacing w:val="-3"/>
        </w:rPr>
        <w:t xml:space="preserve"> </w:t>
      </w:r>
      <w:r w:rsidRPr="00A6540B">
        <w:t>economic</w:t>
      </w:r>
      <w:r w:rsidRPr="00A6540B">
        <w:rPr>
          <w:spacing w:val="-4"/>
        </w:rPr>
        <w:t xml:space="preserve"> </w:t>
      </w:r>
      <w:r w:rsidRPr="00A6540B">
        <w:t>growth</w:t>
      </w:r>
      <w:r w:rsidRPr="00A6540B">
        <w:rPr>
          <w:spacing w:val="-1"/>
        </w:rPr>
        <w:t xml:space="preserve"> </w:t>
      </w:r>
      <w:r w:rsidRPr="00A6540B">
        <w:t>(Onyalo,</w:t>
      </w:r>
      <w:r w:rsidRPr="00A6540B">
        <w:rPr>
          <w:spacing w:val="-3"/>
        </w:rPr>
        <w:t xml:space="preserve"> </w:t>
      </w:r>
      <w:r w:rsidRPr="00A6540B">
        <w:t>2019).</w:t>
      </w:r>
      <w:r w:rsidRPr="00A6540B">
        <w:rPr>
          <w:spacing w:val="-3"/>
        </w:rPr>
        <w:t xml:space="preserve"> </w:t>
      </w:r>
      <w:r w:rsidRPr="00A6540B">
        <w:t>Agricultural</w:t>
      </w:r>
      <w:r w:rsidRPr="00A6540B">
        <w:rPr>
          <w:spacing w:val="-3"/>
        </w:rPr>
        <w:t xml:space="preserve"> </w:t>
      </w:r>
      <w:r w:rsidRPr="00A6540B">
        <w:t>firms</w:t>
      </w:r>
      <w:r w:rsidRPr="00A6540B">
        <w:rPr>
          <w:spacing w:val="-3"/>
        </w:rPr>
        <w:t xml:space="preserve"> </w:t>
      </w:r>
      <w:r w:rsidRPr="00A6540B">
        <w:t>listed</w:t>
      </w:r>
      <w:r w:rsidRPr="00A6540B">
        <w:rPr>
          <w:spacing w:val="-3"/>
        </w:rPr>
        <w:t xml:space="preserve"> </w:t>
      </w:r>
      <w:r w:rsidRPr="00A6540B">
        <w:t>in</w:t>
      </w:r>
      <w:r w:rsidRPr="00A6540B">
        <w:rPr>
          <w:spacing w:val="-3"/>
        </w:rPr>
        <w:t xml:space="preserve"> </w:t>
      </w:r>
      <w:r w:rsidRPr="00A6540B">
        <w:t>the</w:t>
      </w:r>
      <w:r w:rsidRPr="00A6540B">
        <w:rPr>
          <w:spacing w:val="-4"/>
        </w:rPr>
        <w:t xml:space="preserve"> </w:t>
      </w:r>
      <w:r w:rsidRPr="00A6540B">
        <w:t>NSE are</w:t>
      </w:r>
      <w:r w:rsidRPr="00A6540B">
        <w:rPr>
          <w:spacing w:val="-2"/>
        </w:rPr>
        <w:t xml:space="preserve"> </w:t>
      </w:r>
      <w:r w:rsidRPr="00A6540B">
        <w:t>subject</w:t>
      </w:r>
      <w:r w:rsidRPr="00A6540B">
        <w:rPr>
          <w:spacing w:val="3"/>
        </w:rPr>
        <w:t xml:space="preserve"> </w:t>
      </w:r>
      <w:r w:rsidRPr="00A6540B">
        <w:t>to</w:t>
      </w:r>
      <w:r w:rsidRPr="00A6540B">
        <w:rPr>
          <w:spacing w:val="3"/>
        </w:rPr>
        <w:t xml:space="preserve"> </w:t>
      </w:r>
      <w:r w:rsidRPr="00A6540B">
        <w:t>various</w:t>
      </w:r>
      <w:r w:rsidRPr="00A6540B">
        <w:rPr>
          <w:spacing w:val="2"/>
        </w:rPr>
        <w:t xml:space="preserve"> </w:t>
      </w:r>
      <w:r w:rsidRPr="00A6540B">
        <w:t>financial</w:t>
      </w:r>
      <w:r w:rsidRPr="00A6540B">
        <w:rPr>
          <w:spacing w:val="3"/>
        </w:rPr>
        <w:t xml:space="preserve"> </w:t>
      </w:r>
      <w:r w:rsidRPr="00A6540B">
        <w:t>indicators,</w:t>
      </w:r>
      <w:r w:rsidRPr="00A6540B">
        <w:rPr>
          <w:spacing w:val="2"/>
        </w:rPr>
        <w:t xml:space="preserve"> </w:t>
      </w:r>
      <w:r w:rsidRPr="00A6540B">
        <w:t>such</w:t>
      </w:r>
      <w:r w:rsidRPr="00A6540B">
        <w:rPr>
          <w:spacing w:val="2"/>
        </w:rPr>
        <w:t xml:space="preserve"> </w:t>
      </w:r>
      <w:r w:rsidRPr="00A6540B">
        <w:t>as</w:t>
      </w:r>
      <w:r w:rsidRPr="00A6540B">
        <w:rPr>
          <w:spacing w:val="4"/>
        </w:rPr>
        <w:t xml:space="preserve"> </w:t>
      </w:r>
      <w:r w:rsidRPr="00A6540B">
        <w:t>profitability,</w:t>
      </w:r>
      <w:r w:rsidRPr="00A6540B">
        <w:rPr>
          <w:spacing w:val="3"/>
        </w:rPr>
        <w:t xml:space="preserve"> </w:t>
      </w:r>
      <w:r w:rsidRPr="00A6540B">
        <w:t>liquidity, and</w:t>
      </w:r>
      <w:r w:rsidRPr="00A6540B">
        <w:rPr>
          <w:spacing w:val="2"/>
        </w:rPr>
        <w:t xml:space="preserve"> </w:t>
      </w:r>
      <w:r w:rsidRPr="00A6540B">
        <w:t>leverage,</w:t>
      </w:r>
      <w:r w:rsidRPr="00A6540B">
        <w:rPr>
          <w:spacing w:val="2"/>
        </w:rPr>
        <w:t xml:space="preserve"> </w:t>
      </w:r>
      <w:r w:rsidRPr="00A6540B">
        <w:t>which</w:t>
      </w:r>
      <w:r w:rsidRPr="00A6540B">
        <w:rPr>
          <w:spacing w:val="3"/>
        </w:rPr>
        <w:t xml:space="preserve"> </w:t>
      </w:r>
      <w:r w:rsidRPr="00A6540B">
        <w:rPr>
          <w:spacing w:val="-5"/>
        </w:rPr>
        <w:t xml:space="preserve">are </w:t>
      </w:r>
      <w:r w:rsidRPr="00A6540B">
        <w:t>essential for evaluating their financial performance. Share returns, on the other hand, reflect the financial</w:t>
      </w:r>
      <w:r w:rsidRPr="00A6540B">
        <w:rPr>
          <w:spacing w:val="-4"/>
        </w:rPr>
        <w:t xml:space="preserve"> </w:t>
      </w:r>
      <w:r w:rsidRPr="00A6540B">
        <w:t>rewards</w:t>
      </w:r>
      <w:r w:rsidRPr="00A6540B">
        <w:rPr>
          <w:spacing w:val="-4"/>
        </w:rPr>
        <w:t xml:space="preserve"> </w:t>
      </w:r>
      <w:r w:rsidRPr="00A6540B">
        <w:t>or</w:t>
      </w:r>
      <w:r w:rsidRPr="00A6540B">
        <w:rPr>
          <w:spacing w:val="-6"/>
        </w:rPr>
        <w:t xml:space="preserve"> </w:t>
      </w:r>
      <w:r w:rsidRPr="00A6540B">
        <w:t>risks</w:t>
      </w:r>
      <w:r w:rsidRPr="00A6540B">
        <w:rPr>
          <w:spacing w:val="-2"/>
        </w:rPr>
        <w:t xml:space="preserve"> </w:t>
      </w:r>
      <w:r w:rsidRPr="00A6540B">
        <w:t>associated</w:t>
      </w:r>
      <w:r w:rsidRPr="00A6540B">
        <w:rPr>
          <w:spacing w:val="-4"/>
        </w:rPr>
        <w:t xml:space="preserve"> </w:t>
      </w:r>
      <w:r w:rsidRPr="00A6540B">
        <w:t>with</w:t>
      </w:r>
      <w:r w:rsidRPr="00A6540B">
        <w:rPr>
          <w:spacing w:val="-4"/>
        </w:rPr>
        <w:t xml:space="preserve"> </w:t>
      </w:r>
      <w:r w:rsidRPr="00A6540B">
        <w:t>investing</w:t>
      </w:r>
      <w:r w:rsidRPr="00A6540B">
        <w:rPr>
          <w:spacing w:val="-4"/>
        </w:rPr>
        <w:t xml:space="preserve"> </w:t>
      </w:r>
      <w:r w:rsidRPr="00A6540B">
        <w:t>in</w:t>
      </w:r>
      <w:r w:rsidRPr="00A6540B">
        <w:rPr>
          <w:spacing w:val="-4"/>
        </w:rPr>
        <w:t xml:space="preserve"> </w:t>
      </w:r>
      <w:r w:rsidRPr="00A6540B">
        <w:t>these</w:t>
      </w:r>
      <w:r w:rsidRPr="00A6540B">
        <w:rPr>
          <w:spacing w:val="-5"/>
        </w:rPr>
        <w:t xml:space="preserve"> </w:t>
      </w:r>
      <w:r w:rsidRPr="00A6540B">
        <w:t>firms</w:t>
      </w:r>
      <w:r w:rsidRPr="00A6540B">
        <w:rPr>
          <w:spacing w:val="-4"/>
        </w:rPr>
        <w:t xml:space="preserve"> </w:t>
      </w:r>
      <w:r w:rsidRPr="00A6540B">
        <w:t>and</w:t>
      </w:r>
      <w:r w:rsidRPr="00A6540B">
        <w:rPr>
          <w:spacing w:val="-4"/>
        </w:rPr>
        <w:t xml:space="preserve"> </w:t>
      </w:r>
      <w:r w:rsidRPr="00A6540B">
        <w:t>are</w:t>
      </w:r>
      <w:r w:rsidRPr="00A6540B">
        <w:rPr>
          <w:spacing w:val="-6"/>
        </w:rPr>
        <w:t xml:space="preserve"> </w:t>
      </w:r>
      <w:r w:rsidRPr="00A6540B">
        <w:t>critical</w:t>
      </w:r>
      <w:r w:rsidRPr="00A6540B">
        <w:rPr>
          <w:spacing w:val="-4"/>
        </w:rPr>
        <w:t xml:space="preserve"> </w:t>
      </w:r>
      <w:r w:rsidRPr="00A6540B">
        <w:t>for</w:t>
      </w:r>
      <w:r w:rsidRPr="00A6540B">
        <w:rPr>
          <w:spacing w:val="-5"/>
        </w:rPr>
        <w:t xml:space="preserve"> </w:t>
      </w:r>
      <w:r w:rsidRPr="00A6540B">
        <w:t>shareholders and potential investors.</w:t>
      </w:r>
    </w:p>
    <w:p w14:paraId="2A6B1F67" w14:textId="77777777" w:rsidR="004A6CB7" w:rsidRPr="00A6540B" w:rsidRDefault="009774BE" w:rsidP="004A6CB7">
      <w:pPr>
        <w:pStyle w:val="BodyText"/>
      </w:pPr>
      <w:r w:rsidRPr="00A6540B">
        <w:t>Theoretically, there have been few studies that have investigated Resource based theory, Capital structure theory, Trade-off theory, Agency theory and Tax clientele effect theory on Firm Financial Indicators and Share Returns on Agricultu</w:t>
      </w:r>
      <w:r>
        <w:t>ral Firms Listed at NSE, Kenya.</w:t>
      </w:r>
      <w:r w:rsidRPr="00A6540B">
        <w:t xml:space="preserve"> Studies</w:t>
      </w:r>
      <w:r w:rsidRPr="00A6540B">
        <w:rPr>
          <w:spacing w:val="-13"/>
        </w:rPr>
        <w:t xml:space="preserve"> </w:t>
      </w:r>
      <w:r w:rsidRPr="00A6540B">
        <w:t>that</w:t>
      </w:r>
      <w:r w:rsidRPr="00A6540B">
        <w:rPr>
          <w:spacing w:val="-13"/>
        </w:rPr>
        <w:t xml:space="preserve"> </w:t>
      </w:r>
      <w:r w:rsidRPr="00A6540B">
        <w:t>have</w:t>
      </w:r>
      <w:r w:rsidRPr="00A6540B">
        <w:rPr>
          <w:spacing w:val="-12"/>
        </w:rPr>
        <w:t xml:space="preserve"> </w:t>
      </w:r>
      <w:r w:rsidRPr="00A6540B">
        <w:t>also</w:t>
      </w:r>
      <w:r w:rsidRPr="00A6540B">
        <w:rPr>
          <w:spacing w:val="-12"/>
        </w:rPr>
        <w:t xml:space="preserve"> </w:t>
      </w:r>
      <w:r w:rsidRPr="00A6540B">
        <w:t>analyzed</w:t>
      </w:r>
      <w:r w:rsidRPr="00A6540B">
        <w:rPr>
          <w:spacing w:val="-11"/>
        </w:rPr>
        <w:t xml:space="preserve"> </w:t>
      </w:r>
      <w:r w:rsidRPr="00A6540B">
        <w:t>Firm</w:t>
      </w:r>
      <w:r w:rsidRPr="00A6540B">
        <w:rPr>
          <w:spacing w:val="-10"/>
        </w:rPr>
        <w:t xml:space="preserve"> </w:t>
      </w:r>
      <w:r w:rsidRPr="00A6540B">
        <w:t>Financial</w:t>
      </w:r>
      <w:r w:rsidRPr="00A6540B">
        <w:rPr>
          <w:spacing w:val="-9"/>
        </w:rPr>
        <w:t xml:space="preserve"> </w:t>
      </w:r>
      <w:r w:rsidRPr="00A6540B">
        <w:t>Indicators</w:t>
      </w:r>
      <w:r w:rsidRPr="00A6540B">
        <w:rPr>
          <w:spacing w:val="-11"/>
        </w:rPr>
        <w:t xml:space="preserve"> </w:t>
      </w:r>
      <w:r w:rsidRPr="00A6540B">
        <w:t>and</w:t>
      </w:r>
      <w:r w:rsidRPr="00A6540B">
        <w:rPr>
          <w:spacing w:val="-13"/>
        </w:rPr>
        <w:t xml:space="preserve"> </w:t>
      </w:r>
      <w:r w:rsidRPr="00A6540B">
        <w:t>Share</w:t>
      </w:r>
      <w:r w:rsidRPr="00A6540B">
        <w:rPr>
          <w:spacing w:val="-14"/>
        </w:rPr>
        <w:t xml:space="preserve"> </w:t>
      </w:r>
      <w:r w:rsidRPr="00A6540B">
        <w:t>Returns</w:t>
      </w:r>
      <w:r w:rsidRPr="00A6540B">
        <w:rPr>
          <w:spacing w:val="-9"/>
        </w:rPr>
        <w:t xml:space="preserve"> </w:t>
      </w:r>
      <w:r w:rsidRPr="00A6540B">
        <w:t>on</w:t>
      </w:r>
      <w:r w:rsidRPr="00A6540B">
        <w:rPr>
          <w:spacing w:val="-13"/>
        </w:rPr>
        <w:t xml:space="preserve"> </w:t>
      </w:r>
      <w:r w:rsidRPr="00A6540B">
        <w:t>Agricultural</w:t>
      </w:r>
      <w:r w:rsidRPr="00A6540B">
        <w:rPr>
          <w:spacing w:val="-10"/>
        </w:rPr>
        <w:t xml:space="preserve"> </w:t>
      </w:r>
      <w:r w:rsidRPr="00A6540B">
        <w:t>Firms Listed at NSE, Kenya using panel data is also scanty. Based on these arguments and the lack of agreement among previous scholars, there is ample reason to conduct a study on firm financial indicators and share returns of agricultural firms listed on the Nairobi Stock Exchange (NSE).</w:t>
      </w:r>
      <w:r>
        <w:t xml:space="preserve"> </w:t>
      </w:r>
    </w:p>
    <w:p w14:paraId="6AA07A7F" w14:textId="77777777" w:rsidR="00E875F0" w:rsidRDefault="007F27FB" w:rsidP="00A71CBC">
      <w:pPr>
        <w:pStyle w:val="Heading1"/>
        <w:numPr>
          <w:ilvl w:val="0"/>
          <w:numId w:val="3"/>
        </w:numPr>
        <w:tabs>
          <w:tab w:val="left" w:pos="3370"/>
        </w:tabs>
        <w:ind w:left="360" w:right="225"/>
        <w:jc w:val="left"/>
      </w:pPr>
      <w:r>
        <w:t>RESEARCH</w:t>
      </w:r>
      <w:r>
        <w:rPr>
          <w:spacing w:val="-14"/>
        </w:rPr>
        <w:t xml:space="preserve"> </w:t>
      </w:r>
      <w:r>
        <w:t>OBJECTIVE</w:t>
      </w:r>
    </w:p>
    <w:p w14:paraId="2988504D" w14:textId="77777777" w:rsidR="001E435B" w:rsidRPr="00A6540B" w:rsidRDefault="001E435B" w:rsidP="001E435B">
      <w:pPr>
        <w:pStyle w:val="BodyText"/>
      </w:pPr>
      <w:r>
        <w:t xml:space="preserve">The study general objective is to </w:t>
      </w:r>
      <w:r w:rsidRPr="00A6540B">
        <w:t>analyze</w:t>
      </w:r>
      <w:r w:rsidRPr="00A6540B">
        <w:rPr>
          <w:spacing w:val="40"/>
        </w:rPr>
        <w:t xml:space="preserve"> </w:t>
      </w:r>
      <w:r w:rsidRPr="00A6540B">
        <w:t>the</w:t>
      </w:r>
      <w:r w:rsidRPr="00A6540B">
        <w:rPr>
          <w:spacing w:val="40"/>
        </w:rPr>
        <w:t xml:space="preserve"> </w:t>
      </w:r>
      <w:r w:rsidRPr="00A6540B">
        <w:t>moderating</w:t>
      </w:r>
      <w:r w:rsidRPr="00A6540B">
        <w:rPr>
          <w:spacing w:val="40"/>
        </w:rPr>
        <w:t xml:space="preserve"> </w:t>
      </w:r>
      <w:r w:rsidRPr="00A6540B">
        <w:t>effect</w:t>
      </w:r>
      <w:r w:rsidRPr="00A6540B">
        <w:rPr>
          <w:spacing w:val="40"/>
        </w:rPr>
        <w:t xml:space="preserve"> </w:t>
      </w:r>
      <w:r w:rsidRPr="00A6540B">
        <w:t>of</w:t>
      </w:r>
      <w:r w:rsidRPr="00A6540B">
        <w:rPr>
          <w:spacing w:val="40"/>
        </w:rPr>
        <w:t xml:space="preserve"> </w:t>
      </w:r>
      <w:r w:rsidRPr="00A6540B">
        <w:t>tax</w:t>
      </w:r>
      <w:r w:rsidRPr="00A6540B">
        <w:rPr>
          <w:spacing w:val="40"/>
        </w:rPr>
        <w:t xml:space="preserve"> </w:t>
      </w:r>
      <w:r w:rsidRPr="00A6540B">
        <w:t>on</w:t>
      </w:r>
      <w:r w:rsidRPr="00A6540B">
        <w:rPr>
          <w:spacing w:val="40"/>
        </w:rPr>
        <w:t xml:space="preserve"> </w:t>
      </w:r>
      <w:r w:rsidRPr="00A6540B">
        <w:t>the</w:t>
      </w:r>
      <w:r w:rsidRPr="00A6540B">
        <w:rPr>
          <w:spacing w:val="40"/>
        </w:rPr>
        <w:t xml:space="preserve"> </w:t>
      </w:r>
      <w:r w:rsidRPr="00A6540B">
        <w:t>relationship</w:t>
      </w:r>
      <w:r w:rsidRPr="00A6540B">
        <w:rPr>
          <w:spacing w:val="40"/>
        </w:rPr>
        <w:t xml:space="preserve"> </w:t>
      </w:r>
      <w:r w:rsidRPr="00A6540B">
        <w:t>between</w:t>
      </w:r>
      <w:r w:rsidRPr="00A6540B">
        <w:rPr>
          <w:spacing w:val="40"/>
        </w:rPr>
        <w:t xml:space="preserve"> </w:t>
      </w:r>
      <w:r w:rsidRPr="00A6540B">
        <w:t>firm</w:t>
      </w:r>
      <w:r w:rsidRPr="00A6540B">
        <w:rPr>
          <w:spacing w:val="40"/>
        </w:rPr>
        <w:t xml:space="preserve"> </w:t>
      </w:r>
      <w:r w:rsidRPr="00A6540B">
        <w:t>financial</w:t>
      </w:r>
      <w:r w:rsidRPr="00A6540B">
        <w:rPr>
          <w:spacing w:val="80"/>
        </w:rPr>
        <w:t xml:space="preserve"> </w:t>
      </w:r>
      <w:r w:rsidRPr="00A6540B">
        <w:t>indicators and share returns on agricultural firms listed at NSE, Kenya.</w:t>
      </w:r>
      <w:r>
        <w:t xml:space="preserve"> </w:t>
      </w:r>
    </w:p>
    <w:p w14:paraId="6D7D5E9B" w14:textId="77777777" w:rsidR="00E875F0" w:rsidRDefault="007F27FB" w:rsidP="00A71CBC">
      <w:pPr>
        <w:pStyle w:val="Heading1"/>
        <w:numPr>
          <w:ilvl w:val="0"/>
          <w:numId w:val="3"/>
        </w:numPr>
        <w:tabs>
          <w:tab w:val="left" w:pos="3306"/>
        </w:tabs>
        <w:spacing w:before="1" w:line="273" w:lineRule="exact"/>
        <w:ind w:left="360"/>
        <w:jc w:val="left"/>
      </w:pPr>
      <w:r>
        <w:t>RESEARCH</w:t>
      </w:r>
      <w:r>
        <w:rPr>
          <w:spacing w:val="-2"/>
        </w:rPr>
        <w:t xml:space="preserve"> </w:t>
      </w:r>
      <w:r>
        <w:t>HYPOTHESIS</w:t>
      </w:r>
    </w:p>
    <w:p w14:paraId="7DA348D5" w14:textId="77777777" w:rsidR="001E435B" w:rsidRPr="00A6540B" w:rsidRDefault="001E435B" w:rsidP="001E435B">
      <w:pPr>
        <w:pStyle w:val="BodyText"/>
      </w:pPr>
      <w:r>
        <w:t xml:space="preserve">The null hypothesis </w:t>
      </w:r>
      <w:r w:rsidRPr="00A6540B">
        <w:t>H</w:t>
      </w:r>
      <w:r w:rsidRPr="00A6540B">
        <w:rPr>
          <w:sz w:val="16"/>
        </w:rPr>
        <w:t>0</w:t>
      </w:r>
      <w:r w:rsidR="001908A1">
        <w:rPr>
          <w:sz w:val="16"/>
        </w:rPr>
        <w:t>1</w:t>
      </w:r>
      <w:r w:rsidRPr="00A6540B">
        <w:rPr>
          <w:b/>
        </w:rPr>
        <w:t xml:space="preserve">: </w:t>
      </w:r>
      <w:r>
        <w:t>was started as t</w:t>
      </w:r>
      <w:r w:rsidRPr="00A6540B">
        <w:t>ax does not have significant moderating effect on the relationship between firm</w:t>
      </w:r>
      <w:r w:rsidR="001908A1">
        <w:t>s’</w:t>
      </w:r>
      <w:r w:rsidRPr="00A6540B">
        <w:t xml:space="preserve"> </w:t>
      </w:r>
      <w:r w:rsidR="001908A1">
        <w:t>liquidity and profitabiity</w:t>
      </w:r>
      <w:r w:rsidRPr="00A6540B">
        <w:t xml:space="preserve"> indicators and share returns on agricultural firms listed at NSE, Kenya.</w:t>
      </w:r>
    </w:p>
    <w:p w14:paraId="7C2DFC33" w14:textId="77777777" w:rsidR="00E875F0" w:rsidRDefault="00E875F0" w:rsidP="007A2D80">
      <w:pPr>
        <w:pStyle w:val="BodyText"/>
      </w:pPr>
    </w:p>
    <w:p w14:paraId="0B31353B" w14:textId="77777777" w:rsidR="00E875F0" w:rsidRDefault="00E875F0">
      <w:pPr>
        <w:pStyle w:val="BodyText"/>
        <w:spacing w:before="2"/>
      </w:pPr>
    </w:p>
    <w:p w14:paraId="79D3BFEB" w14:textId="77777777" w:rsidR="00E875F0" w:rsidRDefault="007F27FB" w:rsidP="00A71CBC">
      <w:pPr>
        <w:pStyle w:val="Heading1"/>
        <w:numPr>
          <w:ilvl w:val="0"/>
          <w:numId w:val="3"/>
        </w:numPr>
        <w:tabs>
          <w:tab w:val="left" w:pos="3432"/>
        </w:tabs>
        <w:spacing w:line="240" w:lineRule="auto"/>
        <w:ind w:left="360" w:right="303"/>
        <w:jc w:val="left"/>
      </w:pPr>
      <w:r>
        <w:t>LITERATURE</w:t>
      </w:r>
      <w:r>
        <w:rPr>
          <w:spacing w:val="-2"/>
        </w:rPr>
        <w:t xml:space="preserve"> </w:t>
      </w:r>
      <w:r>
        <w:t>REVIEW</w:t>
      </w:r>
    </w:p>
    <w:p w14:paraId="4B769002" w14:textId="77777777" w:rsidR="00E875F0" w:rsidRDefault="00A71CBC" w:rsidP="007A2D80">
      <w:pPr>
        <w:pStyle w:val="BodyText"/>
        <w:ind w:right="219"/>
        <w:rPr>
          <w:b/>
        </w:rPr>
      </w:pPr>
      <w:r>
        <w:rPr>
          <w:b/>
        </w:rPr>
        <w:t>4.1 Theoretical</w:t>
      </w:r>
      <w:r w:rsidR="001E435B">
        <w:rPr>
          <w:b/>
        </w:rPr>
        <w:t xml:space="preserve"> Review</w:t>
      </w:r>
    </w:p>
    <w:p w14:paraId="1E7F7D76" w14:textId="77777777" w:rsidR="001E435B" w:rsidRPr="001E435B" w:rsidRDefault="00A71CBC" w:rsidP="001E435B">
      <w:pPr>
        <w:pStyle w:val="Heading3"/>
        <w:rPr>
          <w:b/>
          <w:color w:val="auto"/>
        </w:rPr>
      </w:pPr>
      <w:r>
        <w:rPr>
          <w:b/>
          <w:color w:val="auto"/>
        </w:rPr>
        <w:lastRenderedPageBreak/>
        <w:t>4.1.1</w:t>
      </w:r>
      <w:r w:rsidR="001E435B" w:rsidRPr="001E435B">
        <w:rPr>
          <w:b/>
          <w:color w:val="auto"/>
        </w:rPr>
        <w:t xml:space="preserve"> Liquid</w:t>
      </w:r>
      <w:r w:rsidR="001E435B" w:rsidRPr="001E435B">
        <w:rPr>
          <w:b/>
          <w:color w:val="auto"/>
          <w:spacing w:val="-1"/>
        </w:rPr>
        <w:t xml:space="preserve"> </w:t>
      </w:r>
      <w:r w:rsidR="001E435B" w:rsidRPr="001E435B">
        <w:rPr>
          <w:b/>
          <w:color w:val="auto"/>
        </w:rPr>
        <w:t>Asset</w:t>
      </w:r>
      <w:r w:rsidR="001E435B" w:rsidRPr="001E435B">
        <w:rPr>
          <w:b/>
          <w:color w:val="auto"/>
          <w:spacing w:val="-1"/>
        </w:rPr>
        <w:t xml:space="preserve"> </w:t>
      </w:r>
      <w:r w:rsidR="001E435B" w:rsidRPr="001E435B">
        <w:rPr>
          <w:b/>
          <w:color w:val="auto"/>
        </w:rPr>
        <w:t>Theory</w:t>
      </w:r>
      <w:r w:rsidR="001E435B" w:rsidRPr="001E435B">
        <w:rPr>
          <w:b/>
          <w:color w:val="auto"/>
          <w:spacing w:val="-1"/>
        </w:rPr>
        <w:t xml:space="preserve"> </w:t>
      </w:r>
      <w:r w:rsidR="001E435B" w:rsidRPr="001E435B">
        <w:rPr>
          <w:b/>
          <w:color w:val="auto"/>
        </w:rPr>
        <w:t>of</w:t>
      </w:r>
      <w:r w:rsidR="001E435B" w:rsidRPr="001E435B">
        <w:rPr>
          <w:b/>
          <w:color w:val="auto"/>
          <w:spacing w:val="-1"/>
        </w:rPr>
        <w:t xml:space="preserve"> </w:t>
      </w:r>
      <w:r w:rsidR="001E435B" w:rsidRPr="001E435B">
        <w:rPr>
          <w:b/>
          <w:color w:val="auto"/>
          <w:spacing w:val="-2"/>
        </w:rPr>
        <w:t>Liquidity</w:t>
      </w:r>
    </w:p>
    <w:p w14:paraId="1BFCDE74" w14:textId="77777777" w:rsidR="001E435B" w:rsidRDefault="001E435B" w:rsidP="001E435B">
      <w:pPr>
        <w:pStyle w:val="BodyText"/>
        <w:ind w:right="219"/>
      </w:pPr>
      <w:r w:rsidRPr="00A6540B">
        <w:t>Based on the work of Diamond and Dybvig (1983), focuses on the importance of financial intermediaries maintaining a pool of liquid assets to fulfill short-term obligations and manage liquidity</w:t>
      </w:r>
      <w:r w:rsidRPr="00A6540B">
        <w:rPr>
          <w:spacing w:val="11"/>
        </w:rPr>
        <w:t xml:space="preserve"> </w:t>
      </w:r>
      <w:r w:rsidRPr="00A6540B">
        <w:t>risk.</w:t>
      </w:r>
      <w:r w:rsidRPr="00A6540B">
        <w:rPr>
          <w:spacing w:val="11"/>
        </w:rPr>
        <w:t xml:space="preserve"> </w:t>
      </w:r>
      <w:r w:rsidRPr="00A6540B">
        <w:t>It</w:t>
      </w:r>
      <w:r w:rsidRPr="00A6540B">
        <w:rPr>
          <w:spacing w:val="12"/>
        </w:rPr>
        <w:t xml:space="preserve"> </w:t>
      </w:r>
      <w:r w:rsidRPr="00A6540B">
        <w:t>appears</w:t>
      </w:r>
      <w:r w:rsidRPr="00A6540B">
        <w:rPr>
          <w:spacing w:val="12"/>
        </w:rPr>
        <w:t xml:space="preserve"> </w:t>
      </w:r>
      <w:r w:rsidRPr="00A6540B">
        <w:t>that</w:t>
      </w:r>
      <w:r w:rsidRPr="00A6540B">
        <w:rPr>
          <w:spacing w:val="11"/>
        </w:rPr>
        <w:t xml:space="preserve"> </w:t>
      </w:r>
      <w:r w:rsidRPr="00A6540B">
        <w:t>you</w:t>
      </w:r>
      <w:r w:rsidRPr="00A6540B">
        <w:rPr>
          <w:spacing w:val="11"/>
        </w:rPr>
        <w:t xml:space="preserve"> </w:t>
      </w:r>
      <w:r w:rsidRPr="00A6540B">
        <w:t>intend</w:t>
      </w:r>
      <w:r w:rsidRPr="00A6540B">
        <w:rPr>
          <w:spacing w:val="10"/>
        </w:rPr>
        <w:t xml:space="preserve"> </w:t>
      </w:r>
      <w:r w:rsidRPr="00A6540B">
        <w:t>to</w:t>
      </w:r>
      <w:r w:rsidRPr="00A6540B">
        <w:rPr>
          <w:spacing w:val="12"/>
        </w:rPr>
        <w:t xml:space="preserve"> </w:t>
      </w:r>
      <w:r w:rsidRPr="00A6540B">
        <w:t>apply</w:t>
      </w:r>
      <w:r w:rsidRPr="00A6540B">
        <w:rPr>
          <w:spacing w:val="14"/>
        </w:rPr>
        <w:t xml:space="preserve"> </w:t>
      </w:r>
      <w:r w:rsidRPr="00A6540B">
        <w:t>this</w:t>
      </w:r>
      <w:r w:rsidRPr="00A6540B">
        <w:rPr>
          <w:spacing w:val="11"/>
        </w:rPr>
        <w:t xml:space="preserve"> </w:t>
      </w:r>
      <w:r w:rsidRPr="00A6540B">
        <w:t>theory</w:t>
      </w:r>
      <w:r w:rsidRPr="00A6540B">
        <w:rPr>
          <w:spacing w:val="11"/>
        </w:rPr>
        <w:t xml:space="preserve"> </w:t>
      </w:r>
      <w:r w:rsidRPr="00A6540B">
        <w:t>to</w:t>
      </w:r>
      <w:r w:rsidRPr="00A6540B">
        <w:rPr>
          <w:spacing w:val="12"/>
        </w:rPr>
        <w:t xml:space="preserve"> </w:t>
      </w:r>
      <w:r w:rsidRPr="00A6540B">
        <w:t>the</w:t>
      </w:r>
      <w:r w:rsidRPr="00A6540B">
        <w:rPr>
          <w:spacing w:val="10"/>
        </w:rPr>
        <w:t xml:space="preserve"> </w:t>
      </w:r>
      <w:r w:rsidRPr="00A6540B">
        <w:t>context</w:t>
      </w:r>
      <w:r w:rsidRPr="00A6540B">
        <w:rPr>
          <w:spacing w:val="13"/>
        </w:rPr>
        <w:t xml:space="preserve"> </w:t>
      </w:r>
      <w:r w:rsidRPr="00A6540B">
        <w:t>of</w:t>
      </w:r>
      <w:r w:rsidRPr="00A6540B">
        <w:rPr>
          <w:spacing w:val="11"/>
        </w:rPr>
        <w:t xml:space="preserve"> </w:t>
      </w:r>
      <w:r w:rsidRPr="00A6540B">
        <w:t>listed</w:t>
      </w:r>
      <w:r w:rsidRPr="00A6540B">
        <w:rPr>
          <w:spacing w:val="10"/>
        </w:rPr>
        <w:t xml:space="preserve"> </w:t>
      </w:r>
      <w:r w:rsidRPr="00A6540B">
        <w:t>firms</w:t>
      </w:r>
      <w:r w:rsidRPr="00A6540B">
        <w:rPr>
          <w:spacing w:val="12"/>
        </w:rPr>
        <w:t xml:space="preserve"> </w:t>
      </w:r>
      <w:r w:rsidRPr="00A6540B">
        <w:t>on</w:t>
      </w:r>
      <w:r w:rsidRPr="00A6540B">
        <w:rPr>
          <w:spacing w:val="11"/>
        </w:rPr>
        <w:t xml:space="preserve"> </w:t>
      </w:r>
      <w:r w:rsidRPr="00A6540B">
        <w:rPr>
          <w:spacing w:val="-5"/>
        </w:rPr>
        <w:t xml:space="preserve">the </w:t>
      </w:r>
      <w:r w:rsidRPr="00A6540B">
        <w:t>Nairobi Securities Exchange (NSE) in Kenya. Previous research supports the position that listed firms’ maintain a large pool of liquid</w:t>
      </w:r>
      <w:r w:rsidRPr="00A6540B">
        <w:rPr>
          <w:spacing w:val="-1"/>
        </w:rPr>
        <w:t xml:space="preserve"> </w:t>
      </w:r>
      <w:r w:rsidRPr="00A6540B">
        <w:t>assets to</w:t>
      </w:r>
      <w:r w:rsidRPr="00A6540B">
        <w:rPr>
          <w:spacing w:val="-1"/>
        </w:rPr>
        <w:t xml:space="preserve"> </w:t>
      </w:r>
      <w:r w:rsidRPr="00A6540B">
        <w:t>meet obligations.</w:t>
      </w:r>
      <w:r>
        <w:t xml:space="preserve"> </w:t>
      </w:r>
      <w:r w:rsidRPr="00A6540B">
        <w:t>Using the Liquid Assets theory of liquidity as the basis for analyzing the effects of liquidity on share returns of agricultural firms listed on the Nairobi Securities Exchange (NSE) in Kenya is a sound approach. This theory provides a theoretical framework to explore how the management of liquid assets within these firms can impact their share returns.</w:t>
      </w:r>
    </w:p>
    <w:p w14:paraId="4EEEBFA9" w14:textId="77777777" w:rsidR="001E435B" w:rsidRDefault="00A71CBC" w:rsidP="001E435B">
      <w:pPr>
        <w:pStyle w:val="Heading3"/>
        <w:rPr>
          <w:b/>
          <w:color w:val="auto"/>
          <w:spacing w:val="-2"/>
        </w:rPr>
      </w:pPr>
      <w:r>
        <w:rPr>
          <w:b/>
          <w:color w:val="auto"/>
        </w:rPr>
        <w:t>4.1</w:t>
      </w:r>
      <w:r w:rsidR="001E435B" w:rsidRPr="001E435B">
        <w:rPr>
          <w:b/>
          <w:color w:val="auto"/>
        </w:rPr>
        <w:t>.</w:t>
      </w:r>
      <w:r w:rsidR="001908A1">
        <w:rPr>
          <w:b/>
          <w:color w:val="auto"/>
        </w:rPr>
        <w:t>2</w:t>
      </w:r>
      <w:r w:rsidR="001E435B" w:rsidRPr="001E435B">
        <w:rPr>
          <w:b/>
          <w:color w:val="auto"/>
        </w:rPr>
        <w:t xml:space="preserve"> Agency</w:t>
      </w:r>
      <w:r w:rsidR="001E435B" w:rsidRPr="001E435B">
        <w:rPr>
          <w:b/>
          <w:color w:val="auto"/>
          <w:spacing w:val="-3"/>
        </w:rPr>
        <w:t xml:space="preserve"> </w:t>
      </w:r>
      <w:r w:rsidR="001E435B" w:rsidRPr="001E435B">
        <w:rPr>
          <w:b/>
          <w:color w:val="auto"/>
          <w:spacing w:val="-2"/>
        </w:rPr>
        <w:t>Theory</w:t>
      </w:r>
    </w:p>
    <w:p w14:paraId="383BA716" w14:textId="77777777" w:rsidR="001E435B" w:rsidRPr="00A6540B" w:rsidRDefault="001E435B" w:rsidP="00CE379B">
      <w:pPr>
        <w:pStyle w:val="BodyText"/>
      </w:pPr>
      <w:r w:rsidRPr="00A6540B">
        <w:rPr>
          <w:noProof/>
        </w:rPr>
        <mc:AlternateContent>
          <mc:Choice Requires="wps">
            <w:drawing>
              <wp:anchor distT="0" distB="0" distL="0" distR="0" simplePos="0" relativeHeight="487590912" behindDoc="1" locked="0" layoutInCell="1" allowOverlap="1" wp14:anchorId="42EF6A2B" wp14:editId="75C8D6AC">
                <wp:simplePos x="0" y="0"/>
                <wp:positionH relativeFrom="page">
                  <wp:posOffset>6812280</wp:posOffset>
                </wp:positionH>
                <wp:positionV relativeFrom="paragraph">
                  <wp:posOffset>351438</wp:posOffset>
                </wp:positionV>
                <wp:extent cx="47625" cy="203200"/>
                <wp:effectExtent l="0" t="0" r="0" b="0"/>
                <wp:wrapNone/>
                <wp:docPr id="13"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203200"/>
                        </a:xfrm>
                        <a:custGeom>
                          <a:avLst/>
                          <a:gdLst/>
                          <a:ahLst/>
                          <a:cxnLst/>
                          <a:rect l="l" t="t" r="r" b="b"/>
                          <a:pathLst>
                            <a:path w="47625" h="203200">
                              <a:moveTo>
                                <a:pt x="47244" y="0"/>
                              </a:moveTo>
                              <a:lnTo>
                                <a:pt x="0" y="0"/>
                              </a:lnTo>
                              <a:lnTo>
                                <a:pt x="0" y="202692"/>
                              </a:lnTo>
                              <a:lnTo>
                                <a:pt x="47244" y="202692"/>
                              </a:lnTo>
                              <a:lnTo>
                                <a:pt x="47244" y="0"/>
                              </a:lnTo>
                              <a:close/>
                            </a:path>
                          </a:pathLst>
                        </a:custGeom>
                        <a:solidFill>
                          <a:srgbClr val="444653"/>
                        </a:solidFill>
                      </wps:spPr>
                      <wps:bodyPr wrap="square" lIns="0" tIns="0" rIns="0" bIns="0" rtlCol="0">
                        <a:prstTxWarp prst="textNoShape">
                          <a:avLst/>
                        </a:prstTxWarp>
                        <a:noAutofit/>
                      </wps:bodyPr>
                    </wps:wsp>
                  </a:graphicData>
                </a:graphic>
              </wp:anchor>
            </w:drawing>
          </mc:Choice>
          <mc:Fallback>
            <w:pict>
              <v:shape w14:anchorId="57773995" id="Graphic 4" o:spid="_x0000_s1026" style="position:absolute;margin-left:536.4pt;margin-top:27.65pt;width:3.75pt;height:16pt;z-index:-15725568;visibility:visible;mso-wrap-style:square;mso-wrap-distance-left:0;mso-wrap-distance-top:0;mso-wrap-distance-right:0;mso-wrap-distance-bottom:0;mso-position-horizontal:absolute;mso-position-horizontal-relative:page;mso-position-vertical:absolute;mso-position-vertical-relative:text;v-text-anchor:top" coordsize="47625,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" path="m47244,l,,,202692r47244,l47244,xe" fillcolor="#444653" stroked="f">
                <v:path arrowok="t"/>
                <w10:wrap anchorx="page"/>
              </v:shape>
            </w:pict>
          </mc:Fallback>
        </mc:AlternateContent>
      </w:r>
      <w:r w:rsidRPr="00A6540B">
        <w:t>The</w:t>
      </w:r>
      <w:r w:rsidRPr="00A6540B">
        <w:rPr>
          <w:spacing w:val="-9"/>
        </w:rPr>
        <w:t xml:space="preserve"> </w:t>
      </w:r>
      <w:r w:rsidRPr="00A6540B">
        <w:t>Agency</w:t>
      </w:r>
      <w:r w:rsidRPr="00A6540B">
        <w:rPr>
          <w:spacing w:val="-8"/>
        </w:rPr>
        <w:t xml:space="preserve"> </w:t>
      </w:r>
      <w:r w:rsidRPr="00A6540B">
        <w:t>Theory</w:t>
      </w:r>
      <w:r w:rsidRPr="00A6540B">
        <w:rPr>
          <w:spacing w:val="-9"/>
        </w:rPr>
        <w:t xml:space="preserve"> </w:t>
      </w:r>
      <w:r w:rsidRPr="00A6540B">
        <w:t>is</w:t>
      </w:r>
      <w:r w:rsidRPr="00A6540B">
        <w:rPr>
          <w:spacing w:val="-8"/>
        </w:rPr>
        <w:t xml:space="preserve"> </w:t>
      </w:r>
      <w:r w:rsidRPr="00A6540B">
        <w:t>a</w:t>
      </w:r>
      <w:r w:rsidRPr="00A6540B">
        <w:rPr>
          <w:spacing w:val="-9"/>
        </w:rPr>
        <w:t xml:space="preserve"> </w:t>
      </w:r>
      <w:r w:rsidRPr="00A6540B">
        <w:t>fundamental</w:t>
      </w:r>
      <w:r w:rsidRPr="00A6540B">
        <w:rPr>
          <w:spacing w:val="-8"/>
        </w:rPr>
        <w:t xml:space="preserve"> </w:t>
      </w:r>
      <w:r w:rsidRPr="00A6540B">
        <w:t>concept</w:t>
      </w:r>
      <w:r w:rsidRPr="00A6540B">
        <w:rPr>
          <w:spacing w:val="-8"/>
        </w:rPr>
        <w:t xml:space="preserve"> </w:t>
      </w:r>
      <w:r w:rsidRPr="00A6540B">
        <w:t>in</w:t>
      </w:r>
      <w:r w:rsidRPr="00A6540B">
        <w:rPr>
          <w:spacing w:val="-8"/>
        </w:rPr>
        <w:t xml:space="preserve"> </w:t>
      </w:r>
      <w:r w:rsidRPr="00A6540B">
        <w:t>corporate</w:t>
      </w:r>
      <w:r w:rsidRPr="00A6540B">
        <w:rPr>
          <w:spacing w:val="-9"/>
        </w:rPr>
        <w:t xml:space="preserve"> </w:t>
      </w:r>
      <w:r w:rsidRPr="00A6540B">
        <w:t>finance</w:t>
      </w:r>
      <w:r w:rsidRPr="00A6540B">
        <w:rPr>
          <w:spacing w:val="-9"/>
        </w:rPr>
        <w:t xml:space="preserve"> </w:t>
      </w:r>
      <w:r w:rsidRPr="00A6540B">
        <w:t>and</w:t>
      </w:r>
      <w:r w:rsidRPr="00A6540B">
        <w:rPr>
          <w:spacing w:val="-8"/>
        </w:rPr>
        <w:t xml:space="preserve"> </w:t>
      </w:r>
      <w:r w:rsidRPr="00A6540B">
        <w:t>governance</w:t>
      </w:r>
      <w:r w:rsidRPr="00A6540B">
        <w:rPr>
          <w:spacing w:val="-9"/>
        </w:rPr>
        <w:t xml:space="preserve"> </w:t>
      </w:r>
      <w:r w:rsidRPr="00A6540B">
        <w:t>that</w:t>
      </w:r>
      <w:r w:rsidRPr="00A6540B">
        <w:rPr>
          <w:spacing w:val="-8"/>
        </w:rPr>
        <w:t xml:space="preserve"> </w:t>
      </w:r>
      <w:r w:rsidRPr="00A6540B">
        <w:t>focuses</w:t>
      </w:r>
      <w:r w:rsidRPr="00A6540B">
        <w:rPr>
          <w:spacing w:val="-8"/>
        </w:rPr>
        <w:t xml:space="preserve"> </w:t>
      </w:r>
      <w:r w:rsidRPr="00A6540B">
        <w:t xml:space="preserve">on the relationship between the managers (agents) of a company and its </w:t>
      </w:r>
      <w:r w:rsidRPr="00CE379B">
        <w:t>shareholders (principals) (Vitolla, Raimo &amp; Rubino, 2020). This creates an agency problem, where shareholders cannot fully</w:t>
      </w:r>
      <w:r w:rsidRPr="00A6540B">
        <w:rPr>
          <w:spacing w:val="-13"/>
        </w:rPr>
        <w:t xml:space="preserve"> </w:t>
      </w:r>
      <w:r w:rsidRPr="00A6540B">
        <w:t>monitor</w:t>
      </w:r>
      <w:r w:rsidRPr="00A6540B">
        <w:rPr>
          <w:spacing w:val="-13"/>
        </w:rPr>
        <w:t xml:space="preserve"> </w:t>
      </w:r>
      <w:r w:rsidRPr="00A6540B">
        <w:t>and</w:t>
      </w:r>
      <w:r w:rsidRPr="00A6540B">
        <w:rPr>
          <w:spacing w:val="-13"/>
        </w:rPr>
        <w:t xml:space="preserve"> </w:t>
      </w:r>
      <w:r w:rsidRPr="00A6540B">
        <w:t>control</w:t>
      </w:r>
      <w:r w:rsidRPr="00A6540B">
        <w:rPr>
          <w:spacing w:val="-13"/>
        </w:rPr>
        <w:t xml:space="preserve"> </w:t>
      </w:r>
      <w:r w:rsidRPr="00A6540B">
        <w:t>the</w:t>
      </w:r>
      <w:r w:rsidRPr="00A6540B">
        <w:rPr>
          <w:spacing w:val="-14"/>
        </w:rPr>
        <w:t xml:space="preserve"> </w:t>
      </w:r>
      <w:r w:rsidRPr="00A6540B">
        <w:t>actions</w:t>
      </w:r>
      <w:r w:rsidRPr="00A6540B">
        <w:rPr>
          <w:spacing w:val="-13"/>
        </w:rPr>
        <w:t xml:space="preserve"> </w:t>
      </w:r>
      <w:r w:rsidRPr="00A6540B">
        <w:t>of</w:t>
      </w:r>
      <w:r w:rsidRPr="00A6540B">
        <w:rPr>
          <w:spacing w:val="-14"/>
        </w:rPr>
        <w:t xml:space="preserve"> </w:t>
      </w:r>
      <w:r w:rsidRPr="00A6540B">
        <w:t>managers.</w:t>
      </w:r>
      <w:r w:rsidRPr="00A6540B">
        <w:rPr>
          <w:spacing w:val="-11"/>
        </w:rPr>
        <w:t xml:space="preserve"> </w:t>
      </w:r>
      <w:r w:rsidRPr="00A6540B">
        <w:t>The</w:t>
      </w:r>
      <w:r w:rsidRPr="00A6540B">
        <w:rPr>
          <w:spacing w:val="-14"/>
        </w:rPr>
        <w:t xml:space="preserve"> </w:t>
      </w:r>
      <w:r w:rsidRPr="00A6540B">
        <w:t>theory</w:t>
      </w:r>
      <w:r w:rsidRPr="00A6540B">
        <w:rPr>
          <w:spacing w:val="-13"/>
        </w:rPr>
        <w:t xml:space="preserve"> </w:t>
      </w:r>
      <w:r w:rsidRPr="00A6540B">
        <w:t>suggests</w:t>
      </w:r>
      <w:r w:rsidRPr="00A6540B">
        <w:rPr>
          <w:spacing w:val="-12"/>
        </w:rPr>
        <w:t xml:space="preserve"> </w:t>
      </w:r>
      <w:r w:rsidRPr="00A6540B">
        <w:t>that</w:t>
      </w:r>
      <w:r w:rsidRPr="00A6540B">
        <w:rPr>
          <w:spacing w:val="-13"/>
        </w:rPr>
        <w:t xml:space="preserve"> </w:t>
      </w:r>
      <w:r w:rsidRPr="00A6540B">
        <w:t>higher</w:t>
      </w:r>
      <w:r w:rsidRPr="00A6540B">
        <w:rPr>
          <w:spacing w:val="-14"/>
        </w:rPr>
        <w:t xml:space="preserve"> </w:t>
      </w:r>
      <w:r w:rsidRPr="00A6540B">
        <w:t>profitability</w:t>
      </w:r>
      <w:r w:rsidRPr="00A6540B">
        <w:rPr>
          <w:spacing w:val="-8"/>
        </w:rPr>
        <w:t xml:space="preserve"> </w:t>
      </w:r>
      <w:r w:rsidRPr="00A6540B">
        <w:t>due to</w:t>
      </w:r>
      <w:r w:rsidRPr="00A6540B">
        <w:rPr>
          <w:spacing w:val="-2"/>
        </w:rPr>
        <w:t xml:space="preserve"> </w:t>
      </w:r>
      <w:r w:rsidRPr="00A6540B">
        <w:t>the</w:t>
      </w:r>
      <w:r w:rsidRPr="00A6540B">
        <w:rPr>
          <w:spacing w:val="-3"/>
        </w:rPr>
        <w:t xml:space="preserve"> </w:t>
      </w:r>
      <w:r w:rsidRPr="00A6540B">
        <w:t>plans</w:t>
      </w:r>
      <w:r w:rsidRPr="00A6540B">
        <w:rPr>
          <w:spacing w:val="-2"/>
        </w:rPr>
        <w:t xml:space="preserve"> </w:t>
      </w:r>
      <w:r w:rsidRPr="00A6540B">
        <w:t>of</w:t>
      </w:r>
      <w:r w:rsidRPr="00A6540B">
        <w:rPr>
          <w:spacing w:val="-3"/>
        </w:rPr>
        <w:t xml:space="preserve"> </w:t>
      </w:r>
      <w:r w:rsidRPr="00A6540B">
        <w:t>managers</w:t>
      </w:r>
      <w:r w:rsidRPr="00A6540B">
        <w:rPr>
          <w:spacing w:val="-1"/>
        </w:rPr>
        <w:t xml:space="preserve"> </w:t>
      </w:r>
      <w:r w:rsidRPr="00A6540B">
        <w:t>and</w:t>
      </w:r>
      <w:r w:rsidRPr="00A6540B">
        <w:rPr>
          <w:spacing w:val="-2"/>
        </w:rPr>
        <w:t xml:space="preserve"> </w:t>
      </w:r>
      <w:r w:rsidRPr="00A6540B">
        <w:t>shareholders</w:t>
      </w:r>
      <w:r w:rsidRPr="00A6540B">
        <w:rPr>
          <w:spacing w:val="-2"/>
        </w:rPr>
        <w:t xml:space="preserve"> </w:t>
      </w:r>
      <w:r w:rsidRPr="00A6540B">
        <w:t>by</w:t>
      </w:r>
      <w:r w:rsidRPr="00A6540B">
        <w:rPr>
          <w:spacing w:val="-2"/>
        </w:rPr>
        <w:t xml:space="preserve"> </w:t>
      </w:r>
      <w:r w:rsidRPr="00A6540B">
        <w:t>increasing</w:t>
      </w:r>
      <w:r w:rsidRPr="00A6540B">
        <w:rPr>
          <w:spacing w:val="-2"/>
        </w:rPr>
        <w:t xml:space="preserve"> </w:t>
      </w:r>
      <w:r w:rsidRPr="00A6540B">
        <w:t>firm value</w:t>
      </w:r>
      <w:r w:rsidRPr="00A6540B">
        <w:rPr>
          <w:spacing w:val="-3"/>
        </w:rPr>
        <w:t xml:space="preserve"> </w:t>
      </w:r>
      <w:r w:rsidRPr="00A6540B">
        <w:t>and</w:t>
      </w:r>
      <w:r w:rsidRPr="00A6540B">
        <w:rPr>
          <w:spacing w:val="-2"/>
        </w:rPr>
        <w:t xml:space="preserve"> </w:t>
      </w:r>
      <w:r w:rsidRPr="00A6540B">
        <w:t>managers'</w:t>
      </w:r>
      <w:r w:rsidRPr="00A6540B">
        <w:rPr>
          <w:spacing w:val="-2"/>
        </w:rPr>
        <w:t xml:space="preserve"> </w:t>
      </w:r>
      <w:r w:rsidRPr="00A6540B">
        <w:t>value</w:t>
      </w:r>
      <w:r w:rsidRPr="00A6540B">
        <w:rPr>
          <w:spacing w:val="-2"/>
        </w:rPr>
        <w:t xml:space="preserve"> </w:t>
      </w:r>
      <w:r w:rsidRPr="00A6540B">
        <w:t>of</w:t>
      </w:r>
      <w:r w:rsidRPr="00A6540B">
        <w:rPr>
          <w:spacing w:val="-1"/>
        </w:rPr>
        <w:t xml:space="preserve"> </w:t>
      </w:r>
      <w:r w:rsidRPr="00A6540B">
        <w:t>equity ownership (Kumala &amp; Siregar, 2021).</w:t>
      </w:r>
      <w:r>
        <w:t xml:space="preserve"> </w:t>
      </w:r>
      <w:r w:rsidRPr="00A6540B">
        <w:t>Application</w:t>
      </w:r>
      <w:r w:rsidRPr="00A6540B">
        <w:rPr>
          <w:spacing w:val="-15"/>
        </w:rPr>
        <w:t xml:space="preserve"> </w:t>
      </w:r>
      <w:r w:rsidRPr="00A6540B">
        <w:t>of</w:t>
      </w:r>
      <w:r w:rsidRPr="00A6540B">
        <w:rPr>
          <w:spacing w:val="-15"/>
        </w:rPr>
        <w:t xml:space="preserve"> </w:t>
      </w:r>
      <w:r w:rsidRPr="00A6540B">
        <w:t>the</w:t>
      </w:r>
      <w:r w:rsidRPr="00A6540B">
        <w:rPr>
          <w:spacing w:val="-15"/>
        </w:rPr>
        <w:t xml:space="preserve"> </w:t>
      </w:r>
      <w:r w:rsidRPr="00A6540B">
        <w:t>Agency</w:t>
      </w:r>
      <w:r w:rsidRPr="00A6540B">
        <w:rPr>
          <w:spacing w:val="-14"/>
        </w:rPr>
        <w:t xml:space="preserve"> </w:t>
      </w:r>
      <w:r w:rsidRPr="00A6540B">
        <w:t>Theory</w:t>
      </w:r>
      <w:r w:rsidRPr="00A6540B">
        <w:rPr>
          <w:spacing w:val="-15"/>
        </w:rPr>
        <w:t xml:space="preserve"> </w:t>
      </w:r>
      <w:r w:rsidRPr="00A6540B">
        <w:t>to</w:t>
      </w:r>
      <w:r w:rsidRPr="00A6540B">
        <w:rPr>
          <w:spacing w:val="-13"/>
        </w:rPr>
        <w:t xml:space="preserve"> </w:t>
      </w:r>
      <w:r w:rsidRPr="00A6540B">
        <w:t>your</w:t>
      </w:r>
      <w:r w:rsidRPr="00A6540B">
        <w:rPr>
          <w:spacing w:val="-15"/>
        </w:rPr>
        <w:t xml:space="preserve"> </w:t>
      </w:r>
      <w:r w:rsidRPr="00A6540B">
        <w:t>study</w:t>
      </w:r>
      <w:r w:rsidRPr="00A6540B">
        <w:rPr>
          <w:spacing w:val="-15"/>
        </w:rPr>
        <w:t xml:space="preserve"> </w:t>
      </w:r>
      <w:r w:rsidRPr="00A6540B">
        <w:t>on</w:t>
      </w:r>
      <w:r w:rsidRPr="00A6540B">
        <w:rPr>
          <w:spacing w:val="-13"/>
        </w:rPr>
        <w:t xml:space="preserve"> </w:t>
      </w:r>
      <w:r w:rsidRPr="00A6540B">
        <w:t>the</w:t>
      </w:r>
      <w:r w:rsidRPr="00A6540B">
        <w:rPr>
          <w:spacing w:val="-15"/>
        </w:rPr>
        <w:t xml:space="preserve"> </w:t>
      </w:r>
      <w:r w:rsidRPr="00A6540B">
        <w:t>relationship</w:t>
      </w:r>
      <w:r w:rsidRPr="00A6540B">
        <w:rPr>
          <w:spacing w:val="-15"/>
        </w:rPr>
        <w:t xml:space="preserve"> </w:t>
      </w:r>
      <w:r w:rsidRPr="00A6540B">
        <w:t>between</w:t>
      </w:r>
      <w:r w:rsidRPr="00A6540B">
        <w:rPr>
          <w:spacing w:val="-11"/>
        </w:rPr>
        <w:t xml:space="preserve"> </w:t>
      </w:r>
      <w:r w:rsidRPr="00A6540B">
        <w:t>profitability</w:t>
      </w:r>
      <w:r w:rsidRPr="00A6540B">
        <w:rPr>
          <w:spacing w:val="-15"/>
        </w:rPr>
        <w:t xml:space="preserve"> </w:t>
      </w:r>
      <w:r w:rsidRPr="00A6540B">
        <w:t>and</w:t>
      </w:r>
      <w:r w:rsidRPr="00A6540B">
        <w:rPr>
          <w:spacing w:val="-15"/>
        </w:rPr>
        <w:t xml:space="preserve"> </w:t>
      </w:r>
      <w:r w:rsidRPr="00A6540B">
        <w:t>share returns of agricultural firms listed on the Nairobi Securities Exchange (NSE) in Kenya is highly relevant</w:t>
      </w:r>
      <w:r w:rsidRPr="00A6540B">
        <w:rPr>
          <w:spacing w:val="-6"/>
        </w:rPr>
        <w:t xml:space="preserve"> </w:t>
      </w:r>
      <w:r w:rsidRPr="00A6540B">
        <w:t>and</w:t>
      </w:r>
      <w:r w:rsidRPr="00A6540B">
        <w:rPr>
          <w:spacing w:val="-8"/>
        </w:rPr>
        <w:t xml:space="preserve"> </w:t>
      </w:r>
      <w:r w:rsidRPr="00A6540B">
        <w:t>insightful.</w:t>
      </w:r>
      <w:r w:rsidRPr="00A6540B">
        <w:rPr>
          <w:spacing w:val="-8"/>
        </w:rPr>
        <w:t xml:space="preserve"> </w:t>
      </w:r>
      <w:r w:rsidRPr="00A6540B">
        <w:t>By</w:t>
      </w:r>
      <w:r w:rsidRPr="00A6540B">
        <w:rPr>
          <w:spacing w:val="-8"/>
        </w:rPr>
        <w:t xml:space="preserve"> </w:t>
      </w:r>
      <w:r w:rsidRPr="00A6540B">
        <w:t>considering</w:t>
      </w:r>
      <w:r w:rsidRPr="00A6540B">
        <w:rPr>
          <w:spacing w:val="-6"/>
        </w:rPr>
        <w:t xml:space="preserve"> </w:t>
      </w:r>
      <w:r w:rsidRPr="00A6540B">
        <w:t>the</w:t>
      </w:r>
      <w:r w:rsidRPr="00A6540B">
        <w:rPr>
          <w:spacing w:val="-9"/>
        </w:rPr>
        <w:t xml:space="preserve"> </w:t>
      </w:r>
      <w:r w:rsidRPr="00A6540B">
        <w:t>potential</w:t>
      </w:r>
      <w:r w:rsidRPr="00A6540B">
        <w:rPr>
          <w:spacing w:val="-8"/>
        </w:rPr>
        <w:t xml:space="preserve"> </w:t>
      </w:r>
      <w:r w:rsidRPr="00A6540B">
        <w:t>conflicts</w:t>
      </w:r>
      <w:r w:rsidRPr="00A6540B">
        <w:rPr>
          <w:spacing w:val="-5"/>
        </w:rPr>
        <w:t xml:space="preserve"> </w:t>
      </w:r>
      <w:r w:rsidRPr="00A6540B">
        <w:t>of</w:t>
      </w:r>
      <w:r w:rsidRPr="00A6540B">
        <w:rPr>
          <w:spacing w:val="-9"/>
        </w:rPr>
        <w:t xml:space="preserve"> </w:t>
      </w:r>
      <w:r w:rsidRPr="00A6540B">
        <w:t>interest</w:t>
      </w:r>
      <w:r w:rsidRPr="00A6540B">
        <w:rPr>
          <w:spacing w:val="-8"/>
        </w:rPr>
        <w:t xml:space="preserve"> </w:t>
      </w:r>
      <w:r w:rsidRPr="00A6540B">
        <w:t>between</w:t>
      </w:r>
      <w:r w:rsidRPr="00A6540B">
        <w:rPr>
          <w:spacing w:val="-8"/>
        </w:rPr>
        <w:t xml:space="preserve"> </w:t>
      </w:r>
      <w:r w:rsidRPr="00A6540B">
        <w:t>the</w:t>
      </w:r>
      <w:r w:rsidRPr="00A6540B">
        <w:rPr>
          <w:spacing w:val="-9"/>
        </w:rPr>
        <w:t xml:space="preserve"> </w:t>
      </w:r>
      <w:r w:rsidRPr="00A6540B">
        <w:t>management team and shareholders, you can delve into several important aspects.</w:t>
      </w:r>
    </w:p>
    <w:p w14:paraId="6385D806" w14:textId="77777777" w:rsidR="002256F8" w:rsidRPr="002256F8" w:rsidRDefault="00A71CBC" w:rsidP="002256F8">
      <w:pPr>
        <w:pStyle w:val="Heading3"/>
        <w:rPr>
          <w:b/>
          <w:color w:val="auto"/>
        </w:rPr>
      </w:pPr>
      <w:r>
        <w:rPr>
          <w:b/>
          <w:color w:val="auto"/>
        </w:rPr>
        <w:t>4.1.</w:t>
      </w:r>
      <w:r w:rsidR="001908A1">
        <w:rPr>
          <w:b/>
          <w:color w:val="auto"/>
        </w:rPr>
        <w:t>3</w:t>
      </w:r>
      <w:r w:rsidR="002256F8" w:rsidRPr="002256F8">
        <w:rPr>
          <w:b/>
          <w:color w:val="auto"/>
        </w:rPr>
        <w:t xml:space="preserve"> Tax-Clientele</w:t>
      </w:r>
      <w:r w:rsidR="002256F8" w:rsidRPr="002256F8">
        <w:rPr>
          <w:b/>
          <w:color w:val="auto"/>
          <w:spacing w:val="-3"/>
        </w:rPr>
        <w:t xml:space="preserve"> </w:t>
      </w:r>
      <w:r w:rsidR="002256F8" w:rsidRPr="002256F8">
        <w:rPr>
          <w:b/>
          <w:color w:val="auto"/>
        </w:rPr>
        <w:t>Effect</w:t>
      </w:r>
      <w:r w:rsidR="002256F8" w:rsidRPr="002256F8">
        <w:rPr>
          <w:b/>
          <w:color w:val="auto"/>
          <w:spacing w:val="-2"/>
        </w:rPr>
        <w:t xml:space="preserve"> Theory</w:t>
      </w:r>
    </w:p>
    <w:p w14:paraId="20BD40A3" w14:textId="77777777" w:rsidR="001E435B" w:rsidRDefault="002256F8" w:rsidP="001E435B">
      <w:r w:rsidRPr="00A6540B">
        <w:t>Tax-Clientele Effect Theory suggests that taxes can have an impact on the behavior of investors based on their tax status, and this can influence the share returns of companies (Rünger, 2021). The theory was proposed by DeAngelo and Masulis in 1980 and it argues that investors who are taxed at different rates have different preferences for the types of assets they hold in their portfolios.</w:t>
      </w:r>
      <w:r w:rsidR="009463D0">
        <w:t xml:space="preserve"> </w:t>
      </w:r>
      <w:r w:rsidR="009463D0" w:rsidRPr="00A6540B">
        <w:t>Tax-Clientele Effect Theory implies that the tax status of investors in agricultural firms listed at NSE,</w:t>
      </w:r>
      <w:r w:rsidR="009463D0" w:rsidRPr="00A6540B">
        <w:rPr>
          <w:spacing w:val="-14"/>
        </w:rPr>
        <w:t xml:space="preserve"> </w:t>
      </w:r>
      <w:r w:rsidR="009463D0" w:rsidRPr="00A6540B">
        <w:t>Kenya</w:t>
      </w:r>
      <w:r w:rsidR="009463D0" w:rsidRPr="00A6540B">
        <w:rPr>
          <w:spacing w:val="-13"/>
        </w:rPr>
        <w:t xml:space="preserve"> </w:t>
      </w:r>
      <w:r w:rsidR="009463D0" w:rsidRPr="00A6540B">
        <w:t>may</w:t>
      </w:r>
      <w:r w:rsidR="009463D0" w:rsidRPr="00A6540B">
        <w:rPr>
          <w:spacing w:val="-15"/>
        </w:rPr>
        <w:t xml:space="preserve"> </w:t>
      </w:r>
      <w:r w:rsidR="009463D0" w:rsidRPr="00A6540B">
        <w:t>influence</w:t>
      </w:r>
      <w:r w:rsidR="009463D0" w:rsidRPr="00A6540B">
        <w:rPr>
          <w:spacing w:val="-15"/>
        </w:rPr>
        <w:t xml:space="preserve"> </w:t>
      </w:r>
      <w:r w:rsidR="009463D0" w:rsidRPr="00A6540B">
        <w:t>their</w:t>
      </w:r>
      <w:r w:rsidR="009463D0" w:rsidRPr="00A6540B">
        <w:rPr>
          <w:spacing w:val="-13"/>
        </w:rPr>
        <w:t xml:space="preserve"> </w:t>
      </w:r>
      <w:r w:rsidR="009463D0" w:rsidRPr="00A6540B">
        <w:t>investment</w:t>
      </w:r>
      <w:r w:rsidR="009463D0" w:rsidRPr="00A6540B">
        <w:rPr>
          <w:spacing w:val="-14"/>
        </w:rPr>
        <w:t xml:space="preserve"> </w:t>
      </w:r>
      <w:r w:rsidR="009463D0" w:rsidRPr="00A6540B">
        <w:t>decisions</w:t>
      </w:r>
      <w:r w:rsidR="009463D0" w:rsidRPr="00A6540B">
        <w:rPr>
          <w:spacing w:val="-14"/>
        </w:rPr>
        <w:t xml:space="preserve"> </w:t>
      </w:r>
      <w:r w:rsidR="009463D0" w:rsidRPr="00A6540B">
        <w:t>and,</w:t>
      </w:r>
      <w:r w:rsidR="009463D0" w:rsidRPr="00A6540B">
        <w:rPr>
          <w:spacing w:val="-14"/>
        </w:rPr>
        <w:t xml:space="preserve"> </w:t>
      </w:r>
      <w:r w:rsidR="009463D0" w:rsidRPr="00A6540B">
        <w:t>consequently,</w:t>
      </w:r>
      <w:r w:rsidR="009463D0" w:rsidRPr="00A6540B">
        <w:rPr>
          <w:spacing w:val="-14"/>
        </w:rPr>
        <w:t xml:space="preserve"> </w:t>
      </w:r>
      <w:r w:rsidR="009463D0" w:rsidRPr="00A6540B">
        <w:t>the</w:t>
      </w:r>
      <w:r w:rsidR="009463D0" w:rsidRPr="00A6540B">
        <w:rPr>
          <w:spacing w:val="-15"/>
        </w:rPr>
        <w:t xml:space="preserve"> </w:t>
      </w:r>
      <w:r w:rsidR="009463D0" w:rsidRPr="00A6540B">
        <w:t>share</w:t>
      </w:r>
      <w:r w:rsidR="009463D0" w:rsidRPr="00A6540B">
        <w:rPr>
          <w:spacing w:val="-15"/>
        </w:rPr>
        <w:t xml:space="preserve"> </w:t>
      </w:r>
      <w:r w:rsidR="009463D0" w:rsidRPr="00A6540B">
        <w:t>returns</w:t>
      </w:r>
      <w:r w:rsidR="009463D0" w:rsidRPr="00A6540B">
        <w:rPr>
          <w:spacing w:val="-14"/>
        </w:rPr>
        <w:t xml:space="preserve"> </w:t>
      </w:r>
      <w:r w:rsidR="009463D0" w:rsidRPr="00A6540B">
        <w:t>of</w:t>
      </w:r>
      <w:r w:rsidR="009463D0" w:rsidRPr="00A6540B">
        <w:rPr>
          <w:spacing w:val="-15"/>
        </w:rPr>
        <w:t xml:space="preserve"> </w:t>
      </w:r>
      <w:r w:rsidR="009463D0" w:rsidRPr="00A6540B">
        <w:t>these firms.</w:t>
      </w:r>
      <w:r w:rsidR="009463D0">
        <w:t xml:space="preserve"> </w:t>
      </w:r>
      <w:r w:rsidR="009463D0" w:rsidRPr="00A6540B">
        <w:t>The Tax- Clientele Effect Theory indeed provides a valuable framework for understanding how tax considerations can influence the investment decisions of shareholders, which can, in turn, impact share returns.</w:t>
      </w:r>
    </w:p>
    <w:p w14:paraId="17657A9E" w14:textId="77777777" w:rsidR="009463D0" w:rsidRPr="009463D0" w:rsidRDefault="00A71CBC" w:rsidP="009463D0">
      <w:pPr>
        <w:pStyle w:val="Heading3"/>
        <w:rPr>
          <w:b/>
          <w:color w:val="auto"/>
        </w:rPr>
      </w:pPr>
      <w:r>
        <w:rPr>
          <w:b/>
          <w:color w:val="auto"/>
        </w:rPr>
        <w:t>4</w:t>
      </w:r>
      <w:r w:rsidR="009463D0" w:rsidRPr="009463D0">
        <w:rPr>
          <w:b/>
          <w:color w:val="auto"/>
        </w:rPr>
        <w:t>.</w:t>
      </w:r>
      <w:r w:rsidR="001908A1">
        <w:rPr>
          <w:b/>
          <w:color w:val="auto"/>
        </w:rPr>
        <w:t>1.4</w:t>
      </w:r>
      <w:r w:rsidR="009463D0" w:rsidRPr="009463D0">
        <w:rPr>
          <w:b/>
          <w:color w:val="auto"/>
        </w:rPr>
        <w:t xml:space="preserve"> The</w:t>
      </w:r>
      <w:r w:rsidR="009463D0" w:rsidRPr="009463D0">
        <w:rPr>
          <w:b/>
          <w:color w:val="auto"/>
          <w:spacing w:val="-3"/>
        </w:rPr>
        <w:t xml:space="preserve"> </w:t>
      </w:r>
      <w:r w:rsidR="009463D0" w:rsidRPr="009463D0">
        <w:rPr>
          <w:b/>
          <w:color w:val="auto"/>
        </w:rPr>
        <w:t>Capital</w:t>
      </w:r>
      <w:r w:rsidR="009463D0" w:rsidRPr="009463D0">
        <w:rPr>
          <w:b/>
          <w:color w:val="auto"/>
          <w:spacing w:val="-1"/>
        </w:rPr>
        <w:t xml:space="preserve"> </w:t>
      </w:r>
      <w:r w:rsidR="009463D0" w:rsidRPr="009463D0">
        <w:rPr>
          <w:b/>
          <w:color w:val="auto"/>
        </w:rPr>
        <w:t>Market</w:t>
      </w:r>
      <w:r w:rsidR="009463D0" w:rsidRPr="009463D0">
        <w:rPr>
          <w:b/>
          <w:color w:val="auto"/>
          <w:spacing w:val="-1"/>
        </w:rPr>
        <w:t xml:space="preserve"> </w:t>
      </w:r>
      <w:r w:rsidR="009463D0" w:rsidRPr="009463D0">
        <w:rPr>
          <w:b/>
          <w:color w:val="auto"/>
          <w:spacing w:val="-2"/>
        </w:rPr>
        <w:t>Theory</w:t>
      </w:r>
    </w:p>
    <w:p w14:paraId="2B1DCB3A" w14:textId="77777777" w:rsidR="009463D0" w:rsidRDefault="009463D0" w:rsidP="009463D0">
      <w:pPr>
        <w:pStyle w:val="BodyText"/>
      </w:pPr>
      <w:r w:rsidRPr="00A6540B">
        <w:t>Sharpe (1964), Lintner (1965), and Mossin (1966) independently developed the standard Capital Asset Pricing Model (CAPM) based on Markowitz's (1952) meanvariance optimization framework. The standard CAPM is a single premium linear equilibrium pricing model that provides</w:t>
      </w:r>
      <w:r w:rsidRPr="00A6540B">
        <w:rPr>
          <w:spacing w:val="-6"/>
        </w:rPr>
        <w:t xml:space="preserve"> </w:t>
      </w:r>
      <w:r w:rsidRPr="00A6540B">
        <w:t>a</w:t>
      </w:r>
      <w:r w:rsidRPr="00A6540B">
        <w:rPr>
          <w:spacing w:val="-4"/>
        </w:rPr>
        <w:t xml:space="preserve"> </w:t>
      </w:r>
      <w:r w:rsidRPr="00A6540B">
        <w:t>framework</w:t>
      </w:r>
      <w:r w:rsidRPr="00A6540B">
        <w:rPr>
          <w:spacing w:val="-3"/>
        </w:rPr>
        <w:t xml:space="preserve"> </w:t>
      </w:r>
      <w:r w:rsidRPr="00A6540B">
        <w:t>for</w:t>
      </w:r>
      <w:r w:rsidRPr="00A6540B">
        <w:rPr>
          <w:spacing w:val="-5"/>
        </w:rPr>
        <w:t xml:space="preserve"> </w:t>
      </w:r>
      <w:r w:rsidRPr="00A6540B">
        <w:t>specifying</w:t>
      </w:r>
      <w:r w:rsidRPr="00A6540B">
        <w:rPr>
          <w:spacing w:val="-6"/>
        </w:rPr>
        <w:t xml:space="preserve"> </w:t>
      </w:r>
      <w:r w:rsidRPr="00A6540B">
        <w:t>and</w:t>
      </w:r>
      <w:r w:rsidRPr="00A6540B">
        <w:rPr>
          <w:spacing w:val="-4"/>
        </w:rPr>
        <w:t xml:space="preserve"> </w:t>
      </w:r>
      <w:r w:rsidRPr="00A6540B">
        <w:t>measuring</w:t>
      </w:r>
      <w:r w:rsidRPr="00A6540B">
        <w:rPr>
          <w:spacing w:val="-6"/>
        </w:rPr>
        <w:t xml:space="preserve"> </w:t>
      </w:r>
      <w:r w:rsidRPr="00A6540B">
        <w:t>investment</w:t>
      </w:r>
      <w:r w:rsidRPr="00A6540B">
        <w:rPr>
          <w:spacing w:val="-5"/>
        </w:rPr>
        <w:t xml:space="preserve"> </w:t>
      </w:r>
      <w:r w:rsidRPr="00A6540B">
        <w:t>risk</w:t>
      </w:r>
      <w:r w:rsidRPr="00A6540B">
        <w:rPr>
          <w:spacing w:val="-6"/>
        </w:rPr>
        <w:t xml:space="preserve"> </w:t>
      </w:r>
      <w:r w:rsidRPr="00A6540B">
        <w:t>in</w:t>
      </w:r>
      <w:r w:rsidRPr="00A6540B">
        <w:rPr>
          <w:spacing w:val="-5"/>
        </w:rPr>
        <w:t xml:space="preserve"> </w:t>
      </w:r>
      <w:r w:rsidRPr="00A6540B">
        <w:t>an</w:t>
      </w:r>
      <w:r w:rsidRPr="00A6540B">
        <w:rPr>
          <w:spacing w:val="-3"/>
        </w:rPr>
        <w:t xml:space="preserve"> </w:t>
      </w:r>
      <w:r w:rsidRPr="00A6540B">
        <w:t>efficient</w:t>
      </w:r>
      <w:r w:rsidRPr="00A6540B">
        <w:rPr>
          <w:spacing w:val="-6"/>
        </w:rPr>
        <w:t xml:space="preserve"> </w:t>
      </w:r>
      <w:r w:rsidRPr="00A6540B">
        <w:t>capital</w:t>
      </w:r>
      <w:r w:rsidRPr="00A6540B">
        <w:rPr>
          <w:spacing w:val="-5"/>
        </w:rPr>
        <w:t xml:space="preserve"> </w:t>
      </w:r>
      <w:r w:rsidRPr="00A6540B">
        <w:t>market, as</w:t>
      </w:r>
      <w:r w:rsidRPr="00A6540B">
        <w:rPr>
          <w:spacing w:val="-5"/>
        </w:rPr>
        <w:t xml:space="preserve"> </w:t>
      </w:r>
      <w:r w:rsidRPr="00A6540B">
        <w:t>well</w:t>
      </w:r>
      <w:r w:rsidRPr="00A6540B">
        <w:rPr>
          <w:spacing w:val="-2"/>
        </w:rPr>
        <w:t xml:space="preserve"> </w:t>
      </w:r>
      <w:r w:rsidRPr="00A6540B">
        <w:t>as</w:t>
      </w:r>
      <w:r w:rsidRPr="00A6540B">
        <w:rPr>
          <w:spacing w:val="-5"/>
        </w:rPr>
        <w:t xml:space="preserve"> </w:t>
      </w:r>
      <w:r w:rsidRPr="00A6540B">
        <w:t>developing</w:t>
      </w:r>
      <w:r w:rsidRPr="00A6540B">
        <w:rPr>
          <w:spacing w:val="-5"/>
        </w:rPr>
        <w:t xml:space="preserve"> </w:t>
      </w:r>
      <w:r w:rsidRPr="00A6540B">
        <w:t>relationships</w:t>
      </w:r>
      <w:r w:rsidRPr="00A6540B">
        <w:rPr>
          <w:spacing w:val="-5"/>
        </w:rPr>
        <w:t xml:space="preserve"> </w:t>
      </w:r>
      <w:r w:rsidRPr="00A6540B">
        <w:t>between</w:t>
      </w:r>
      <w:r w:rsidRPr="00A6540B">
        <w:rPr>
          <w:spacing w:val="-3"/>
        </w:rPr>
        <w:t xml:space="preserve"> </w:t>
      </w:r>
      <w:r w:rsidRPr="00A6540B">
        <w:t>expected</w:t>
      </w:r>
      <w:r w:rsidRPr="00A6540B">
        <w:rPr>
          <w:spacing w:val="-5"/>
        </w:rPr>
        <w:t xml:space="preserve"> </w:t>
      </w:r>
      <w:r w:rsidRPr="00A6540B">
        <w:t>security</w:t>
      </w:r>
      <w:r w:rsidRPr="00A6540B">
        <w:rPr>
          <w:spacing w:val="-5"/>
        </w:rPr>
        <w:t xml:space="preserve"> </w:t>
      </w:r>
      <w:r w:rsidRPr="00A6540B">
        <w:t>return</w:t>
      </w:r>
      <w:r w:rsidRPr="00A6540B">
        <w:rPr>
          <w:spacing w:val="-6"/>
        </w:rPr>
        <w:t xml:space="preserve"> </w:t>
      </w:r>
      <w:r w:rsidRPr="00A6540B">
        <w:t>and</w:t>
      </w:r>
      <w:r w:rsidRPr="00A6540B">
        <w:rPr>
          <w:spacing w:val="-3"/>
        </w:rPr>
        <w:t xml:space="preserve"> </w:t>
      </w:r>
      <w:r w:rsidRPr="00A6540B">
        <w:t>risk.</w:t>
      </w:r>
      <w:r w:rsidRPr="00A6540B">
        <w:rPr>
          <w:spacing w:val="-5"/>
        </w:rPr>
        <w:t xml:space="preserve"> </w:t>
      </w:r>
      <w:r w:rsidRPr="00A6540B">
        <w:t>The</w:t>
      </w:r>
      <w:r w:rsidRPr="00A6540B">
        <w:rPr>
          <w:spacing w:val="-6"/>
        </w:rPr>
        <w:t xml:space="preserve"> </w:t>
      </w:r>
      <w:r w:rsidRPr="00A6540B">
        <w:t>model</w:t>
      </w:r>
      <w:r w:rsidRPr="00A6540B">
        <w:rPr>
          <w:spacing w:val="-4"/>
        </w:rPr>
        <w:t xml:space="preserve"> </w:t>
      </w:r>
      <w:r w:rsidRPr="00A6540B">
        <w:t>is</w:t>
      </w:r>
      <w:r w:rsidRPr="00A6540B">
        <w:rPr>
          <w:spacing w:val="-4"/>
        </w:rPr>
        <w:t xml:space="preserve"> </w:t>
      </w:r>
      <w:r w:rsidRPr="00A6540B">
        <w:t>based on</w:t>
      </w:r>
      <w:r w:rsidRPr="00A6540B">
        <w:rPr>
          <w:spacing w:val="-12"/>
        </w:rPr>
        <w:t xml:space="preserve"> </w:t>
      </w:r>
      <w:r w:rsidRPr="00A6540B">
        <w:t>the</w:t>
      </w:r>
      <w:r w:rsidRPr="00A6540B">
        <w:rPr>
          <w:spacing w:val="-13"/>
        </w:rPr>
        <w:t xml:space="preserve"> </w:t>
      </w:r>
      <w:r w:rsidRPr="00A6540B">
        <w:t>idea</w:t>
      </w:r>
      <w:r w:rsidRPr="00A6540B">
        <w:rPr>
          <w:spacing w:val="-14"/>
        </w:rPr>
        <w:t xml:space="preserve"> </w:t>
      </w:r>
      <w:r w:rsidRPr="00A6540B">
        <w:t>that</w:t>
      </w:r>
      <w:r w:rsidRPr="00A6540B">
        <w:rPr>
          <w:spacing w:val="-12"/>
        </w:rPr>
        <w:t xml:space="preserve"> </w:t>
      </w:r>
      <w:r w:rsidRPr="00A6540B">
        <w:t>unsystematic</w:t>
      </w:r>
      <w:r w:rsidRPr="00A6540B">
        <w:rPr>
          <w:spacing w:val="-13"/>
        </w:rPr>
        <w:t xml:space="preserve"> </w:t>
      </w:r>
      <w:r w:rsidRPr="00A6540B">
        <w:t>risk</w:t>
      </w:r>
      <w:r w:rsidRPr="00A6540B">
        <w:rPr>
          <w:spacing w:val="-12"/>
        </w:rPr>
        <w:t xml:space="preserve"> </w:t>
      </w:r>
      <w:r w:rsidRPr="00A6540B">
        <w:t>can</w:t>
      </w:r>
      <w:r w:rsidRPr="00A6540B">
        <w:rPr>
          <w:spacing w:val="-12"/>
        </w:rPr>
        <w:t xml:space="preserve"> </w:t>
      </w:r>
      <w:r w:rsidRPr="00A6540B">
        <w:t>be</w:t>
      </w:r>
      <w:r w:rsidRPr="00A6540B">
        <w:rPr>
          <w:spacing w:val="-13"/>
        </w:rPr>
        <w:t xml:space="preserve"> </w:t>
      </w:r>
      <w:r w:rsidRPr="00A6540B">
        <w:t>eliminated</w:t>
      </w:r>
      <w:r w:rsidRPr="00A6540B">
        <w:rPr>
          <w:spacing w:val="-13"/>
        </w:rPr>
        <w:t xml:space="preserve"> </w:t>
      </w:r>
      <w:r w:rsidRPr="00A6540B">
        <w:t>by</w:t>
      </w:r>
      <w:r w:rsidRPr="00A6540B">
        <w:rPr>
          <w:spacing w:val="-12"/>
        </w:rPr>
        <w:t xml:space="preserve"> </w:t>
      </w:r>
      <w:r w:rsidRPr="00A6540B">
        <w:t>investing</w:t>
      </w:r>
      <w:r w:rsidRPr="00A6540B">
        <w:rPr>
          <w:spacing w:val="-12"/>
        </w:rPr>
        <w:t xml:space="preserve"> </w:t>
      </w:r>
      <w:r w:rsidRPr="00A6540B">
        <w:t>in</w:t>
      </w:r>
      <w:r w:rsidRPr="00A6540B">
        <w:rPr>
          <w:spacing w:val="-14"/>
        </w:rPr>
        <w:t xml:space="preserve"> </w:t>
      </w:r>
      <w:r w:rsidRPr="00A6540B">
        <w:t>a</w:t>
      </w:r>
      <w:r w:rsidRPr="00A6540B">
        <w:rPr>
          <w:spacing w:val="-13"/>
        </w:rPr>
        <w:t xml:space="preserve"> </w:t>
      </w:r>
      <w:r w:rsidRPr="00A6540B">
        <w:t>diverse</w:t>
      </w:r>
      <w:r w:rsidRPr="00A6540B">
        <w:rPr>
          <w:spacing w:val="-13"/>
        </w:rPr>
        <w:t xml:space="preserve"> </w:t>
      </w:r>
      <w:r w:rsidRPr="00A6540B">
        <w:t>portfolio,</w:t>
      </w:r>
      <w:r w:rsidRPr="00A6540B">
        <w:rPr>
          <w:spacing w:val="-12"/>
        </w:rPr>
        <w:t xml:space="preserve"> </w:t>
      </w:r>
      <w:r w:rsidRPr="00A6540B">
        <w:t>so</w:t>
      </w:r>
      <w:r w:rsidRPr="00A6540B">
        <w:rPr>
          <w:spacing w:val="-12"/>
        </w:rPr>
        <w:t xml:space="preserve"> </w:t>
      </w:r>
      <w:r w:rsidRPr="00A6540B">
        <w:t xml:space="preserve">investors only need to be compensated for bearing systematic risk, as measured by beta. In this </w:t>
      </w:r>
      <w:r w:rsidRPr="009463D0">
        <w:t>case</w:t>
      </w:r>
      <w:r w:rsidRPr="00A6540B">
        <w:t>, all investors will hold the same risky portfolio but will vary the riskiness of their investment by increasing or decreasing their investment in the risk-free portfolio.</w:t>
      </w:r>
      <w:r>
        <w:t xml:space="preserve"> </w:t>
      </w:r>
      <w:r w:rsidRPr="00A6540B">
        <w:t>The Capital Market Theory will serve as the foundation for the NSE's analysis of share returns by listed firms in the Agriculture Sector.</w:t>
      </w:r>
    </w:p>
    <w:p w14:paraId="310A4304" w14:textId="77777777" w:rsidR="001908A1" w:rsidRPr="00A6540B" w:rsidRDefault="001908A1" w:rsidP="009463D0">
      <w:pPr>
        <w:pStyle w:val="BodyText"/>
      </w:pPr>
    </w:p>
    <w:p w14:paraId="71B9CD36" w14:textId="77777777" w:rsidR="001E435B" w:rsidRDefault="00A71CBC" w:rsidP="001E435B">
      <w:pPr>
        <w:pStyle w:val="BodyText"/>
        <w:ind w:right="219"/>
        <w:rPr>
          <w:b/>
        </w:rPr>
      </w:pPr>
      <w:r>
        <w:rPr>
          <w:b/>
        </w:rPr>
        <w:t>4.2</w:t>
      </w:r>
      <w:r w:rsidR="009463D0">
        <w:rPr>
          <w:b/>
        </w:rPr>
        <w:t xml:space="preserve"> Empirical Review</w:t>
      </w:r>
    </w:p>
    <w:p w14:paraId="00028BE1" w14:textId="77777777" w:rsidR="008A4508" w:rsidRPr="008A4508" w:rsidRDefault="008A4508" w:rsidP="009463D0">
      <w:pPr>
        <w:pStyle w:val="BodyText"/>
        <w:rPr>
          <w:b/>
        </w:rPr>
      </w:pPr>
      <w:r w:rsidRPr="008A4508">
        <w:rPr>
          <w:b/>
        </w:rPr>
        <w:t>4.2.1 Profitability and Share Returns</w:t>
      </w:r>
    </w:p>
    <w:p w14:paraId="7CBCE291" w14:textId="77777777" w:rsidR="009463D0" w:rsidRPr="00A6540B" w:rsidRDefault="009463D0" w:rsidP="009463D0">
      <w:pPr>
        <w:pStyle w:val="BodyText"/>
      </w:pPr>
      <w:r w:rsidRPr="00A6540B">
        <w:t xml:space="preserve">Mwangi (2022) investigated the effect of taxation on economic growth in Kenya. This study was </w:t>
      </w:r>
      <w:r w:rsidRPr="00A6540B">
        <w:lastRenderedPageBreak/>
        <w:t>guided by the endogenous growth theory and the optimal tax theory. In order to determine the impact of taxation on economic growth in Kenya, the study employed a longitudinal research design. Secondary data was used from 1970 to 2020, a 51-year period.  Taxation, like interest rates, had a negative but insignificant impact on economic growth, according to the findings. This study was conducted in Kenya whereas the current study was conducted specifically among Agricultural Firms at the NSE on effect of taxation on shares returns, a gap filled by the analyzed data presented in chapter four.</w:t>
      </w:r>
    </w:p>
    <w:p w14:paraId="754CDED8" w14:textId="77777777" w:rsidR="009463D0" w:rsidRPr="00A6540B" w:rsidRDefault="009463D0" w:rsidP="009463D0">
      <w:pPr>
        <w:pStyle w:val="BodyText"/>
      </w:pPr>
      <w:r w:rsidRPr="00A6540B">
        <w:t>Taxation policy implementation costs, macroeconomic factors, and revenue collection in Kenya, according to Ndirangu (2022). The Rational Choice Theory, Adams Smith Canons of Taxation Theory, Allingham and Sandmo Theory, Stakeholders Theory, and Theory of Planned Behavior were all used in the study. The study used an informal quantitative research design. The study relied on secondary data gathered from the National Treasury and Kenya Revenue Authority over a 26-year period. There was no need to base the study on any sampling technique because the study was based on time series data based on costs incurred in implementing different taxation policies by KRA and National Treasury. Regression analysis revealed that Tax Enforcement Costs had a negative and significant impact on tax revenue collected by KRA in Kenya. This study was conducted in Kenya whereas the current study was conducted specifically among Agricultural Firms at the NSE on effect of taxation on shares returns, a gap filled by the analyzed data presented in chapter four.</w:t>
      </w:r>
    </w:p>
    <w:p w14:paraId="210DEA26" w14:textId="77777777" w:rsidR="009463D0" w:rsidRPr="00A6540B" w:rsidRDefault="009463D0" w:rsidP="009463D0">
      <w:pPr>
        <w:pStyle w:val="BodyText"/>
      </w:pPr>
      <w:r w:rsidRPr="00A6540B">
        <w:t xml:space="preserve">Obongo (2020) investigated the factors that influence tax compliance among Kenyan investors in Export Processing Zones. The Tax Morale Theory, Economic Theory of Compliance, Fiscal Exchange Theory, Social-Psychology Models, and Prospect Theory were all used in the study. The study's philosophical foundation was positivism. A cross-sectional survey research design was used in this study because it provides an accurate means of assessing information that captures respondents' similarities and </w:t>
      </w:r>
      <w:r w:rsidRPr="009463D0">
        <w:t>differences</w:t>
      </w:r>
      <w:r w:rsidRPr="00A6540B">
        <w:t>.  According to the study, the level of tax compliance among Kenyan investors in Export Processing Zones remains low. This study was conducted in Kenya whereas the current study was conducted specifically among Agricultural Firms at the NSE on effect of taxation on shares returns, a gap filled by the analyzed data presented in chapter four.</w:t>
      </w:r>
    </w:p>
    <w:p w14:paraId="2DDC7A04" w14:textId="77777777" w:rsidR="009463D0" w:rsidRDefault="009463D0" w:rsidP="009463D0">
      <w:pPr>
        <w:pStyle w:val="BodyText"/>
      </w:pPr>
      <w:r w:rsidRPr="00A6540B">
        <w:t>Mabinda (2021) investigated the factors that influence the investment perceptions of managers of firms listed on the Nairobi Securities Exchange in Kenya. The investment perception of firm managers is a critical organ of every business establishment's strategic plan. The success of new projects significantly contributes to the company's development, effectiveness, and growth. On the contrary, when a company project fails, the company's efficiency suffers, threatening its future existence.  The EGLS randomized approach had a positive impact on cash flow, business risk, and financial leverage, while portfolio income had a statistically significant positive impact on corporate investment visibility. This study was conducted among firms listed at NSE Kenya whereas the current study was conducted specifically among Agricultural Firms at the NSE on effect of taxation on shares returns, a gap filled by the analyzed data presented in chapter four.</w:t>
      </w:r>
      <w:r>
        <w:t xml:space="preserve"> </w:t>
      </w:r>
      <w:r w:rsidRPr="00A6540B">
        <w:t>Erin and Kewei (2017) investigate the impact of tax expense on aggregate stock returns for US companies in a related study. They obtain weighted NYSE/AMEX/Nasdaq/Area index monthly stock data from the Centre for Research in Securities Prices (CRSP) for the 1977Q1-2015Q4 sample period. According to the study's findings, aggregate tax expense, aggregate earnings management, aggregate tax avoidance, and future aggregate performance all have explanatory power</w:t>
      </w:r>
      <w:r w:rsidRPr="00A6540B">
        <w:rPr>
          <w:spacing w:val="-6"/>
        </w:rPr>
        <w:t xml:space="preserve"> </w:t>
      </w:r>
      <w:r w:rsidRPr="00A6540B">
        <w:t>on</w:t>
      </w:r>
      <w:r w:rsidRPr="00A6540B">
        <w:rPr>
          <w:spacing w:val="-3"/>
        </w:rPr>
        <w:t xml:space="preserve"> </w:t>
      </w:r>
      <w:r w:rsidRPr="00A6540B">
        <w:t>stock</w:t>
      </w:r>
      <w:r w:rsidRPr="00A6540B">
        <w:rPr>
          <w:spacing w:val="-3"/>
        </w:rPr>
        <w:t xml:space="preserve"> </w:t>
      </w:r>
      <w:r w:rsidRPr="00A6540B">
        <w:t>returns.</w:t>
      </w:r>
    </w:p>
    <w:p w14:paraId="7E41A67E" w14:textId="77777777" w:rsidR="001908A1" w:rsidRDefault="001908A1" w:rsidP="009463D0">
      <w:pPr>
        <w:pStyle w:val="BodyText"/>
      </w:pPr>
      <w:r>
        <w:t>Putri,</w:t>
      </w:r>
      <w:r>
        <w:rPr>
          <w:spacing w:val="-9"/>
        </w:rPr>
        <w:t xml:space="preserve"> </w:t>
      </w:r>
      <w:r>
        <w:t>Dewi,</w:t>
      </w:r>
      <w:r>
        <w:rPr>
          <w:spacing w:val="-7"/>
        </w:rPr>
        <w:t xml:space="preserve"> </w:t>
      </w:r>
      <w:r>
        <w:t>and</w:t>
      </w:r>
      <w:r>
        <w:rPr>
          <w:spacing w:val="-10"/>
        </w:rPr>
        <w:t xml:space="preserve"> </w:t>
      </w:r>
      <w:r>
        <w:t>Deni</w:t>
      </w:r>
      <w:r>
        <w:rPr>
          <w:spacing w:val="-9"/>
        </w:rPr>
        <w:t xml:space="preserve"> </w:t>
      </w:r>
      <w:r>
        <w:t>(2021)</w:t>
      </w:r>
      <w:r>
        <w:rPr>
          <w:spacing w:val="-10"/>
        </w:rPr>
        <w:t xml:space="preserve"> </w:t>
      </w:r>
      <w:r>
        <w:t>investigate</w:t>
      </w:r>
      <w:r>
        <w:rPr>
          <w:spacing w:val="-8"/>
        </w:rPr>
        <w:t xml:space="preserve"> </w:t>
      </w:r>
      <w:r>
        <w:t>the</w:t>
      </w:r>
      <w:r>
        <w:rPr>
          <w:spacing w:val="-8"/>
        </w:rPr>
        <w:t xml:space="preserve"> </w:t>
      </w:r>
      <w:r>
        <w:t>effect</w:t>
      </w:r>
      <w:r>
        <w:rPr>
          <w:spacing w:val="-7"/>
        </w:rPr>
        <w:t xml:space="preserve"> </w:t>
      </w:r>
      <w:r>
        <w:t>of</w:t>
      </w:r>
      <w:r>
        <w:rPr>
          <w:spacing w:val="-10"/>
        </w:rPr>
        <w:t xml:space="preserve"> </w:t>
      </w:r>
      <w:r>
        <w:t>profitability</w:t>
      </w:r>
      <w:r>
        <w:rPr>
          <w:spacing w:val="-10"/>
        </w:rPr>
        <w:t xml:space="preserve"> </w:t>
      </w:r>
      <w:r>
        <w:t>on</w:t>
      </w:r>
      <w:r>
        <w:rPr>
          <w:spacing w:val="-8"/>
        </w:rPr>
        <w:t xml:space="preserve"> </w:t>
      </w:r>
      <w:r>
        <w:t>share</w:t>
      </w:r>
      <w:r>
        <w:rPr>
          <w:spacing w:val="-11"/>
        </w:rPr>
        <w:t xml:space="preserve"> </w:t>
      </w:r>
      <w:r>
        <w:t>prices</w:t>
      </w:r>
      <w:r>
        <w:rPr>
          <w:spacing w:val="-9"/>
        </w:rPr>
        <w:t xml:space="preserve"> </w:t>
      </w:r>
      <w:r>
        <w:t>indirectly,</w:t>
      </w:r>
      <w:r>
        <w:rPr>
          <w:spacing w:val="-10"/>
        </w:rPr>
        <w:t xml:space="preserve"> </w:t>
      </w:r>
      <w:r>
        <w:t xml:space="preserve">using capital structure as the intervening variable, in a study on Indonesia's automotive sector-listed companies. The data is collected using documentation, and Path Analysis is used to measure the </w:t>
      </w:r>
      <w:r>
        <w:lastRenderedPageBreak/>
        <w:t>association with a 95% confidence level. They calculate profitability using Return on Equity (ROE)</w:t>
      </w:r>
      <w:r>
        <w:rPr>
          <w:spacing w:val="-7"/>
        </w:rPr>
        <w:t xml:space="preserve"> </w:t>
      </w:r>
      <w:r>
        <w:t>and</w:t>
      </w:r>
      <w:r>
        <w:rPr>
          <w:spacing w:val="-6"/>
        </w:rPr>
        <w:t xml:space="preserve"> </w:t>
      </w:r>
      <w:r>
        <w:t>capital</w:t>
      </w:r>
      <w:r>
        <w:rPr>
          <w:spacing w:val="-5"/>
        </w:rPr>
        <w:t xml:space="preserve"> </w:t>
      </w:r>
      <w:r>
        <w:t>structure</w:t>
      </w:r>
      <w:r>
        <w:rPr>
          <w:spacing w:val="-8"/>
        </w:rPr>
        <w:t xml:space="preserve"> </w:t>
      </w:r>
      <w:r>
        <w:t>using</w:t>
      </w:r>
      <w:r>
        <w:rPr>
          <w:spacing w:val="-5"/>
        </w:rPr>
        <w:t xml:space="preserve"> </w:t>
      </w:r>
      <w:r>
        <w:t>Debt-to-Equity</w:t>
      </w:r>
      <w:r>
        <w:rPr>
          <w:spacing w:val="-6"/>
        </w:rPr>
        <w:t xml:space="preserve"> </w:t>
      </w:r>
      <w:r>
        <w:t>Ratio</w:t>
      </w:r>
      <w:r>
        <w:rPr>
          <w:spacing w:val="-6"/>
        </w:rPr>
        <w:t xml:space="preserve"> </w:t>
      </w:r>
      <w:r>
        <w:t>(DER).</w:t>
      </w:r>
      <w:r>
        <w:rPr>
          <w:spacing w:val="-6"/>
        </w:rPr>
        <w:t xml:space="preserve"> </w:t>
      </w:r>
      <w:r>
        <w:t>For</w:t>
      </w:r>
      <w:r>
        <w:rPr>
          <w:spacing w:val="-7"/>
        </w:rPr>
        <w:t xml:space="preserve"> </w:t>
      </w:r>
      <w:r>
        <w:t>the</w:t>
      </w:r>
      <w:r>
        <w:rPr>
          <w:spacing w:val="-6"/>
        </w:rPr>
        <w:t xml:space="preserve"> </w:t>
      </w:r>
      <w:r>
        <w:t>2013-2017</w:t>
      </w:r>
      <w:r>
        <w:rPr>
          <w:spacing w:val="-6"/>
        </w:rPr>
        <w:t xml:space="preserve"> </w:t>
      </w:r>
      <w:r>
        <w:t>sample</w:t>
      </w:r>
      <w:r>
        <w:rPr>
          <w:spacing w:val="-7"/>
        </w:rPr>
        <w:t xml:space="preserve"> </w:t>
      </w:r>
      <w:r>
        <w:t>period, all</w:t>
      </w:r>
      <w:r>
        <w:rPr>
          <w:spacing w:val="-15"/>
        </w:rPr>
        <w:t xml:space="preserve"> </w:t>
      </w:r>
      <w:r>
        <w:t>companies</w:t>
      </w:r>
      <w:r>
        <w:rPr>
          <w:spacing w:val="-15"/>
        </w:rPr>
        <w:t xml:space="preserve"> </w:t>
      </w:r>
      <w:r>
        <w:t>listed</w:t>
      </w:r>
      <w:r>
        <w:rPr>
          <w:spacing w:val="-15"/>
        </w:rPr>
        <w:t xml:space="preserve"> </w:t>
      </w:r>
      <w:r>
        <w:t>on</w:t>
      </w:r>
      <w:r>
        <w:rPr>
          <w:spacing w:val="-15"/>
        </w:rPr>
        <w:t xml:space="preserve"> </w:t>
      </w:r>
      <w:r>
        <w:t>the</w:t>
      </w:r>
      <w:r>
        <w:rPr>
          <w:spacing w:val="-15"/>
        </w:rPr>
        <w:t xml:space="preserve"> </w:t>
      </w:r>
      <w:r>
        <w:t>Indonesian</w:t>
      </w:r>
      <w:r>
        <w:rPr>
          <w:spacing w:val="-15"/>
        </w:rPr>
        <w:t xml:space="preserve"> </w:t>
      </w:r>
      <w:r>
        <w:t>Stock</w:t>
      </w:r>
      <w:r>
        <w:rPr>
          <w:spacing w:val="-15"/>
        </w:rPr>
        <w:t xml:space="preserve"> </w:t>
      </w:r>
      <w:r>
        <w:t>Exchange</w:t>
      </w:r>
      <w:r>
        <w:rPr>
          <w:spacing w:val="-15"/>
        </w:rPr>
        <w:t xml:space="preserve"> </w:t>
      </w:r>
      <w:r>
        <w:t>(BEI)</w:t>
      </w:r>
      <w:r>
        <w:rPr>
          <w:spacing w:val="-15"/>
        </w:rPr>
        <w:t xml:space="preserve"> </w:t>
      </w:r>
      <w:r>
        <w:t>are</w:t>
      </w:r>
      <w:r>
        <w:rPr>
          <w:spacing w:val="-15"/>
        </w:rPr>
        <w:t xml:space="preserve"> </w:t>
      </w:r>
      <w:r>
        <w:t>examined.</w:t>
      </w:r>
      <w:r>
        <w:rPr>
          <w:spacing w:val="-15"/>
        </w:rPr>
        <w:t xml:space="preserve"> </w:t>
      </w:r>
      <w:r>
        <w:t>According</w:t>
      </w:r>
      <w:r>
        <w:rPr>
          <w:spacing w:val="-15"/>
        </w:rPr>
        <w:t xml:space="preserve"> </w:t>
      </w:r>
      <w:r>
        <w:t>to</w:t>
      </w:r>
      <w:r>
        <w:rPr>
          <w:spacing w:val="-15"/>
        </w:rPr>
        <w:t xml:space="preserve"> </w:t>
      </w:r>
      <w:r>
        <w:t>the</w:t>
      </w:r>
      <w:r>
        <w:rPr>
          <w:spacing w:val="-15"/>
        </w:rPr>
        <w:t xml:space="preserve"> </w:t>
      </w:r>
      <w:r>
        <w:t>study findings,</w:t>
      </w:r>
      <w:r>
        <w:rPr>
          <w:spacing w:val="-15"/>
        </w:rPr>
        <w:t xml:space="preserve"> </w:t>
      </w:r>
      <w:r>
        <w:t>neither</w:t>
      </w:r>
      <w:r>
        <w:rPr>
          <w:spacing w:val="-15"/>
        </w:rPr>
        <w:t xml:space="preserve"> </w:t>
      </w:r>
      <w:r>
        <w:t>profitability</w:t>
      </w:r>
      <w:r>
        <w:rPr>
          <w:spacing w:val="-15"/>
        </w:rPr>
        <w:t xml:space="preserve"> </w:t>
      </w:r>
      <w:r>
        <w:t>nor</w:t>
      </w:r>
      <w:r>
        <w:rPr>
          <w:spacing w:val="-15"/>
        </w:rPr>
        <w:t xml:space="preserve"> </w:t>
      </w:r>
      <w:r>
        <w:t>capital</w:t>
      </w:r>
      <w:r>
        <w:rPr>
          <w:spacing w:val="-15"/>
        </w:rPr>
        <w:t xml:space="preserve"> </w:t>
      </w:r>
      <w:r>
        <w:t>structure</w:t>
      </w:r>
      <w:r>
        <w:rPr>
          <w:spacing w:val="-15"/>
        </w:rPr>
        <w:t xml:space="preserve"> </w:t>
      </w:r>
      <w:r>
        <w:t>have</w:t>
      </w:r>
      <w:r>
        <w:rPr>
          <w:spacing w:val="-15"/>
        </w:rPr>
        <w:t xml:space="preserve"> </w:t>
      </w:r>
      <w:r>
        <w:t>a</w:t>
      </w:r>
      <w:r>
        <w:rPr>
          <w:spacing w:val="-15"/>
        </w:rPr>
        <w:t xml:space="preserve"> </w:t>
      </w:r>
      <w:r>
        <w:t>significant</w:t>
      </w:r>
      <w:r>
        <w:rPr>
          <w:spacing w:val="-15"/>
        </w:rPr>
        <w:t xml:space="preserve"> </w:t>
      </w:r>
      <w:r>
        <w:t>negative</w:t>
      </w:r>
      <w:r>
        <w:rPr>
          <w:spacing w:val="-15"/>
        </w:rPr>
        <w:t xml:space="preserve"> </w:t>
      </w:r>
      <w:r>
        <w:t>effect</w:t>
      </w:r>
      <w:r>
        <w:rPr>
          <w:spacing w:val="-15"/>
        </w:rPr>
        <w:t xml:space="preserve"> </w:t>
      </w:r>
      <w:r>
        <w:t>on</w:t>
      </w:r>
      <w:r>
        <w:rPr>
          <w:spacing w:val="-15"/>
        </w:rPr>
        <w:t xml:space="preserve"> </w:t>
      </w:r>
      <w:r>
        <w:t>stock</w:t>
      </w:r>
      <w:r>
        <w:rPr>
          <w:spacing w:val="-15"/>
        </w:rPr>
        <w:t xml:space="preserve"> </w:t>
      </w:r>
      <w:r>
        <w:t>return, but</w:t>
      </w:r>
      <w:r>
        <w:rPr>
          <w:spacing w:val="-12"/>
        </w:rPr>
        <w:t xml:space="preserve"> </w:t>
      </w:r>
      <w:r>
        <w:t>profitability</w:t>
      </w:r>
      <w:r>
        <w:rPr>
          <w:spacing w:val="-12"/>
        </w:rPr>
        <w:t xml:space="preserve"> </w:t>
      </w:r>
      <w:r>
        <w:t>has</w:t>
      </w:r>
      <w:r>
        <w:rPr>
          <w:spacing w:val="-12"/>
        </w:rPr>
        <w:t xml:space="preserve"> </w:t>
      </w:r>
      <w:r>
        <w:t>a</w:t>
      </w:r>
      <w:r>
        <w:rPr>
          <w:spacing w:val="-13"/>
        </w:rPr>
        <w:t xml:space="preserve"> </w:t>
      </w:r>
      <w:r>
        <w:t>direct</w:t>
      </w:r>
      <w:r>
        <w:rPr>
          <w:spacing w:val="-12"/>
        </w:rPr>
        <w:t xml:space="preserve"> </w:t>
      </w:r>
      <w:r>
        <w:t>effect</w:t>
      </w:r>
      <w:r>
        <w:rPr>
          <w:spacing w:val="-12"/>
        </w:rPr>
        <w:t xml:space="preserve"> </w:t>
      </w:r>
      <w:r>
        <w:t>on</w:t>
      </w:r>
      <w:r>
        <w:rPr>
          <w:spacing w:val="-12"/>
        </w:rPr>
        <w:t xml:space="preserve"> </w:t>
      </w:r>
      <w:r>
        <w:t>stock</w:t>
      </w:r>
      <w:r>
        <w:rPr>
          <w:spacing w:val="-10"/>
        </w:rPr>
        <w:t xml:space="preserve"> </w:t>
      </w:r>
      <w:r>
        <w:t>return.</w:t>
      </w:r>
      <w:r>
        <w:rPr>
          <w:spacing w:val="-8"/>
        </w:rPr>
        <w:t xml:space="preserve"> </w:t>
      </w:r>
      <w:r>
        <w:t>This</w:t>
      </w:r>
      <w:r>
        <w:rPr>
          <w:spacing w:val="-12"/>
        </w:rPr>
        <w:t xml:space="preserve"> </w:t>
      </w:r>
      <w:r>
        <w:t>effect</w:t>
      </w:r>
      <w:r>
        <w:rPr>
          <w:spacing w:val="-12"/>
        </w:rPr>
        <w:t xml:space="preserve"> </w:t>
      </w:r>
      <w:r>
        <w:t>has</w:t>
      </w:r>
      <w:r>
        <w:rPr>
          <w:spacing w:val="-12"/>
        </w:rPr>
        <w:t xml:space="preserve"> </w:t>
      </w:r>
      <w:r>
        <w:t>no</w:t>
      </w:r>
      <w:r>
        <w:rPr>
          <w:spacing w:val="-10"/>
        </w:rPr>
        <w:t xml:space="preserve"> </w:t>
      </w:r>
      <w:r>
        <w:t>established</w:t>
      </w:r>
      <w:r>
        <w:rPr>
          <w:spacing w:val="-12"/>
        </w:rPr>
        <w:t xml:space="preserve"> </w:t>
      </w:r>
      <w:r>
        <w:t>significance.</w:t>
      </w:r>
      <w:r>
        <w:rPr>
          <w:spacing w:val="-12"/>
        </w:rPr>
        <w:t xml:space="preserve"> </w:t>
      </w:r>
      <w:r>
        <w:t>This study was conducted in Indonesian, and it did not examine the relationship between profitability and</w:t>
      </w:r>
      <w:r>
        <w:rPr>
          <w:spacing w:val="-7"/>
        </w:rPr>
        <w:t xml:space="preserve"> </w:t>
      </w:r>
      <w:r>
        <w:t>share</w:t>
      </w:r>
      <w:r>
        <w:rPr>
          <w:spacing w:val="-9"/>
        </w:rPr>
        <w:t xml:space="preserve"> </w:t>
      </w:r>
      <w:r>
        <w:t>returns</w:t>
      </w:r>
      <w:r>
        <w:rPr>
          <w:spacing w:val="-7"/>
        </w:rPr>
        <w:t xml:space="preserve"> </w:t>
      </w:r>
      <w:r>
        <w:t>of</w:t>
      </w:r>
      <w:r>
        <w:rPr>
          <w:spacing w:val="-8"/>
        </w:rPr>
        <w:t xml:space="preserve"> </w:t>
      </w:r>
      <w:r>
        <w:t>agricultural</w:t>
      </w:r>
      <w:r>
        <w:rPr>
          <w:spacing w:val="-7"/>
        </w:rPr>
        <w:t xml:space="preserve"> </w:t>
      </w:r>
      <w:r>
        <w:t>firms</w:t>
      </w:r>
      <w:r>
        <w:rPr>
          <w:spacing w:val="-7"/>
        </w:rPr>
        <w:t xml:space="preserve"> </w:t>
      </w:r>
      <w:r>
        <w:t>listed</w:t>
      </w:r>
      <w:r>
        <w:rPr>
          <w:spacing w:val="-8"/>
        </w:rPr>
        <w:t xml:space="preserve"> </w:t>
      </w:r>
      <w:r>
        <w:t>on</w:t>
      </w:r>
      <w:r>
        <w:rPr>
          <w:spacing w:val="-7"/>
        </w:rPr>
        <w:t xml:space="preserve"> </w:t>
      </w:r>
      <w:r>
        <w:t>the</w:t>
      </w:r>
      <w:r>
        <w:rPr>
          <w:spacing w:val="-10"/>
        </w:rPr>
        <w:t xml:space="preserve"> </w:t>
      </w:r>
      <w:r>
        <w:t>Nairobi</w:t>
      </w:r>
      <w:r>
        <w:rPr>
          <w:spacing w:val="-7"/>
        </w:rPr>
        <w:t xml:space="preserve"> </w:t>
      </w:r>
      <w:r>
        <w:t>Stock</w:t>
      </w:r>
      <w:r>
        <w:rPr>
          <w:spacing w:val="-8"/>
        </w:rPr>
        <w:t xml:space="preserve"> </w:t>
      </w:r>
      <w:r>
        <w:t>Exchange</w:t>
      </w:r>
      <w:r>
        <w:rPr>
          <w:spacing w:val="-6"/>
        </w:rPr>
        <w:t xml:space="preserve"> </w:t>
      </w:r>
      <w:r>
        <w:t>(NSE),</w:t>
      </w:r>
      <w:r>
        <w:rPr>
          <w:spacing w:val="-7"/>
        </w:rPr>
        <w:t xml:space="preserve"> </w:t>
      </w:r>
      <w:r>
        <w:t>which</w:t>
      </w:r>
      <w:r>
        <w:rPr>
          <w:spacing w:val="-7"/>
        </w:rPr>
        <w:t xml:space="preserve"> </w:t>
      </w:r>
      <w:r>
        <w:t>is</w:t>
      </w:r>
      <w:r>
        <w:rPr>
          <w:spacing w:val="-7"/>
        </w:rPr>
        <w:t xml:space="preserve"> </w:t>
      </w:r>
      <w:r>
        <w:t>a</w:t>
      </w:r>
      <w:r>
        <w:rPr>
          <w:spacing w:val="-8"/>
        </w:rPr>
        <w:t xml:space="preserve"> </w:t>
      </w:r>
      <w:r>
        <w:t>gap in the literature that the current study fills.</w:t>
      </w:r>
    </w:p>
    <w:p w14:paraId="379D3512" w14:textId="77777777" w:rsidR="001908A1" w:rsidRDefault="001908A1" w:rsidP="009463D0">
      <w:pPr>
        <w:pStyle w:val="BodyText"/>
      </w:pPr>
      <w:r>
        <w:t>Dewi, Dewa, Anak, and Gede (2021) investigated Return on Assets (ROA), Return on Equity (ROE), and Net Profit Margin (NPM) as predictors of stock returns of companies listed on the Indonesian Stock Exchange (IDX). They obtained data from 83 of the 105 companies using non- participant observational techniques. Over the 2013-2017 sample period, the authors regressed NPM,</w:t>
      </w:r>
      <w:r>
        <w:rPr>
          <w:spacing w:val="-9"/>
        </w:rPr>
        <w:t xml:space="preserve"> </w:t>
      </w:r>
      <w:r>
        <w:t>ROA,</w:t>
      </w:r>
      <w:r>
        <w:rPr>
          <w:spacing w:val="-10"/>
        </w:rPr>
        <w:t xml:space="preserve"> </w:t>
      </w:r>
      <w:r>
        <w:t>and</w:t>
      </w:r>
      <w:r>
        <w:rPr>
          <w:spacing w:val="-10"/>
        </w:rPr>
        <w:t xml:space="preserve"> </w:t>
      </w:r>
      <w:r>
        <w:t>ROE</w:t>
      </w:r>
      <w:r>
        <w:rPr>
          <w:spacing w:val="-10"/>
        </w:rPr>
        <w:t xml:space="preserve"> </w:t>
      </w:r>
      <w:r>
        <w:t>on</w:t>
      </w:r>
      <w:r>
        <w:rPr>
          <w:spacing w:val="-9"/>
        </w:rPr>
        <w:t xml:space="preserve"> </w:t>
      </w:r>
      <w:r>
        <w:t>stock</w:t>
      </w:r>
      <w:r>
        <w:rPr>
          <w:spacing w:val="-9"/>
        </w:rPr>
        <w:t xml:space="preserve"> </w:t>
      </w:r>
      <w:r>
        <w:t>price</w:t>
      </w:r>
      <w:r>
        <w:rPr>
          <w:spacing w:val="-9"/>
        </w:rPr>
        <w:t xml:space="preserve"> </w:t>
      </w:r>
      <w:r>
        <w:t>changes</w:t>
      </w:r>
      <w:r>
        <w:rPr>
          <w:spacing w:val="-8"/>
        </w:rPr>
        <w:t xml:space="preserve"> </w:t>
      </w:r>
      <w:r>
        <w:t>(stock</w:t>
      </w:r>
      <w:r>
        <w:rPr>
          <w:spacing w:val="-10"/>
        </w:rPr>
        <w:t xml:space="preserve"> </w:t>
      </w:r>
      <w:r>
        <w:t>returns).</w:t>
      </w:r>
      <w:r>
        <w:rPr>
          <w:spacing w:val="-10"/>
        </w:rPr>
        <w:t xml:space="preserve"> </w:t>
      </w:r>
      <w:r>
        <w:t>Both</w:t>
      </w:r>
      <w:r>
        <w:rPr>
          <w:spacing w:val="-9"/>
        </w:rPr>
        <w:t xml:space="preserve"> </w:t>
      </w:r>
      <w:r>
        <w:t>ROA</w:t>
      </w:r>
      <w:r>
        <w:rPr>
          <w:spacing w:val="-11"/>
        </w:rPr>
        <w:t xml:space="preserve"> </w:t>
      </w:r>
      <w:r>
        <w:t>and</w:t>
      </w:r>
      <w:r>
        <w:rPr>
          <w:spacing w:val="-10"/>
        </w:rPr>
        <w:t xml:space="preserve"> </w:t>
      </w:r>
      <w:r>
        <w:t>NPM</w:t>
      </w:r>
      <w:r>
        <w:rPr>
          <w:spacing w:val="-9"/>
        </w:rPr>
        <w:t xml:space="preserve"> </w:t>
      </w:r>
      <w:r>
        <w:t>had</w:t>
      </w:r>
      <w:r>
        <w:rPr>
          <w:spacing w:val="-10"/>
        </w:rPr>
        <w:t xml:space="preserve"> </w:t>
      </w:r>
      <w:r>
        <w:t>significant positive</w:t>
      </w:r>
      <w:r>
        <w:rPr>
          <w:spacing w:val="9"/>
        </w:rPr>
        <w:t xml:space="preserve"> </w:t>
      </w:r>
      <w:r>
        <w:t>effects</w:t>
      </w:r>
      <w:r>
        <w:rPr>
          <w:spacing w:val="11"/>
        </w:rPr>
        <w:t xml:space="preserve"> </w:t>
      </w:r>
      <w:r>
        <w:t>on</w:t>
      </w:r>
      <w:r>
        <w:rPr>
          <w:spacing w:val="10"/>
        </w:rPr>
        <w:t xml:space="preserve"> </w:t>
      </w:r>
      <w:r>
        <w:t>stock</w:t>
      </w:r>
      <w:r>
        <w:rPr>
          <w:spacing w:val="8"/>
        </w:rPr>
        <w:t xml:space="preserve"> </w:t>
      </w:r>
      <w:r>
        <w:t>returns,</w:t>
      </w:r>
      <w:r>
        <w:rPr>
          <w:spacing w:val="10"/>
        </w:rPr>
        <w:t xml:space="preserve"> </w:t>
      </w:r>
      <w:r>
        <w:t>according</w:t>
      </w:r>
      <w:r>
        <w:rPr>
          <w:spacing w:val="10"/>
        </w:rPr>
        <w:t xml:space="preserve"> </w:t>
      </w:r>
      <w:r>
        <w:t>to</w:t>
      </w:r>
      <w:r>
        <w:rPr>
          <w:spacing w:val="11"/>
        </w:rPr>
        <w:t xml:space="preserve"> </w:t>
      </w:r>
      <w:r>
        <w:t>the</w:t>
      </w:r>
      <w:r>
        <w:rPr>
          <w:spacing w:val="7"/>
        </w:rPr>
        <w:t xml:space="preserve"> </w:t>
      </w:r>
      <w:r>
        <w:t>findings,</w:t>
      </w:r>
      <w:r>
        <w:rPr>
          <w:spacing w:val="11"/>
        </w:rPr>
        <w:t xml:space="preserve"> </w:t>
      </w:r>
      <w:r>
        <w:t>while</w:t>
      </w:r>
      <w:r>
        <w:rPr>
          <w:spacing w:val="10"/>
        </w:rPr>
        <w:t xml:space="preserve"> </w:t>
      </w:r>
      <w:r>
        <w:t>ROE</w:t>
      </w:r>
      <w:r>
        <w:rPr>
          <w:spacing w:val="10"/>
        </w:rPr>
        <w:t xml:space="preserve"> </w:t>
      </w:r>
      <w:r>
        <w:t>had</w:t>
      </w:r>
      <w:r>
        <w:rPr>
          <w:spacing w:val="8"/>
        </w:rPr>
        <w:t xml:space="preserve"> </w:t>
      </w:r>
      <w:r>
        <w:t>no</w:t>
      </w:r>
      <w:r>
        <w:rPr>
          <w:spacing w:val="10"/>
        </w:rPr>
        <w:t xml:space="preserve"> </w:t>
      </w:r>
      <w:r>
        <w:t>effect.</w:t>
      </w:r>
      <w:r>
        <w:rPr>
          <w:spacing w:val="11"/>
        </w:rPr>
        <w:t xml:space="preserve"> </w:t>
      </w:r>
      <w:r>
        <w:t>This</w:t>
      </w:r>
      <w:r>
        <w:rPr>
          <w:spacing w:val="12"/>
        </w:rPr>
        <w:t xml:space="preserve"> </w:t>
      </w:r>
      <w:r>
        <w:rPr>
          <w:spacing w:val="-2"/>
        </w:rPr>
        <w:t xml:space="preserve">study </w:t>
      </w:r>
      <w:r>
        <w:t>was</w:t>
      </w:r>
      <w:r>
        <w:rPr>
          <w:spacing w:val="-6"/>
        </w:rPr>
        <w:t xml:space="preserve"> </w:t>
      </w:r>
      <w:r>
        <w:t>conducted</w:t>
      </w:r>
      <w:r>
        <w:rPr>
          <w:spacing w:val="-6"/>
        </w:rPr>
        <w:t xml:space="preserve"> </w:t>
      </w:r>
      <w:r>
        <w:t>in</w:t>
      </w:r>
      <w:r>
        <w:rPr>
          <w:spacing w:val="-1"/>
        </w:rPr>
        <w:t xml:space="preserve"> </w:t>
      </w:r>
      <w:r>
        <w:t>Indonesian</w:t>
      </w:r>
      <w:r>
        <w:rPr>
          <w:spacing w:val="-6"/>
        </w:rPr>
        <w:t xml:space="preserve"> </w:t>
      </w:r>
      <w:r>
        <w:t>and</w:t>
      </w:r>
      <w:r>
        <w:rPr>
          <w:spacing w:val="-6"/>
        </w:rPr>
        <w:t xml:space="preserve"> </w:t>
      </w:r>
      <w:r>
        <w:t>did</w:t>
      </w:r>
      <w:r>
        <w:rPr>
          <w:spacing w:val="-3"/>
        </w:rPr>
        <w:t xml:space="preserve"> </w:t>
      </w:r>
      <w:r>
        <w:t>not</w:t>
      </w:r>
      <w:r>
        <w:rPr>
          <w:spacing w:val="-5"/>
        </w:rPr>
        <w:t xml:space="preserve"> </w:t>
      </w:r>
      <w:r>
        <w:t>examine</w:t>
      </w:r>
      <w:r>
        <w:rPr>
          <w:spacing w:val="-4"/>
        </w:rPr>
        <w:t xml:space="preserve"> </w:t>
      </w:r>
      <w:r>
        <w:t>the</w:t>
      </w:r>
      <w:r>
        <w:rPr>
          <w:spacing w:val="-6"/>
        </w:rPr>
        <w:t xml:space="preserve"> </w:t>
      </w:r>
      <w:r>
        <w:t>relationship</w:t>
      </w:r>
      <w:r>
        <w:rPr>
          <w:spacing w:val="-5"/>
        </w:rPr>
        <w:t xml:space="preserve"> </w:t>
      </w:r>
      <w:r>
        <w:t>between</w:t>
      </w:r>
      <w:r>
        <w:rPr>
          <w:spacing w:val="-1"/>
        </w:rPr>
        <w:t xml:space="preserve"> </w:t>
      </w:r>
      <w:r>
        <w:t>profitability</w:t>
      </w:r>
      <w:r>
        <w:rPr>
          <w:spacing w:val="-6"/>
        </w:rPr>
        <w:t xml:space="preserve"> </w:t>
      </w:r>
      <w:r>
        <w:t>and</w:t>
      </w:r>
      <w:r>
        <w:rPr>
          <w:spacing w:val="-6"/>
        </w:rPr>
        <w:t xml:space="preserve"> </w:t>
      </w:r>
      <w:r>
        <w:t>share returns of agricultural firms listed on the Nairobi Stock Exchange (NSE), Kenya.</w:t>
      </w:r>
    </w:p>
    <w:p w14:paraId="2509D2C6" w14:textId="77777777" w:rsidR="008A4508" w:rsidRPr="008A4508" w:rsidRDefault="008A4508" w:rsidP="009463D0">
      <w:pPr>
        <w:pStyle w:val="BodyText"/>
        <w:rPr>
          <w:b/>
        </w:rPr>
      </w:pPr>
      <w:r w:rsidRPr="008A4508">
        <w:rPr>
          <w:b/>
        </w:rPr>
        <w:t>4.2.2 Liquidity and Share Returns</w:t>
      </w:r>
    </w:p>
    <w:p w14:paraId="04E7CA9A" w14:textId="77777777" w:rsidR="00E77F49" w:rsidRDefault="00E77F49" w:rsidP="009463D0">
      <w:pPr>
        <w:pStyle w:val="BodyText"/>
      </w:pPr>
      <w:r>
        <w:t>Mogusu, Nkari and Wabire (2023) analyzed the effect of Liquidity risk on Shareholders’ wealth of Commercial Banks listed at the NSE. Descriptive research design was adopted. The target population was eleven commercial banks that had been constantly listed at the NSE from 2013-2019. A census was conducted to collect data from the eleven banks due to the smallness of the population. Data was collected using a checklist. Data was obtained from published financial statements and the Banking survey publications for seven years from 2013 to 2019. Data was analyzed using simple and multiple regression analysis with the help of SPSS version 25.0. Hypothesis was tested using t-statistic at 5% significance level. The study found that liquidity risk had a negative effect on shareholders’ wealth (regression coefficient -0.556, p-value of 0.023). Firms that have high liquidity have more cash flow and are able to take investment opportunities and hence increase shareholders’ value. Commercial banks should come up with ways of minimizing this risk. This study was carried out among commercial banks in Kenya compared to the current study carried out in Nairobi Security Exchange which is the gap filled by the presented results below.</w:t>
      </w:r>
    </w:p>
    <w:p w14:paraId="4B543329" w14:textId="77777777" w:rsidR="00E77F49" w:rsidRDefault="00E77F49" w:rsidP="009463D0">
      <w:pPr>
        <w:pStyle w:val="BodyText"/>
      </w:pPr>
      <w:r>
        <w:t>Musembi (2018) did a study to determine the influence of liquidity risk factors on financial performance of listed commercial banks at Nairobi Securities Exchange in Kenya. Descriptive research design was used. The target population of the study was 11 listed commercial banks at the NSE. Primary data was collected using a questionnaire. The study adopted stratified random sampling and found that liquidity risk positively affects performance. This study adopted a dependent variable which was performance whereas this current research employed shareholders’ wealth as dependent variable. Similarly, this study did not use any moderating variable while the current study used operational efficiency as a moderating variable on the relationship between financial risk and shareholders’ wealth of listed commercial banks.</w:t>
      </w:r>
    </w:p>
    <w:p w14:paraId="783B9517" w14:textId="77777777" w:rsidR="00427ED7" w:rsidRDefault="00427ED7" w:rsidP="009463D0">
      <w:pPr>
        <w:pStyle w:val="BodyText"/>
      </w:pPr>
      <w:r>
        <w:t xml:space="preserve">Korir (2019) conducted an empirical study liquidity and its role on Kenyan Banks financial performance. In his study he used only secondary data. This study used a census approach on all the fourty four Kenyan commercial banks that were in existence as at that date. Descriptive research design and Ordinary least squares regression method will be applied for a period of 6 years. Regression and correlation approaches examined liquidity influence on performance based on </w:t>
      </w:r>
      <w:r>
        <w:lastRenderedPageBreak/>
        <w:t xml:space="preserve">financial approach. Findings showed a positive but strong association between liquidity and financial performance. In his conclusion liquidity positively affected financial performance. An empirical study by Gweyi, Oloko and Olweny (2018) examined the effect of Liquidity on performance of Kenyan deposit taking SACCOs. The findings were that though liquidity risk had a positive effect on performance of deposit taking SACCOs the influence was negative. The recommendations on this findings were that bank leaders can s olve liquidity risks by availing enough cash reserves. This study focused on deposit taking Savings and Credit Cooperatives Societies in Kenya and failed to monitor commercial banks in Kenya. The current study used secondary data through published bank reports and not primary data as used in above study. </w:t>
      </w:r>
    </w:p>
    <w:p w14:paraId="20D39476" w14:textId="77777777" w:rsidR="008A4508" w:rsidRDefault="008A4508" w:rsidP="008A4508">
      <w:pPr>
        <w:pStyle w:val="BodyText"/>
      </w:pPr>
      <w:r>
        <w:rPr>
          <w:shd w:val="clear" w:color="auto" w:fill="FFFFFF"/>
        </w:rPr>
        <w:t>Waweru and Oribu (2023) established that as of December 2017, the Development Bank of Kenya posted a negative liquidity position at 21.6% against the required legal threshold of 20%. For the National Bank of Kenya, the close of 2017 saw the total deposit liability standing at negative 5.5%, while core capital to total assets averaged negative 7.9%. As of 2018, NBK registered a drop in profit by 84% to stand at Kshs. 21.97 billion. The findings were that liquidity ratio requirements (β= 0.345, p&lt; 0.05); cash reserve ratio requirement β=-0.008, p&lt; 0.05); loan deposit ratio requirement (β=-0.020, p&lt; 0.05) &amp; capital adequacy ratio requirement (β= 0.032, p&lt; 0.05) are significant predictors of financial performance of commercial banks in Kenya. The study concludes that liquidity requirements are a significant predictor of the financial performance of commercial banks in Kenya</w:t>
      </w:r>
    </w:p>
    <w:p w14:paraId="6FF32524" w14:textId="77777777" w:rsidR="00E875F0" w:rsidRDefault="00A71CBC" w:rsidP="007A2D80">
      <w:pPr>
        <w:pStyle w:val="Heading1"/>
        <w:tabs>
          <w:tab w:val="left" w:pos="3070"/>
        </w:tabs>
        <w:ind w:left="-1" w:right="213"/>
        <w:jc w:val="left"/>
      </w:pPr>
      <w:r>
        <w:t xml:space="preserve">4.3 </w:t>
      </w:r>
      <w:r w:rsidR="007F27FB">
        <w:t>RESEARCH</w:t>
      </w:r>
      <w:r w:rsidR="007F27FB">
        <w:rPr>
          <w:spacing w:val="-15"/>
        </w:rPr>
        <w:t xml:space="preserve"> </w:t>
      </w:r>
      <w:r w:rsidR="007F27FB">
        <w:t>METHODOLOGY</w:t>
      </w:r>
    </w:p>
    <w:p w14:paraId="5DE4D1B5" w14:textId="77777777" w:rsidR="002252F3" w:rsidRPr="00A6540B" w:rsidRDefault="007F27FB" w:rsidP="002252F3">
      <w:pPr>
        <w:pStyle w:val="BodyText"/>
      </w:pPr>
      <w:r>
        <w:t xml:space="preserve">This study adopted a descriptive </w:t>
      </w:r>
      <w:r w:rsidR="002252F3">
        <w:t>census</w:t>
      </w:r>
      <w:r>
        <w:t xml:space="preserve"> design to establish</w:t>
      </w:r>
      <w:r>
        <w:rPr>
          <w:spacing w:val="60"/>
        </w:rPr>
        <w:t xml:space="preserve"> </w:t>
      </w:r>
      <w:r w:rsidR="002252F3" w:rsidRPr="00A6540B">
        <w:t>the</w:t>
      </w:r>
      <w:r w:rsidR="002252F3" w:rsidRPr="00A6540B">
        <w:rPr>
          <w:spacing w:val="40"/>
        </w:rPr>
        <w:t xml:space="preserve"> </w:t>
      </w:r>
      <w:r w:rsidR="002252F3" w:rsidRPr="00A6540B">
        <w:t>moderating</w:t>
      </w:r>
      <w:r w:rsidR="002252F3" w:rsidRPr="00A6540B">
        <w:rPr>
          <w:spacing w:val="40"/>
        </w:rPr>
        <w:t xml:space="preserve"> </w:t>
      </w:r>
      <w:r w:rsidR="002252F3" w:rsidRPr="00A6540B">
        <w:t>effect</w:t>
      </w:r>
      <w:r w:rsidR="002252F3" w:rsidRPr="00A6540B">
        <w:rPr>
          <w:spacing w:val="40"/>
        </w:rPr>
        <w:t xml:space="preserve"> </w:t>
      </w:r>
      <w:r w:rsidR="002252F3" w:rsidRPr="00A6540B">
        <w:t>of</w:t>
      </w:r>
      <w:r w:rsidR="002252F3" w:rsidRPr="00A6540B">
        <w:rPr>
          <w:spacing w:val="40"/>
        </w:rPr>
        <w:t xml:space="preserve"> </w:t>
      </w:r>
      <w:r w:rsidR="002252F3" w:rsidRPr="00A6540B">
        <w:t>tax</w:t>
      </w:r>
      <w:r w:rsidR="002252F3" w:rsidRPr="00A6540B">
        <w:rPr>
          <w:spacing w:val="40"/>
        </w:rPr>
        <w:t xml:space="preserve"> </w:t>
      </w:r>
      <w:r w:rsidR="002252F3" w:rsidRPr="00A6540B">
        <w:t>on</w:t>
      </w:r>
      <w:r w:rsidR="002252F3" w:rsidRPr="00A6540B">
        <w:rPr>
          <w:spacing w:val="40"/>
        </w:rPr>
        <w:t xml:space="preserve"> </w:t>
      </w:r>
      <w:r w:rsidR="002252F3" w:rsidRPr="00A6540B">
        <w:t>the</w:t>
      </w:r>
      <w:r w:rsidR="002252F3" w:rsidRPr="00A6540B">
        <w:rPr>
          <w:spacing w:val="40"/>
        </w:rPr>
        <w:t xml:space="preserve"> </w:t>
      </w:r>
      <w:r w:rsidR="002252F3" w:rsidRPr="00A6540B">
        <w:t>relationship</w:t>
      </w:r>
      <w:r w:rsidR="002252F3" w:rsidRPr="00A6540B">
        <w:rPr>
          <w:spacing w:val="40"/>
        </w:rPr>
        <w:t xml:space="preserve"> </w:t>
      </w:r>
      <w:r w:rsidR="002252F3" w:rsidRPr="00A6540B">
        <w:t>between</w:t>
      </w:r>
      <w:r w:rsidR="002252F3" w:rsidRPr="00A6540B">
        <w:rPr>
          <w:spacing w:val="40"/>
        </w:rPr>
        <w:t xml:space="preserve"> </w:t>
      </w:r>
      <w:r w:rsidR="002252F3" w:rsidRPr="00A6540B">
        <w:t>firm</w:t>
      </w:r>
      <w:r w:rsidR="002252F3" w:rsidRPr="00A6540B">
        <w:rPr>
          <w:spacing w:val="40"/>
        </w:rPr>
        <w:t xml:space="preserve"> </w:t>
      </w:r>
      <w:r w:rsidR="002252F3" w:rsidRPr="00A6540B">
        <w:t>financial</w:t>
      </w:r>
      <w:r w:rsidR="002252F3" w:rsidRPr="00A6540B">
        <w:rPr>
          <w:spacing w:val="80"/>
        </w:rPr>
        <w:t xml:space="preserve"> </w:t>
      </w:r>
      <w:r w:rsidR="002252F3" w:rsidRPr="00A6540B">
        <w:t>indicators and share returns on Agricultural Firms listed at NSE, Kenya</w:t>
      </w:r>
      <w:r>
        <w:t xml:space="preserve">. All the </w:t>
      </w:r>
      <w:r w:rsidR="002252F3">
        <w:t>seven (7)</w:t>
      </w:r>
      <w:r>
        <w:t xml:space="preserve"> were targeted </w:t>
      </w:r>
      <w:r w:rsidR="002252F3" w:rsidRPr="00A6540B">
        <w:t>Agricultural Firms listed at NSE, Kenya</w:t>
      </w:r>
      <w:r w:rsidR="002252F3">
        <w:t xml:space="preserve"> </w:t>
      </w:r>
      <w:r>
        <w:t>between 20</w:t>
      </w:r>
      <w:r w:rsidR="002252F3">
        <w:t>1</w:t>
      </w:r>
      <w:r>
        <w:t>8 and 20</w:t>
      </w:r>
      <w:r w:rsidR="002252F3">
        <w:t>22</w:t>
      </w:r>
      <w:r>
        <w:t xml:space="preserve">. </w:t>
      </w:r>
      <w:r w:rsidR="002252F3" w:rsidRPr="00A6540B">
        <w:t>The moderating effect of tax on firm financial indicators and share returns on agricultural firms listed at NSE, Kenya was tested using the following model,</w:t>
      </w:r>
    </w:p>
    <w:p w14:paraId="2E4E01DE" w14:textId="77777777" w:rsidR="002252F3" w:rsidRPr="00A6540B" w:rsidRDefault="002252F3" w:rsidP="002252F3">
      <w:pPr>
        <w:rPr>
          <w:sz w:val="16"/>
        </w:rPr>
      </w:pPr>
      <w:r w:rsidRPr="00A6540B">
        <w:t>Y</w:t>
      </w:r>
      <w:r w:rsidRPr="00A6540B">
        <w:rPr>
          <w:sz w:val="16"/>
        </w:rPr>
        <w:t>it</w:t>
      </w:r>
      <w:r w:rsidRPr="00A6540B">
        <w:rPr>
          <w:spacing w:val="24"/>
          <w:sz w:val="16"/>
        </w:rPr>
        <w:t xml:space="preserve"> </w:t>
      </w:r>
      <w:r w:rsidRPr="00A6540B">
        <w:t>= β</w:t>
      </w:r>
      <w:r w:rsidRPr="00A6540B">
        <w:rPr>
          <w:sz w:val="16"/>
        </w:rPr>
        <w:t>0</w:t>
      </w:r>
      <w:r w:rsidRPr="00A6540B">
        <w:rPr>
          <w:spacing w:val="25"/>
          <w:sz w:val="16"/>
        </w:rPr>
        <w:t xml:space="preserve"> </w:t>
      </w:r>
      <w:r w:rsidRPr="00A6540B">
        <w:t>+ β</w:t>
      </w:r>
      <w:r w:rsidRPr="00A6540B">
        <w:rPr>
          <w:sz w:val="16"/>
        </w:rPr>
        <w:t>1</w:t>
      </w:r>
      <w:r w:rsidRPr="00A6540B">
        <w:t>X1</w:t>
      </w:r>
      <w:r w:rsidRPr="00A6540B">
        <w:rPr>
          <w:sz w:val="16"/>
        </w:rPr>
        <w:t>it</w:t>
      </w:r>
      <w:r w:rsidRPr="00A6540B">
        <w:rPr>
          <w:spacing w:val="24"/>
          <w:sz w:val="16"/>
        </w:rPr>
        <w:t xml:space="preserve"> </w:t>
      </w:r>
      <w:r w:rsidRPr="00A6540B">
        <w:t>+ β</w:t>
      </w:r>
      <w:r w:rsidRPr="00A6540B">
        <w:rPr>
          <w:sz w:val="16"/>
        </w:rPr>
        <w:t>2</w:t>
      </w:r>
      <w:r w:rsidRPr="00A6540B">
        <w:rPr>
          <w:spacing w:val="25"/>
          <w:sz w:val="16"/>
        </w:rPr>
        <w:t xml:space="preserve"> </w:t>
      </w:r>
      <w:r w:rsidRPr="00A6540B">
        <w:t>X2</w:t>
      </w:r>
      <w:r w:rsidRPr="00A6540B">
        <w:rPr>
          <w:sz w:val="16"/>
        </w:rPr>
        <w:t>it</w:t>
      </w:r>
      <w:r w:rsidR="00C504B5">
        <w:rPr>
          <w:spacing w:val="24"/>
          <w:sz w:val="16"/>
        </w:rPr>
        <w:t xml:space="preserve"> </w:t>
      </w:r>
      <w:r w:rsidR="00C504B5">
        <w:t xml:space="preserve">+ </w:t>
      </w:r>
      <w:r w:rsidRPr="00A6540B">
        <w:t>ITE+ β</w:t>
      </w:r>
      <w:r w:rsidR="00C504B5">
        <w:rPr>
          <w:sz w:val="16"/>
        </w:rPr>
        <w:t>3</w:t>
      </w:r>
      <w:r w:rsidRPr="00A6540B">
        <w:rPr>
          <w:spacing w:val="25"/>
          <w:sz w:val="16"/>
        </w:rPr>
        <w:t xml:space="preserve"> </w:t>
      </w:r>
      <w:r w:rsidRPr="00A6540B">
        <w:t>X</w:t>
      </w:r>
      <w:r w:rsidR="00C504B5">
        <w:t>3</w:t>
      </w:r>
      <w:r w:rsidRPr="00A6540B">
        <w:rPr>
          <w:sz w:val="16"/>
        </w:rPr>
        <w:t>it</w:t>
      </w:r>
      <w:r w:rsidRPr="00A6540B">
        <w:rPr>
          <w:spacing w:val="24"/>
          <w:sz w:val="16"/>
        </w:rPr>
        <w:t xml:space="preserve"> </w:t>
      </w:r>
      <w:r w:rsidR="00C504B5">
        <w:rPr>
          <w:spacing w:val="24"/>
          <w:sz w:val="16"/>
        </w:rPr>
        <w:t xml:space="preserve">+ </w:t>
      </w:r>
      <w:r w:rsidRPr="00A6540B">
        <w:t>ITE + β</w:t>
      </w:r>
      <w:r w:rsidR="00C504B5">
        <w:rPr>
          <w:sz w:val="16"/>
        </w:rPr>
        <w:t>4</w:t>
      </w:r>
      <w:r w:rsidRPr="00A6540B">
        <w:t>X</w:t>
      </w:r>
      <w:r w:rsidR="00C504B5">
        <w:t>4</w:t>
      </w:r>
      <w:r w:rsidRPr="00A6540B">
        <w:rPr>
          <w:sz w:val="16"/>
        </w:rPr>
        <w:t>it</w:t>
      </w:r>
      <w:r w:rsidRPr="00A6540B">
        <w:rPr>
          <w:spacing w:val="24"/>
          <w:sz w:val="16"/>
        </w:rPr>
        <w:t xml:space="preserve"> </w:t>
      </w:r>
      <w:r w:rsidRPr="00A6540B">
        <w:t xml:space="preserve">+ </w:t>
      </w:r>
      <w:r w:rsidRPr="00A6540B">
        <w:rPr>
          <w:sz w:val="28"/>
        </w:rPr>
        <w:t>ε</w:t>
      </w:r>
      <w:r w:rsidRPr="00A6540B">
        <w:rPr>
          <w:sz w:val="16"/>
        </w:rPr>
        <w:t>it</w:t>
      </w:r>
    </w:p>
    <w:p w14:paraId="01AA77D2" w14:textId="77777777" w:rsidR="002252F3" w:rsidRPr="00A6540B" w:rsidRDefault="002252F3" w:rsidP="002252F3">
      <w:pPr>
        <w:pStyle w:val="BodyText"/>
        <w:spacing w:before="240"/>
      </w:pPr>
      <w:r w:rsidRPr="00A6540B">
        <w:rPr>
          <w:spacing w:val="-2"/>
        </w:rPr>
        <w:t>Where;</w:t>
      </w:r>
    </w:p>
    <w:p w14:paraId="03C3626C" w14:textId="77777777" w:rsidR="002252F3" w:rsidRDefault="002252F3" w:rsidP="002252F3">
      <w:pPr>
        <w:rPr>
          <w:spacing w:val="-2"/>
        </w:rPr>
      </w:pPr>
      <w:r w:rsidRPr="00A6540B">
        <w:t>ITE</w:t>
      </w:r>
      <w:r w:rsidRPr="00A6540B">
        <w:rPr>
          <w:spacing w:val="-1"/>
        </w:rPr>
        <w:t xml:space="preserve"> </w:t>
      </w:r>
      <w:r w:rsidRPr="00A6540B">
        <w:t>=</w:t>
      </w:r>
      <w:r w:rsidRPr="00A6540B">
        <w:rPr>
          <w:spacing w:val="-3"/>
        </w:rPr>
        <w:t xml:space="preserve"> </w:t>
      </w:r>
      <w:r w:rsidRPr="00A6540B">
        <w:t>Moderating</w:t>
      </w:r>
      <w:r w:rsidRPr="00A6540B">
        <w:rPr>
          <w:spacing w:val="-2"/>
        </w:rPr>
        <w:t xml:space="preserve"> </w:t>
      </w:r>
      <w:r w:rsidRPr="00A6540B">
        <w:t>variable</w:t>
      </w:r>
      <w:r w:rsidRPr="00A6540B">
        <w:rPr>
          <w:spacing w:val="-2"/>
        </w:rPr>
        <w:t xml:space="preserve"> </w:t>
      </w:r>
      <w:r w:rsidRPr="00A6540B">
        <w:t>(Income</w:t>
      </w:r>
      <w:r w:rsidRPr="00A6540B">
        <w:rPr>
          <w:spacing w:val="-2"/>
        </w:rPr>
        <w:t xml:space="preserve"> </w:t>
      </w:r>
      <w:r w:rsidRPr="00A6540B">
        <w:t>Tax</w:t>
      </w:r>
      <w:r w:rsidRPr="00A6540B">
        <w:rPr>
          <w:spacing w:val="-1"/>
        </w:rPr>
        <w:t xml:space="preserve"> </w:t>
      </w:r>
      <w:r w:rsidRPr="00A6540B">
        <w:rPr>
          <w:spacing w:val="-2"/>
        </w:rPr>
        <w:t>Expense)</w:t>
      </w:r>
    </w:p>
    <w:p w14:paraId="79A38660" w14:textId="77777777" w:rsidR="002252F3" w:rsidRPr="00A6540B" w:rsidRDefault="002252F3" w:rsidP="002252F3">
      <w:r w:rsidRPr="00A6540B">
        <w:t>Y</w:t>
      </w:r>
      <w:r w:rsidRPr="00A6540B">
        <w:rPr>
          <w:spacing w:val="-1"/>
        </w:rPr>
        <w:t xml:space="preserve"> </w:t>
      </w:r>
      <w:r w:rsidRPr="00A6540B">
        <w:t>=</w:t>
      </w:r>
      <w:r w:rsidRPr="00A6540B">
        <w:rPr>
          <w:spacing w:val="-2"/>
        </w:rPr>
        <w:t xml:space="preserve"> </w:t>
      </w:r>
      <w:r w:rsidRPr="00A6540B">
        <w:t xml:space="preserve">Share </w:t>
      </w:r>
      <w:r w:rsidRPr="00A6540B">
        <w:rPr>
          <w:spacing w:val="-2"/>
        </w:rPr>
        <w:t>return</w:t>
      </w:r>
    </w:p>
    <w:p w14:paraId="11670A1A" w14:textId="77777777" w:rsidR="002252F3" w:rsidRPr="00A6540B" w:rsidRDefault="002252F3" w:rsidP="002252F3">
      <w:r w:rsidRPr="00A6540B">
        <w:rPr>
          <w:position w:val="2"/>
        </w:rPr>
        <w:t>β</w:t>
      </w:r>
      <w:r w:rsidRPr="00A6540B">
        <w:t>0</w:t>
      </w:r>
      <w:r w:rsidRPr="00A6540B">
        <w:rPr>
          <w:spacing w:val="14"/>
        </w:rPr>
        <w:t xml:space="preserve"> </w:t>
      </w:r>
      <w:r w:rsidRPr="00A6540B">
        <w:rPr>
          <w:position w:val="2"/>
        </w:rPr>
        <w:t>=</w:t>
      </w:r>
      <w:r w:rsidRPr="00A6540B">
        <w:rPr>
          <w:spacing w:val="-8"/>
          <w:position w:val="2"/>
        </w:rPr>
        <w:t xml:space="preserve"> </w:t>
      </w:r>
      <w:r w:rsidRPr="00A6540B">
        <w:rPr>
          <w:position w:val="2"/>
        </w:rPr>
        <w:t>refers</w:t>
      </w:r>
      <w:r w:rsidRPr="00A6540B">
        <w:rPr>
          <w:spacing w:val="-7"/>
          <w:position w:val="2"/>
        </w:rPr>
        <w:t xml:space="preserve"> </w:t>
      </w:r>
      <w:r w:rsidRPr="00A6540B">
        <w:rPr>
          <w:position w:val="2"/>
        </w:rPr>
        <w:t>to</w:t>
      </w:r>
      <w:r w:rsidRPr="00A6540B">
        <w:rPr>
          <w:spacing w:val="-7"/>
          <w:position w:val="2"/>
        </w:rPr>
        <w:t xml:space="preserve"> </w:t>
      </w:r>
      <w:r w:rsidRPr="00A6540B">
        <w:rPr>
          <w:position w:val="2"/>
        </w:rPr>
        <w:t>the</w:t>
      </w:r>
      <w:r w:rsidRPr="00A6540B">
        <w:rPr>
          <w:spacing w:val="-6"/>
          <w:position w:val="2"/>
        </w:rPr>
        <w:t xml:space="preserve"> </w:t>
      </w:r>
      <w:r w:rsidRPr="00A6540B">
        <w:rPr>
          <w:position w:val="2"/>
        </w:rPr>
        <w:t>autonomous</w:t>
      </w:r>
      <w:r w:rsidRPr="00A6540B">
        <w:rPr>
          <w:spacing w:val="-7"/>
          <w:position w:val="2"/>
        </w:rPr>
        <w:t xml:space="preserve"> </w:t>
      </w:r>
      <w:r w:rsidRPr="00A6540B">
        <w:rPr>
          <w:position w:val="2"/>
        </w:rPr>
        <w:t xml:space="preserve">constant, </w:t>
      </w:r>
      <w:r w:rsidRPr="00A6540B">
        <w:t>X1 = Liquidity;</w:t>
      </w:r>
    </w:p>
    <w:p w14:paraId="38FB4E1A" w14:textId="77777777" w:rsidR="002252F3" w:rsidRPr="00A6540B" w:rsidRDefault="002252F3" w:rsidP="002252F3">
      <w:r w:rsidRPr="00A6540B">
        <w:t>X</w:t>
      </w:r>
      <w:r w:rsidR="00C504B5">
        <w:t>2</w:t>
      </w:r>
      <w:r w:rsidRPr="00A6540B">
        <w:rPr>
          <w:spacing w:val="-15"/>
        </w:rPr>
        <w:t xml:space="preserve"> </w:t>
      </w:r>
      <w:r w:rsidRPr="00A6540B">
        <w:t>=</w:t>
      </w:r>
      <w:r w:rsidRPr="00A6540B">
        <w:rPr>
          <w:spacing w:val="-15"/>
        </w:rPr>
        <w:t xml:space="preserve"> </w:t>
      </w:r>
      <w:r w:rsidRPr="00A6540B">
        <w:t>Profitability;</w:t>
      </w:r>
    </w:p>
    <w:p w14:paraId="1BF0204D" w14:textId="77777777" w:rsidR="00E875F0" w:rsidRDefault="007F27FB" w:rsidP="002252F3">
      <w:pPr>
        <w:pStyle w:val="BodyText"/>
        <w:ind w:right="213"/>
      </w:pPr>
      <w:r>
        <w:t>.</w:t>
      </w:r>
    </w:p>
    <w:p w14:paraId="6613F02E" w14:textId="77777777" w:rsidR="00A71CBC" w:rsidRDefault="00A71CBC" w:rsidP="002252F3">
      <w:pPr>
        <w:pStyle w:val="BodyText"/>
        <w:ind w:right="213"/>
      </w:pPr>
    </w:p>
    <w:p w14:paraId="25F1F61F" w14:textId="77777777" w:rsidR="00A71CBC" w:rsidRDefault="00A71CBC" w:rsidP="002252F3">
      <w:pPr>
        <w:pStyle w:val="BodyText"/>
        <w:ind w:right="213"/>
      </w:pPr>
    </w:p>
    <w:p w14:paraId="4E7BBBD5" w14:textId="77777777" w:rsidR="00A71CBC" w:rsidRDefault="00A71CBC" w:rsidP="002252F3">
      <w:pPr>
        <w:pStyle w:val="BodyText"/>
        <w:ind w:right="213"/>
      </w:pPr>
    </w:p>
    <w:p w14:paraId="7BE1B989" w14:textId="77777777" w:rsidR="00A71CBC" w:rsidRDefault="00A71CBC" w:rsidP="002252F3">
      <w:pPr>
        <w:pStyle w:val="BodyText"/>
        <w:ind w:right="213"/>
      </w:pPr>
    </w:p>
    <w:p w14:paraId="1D97B0D6" w14:textId="77777777" w:rsidR="00A71CBC" w:rsidRDefault="00A71CBC" w:rsidP="002252F3">
      <w:pPr>
        <w:pStyle w:val="BodyText"/>
        <w:ind w:right="213"/>
      </w:pPr>
    </w:p>
    <w:p w14:paraId="5F67C327" w14:textId="77777777" w:rsidR="00A71CBC" w:rsidRDefault="00A71CBC" w:rsidP="002252F3">
      <w:pPr>
        <w:pStyle w:val="BodyText"/>
        <w:ind w:right="213"/>
      </w:pPr>
    </w:p>
    <w:p w14:paraId="2AB69EF6" w14:textId="77777777" w:rsidR="00E875F0" w:rsidRDefault="00A71CBC" w:rsidP="007A2D80">
      <w:pPr>
        <w:pStyle w:val="Heading1"/>
        <w:tabs>
          <w:tab w:val="left" w:pos="2532"/>
        </w:tabs>
        <w:spacing w:line="273" w:lineRule="exact"/>
        <w:ind w:left="16"/>
        <w:jc w:val="left"/>
      </w:pPr>
      <w:r>
        <w:t xml:space="preserve">5.0 </w:t>
      </w:r>
      <w:r w:rsidR="007F27FB">
        <w:t>RESEARCH</w:t>
      </w:r>
      <w:r w:rsidR="007F27FB">
        <w:rPr>
          <w:spacing w:val="-13"/>
        </w:rPr>
        <w:t xml:space="preserve"> </w:t>
      </w:r>
      <w:r w:rsidR="007F27FB">
        <w:t>FINDINGS</w:t>
      </w:r>
      <w:r w:rsidR="007F27FB">
        <w:rPr>
          <w:spacing w:val="-13"/>
        </w:rPr>
        <w:t xml:space="preserve"> </w:t>
      </w:r>
      <w:r w:rsidR="007F27FB">
        <w:t>AND</w:t>
      </w:r>
      <w:r w:rsidR="007F27FB">
        <w:rPr>
          <w:spacing w:val="-15"/>
        </w:rPr>
        <w:t xml:space="preserve"> </w:t>
      </w:r>
      <w:r w:rsidR="007F27FB">
        <w:t>DISCUSSIONS</w:t>
      </w:r>
    </w:p>
    <w:p w14:paraId="3AFD1D82" w14:textId="77777777" w:rsidR="00E161BF" w:rsidRDefault="00E161BF" w:rsidP="00532C52">
      <w:pPr>
        <w:pStyle w:val="Heading3"/>
        <w:rPr>
          <w:b/>
          <w:color w:val="auto"/>
        </w:rPr>
      </w:pPr>
      <w:r>
        <w:rPr>
          <w:b/>
          <w:color w:val="auto"/>
        </w:rPr>
        <w:lastRenderedPageBreak/>
        <w:t>5.0.1 Effect of Liquidity and Profitability on Share Returns</w:t>
      </w:r>
    </w:p>
    <w:p w14:paraId="1B61CB69" w14:textId="77777777" w:rsidR="00E161BF" w:rsidRPr="00E161BF" w:rsidRDefault="00E161BF" w:rsidP="00E161BF">
      <w:pPr>
        <w:pStyle w:val="Caption"/>
      </w:pPr>
      <w:r>
        <w:t xml:space="preserve">Table </w:t>
      </w:r>
      <w:r>
        <w:fldChar w:fldCharType="begin"/>
      </w:r>
      <w:r>
        <w:instrText xml:space="preserve"> SEQ Table \* ARABIC </w:instrText>
      </w:r>
      <w:r>
        <w:fldChar w:fldCharType="separate"/>
      </w:r>
      <w:r>
        <w:rPr>
          <w:noProof/>
        </w:rPr>
        <w:t>1</w:t>
      </w:r>
      <w:r>
        <w:rPr>
          <w:noProof/>
        </w:rPr>
        <w:fldChar w:fldCharType="end"/>
      </w:r>
      <w:r>
        <w:t xml:space="preserve">: </w:t>
      </w:r>
      <w:r w:rsidRPr="00E161BF">
        <w:t>Effect of Liquidity and Profitability on Share Returns</w:t>
      </w:r>
    </w:p>
    <w:tbl>
      <w:tblPr>
        <w:tblW w:w="9877" w:type="dxa"/>
        <w:tblLook w:val="04A0" w:firstRow="1" w:lastRow="0" w:firstColumn="1" w:lastColumn="0" w:noHBand="0" w:noVBand="1"/>
      </w:tblPr>
      <w:tblGrid>
        <w:gridCol w:w="1492"/>
        <w:gridCol w:w="1253"/>
        <w:gridCol w:w="2093"/>
        <w:gridCol w:w="948"/>
        <w:gridCol w:w="2683"/>
        <w:gridCol w:w="1408"/>
      </w:tblGrid>
      <w:tr w:rsidR="00E161BF" w:rsidRPr="00E161BF" w14:paraId="107B6131" w14:textId="77777777" w:rsidTr="00E161BF">
        <w:trPr>
          <w:trHeight w:val="291"/>
        </w:trPr>
        <w:tc>
          <w:tcPr>
            <w:tcW w:w="1492" w:type="dxa"/>
            <w:tcBorders>
              <w:top w:val="single" w:sz="4" w:space="0" w:color="auto"/>
              <w:left w:val="nil"/>
              <w:bottom w:val="single" w:sz="4" w:space="0" w:color="auto"/>
              <w:right w:val="nil"/>
            </w:tcBorders>
            <w:shd w:val="clear" w:color="auto" w:fill="auto"/>
            <w:noWrap/>
            <w:vAlign w:val="bottom"/>
            <w:hideMark/>
          </w:tcPr>
          <w:p w14:paraId="11C5440E" w14:textId="77777777" w:rsidR="00E161BF" w:rsidRPr="00E161BF" w:rsidRDefault="00E161BF" w:rsidP="00E161BF">
            <w:pPr>
              <w:widowControl/>
              <w:autoSpaceDE/>
              <w:autoSpaceDN/>
              <w:rPr>
                <w:b/>
                <w:bCs/>
                <w:color w:val="000000"/>
                <w:sz w:val="24"/>
                <w:szCs w:val="24"/>
              </w:rPr>
            </w:pPr>
            <w:r w:rsidRPr="00E161BF">
              <w:rPr>
                <w:b/>
                <w:bCs/>
                <w:color w:val="000000"/>
                <w:sz w:val="24"/>
                <w:szCs w:val="24"/>
              </w:rPr>
              <w:t>Source</w:t>
            </w:r>
          </w:p>
        </w:tc>
        <w:tc>
          <w:tcPr>
            <w:tcW w:w="1253" w:type="dxa"/>
            <w:tcBorders>
              <w:top w:val="single" w:sz="4" w:space="0" w:color="auto"/>
              <w:left w:val="nil"/>
              <w:bottom w:val="single" w:sz="4" w:space="0" w:color="auto"/>
              <w:right w:val="nil"/>
            </w:tcBorders>
            <w:shd w:val="clear" w:color="auto" w:fill="auto"/>
            <w:noWrap/>
            <w:vAlign w:val="bottom"/>
            <w:hideMark/>
          </w:tcPr>
          <w:p w14:paraId="57D07672" w14:textId="77777777" w:rsidR="00E161BF" w:rsidRPr="00E161BF" w:rsidRDefault="00E161BF" w:rsidP="00E161BF">
            <w:pPr>
              <w:widowControl/>
              <w:autoSpaceDE/>
              <w:autoSpaceDN/>
              <w:rPr>
                <w:b/>
                <w:bCs/>
                <w:color w:val="000000"/>
                <w:sz w:val="24"/>
                <w:szCs w:val="24"/>
              </w:rPr>
            </w:pPr>
            <w:r w:rsidRPr="00E161BF">
              <w:rPr>
                <w:b/>
                <w:bCs/>
                <w:color w:val="000000"/>
                <w:sz w:val="24"/>
                <w:szCs w:val="24"/>
              </w:rPr>
              <w:t>SS</w:t>
            </w:r>
          </w:p>
        </w:tc>
        <w:tc>
          <w:tcPr>
            <w:tcW w:w="3041" w:type="dxa"/>
            <w:gridSpan w:val="2"/>
            <w:tcBorders>
              <w:top w:val="single" w:sz="4" w:space="0" w:color="auto"/>
              <w:left w:val="nil"/>
              <w:bottom w:val="single" w:sz="4" w:space="0" w:color="auto"/>
              <w:right w:val="nil"/>
            </w:tcBorders>
            <w:shd w:val="clear" w:color="auto" w:fill="auto"/>
            <w:noWrap/>
            <w:vAlign w:val="bottom"/>
            <w:hideMark/>
          </w:tcPr>
          <w:p w14:paraId="735CD771" w14:textId="77777777" w:rsidR="00E161BF" w:rsidRPr="00E161BF" w:rsidRDefault="00E161BF" w:rsidP="00E161BF">
            <w:pPr>
              <w:widowControl/>
              <w:autoSpaceDE/>
              <w:autoSpaceDN/>
              <w:rPr>
                <w:b/>
                <w:bCs/>
                <w:color w:val="000000"/>
                <w:sz w:val="24"/>
                <w:szCs w:val="24"/>
              </w:rPr>
            </w:pPr>
            <w:r w:rsidRPr="00E161BF">
              <w:rPr>
                <w:b/>
                <w:bCs/>
                <w:color w:val="000000"/>
                <w:sz w:val="24"/>
                <w:szCs w:val="24"/>
              </w:rPr>
              <w:t>df       MS</w:t>
            </w:r>
          </w:p>
        </w:tc>
        <w:tc>
          <w:tcPr>
            <w:tcW w:w="2683" w:type="dxa"/>
            <w:tcBorders>
              <w:top w:val="single" w:sz="4" w:space="0" w:color="auto"/>
              <w:left w:val="nil"/>
              <w:bottom w:val="single" w:sz="4" w:space="0" w:color="auto"/>
              <w:right w:val="nil"/>
            </w:tcBorders>
            <w:shd w:val="clear" w:color="auto" w:fill="auto"/>
            <w:noWrap/>
            <w:vAlign w:val="bottom"/>
            <w:hideMark/>
          </w:tcPr>
          <w:p w14:paraId="4BC1F6B2" w14:textId="77777777" w:rsidR="00E161BF" w:rsidRPr="00E161BF" w:rsidRDefault="00E161BF" w:rsidP="00E161BF">
            <w:pPr>
              <w:widowControl/>
              <w:autoSpaceDE/>
              <w:autoSpaceDN/>
              <w:rPr>
                <w:b/>
                <w:bCs/>
                <w:color w:val="000000"/>
                <w:sz w:val="24"/>
                <w:szCs w:val="24"/>
              </w:rPr>
            </w:pPr>
            <w:r w:rsidRPr="00E161BF">
              <w:rPr>
                <w:b/>
                <w:bCs/>
                <w:color w:val="000000"/>
                <w:sz w:val="24"/>
                <w:szCs w:val="24"/>
              </w:rPr>
              <w:t>Number of obs</w:t>
            </w:r>
          </w:p>
        </w:tc>
        <w:tc>
          <w:tcPr>
            <w:tcW w:w="1408" w:type="dxa"/>
            <w:tcBorders>
              <w:top w:val="single" w:sz="4" w:space="0" w:color="auto"/>
              <w:left w:val="nil"/>
              <w:bottom w:val="single" w:sz="4" w:space="0" w:color="auto"/>
              <w:right w:val="nil"/>
            </w:tcBorders>
            <w:shd w:val="clear" w:color="auto" w:fill="auto"/>
            <w:noWrap/>
            <w:vAlign w:val="bottom"/>
            <w:hideMark/>
          </w:tcPr>
          <w:p w14:paraId="6B21F330" w14:textId="77777777" w:rsidR="00E161BF" w:rsidRPr="00E161BF" w:rsidRDefault="00E161BF" w:rsidP="00E161BF">
            <w:pPr>
              <w:widowControl/>
              <w:autoSpaceDE/>
              <w:autoSpaceDN/>
              <w:jc w:val="right"/>
              <w:rPr>
                <w:b/>
                <w:bCs/>
                <w:color w:val="000000"/>
                <w:sz w:val="24"/>
                <w:szCs w:val="24"/>
              </w:rPr>
            </w:pPr>
            <w:r w:rsidRPr="00E161BF">
              <w:rPr>
                <w:b/>
                <w:bCs/>
                <w:color w:val="000000"/>
                <w:sz w:val="24"/>
                <w:szCs w:val="24"/>
              </w:rPr>
              <w:t>35</w:t>
            </w:r>
          </w:p>
        </w:tc>
      </w:tr>
      <w:tr w:rsidR="00E161BF" w:rsidRPr="00E161BF" w14:paraId="144DA22F" w14:textId="77777777" w:rsidTr="00E161BF">
        <w:trPr>
          <w:trHeight w:val="291"/>
        </w:trPr>
        <w:tc>
          <w:tcPr>
            <w:tcW w:w="1492" w:type="dxa"/>
            <w:tcBorders>
              <w:top w:val="nil"/>
              <w:left w:val="nil"/>
              <w:bottom w:val="nil"/>
              <w:right w:val="nil"/>
            </w:tcBorders>
            <w:shd w:val="clear" w:color="auto" w:fill="auto"/>
            <w:noWrap/>
            <w:vAlign w:val="bottom"/>
            <w:hideMark/>
          </w:tcPr>
          <w:p w14:paraId="684C45E0" w14:textId="77777777" w:rsidR="00E161BF" w:rsidRPr="00E161BF" w:rsidRDefault="00E161BF" w:rsidP="00E161BF">
            <w:pPr>
              <w:widowControl/>
              <w:autoSpaceDE/>
              <w:autoSpaceDN/>
              <w:jc w:val="right"/>
              <w:rPr>
                <w:b/>
                <w:bCs/>
                <w:color w:val="000000"/>
                <w:sz w:val="24"/>
                <w:szCs w:val="24"/>
              </w:rPr>
            </w:pPr>
          </w:p>
        </w:tc>
        <w:tc>
          <w:tcPr>
            <w:tcW w:w="1253" w:type="dxa"/>
            <w:tcBorders>
              <w:top w:val="nil"/>
              <w:left w:val="nil"/>
              <w:bottom w:val="nil"/>
              <w:right w:val="nil"/>
            </w:tcBorders>
            <w:shd w:val="clear" w:color="auto" w:fill="auto"/>
            <w:noWrap/>
            <w:vAlign w:val="bottom"/>
            <w:hideMark/>
          </w:tcPr>
          <w:p w14:paraId="5121A19A" w14:textId="77777777" w:rsidR="00E161BF" w:rsidRPr="00E161BF" w:rsidRDefault="00E161BF" w:rsidP="00E161BF">
            <w:pPr>
              <w:widowControl/>
              <w:autoSpaceDE/>
              <w:autoSpaceDN/>
              <w:rPr>
                <w:sz w:val="20"/>
                <w:szCs w:val="20"/>
              </w:rPr>
            </w:pPr>
          </w:p>
        </w:tc>
        <w:tc>
          <w:tcPr>
            <w:tcW w:w="2093" w:type="dxa"/>
            <w:tcBorders>
              <w:top w:val="nil"/>
              <w:left w:val="nil"/>
              <w:bottom w:val="nil"/>
              <w:right w:val="nil"/>
            </w:tcBorders>
            <w:shd w:val="clear" w:color="auto" w:fill="auto"/>
            <w:noWrap/>
            <w:vAlign w:val="bottom"/>
            <w:hideMark/>
          </w:tcPr>
          <w:p w14:paraId="12417B1F" w14:textId="77777777" w:rsidR="00E161BF" w:rsidRPr="00E161BF" w:rsidRDefault="00E161BF" w:rsidP="00E161BF">
            <w:pPr>
              <w:widowControl/>
              <w:autoSpaceDE/>
              <w:autoSpaceDN/>
              <w:rPr>
                <w:sz w:val="20"/>
                <w:szCs w:val="20"/>
              </w:rPr>
            </w:pPr>
          </w:p>
        </w:tc>
        <w:tc>
          <w:tcPr>
            <w:tcW w:w="948" w:type="dxa"/>
            <w:tcBorders>
              <w:top w:val="nil"/>
              <w:left w:val="nil"/>
              <w:bottom w:val="nil"/>
              <w:right w:val="nil"/>
            </w:tcBorders>
            <w:shd w:val="clear" w:color="auto" w:fill="auto"/>
            <w:noWrap/>
            <w:vAlign w:val="bottom"/>
            <w:hideMark/>
          </w:tcPr>
          <w:p w14:paraId="751D167F" w14:textId="77777777" w:rsidR="00E161BF" w:rsidRPr="00E161BF" w:rsidRDefault="00E161BF" w:rsidP="00E161BF">
            <w:pPr>
              <w:widowControl/>
              <w:autoSpaceDE/>
              <w:autoSpaceDN/>
              <w:rPr>
                <w:sz w:val="20"/>
                <w:szCs w:val="20"/>
              </w:rPr>
            </w:pPr>
          </w:p>
        </w:tc>
        <w:tc>
          <w:tcPr>
            <w:tcW w:w="2683" w:type="dxa"/>
            <w:tcBorders>
              <w:top w:val="nil"/>
              <w:left w:val="nil"/>
              <w:bottom w:val="nil"/>
              <w:right w:val="nil"/>
            </w:tcBorders>
            <w:shd w:val="clear" w:color="auto" w:fill="auto"/>
            <w:noWrap/>
            <w:vAlign w:val="bottom"/>
            <w:hideMark/>
          </w:tcPr>
          <w:p w14:paraId="77F4F5DA" w14:textId="77777777" w:rsidR="00E161BF" w:rsidRPr="00E161BF" w:rsidRDefault="00E161BF" w:rsidP="00E161BF">
            <w:pPr>
              <w:widowControl/>
              <w:autoSpaceDE/>
              <w:autoSpaceDN/>
              <w:rPr>
                <w:color w:val="000000"/>
                <w:sz w:val="24"/>
                <w:szCs w:val="24"/>
              </w:rPr>
            </w:pPr>
            <w:r w:rsidRPr="00E161BF">
              <w:rPr>
                <w:color w:val="000000"/>
                <w:sz w:val="24"/>
                <w:szCs w:val="24"/>
              </w:rPr>
              <w:t>F(  2,    32)</w:t>
            </w:r>
          </w:p>
        </w:tc>
        <w:tc>
          <w:tcPr>
            <w:tcW w:w="1408" w:type="dxa"/>
            <w:tcBorders>
              <w:top w:val="nil"/>
              <w:left w:val="nil"/>
              <w:bottom w:val="nil"/>
              <w:right w:val="nil"/>
            </w:tcBorders>
            <w:shd w:val="clear" w:color="auto" w:fill="auto"/>
            <w:noWrap/>
            <w:vAlign w:val="bottom"/>
            <w:hideMark/>
          </w:tcPr>
          <w:p w14:paraId="0B88A5CF" w14:textId="77777777" w:rsidR="00E161BF" w:rsidRPr="00E161BF" w:rsidRDefault="00E161BF" w:rsidP="00E161BF">
            <w:pPr>
              <w:widowControl/>
              <w:autoSpaceDE/>
              <w:autoSpaceDN/>
              <w:jc w:val="right"/>
              <w:rPr>
                <w:color w:val="000000"/>
                <w:sz w:val="24"/>
                <w:szCs w:val="24"/>
              </w:rPr>
            </w:pPr>
            <w:r w:rsidRPr="00E161BF">
              <w:rPr>
                <w:color w:val="000000"/>
                <w:sz w:val="24"/>
                <w:szCs w:val="24"/>
              </w:rPr>
              <w:t>6.17</w:t>
            </w:r>
          </w:p>
        </w:tc>
      </w:tr>
      <w:tr w:rsidR="00E161BF" w:rsidRPr="00E161BF" w14:paraId="4BD1209D" w14:textId="77777777" w:rsidTr="00E161BF">
        <w:trPr>
          <w:trHeight w:val="291"/>
        </w:trPr>
        <w:tc>
          <w:tcPr>
            <w:tcW w:w="1492" w:type="dxa"/>
            <w:tcBorders>
              <w:top w:val="nil"/>
              <w:left w:val="nil"/>
              <w:bottom w:val="nil"/>
              <w:right w:val="nil"/>
            </w:tcBorders>
            <w:shd w:val="clear" w:color="auto" w:fill="auto"/>
            <w:noWrap/>
            <w:vAlign w:val="bottom"/>
            <w:hideMark/>
          </w:tcPr>
          <w:p w14:paraId="0153B075" w14:textId="77777777" w:rsidR="00E161BF" w:rsidRPr="00E161BF" w:rsidRDefault="00E161BF" w:rsidP="00E161BF">
            <w:pPr>
              <w:widowControl/>
              <w:autoSpaceDE/>
              <w:autoSpaceDN/>
              <w:rPr>
                <w:color w:val="000000"/>
                <w:sz w:val="24"/>
                <w:szCs w:val="24"/>
              </w:rPr>
            </w:pPr>
            <w:r w:rsidRPr="00E161BF">
              <w:rPr>
                <w:color w:val="000000"/>
                <w:sz w:val="24"/>
                <w:szCs w:val="24"/>
              </w:rPr>
              <w:t>Model</w:t>
            </w:r>
          </w:p>
        </w:tc>
        <w:tc>
          <w:tcPr>
            <w:tcW w:w="1253" w:type="dxa"/>
            <w:tcBorders>
              <w:top w:val="nil"/>
              <w:left w:val="nil"/>
              <w:bottom w:val="nil"/>
              <w:right w:val="nil"/>
            </w:tcBorders>
            <w:shd w:val="clear" w:color="auto" w:fill="auto"/>
            <w:noWrap/>
            <w:vAlign w:val="bottom"/>
            <w:hideMark/>
          </w:tcPr>
          <w:p w14:paraId="02A521A5" w14:textId="77777777" w:rsidR="00E161BF" w:rsidRPr="00E161BF" w:rsidRDefault="00E161BF" w:rsidP="00E161BF">
            <w:pPr>
              <w:widowControl/>
              <w:autoSpaceDE/>
              <w:autoSpaceDN/>
              <w:jc w:val="right"/>
              <w:rPr>
                <w:color w:val="000000"/>
                <w:sz w:val="24"/>
                <w:szCs w:val="24"/>
              </w:rPr>
            </w:pPr>
            <w:r w:rsidRPr="00E161BF">
              <w:rPr>
                <w:color w:val="000000"/>
                <w:sz w:val="24"/>
                <w:szCs w:val="24"/>
              </w:rPr>
              <w:t>4716.04</w:t>
            </w:r>
          </w:p>
        </w:tc>
        <w:tc>
          <w:tcPr>
            <w:tcW w:w="3041" w:type="dxa"/>
            <w:gridSpan w:val="2"/>
            <w:tcBorders>
              <w:top w:val="nil"/>
              <w:left w:val="nil"/>
              <w:bottom w:val="nil"/>
              <w:right w:val="nil"/>
            </w:tcBorders>
            <w:shd w:val="clear" w:color="auto" w:fill="auto"/>
            <w:noWrap/>
            <w:vAlign w:val="bottom"/>
            <w:hideMark/>
          </w:tcPr>
          <w:p w14:paraId="14085FB5" w14:textId="77777777" w:rsidR="00E161BF" w:rsidRPr="00E161BF" w:rsidRDefault="00E161BF" w:rsidP="00E161BF">
            <w:pPr>
              <w:widowControl/>
              <w:autoSpaceDE/>
              <w:autoSpaceDN/>
              <w:rPr>
                <w:color w:val="000000"/>
                <w:sz w:val="24"/>
                <w:szCs w:val="24"/>
              </w:rPr>
            </w:pPr>
            <w:r w:rsidRPr="00E161BF">
              <w:rPr>
                <w:color w:val="000000"/>
                <w:sz w:val="24"/>
                <w:szCs w:val="24"/>
              </w:rPr>
              <w:t>2  2358.02103</w:t>
            </w:r>
          </w:p>
        </w:tc>
        <w:tc>
          <w:tcPr>
            <w:tcW w:w="2683" w:type="dxa"/>
            <w:tcBorders>
              <w:top w:val="nil"/>
              <w:left w:val="nil"/>
              <w:bottom w:val="nil"/>
              <w:right w:val="nil"/>
            </w:tcBorders>
            <w:shd w:val="clear" w:color="auto" w:fill="auto"/>
            <w:noWrap/>
            <w:vAlign w:val="bottom"/>
            <w:hideMark/>
          </w:tcPr>
          <w:p w14:paraId="204C5A8A" w14:textId="77777777" w:rsidR="00E161BF" w:rsidRPr="00E161BF" w:rsidRDefault="00E161BF" w:rsidP="00E161BF">
            <w:pPr>
              <w:widowControl/>
              <w:autoSpaceDE/>
              <w:autoSpaceDN/>
              <w:rPr>
                <w:color w:val="000000"/>
                <w:sz w:val="24"/>
                <w:szCs w:val="24"/>
              </w:rPr>
            </w:pPr>
            <w:r w:rsidRPr="00E161BF">
              <w:rPr>
                <w:color w:val="000000"/>
                <w:sz w:val="24"/>
                <w:szCs w:val="24"/>
              </w:rPr>
              <w:t>Prob &gt; F</w:t>
            </w:r>
          </w:p>
        </w:tc>
        <w:tc>
          <w:tcPr>
            <w:tcW w:w="1408" w:type="dxa"/>
            <w:tcBorders>
              <w:top w:val="nil"/>
              <w:left w:val="nil"/>
              <w:bottom w:val="nil"/>
              <w:right w:val="nil"/>
            </w:tcBorders>
            <w:shd w:val="clear" w:color="auto" w:fill="auto"/>
            <w:noWrap/>
            <w:vAlign w:val="bottom"/>
            <w:hideMark/>
          </w:tcPr>
          <w:p w14:paraId="2C3A18AB" w14:textId="77777777" w:rsidR="00E161BF" w:rsidRPr="00E161BF" w:rsidRDefault="00E161BF" w:rsidP="00E161BF">
            <w:pPr>
              <w:widowControl/>
              <w:autoSpaceDE/>
              <w:autoSpaceDN/>
              <w:jc w:val="right"/>
              <w:rPr>
                <w:color w:val="000000"/>
                <w:sz w:val="24"/>
                <w:szCs w:val="24"/>
              </w:rPr>
            </w:pPr>
            <w:r w:rsidRPr="00E161BF">
              <w:rPr>
                <w:color w:val="000000"/>
                <w:sz w:val="24"/>
                <w:szCs w:val="24"/>
              </w:rPr>
              <w:t>0.0054</w:t>
            </w:r>
          </w:p>
        </w:tc>
      </w:tr>
      <w:tr w:rsidR="00E161BF" w:rsidRPr="00E161BF" w14:paraId="3EB37132" w14:textId="77777777" w:rsidTr="00E161BF">
        <w:trPr>
          <w:trHeight w:val="291"/>
        </w:trPr>
        <w:tc>
          <w:tcPr>
            <w:tcW w:w="1492" w:type="dxa"/>
            <w:tcBorders>
              <w:top w:val="nil"/>
              <w:left w:val="nil"/>
              <w:bottom w:val="nil"/>
              <w:right w:val="nil"/>
            </w:tcBorders>
            <w:shd w:val="clear" w:color="auto" w:fill="auto"/>
            <w:noWrap/>
            <w:vAlign w:val="bottom"/>
            <w:hideMark/>
          </w:tcPr>
          <w:p w14:paraId="30DD09FB" w14:textId="77777777" w:rsidR="00E161BF" w:rsidRPr="00E161BF" w:rsidRDefault="00E161BF" w:rsidP="00E161BF">
            <w:pPr>
              <w:widowControl/>
              <w:autoSpaceDE/>
              <w:autoSpaceDN/>
              <w:rPr>
                <w:color w:val="000000"/>
                <w:sz w:val="24"/>
                <w:szCs w:val="24"/>
              </w:rPr>
            </w:pPr>
            <w:r w:rsidRPr="00E161BF">
              <w:rPr>
                <w:color w:val="000000"/>
                <w:sz w:val="24"/>
                <w:szCs w:val="24"/>
              </w:rPr>
              <w:t>Residual</w:t>
            </w:r>
          </w:p>
        </w:tc>
        <w:tc>
          <w:tcPr>
            <w:tcW w:w="1253" w:type="dxa"/>
            <w:tcBorders>
              <w:top w:val="nil"/>
              <w:left w:val="nil"/>
              <w:bottom w:val="nil"/>
              <w:right w:val="nil"/>
            </w:tcBorders>
            <w:shd w:val="clear" w:color="auto" w:fill="auto"/>
            <w:noWrap/>
            <w:vAlign w:val="bottom"/>
            <w:hideMark/>
          </w:tcPr>
          <w:p w14:paraId="2AD4A35F" w14:textId="77777777" w:rsidR="00E161BF" w:rsidRPr="00E161BF" w:rsidRDefault="00E161BF" w:rsidP="00E161BF">
            <w:pPr>
              <w:widowControl/>
              <w:autoSpaceDE/>
              <w:autoSpaceDN/>
              <w:jc w:val="right"/>
              <w:rPr>
                <w:color w:val="000000"/>
                <w:sz w:val="24"/>
                <w:szCs w:val="24"/>
              </w:rPr>
            </w:pPr>
            <w:r w:rsidRPr="00E161BF">
              <w:rPr>
                <w:color w:val="000000"/>
                <w:sz w:val="24"/>
                <w:szCs w:val="24"/>
              </w:rPr>
              <w:t>12223.6</w:t>
            </w:r>
          </w:p>
        </w:tc>
        <w:tc>
          <w:tcPr>
            <w:tcW w:w="3041" w:type="dxa"/>
            <w:gridSpan w:val="2"/>
            <w:tcBorders>
              <w:top w:val="nil"/>
              <w:left w:val="nil"/>
              <w:bottom w:val="nil"/>
              <w:right w:val="nil"/>
            </w:tcBorders>
            <w:shd w:val="clear" w:color="auto" w:fill="auto"/>
            <w:noWrap/>
            <w:vAlign w:val="bottom"/>
            <w:hideMark/>
          </w:tcPr>
          <w:p w14:paraId="3A8C4E67" w14:textId="77777777" w:rsidR="00E161BF" w:rsidRPr="00E161BF" w:rsidRDefault="00E161BF" w:rsidP="00E161BF">
            <w:pPr>
              <w:widowControl/>
              <w:autoSpaceDE/>
              <w:autoSpaceDN/>
              <w:rPr>
                <w:color w:val="000000"/>
                <w:sz w:val="24"/>
                <w:szCs w:val="24"/>
              </w:rPr>
            </w:pPr>
            <w:r w:rsidRPr="00E161BF">
              <w:rPr>
                <w:color w:val="000000"/>
                <w:sz w:val="24"/>
                <w:szCs w:val="24"/>
              </w:rPr>
              <w:t>32  381.986088</w:t>
            </w:r>
          </w:p>
        </w:tc>
        <w:tc>
          <w:tcPr>
            <w:tcW w:w="2683" w:type="dxa"/>
            <w:tcBorders>
              <w:top w:val="nil"/>
              <w:left w:val="nil"/>
              <w:bottom w:val="nil"/>
              <w:right w:val="nil"/>
            </w:tcBorders>
            <w:shd w:val="clear" w:color="auto" w:fill="auto"/>
            <w:noWrap/>
            <w:vAlign w:val="bottom"/>
            <w:hideMark/>
          </w:tcPr>
          <w:p w14:paraId="33A8858F" w14:textId="77777777" w:rsidR="00E161BF" w:rsidRPr="00E161BF" w:rsidRDefault="00E161BF" w:rsidP="00E161BF">
            <w:pPr>
              <w:widowControl/>
              <w:autoSpaceDE/>
              <w:autoSpaceDN/>
              <w:rPr>
                <w:color w:val="000000"/>
                <w:sz w:val="24"/>
                <w:szCs w:val="24"/>
              </w:rPr>
            </w:pPr>
            <w:r w:rsidRPr="00E161BF">
              <w:rPr>
                <w:color w:val="000000"/>
                <w:sz w:val="24"/>
                <w:szCs w:val="24"/>
              </w:rPr>
              <w:t>R-squared</w:t>
            </w:r>
          </w:p>
        </w:tc>
        <w:tc>
          <w:tcPr>
            <w:tcW w:w="1408" w:type="dxa"/>
            <w:tcBorders>
              <w:top w:val="nil"/>
              <w:left w:val="nil"/>
              <w:bottom w:val="nil"/>
              <w:right w:val="nil"/>
            </w:tcBorders>
            <w:shd w:val="clear" w:color="auto" w:fill="auto"/>
            <w:noWrap/>
            <w:vAlign w:val="bottom"/>
            <w:hideMark/>
          </w:tcPr>
          <w:p w14:paraId="63188501" w14:textId="77777777" w:rsidR="00E161BF" w:rsidRPr="00E161BF" w:rsidRDefault="00E161BF" w:rsidP="00E161BF">
            <w:pPr>
              <w:widowControl/>
              <w:autoSpaceDE/>
              <w:autoSpaceDN/>
              <w:jc w:val="right"/>
              <w:rPr>
                <w:color w:val="000000"/>
                <w:sz w:val="24"/>
                <w:szCs w:val="24"/>
              </w:rPr>
            </w:pPr>
            <w:r w:rsidRPr="00E161BF">
              <w:rPr>
                <w:color w:val="000000"/>
                <w:sz w:val="24"/>
                <w:szCs w:val="24"/>
              </w:rPr>
              <w:t>0.2784</w:t>
            </w:r>
          </w:p>
        </w:tc>
      </w:tr>
      <w:tr w:rsidR="00E161BF" w:rsidRPr="00E161BF" w14:paraId="7926A109" w14:textId="77777777" w:rsidTr="00E161BF">
        <w:trPr>
          <w:trHeight w:val="291"/>
        </w:trPr>
        <w:tc>
          <w:tcPr>
            <w:tcW w:w="1492" w:type="dxa"/>
            <w:tcBorders>
              <w:top w:val="nil"/>
              <w:left w:val="nil"/>
              <w:bottom w:val="nil"/>
              <w:right w:val="nil"/>
            </w:tcBorders>
            <w:shd w:val="clear" w:color="auto" w:fill="auto"/>
            <w:noWrap/>
            <w:vAlign w:val="bottom"/>
            <w:hideMark/>
          </w:tcPr>
          <w:p w14:paraId="050A7258" w14:textId="77777777" w:rsidR="00E161BF" w:rsidRPr="00E161BF" w:rsidRDefault="00E161BF" w:rsidP="00E161BF">
            <w:pPr>
              <w:widowControl/>
              <w:autoSpaceDE/>
              <w:autoSpaceDN/>
              <w:jc w:val="right"/>
              <w:rPr>
                <w:color w:val="000000"/>
                <w:sz w:val="24"/>
                <w:szCs w:val="24"/>
              </w:rPr>
            </w:pPr>
          </w:p>
        </w:tc>
        <w:tc>
          <w:tcPr>
            <w:tcW w:w="1253" w:type="dxa"/>
            <w:tcBorders>
              <w:top w:val="nil"/>
              <w:left w:val="nil"/>
              <w:bottom w:val="nil"/>
              <w:right w:val="nil"/>
            </w:tcBorders>
            <w:shd w:val="clear" w:color="auto" w:fill="auto"/>
            <w:noWrap/>
            <w:vAlign w:val="bottom"/>
            <w:hideMark/>
          </w:tcPr>
          <w:p w14:paraId="7CD15203" w14:textId="77777777" w:rsidR="00E161BF" w:rsidRPr="00E161BF" w:rsidRDefault="00E161BF" w:rsidP="00E161BF">
            <w:pPr>
              <w:widowControl/>
              <w:autoSpaceDE/>
              <w:autoSpaceDN/>
              <w:rPr>
                <w:sz w:val="20"/>
                <w:szCs w:val="20"/>
              </w:rPr>
            </w:pPr>
          </w:p>
        </w:tc>
        <w:tc>
          <w:tcPr>
            <w:tcW w:w="2093" w:type="dxa"/>
            <w:tcBorders>
              <w:top w:val="nil"/>
              <w:left w:val="nil"/>
              <w:bottom w:val="nil"/>
              <w:right w:val="nil"/>
            </w:tcBorders>
            <w:shd w:val="clear" w:color="auto" w:fill="auto"/>
            <w:noWrap/>
            <w:vAlign w:val="bottom"/>
            <w:hideMark/>
          </w:tcPr>
          <w:p w14:paraId="05443833" w14:textId="77777777" w:rsidR="00E161BF" w:rsidRPr="00E161BF" w:rsidRDefault="00E161BF" w:rsidP="00E161BF">
            <w:pPr>
              <w:widowControl/>
              <w:autoSpaceDE/>
              <w:autoSpaceDN/>
              <w:rPr>
                <w:sz w:val="20"/>
                <w:szCs w:val="20"/>
              </w:rPr>
            </w:pPr>
          </w:p>
        </w:tc>
        <w:tc>
          <w:tcPr>
            <w:tcW w:w="948" w:type="dxa"/>
            <w:tcBorders>
              <w:top w:val="nil"/>
              <w:left w:val="nil"/>
              <w:bottom w:val="nil"/>
              <w:right w:val="nil"/>
            </w:tcBorders>
            <w:shd w:val="clear" w:color="auto" w:fill="auto"/>
            <w:noWrap/>
            <w:vAlign w:val="bottom"/>
            <w:hideMark/>
          </w:tcPr>
          <w:p w14:paraId="252CC0CA" w14:textId="77777777" w:rsidR="00E161BF" w:rsidRPr="00E161BF" w:rsidRDefault="00E161BF" w:rsidP="00E161BF">
            <w:pPr>
              <w:widowControl/>
              <w:autoSpaceDE/>
              <w:autoSpaceDN/>
              <w:rPr>
                <w:sz w:val="20"/>
                <w:szCs w:val="20"/>
              </w:rPr>
            </w:pPr>
          </w:p>
        </w:tc>
        <w:tc>
          <w:tcPr>
            <w:tcW w:w="2683" w:type="dxa"/>
            <w:tcBorders>
              <w:top w:val="nil"/>
              <w:left w:val="nil"/>
              <w:bottom w:val="nil"/>
              <w:right w:val="nil"/>
            </w:tcBorders>
            <w:shd w:val="clear" w:color="auto" w:fill="auto"/>
            <w:noWrap/>
            <w:vAlign w:val="bottom"/>
            <w:hideMark/>
          </w:tcPr>
          <w:p w14:paraId="40ECCB11" w14:textId="77777777" w:rsidR="00E161BF" w:rsidRPr="00E161BF" w:rsidRDefault="00E161BF" w:rsidP="00E161BF">
            <w:pPr>
              <w:widowControl/>
              <w:autoSpaceDE/>
              <w:autoSpaceDN/>
              <w:rPr>
                <w:color w:val="000000"/>
                <w:sz w:val="24"/>
                <w:szCs w:val="24"/>
              </w:rPr>
            </w:pPr>
            <w:r w:rsidRPr="00E161BF">
              <w:rPr>
                <w:color w:val="000000"/>
                <w:sz w:val="24"/>
                <w:szCs w:val="24"/>
              </w:rPr>
              <w:t>Adj R-squared</w:t>
            </w:r>
          </w:p>
        </w:tc>
        <w:tc>
          <w:tcPr>
            <w:tcW w:w="1408" w:type="dxa"/>
            <w:tcBorders>
              <w:top w:val="nil"/>
              <w:left w:val="nil"/>
              <w:bottom w:val="nil"/>
              <w:right w:val="nil"/>
            </w:tcBorders>
            <w:shd w:val="clear" w:color="auto" w:fill="auto"/>
            <w:noWrap/>
            <w:vAlign w:val="bottom"/>
            <w:hideMark/>
          </w:tcPr>
          <w:p w14:paraId="5737222B" w14:textId="77777777" w:rsidR="00E161BF" w:rsidRPr="00E161BF" w:rsidRDefault="00E161BF" w:rsidP="00E161BF">
            <w:pPr>
              <w:widowControl/>
              <w:autoSpaceDE/>
              <w:autoSpaceDN/>
              <w:jc w:val="right"/>
              <w:rPr>
                <w:color w:val="000000"/>
                <w:sz w:val="24"/>
                <w:szCs w:val="24"/>
              </w:rPr>
            </w:pPr>
            <w:r w:rsidRPr="00E161BF">
              <w:rPr>
                <w:color w:val="000000"/>
                <w:sz w:val="24"/>
                <w:szCs w:val="24"/>
              </w:rPr>
              <w:t>0.2333</w:t>
            </w:r>
          </w:p>
        </w:tc>
      </w:tr>
      <w:tr w:rsidR="00E161BF" w:rsidRPr="00E161BF" w14:paraId="0E2F9F07" w14:textId="77777777" w:rsidTr="00E161BF">
        <w:trPr>
          <w:trHeight w:val="291"/>
        </w:trPr>
        <w:tc>
          <w:tcPr>
            <w:tcW w:w="1492" w:type="dxa"/>
            <w:tcBorders>
              <w:top w:val="nil"/>
              <w:left w:val="nil"/>
              <w:bottom w:val="nil"/>
              <w:right w:val="nil"/>
            </w:tcBorders>
            <w:shd w:val="clear" w:color="auto" w:fill="auto"/>
            <w:noWrap/>
            <w:vAlign w:val="bottom"/>
            <w:hideMark/>
          </w:tcPr>
          <w:p w14:paraId="59FCD92B" w14:textId="77777777" w:rsidR="00E161BF" w:rsidRPr="00E161BF" w:rsidRDefault="00E161BF" w:rsidP="00E161BF">
            <w:pPr>
              <w:widowControl/>
              <w:autoSpaceDE/>
              <w:autoSpaceDN/>
              <w:rPr>
                <w:color w:val="000000"/>
                <w:sz w:val="24"/>
                <w:szCs w:val="24"/>
              </w:rPr>
            </w:pPr>
            <w:r w:rsidRPr="00E161BF">
              <w:rPr>
                <w:color w:val="000000"/>
                <w:sz w:val="24"/>
                <w:szCs w:val="24"/>
              </w:rPr>
              <w:t>Total</w:t>
            </w:r>
          </w:p>
        </w:tc>
        <w:tc>
          <w:tcPr>
            <w:tcW w:w="1253" w:type="dxa"/>
            <w:tcBorders>
              <w:top w:val="nil"/>
              <w:left w:val="nil"/>
              <w:bottom w:val="nil"/>
              <w:right w:val="nil"/>
            </w:tcBorders>
            <w:shd w:val="clear" w:color="auto" w:fill="auto"/>
            <w:noWrap/>
            <w:vAlign w:val="bottom"/>
            <w:hideMark/>
          </w:tcPr>
          <w:p w14:paraId="54242D0C" w14:textId="77777777" w:rsidR="00E161BF" w:rsidRPr="00E161BF" w:rsidRDefault="00E161BF" w:rsidP="00E161BF">
            <w:pPr>
              <w:widowControl/>
              <w:autoSpaceDE/>
              <w:autoSpaceDN/>
              <w:jc w:val="right"/>
              <w:rPr>
                <w:color w:val="000000"/>
                <w:sz w:val="24"/>
                <w:szCs w:val="24"/>
              </w:rPr>
            </w:pPr>
            <w:r w:rsidRPr="00E161BF">
              <w:rPr>
                <w:color w:val="000000"/>
                <w:sz w:val="24"/>
                <w:szCs w:val="24"/>
              </w:rPr>
              <w:t>16939.6</w:t>
            </w:r>
          </w:p>
        </w:tc>
        <w:tc>
          <w:tcPr>
            <w:tcW w:w="3041" w:type="dxa"/>
            <w:gridSpan w:val="2"/>
            <w:tcBorders>
              <w:top w:val="nil"/>
              <w:left w:val="nil"/>
              <w:bottom w:val="nil"/>
              <w:right w:val="nil"/>
            </w:tcBorders>
            <w:shd w:val="clear" w:color="auto" w:fill="auto"/>
            <w:noWrap/>
            <w:vAlign w:val="bottom"/>
            <w:hideMark/>
          </w:tcPr>
          <w:p w14:paraId="0AE10AD1" w14:textId="77777777" w:rsidR="00E161BF" w:rsidRPr="00E161BF" w:rsidRDefault="00E161BF" w:rsidP="00E161BF">
            <w:pPr>
              <w:widowControl/>
              <w:autoSpaceDE/>
              <w:autoSpaceDN/>
              <w:rPr>
                <w:color w:val="000000"/>
                <w:sz w:val="24"/>
                <w:szCs w:val="24"/>
              </w:rPr>
            </w:pPr>
            <w:r w:rsidRPr="00E161BF">
              <w:rPr>
                <w:color w:val="000000"/>
                <w:sz w:val="24"/>
                <w:szCs w:val="24"/>
              </w:rPr>
              <w:t>34  498.223438</w:t>
            </w:r>
          </w:p>
        </w:tc>
        <w:tc>
          <w:tcPr>
            <w:tcW w:w="2683" w:type="dxa"/>
            <w:tcBorders>
              <w:top w:val="nil"/>
              <w:left w:val="nil"/>
              <w:bottom w:val="nil"/>
              <w:right w:val="nil"/>
            </w:tcBorders>
            <w:shd w:val="clear" w:color="auto" w:fill="auto"/>
            <w:noWrap/>
            <w:vAlign w:val="bottom"/>
            <w:hideMark/>
          </w:tcPr>
          <w:p w14:paraId="7668A527" w14:textId="77777777" w:rsidR="00E161BF" w:rsidRPr="00E161BF" w:rsidRDefault="00E161BF" w:rsidP="00E161BF">
            <w:pPr>
              <w:widowControl/>
              <w:autoSpaceDE/>
              <w:autoSpaceDN/>
              <w:rPr>
                <w:color w:val="000000"/>
                <w:sz w:val="24"/>
                <w:szCs w:val="24"/>
              </w:rPr>
            </w:pPr>
            <w:r w:rsidRPr="00E161BF">
              <w:rPr>
                <w:color w:val="000000"/>
                <w:sz w:val="24"/>
                <w:szCs w:val="24"/>
              </w:rPr>
              <w:t>Root MSE</w:t>
            </w:r>
          </w:p>
        </w:tc>
        <w:tc>
          <w:tcPr>
            <w:tcW w:w="1408" w:type="dxa"/>
            <w:tcBorders>
              <w:top w:val="nil"/>
              <w:left w:val="nil"/>
              <w:bottom w:val="nil"/>
              <w:right w:val="nil"/>
            </w:tcBorders>
            <w:shd w:val="clear" w:color="auto" w:fill="auto"/>
            <w:noWrap/>
            <w:vAlign w:val="bottom"/>
            <w:hideMark/>
          </w:tcPr>
          <w:p w14:paraId="2794AFF9" w14:textId="77777777" w:rsidR="00E161BF" w:rsidRPr="00E161BF" w:rsidRDefault="00E161BF" w:rsidP="00E161BF">
            <w:pPr>
              <w:widowControl/>
              <w:autoSpaceDE/>
              <w:autoSpaceDN/>
              <w:jc w:val="right"/>
              <w:rPr>
                <w:color w:val="000000"/>
                <w:sz w:val="24"/>
                <w:szCs w:val="24"/>
              </w:rPr>
            </w:pPr>
            <w:r w:rsidRPr="00E161BF">
              <w:rPr>
                <w:color w:val="000000"/>
                <w:sz w:val="24"/>
                <w:szCs w:val="24"/>
              </w:rPr>
              <w:t>19.544</w:t>
            </w:r>
          </w:p>
        </w:tc>
      </w:tr>
      <w:tr w:rsidR="00E161BF" w:rsidRPr="00E161BF" w14:paraId="1C8843B5" w14:textId="77777777" w:rsidTr="00E161BF">
        <w:trPr>
          <w:trHeight w:val="291"/>
        </w:trPr>
        <w:tc>
          <w:tcPr>
            <w:tcW w:w="1492" w:type="dxa"/>
            <w:tcBorders>
              <w:top w:val="single" w:sz="4" w:space="0" w:color="auto"/>
              <w:left w:val="nil"/>
              <w:bottom w:val="single" w:sz="4" w:space="0" w:color="auto"/>
              <w:right w:val="nil"/>
            </w:tcBorders>
            <w:shd w:val="clear" w:color="auto" w:fill="auto"/>
            <w:noWrap/>
            <w:vAlign w:val="bottom"/>
            <w:hideMark/>
          </w:tcPr>
          <w:p w14:paraId="53F49287" w14:textId="77777777" w:rsidR="00E161BF" w:rsidRPr="00E161BF" w:rsidRDefault="00E161BF" w:rsidP="00E161BF">
            <w:pPr>
              <w:widowControl/>
              <w:autoSpaceDE/>
              <w:autoSpaceDN/>
              <w:rPr>
                <w:b/>
                <w:bCs/>
                <w:color w:val="000000"/>
                <w:sz w:val="24"/>
                <w:szCs w:val="24"/>
              </w:rPr>
            </w:pPr>
            <w:r w:rsidRPr="00E161BF">
              <w:rPr>
                <w:b/>
                <w:bCs/>
                <w:color w:val="000000"/>
                <w:sz w:val="24"/>
                <w:szCs w:val="24"/>
              </w:rPr>
              <w:t>s_returns</w:t>
            </w:r>
          </w:p>
        </w:tc>
        <w:tc>
          <w:tcPr>
            <w:tcW w:w="1253" w:type="dxa"/>
            <w:tcBorders>
              <w:top w:val="single" w:sz="4" w:space="0" w:color="auto"/>
              <w:left w:val="nil"/>
              <w:bottom w:val="single" w:sz="4" w:space="0" w:color="auto"/>
              <w:right w:val="nil"/>
            </w:tcBorders>
            <w:shd w:val="clear" w:color="auto" w:fill="auto"/>
            <w:noWrap/>
            <w:vAlign w:val="bottom"/>
            <w:hideMark/>
          </w:tcPr>
          <w:p w14:paraId="68A62DB7" w14:textId="77777777" w:rsidR="00E161BF" w:rsidRPr="00E161BF" w:rsidRDefault="00E161BF" w:rsidP="00E161BF">
            <w:pPr>
              <w:widowControl/>
              <w:autoSpaceDE/>
              <w:autoSpaceDN/>
              <w:rPr>
                <w:b/>
                <w:bCs/>
                <w:color w:val="000000"/>
                <w:sz w:val="24"/>
                <w:szCs w:val="24"/>
              </w:rPr>
            </w:pPr>
            <w:r w:rsidRPr="00E161BF">
              <w:rPr>
                <w:b/>
                <w:bCs/>
                <w:color w:val="000000"/>
                <w:sz w:val="24"/>
                <w:szCs w:val="24"/>
              </w:rPr>
              <w:t>Coef.</w:t>
            </w:r>
          </w:p>
        </w:tc>
        <w:tc>
          <w:tcPr>
            <w:tcW w:w="2093" w:type="dxa"/>
            <w:tcBorders>
              <w:top w:val="single" w:sz="4" w:space="0" w:color="auto"/>
              <w:left w:val="nil"/>
              <w:bottom w:val="single" w:sz="4" w:space="0" w:color="auto"/>
              <w:right w:val="nil"/>
            </w:tcBorders>
            <w:shd w:val="clear" w:color="auto" w:fill="auto"/>
            <w:noWrap/>
            <w:vAlign w:val="bottom"/>
            <w:hideMark/>
          </w:tcPr>
          <w:p w14:paraId="4A34BC2B" w14:textId="77777777" w:rsidR="00E161BF" w:rsidRPr="00E161BF" w:rsidRDefault="00E161BF" w:rsidP="00E161BF">
            <w:pPr>
              <w:widowControl/>
              <w:autoSpaceDE/>
              <w:autoSpaceDN/>
              <w:rPr>
                <w:b/>
                <w:bCs/>
                <w:color w:val="000000"/>
                <w:sz w:val="24"/>
                <w:szCs w:val="24"/>
              </w:rPr>
            </w:pPr>
            <w:r w:rsidRPr="00E161BF">
              <w:rPr>
                <w:b/>
                <w:bCs/>
                <w:color w:val="000000"/>
                <w:sz w:val="24"/>
                <w:szCs w:val="24"/>
              </w:rPr>
              <w:t>Std. Err.      t</w:t>
            </w:r>
          </w:p>
        </w:tc>
        <w:tc>
          <w:tcPr>
            <w:tcW w:w="948" w:type="dxa"/>
            <w:tcBorders>
              <w:top w:val="single" w:sz="4" w:space="0" w:color="auto"/>
              <w:left w:val="nil"/>
              <w:bottom w:val="single" w:sz="4" w:space="0" w:color="auto"/>
              <w:right w:val="nil"/>
            </w:tcBorders>
            <w:shd w:val="clear" w:color="auto" w:fill="auto"/>
            <w:noWrap/>
            <w:vAlign w:val="bottom"/>
            <w:hideMark/>
          </w:tcPr>
          <w:p w14:paraId="64238CAB" w14:textId="77777777" w:rsidR="00E161BF" w:rsidRPr="00E161BF" w:rsidRDefault="00E161BF" w:rsidP="00E161BF">
            <w:pPr>
              <w:widowControl/>
              <w:autoSpaceDE/>
              <w:autoSpaceDN/>
              <w:rPr>
                <w:b/>
                <w:bCs/>
                <w:color w:val="000000"/>
                <w:sz w:val="24"/>
                <w:szCs w:val="24"/>
              </w:rPr>
            </w:pPr>
            <w:r w:rsidRPr="00E161BF">
              <w:rPr>
                <w:b/>
                <w:bCs/>
                <w:color w:val="000000"/>
                <w:sz w:val="24"/>
                <w:szCs w:val="24"/>
              </w:rPr>
              <w:t>P&gt;t</w:t>
            </w:r>
          </w:p>
        </w:tc>
        <w:tc>
          <w:tcPr>
            <w:tcW w:w="2683" w:type="dxa"/>
            <w:tcBorders>
              <w:top w:val="single" w:sz="4" w:space="0" w:color="auto"/>
              <w:left w:val="nil"/>
              <w:bottom w:val="single" w:sz="4" w:space="0" w:color="auto"/>
              <w:right w:val="nil"/>
            </w:tcBorders>
            <w:shd w:val="clear" w:color="auto" w:fill="auto"/>
            <w:noWrap/>
            <w:vAlign w:val="bottom"/>
            <w:hideMark/>
          </w:tcPr>
          <w:p w14:paraId="42D86E29" w14:textId="77777777" w:rsidR="00E161BF" w:rsidRPr="00E161BF" w:rsidRDefault="00E161BF" w:rsidP="00E161BF">
            <w:pPr>
              <w:widowControl/>
              <w:autoSpaceDE/>
              <w:autoSpaceDN/>
              <w:rPr>
                <w:b/>
                <w:bCs/>
                <w:color w:val="000000"/>
                <w:sz w:val="24"/>
                <w:szCs w:val="24"/>
              </w:rPr>
            </w:pPr>
            <w:r w:rsidRPr="00E161BF">
              <w:rPr>
                <w:b/>
                <w:bCs/>
                <w:color w:val="000000"/>
                <w:sz w:val="24"/>
                <w:szCs w:val="24"/>
              </w:rPr>
              <w:t>[95% Conf.</w:t>
            </w:r>
          </w:p>
        </w:tc>
        <w:tc>
          <w:tcPr>
            <w:tcW w:w="1408" w:type="dxa"/>
            <w:tcBorders>
              <w:top w:val="single" w:sz="4" w:space="0" w:color="auto"/>
              <w:left w:val="nil"/>
              <w:bottom w:val="single" w:sz="4" w:space="0" w:color="auto"/>
              <w:right w:val="nil"/>
            </w:tcBorders>
            <w:shd w:val="clear" w:color="auto" w:fill="auto"/>
            <w:noWrap/>
            <w:vAlign w:val="bottom"/>
            <w:hideMark/>
          </w:tcPr>
          <w:p w14:paraId="04070645" w14:textId="77777777" w:rsidR="00E161BF" w:rsidRPr="00E161BF" w:rsidRDefault="00E161BF" w:rsidP="00E161BF">
            <w:pPr>
              <w:widowControl/>
              <w:autoSpaceDE/>
              <w:autoSpaceDN/>
              <w:rPr>
                <w:b/>
                <w:bCs/>
                <w:color w:val="000000"/>
                <w:sz w:val="24"/>
                <w:szCs w:val="24"/>
              </w:rPr>
            </w:pPr>
            <w:r w:rsidRPr="00E161BF">
              <w:rPr>
                <w:b/>
                <w:bCs/>
                <w:color w:val="000000"/>
                <w:sz w:val="24"/>
                <w:szCs w:val="24"/>
              </w:rPr>
              <w:t>Interval]</w:t>
            </w:r>
          </w:p>
        </w:tc>
      </w:tr>
      <w:tr w:rsidR="00E161BF" w:rsidRPr="00E161BF" w14:paraId="73323B38" w14:textId="77777777" w:rsidTr="00E161BF">
        <w:trPr>
          <w:trHeight w:val="291"/>
        </w:trPr>
        <w:tc>
          <w:tcPr>
            <w:tcW w:w="1492" w:type="dxa"/>
            <w:tcBorders>
              <w:top w:val="nil"/>
              <w:left w:val="nil"/>
              <w:bottom w:val="nil"/>
              <w:right w:val="nil"/>
            </w:tcBorders>
            <w:shd w:val="clear" w:color="auto" w:fill="auto"/>
            <w:noWrap/>
            <w:vAlign w:val="bottom"/>
            <w:hideMark/>
          </w:tcPr>
          <w:p w14:paraId="329A4AE6" w14:textId="77777777" w:rsidR="00E161BF" w:rsidRPr="00E161BF" w:rsidRDefault="00E161BF" w:rsidP="00E161BF">
            <w:pPr>
              <w:widowControl/>
              <w:autoSpaceDE/>
              <w:autoSpaceDN/>
              <w:rPr>
                <w:color w:val="000000"/>
                <w:sz w:val="24"/>
                <w:szCs w:val="24"/>
              </w:rPr>
            </w:pPr>
            <w:r w:rsidRPr="00E161BF">
              <w:rPr>
                <w:color w:val="000000"/>
                <w:sz w:val="24"/>
                <w:szCs w:val="24"/>
              </w:rPr>
              <w:t>liquidity</w:t>
            </w:r>
          </w:p>
        </w:tc>
        <w:tc>
          <w:tcPr>
            <w:tcW w:w="1253" w:type="dxa"/>
            <w:tcBorders>
              <w:top w:val="nil"/>
              <w:left w:val="nil"/>
              <w:bottom w:val="nil"/>
              <w:right w:val="nil"/>
            </w:tcBorders>
            <w:shd w:val="clear" w:color="auto" w:fill="auto"/>
            <w:noWrap/>
            <w:vAlign w:val="bottom"/>
            <w:hideMark/>
          </w:tcPr>
          <w:p w14:paraId="643832B8" w14:textId="77777777" w:rsidR="00E161BF" w:rsidRPr="00E161BF" w:rsidRDefault="00E161BF" w:rsidP="00E161BF">
            <w:pPr>
              <w:widowControl/>
              <w:autoSpaceDE/>
              <w:autoSpaceDN/>
              <w:jc w:val="right"/>
              <w:rPr>
                <w:color w:val="000000"/>
                <w:sz w:val="24"/>
                <w:szCs w:val="24"/>
              </w:rPr>
            </w:pPr>
            <w:r w:rsidRPr="00E161BF">
              <w:rPr>
                <w:color w:val="000000"/>
                <w:sz w:val="24"/>
                <w:szCs w:val="24"/>
              </w:rPr>
              <w:t>70.728</w:t>
            </w:r>
          </w:p>
        </w:tc>
        <w:tc>
          <w:tcPr>
            <w:tcW w:w="2093" w:type="dxa"/>
            <w:tcBorders>
              <w:top w:val="nil"/>
              <w:left w:val="nil"/>
              <w:bottom w:val="nil"/>
              <w:right w:val="nil"/>
            </w:tcBorders>
            <w:shd w:val="clear" w:color="auto" w:fill="auto"/>
            <w:noWrap/>
            <w:vAlign w:val="bottom"/>
            <w:hideMark/>
          </w:tcPr>
          <w:p w14:paraId="5AFE9C87" w14:textId="77777777" w:rsidR="00E161BF" w:rsidRPr="00E161BF" w:rsidRDefault="00E161BF" w:rsidP="00E161BF">
            <w:pPr>
              <w:widowControl/>
              <w:autoSpaceDE/>
              <w:autoSpaceDN/>
              <w:rPr>
                <w:color w:val="000000"/>
                <w:sz w:val="24"/>
                <w:szCs w:val="24"/>
              </w:rPr>
            </w:pPr>
            <w:r w:rsidRPr="00E161BF">
              <w:rPr>
                <w:color w:val="000000"/>
                <w:sz w:val="24"/>
                <w:szCs w:val="24"/>
              </w:rPr>
              <w:t>29.06289     2.43</w:t>
            </w:r>
          </w:p>
        </w:tc>
        <w:tc>
          <w:tcPr>
            <w:tcW w:w="948" w:type="dxa"/>
            <w:tcBorders>
              <w:top w:val="nil"/>
              <w:left w:val="nil"/>
              <w:bottom w:val="nil"/>
              <w:right w:val="nil"/>
            </w:tcBorders>
            <w:shd w:val="clear" w:color="auto" w:fill="auto"/>
            <w:noWrap/>
            <w:vAlign w:val="bottom"/>
            <w:hideMark/>
          </w:tcPr>
          <w:p w14:paraId="74C7BF28" w14:textId="77777777" w:rsidR="00E161BF" w:rsidRPr="00E161BF" w:rsidRDefault="00E161BF" w:rsidP="00E161BF">
            <w:pPr>
              <w:widowControl/>
              <w:autoSpaceDE/>
              <w:autoSpaceDN/>
              <w:jc w:val="right"/>
              <w:rPr>
                <w:color w:val="000000"/>
                <w:sz w:val="24"/>
                <w:szCs w:val="24"/>
              </w:rPr>
            </w:pPr>
            <w:r w:rsidRPr="00E161BF">
              <w:rPr>
                <w:color w:val="000000"/>
                <w:sz w:val="24"/>
                <w:szCs w:val="24"/>
              </w:rPr>
              <w:t>0.021</w:t>
            </w:r>
          </w:p>
        </w:tc>
        <w:tc>
          <w:tcPr>
            <w:tcW w:w="2683" w:type="dxa"/>
            <w:tcBorders>
              <w:top w:val="nil"/>
              <w:left w:val="nil"/>
              <w:bottom w:val="nil"/>
              <w:right w:val="nil"/>
            </w:tcBorders>
            <w:shd w:val="clear" w:color="auto" w:fill="auto"/>
            <w:noWrap/>
            <w:vAlign w:val="bottom"/>
            <w:hideMark/>
          </w:tcPr>
          <w:p w14:paraId="2DFD52C0" w14:textId="77777777" w:rsidR="00E161BF" w:rsidRPr="00E161BF" w:rsidRDefault="00E161BF" w:rsidP="00E161BF">
            <w:pPr>
              <w:widowControl/>
              <w:autoSpaceDE/>
              <w:autoSpaceDN/>
              <w:jc w:val="right"/>
              <w:rPr>
                <w:color w:val="000000"/>
                <w:sz w:val="24"/>
                <w:szCs w:val="24"/>
              </w:rPr>
            </w:pPr>
            <w:r w:rsidRPr="00E161BF">
              <w:rPr>
                <w:color w:val="000000"/>
                <w:sz w:val="24"/>
                <w:szCs w:val="24"/>
              </w:rPr>
              <w:t>11.52859</w:t>
            </w:r>
          </w:p>
        </w:tc>
        <w:tc>
          <w:tcPr>
            <w:tcW w:w="1408" w:type="dxa"/>
            <w:tcBorders>
              <w:top w:val="nil"/>
              <w:left w:val="nil"/>
              <w:bottom w:val="nil"/>
              <w:right w:val="nil"/>
            </w:tcBorders>
            <w:shd w:val="clear" w:color="auto" w:fill="auto"/>
            <w:noWrap/>
            <w:vAlign w:val="bottom"/>
            <w:hideMark/>
          </w:tcPr>
          <w:p w14:paraId="6A5C54E8" w14:textId="77777777" w:rsidR="00E161BF" w:rsidRPr="00E161BF" w:rsidRDefault="00E161BF" w:rsidP="00E161BF">
            <w:pPr>
              <w:widowControl/>
              <w:autoSpaceDE/>
              <w:autoSpaceDN/>
              <w:jc w:val="right"/>
              <w:rPr>
                <w:color w:val="000000"/>
                <w:sz w:val="24"/>
                <w:szCs w:val="24"/>
              </w:rPr>
            </w:pPr>
            <w:r w:rsidRPr="00E161BF">
              <w:rPr>
                <w:color w:val="000000"/>
                <w:sz w:val="24"/>
                <w:szCs w:val="24"/>
              </w:rPr>
              <w:t>129.927</w:t>
            </w:r>
          </w:p>
        </w:tc>
      </w:tr>
      <w:tr w:rsidR="00E161BF" w:rsidRPr="00E161BF" w14:paraId="4DFE1718" w14:textId="77777777" w:rsidTr="00E161BF">
        <w:trPr>
          <w:trHeight w:val="291"/>
        </w:trPr>
        <w:tc>
          <w:tcPr>
            <w:tcW w:w="1492" w:type="dxa"/>
            <w:tcBorders>
              <w:top w:val="nil"/>
              <w:left w:val="nil"/>
              <w:bottom w:val="nil"/>
              <w:right w:val="nil"/>
            </w:tcBorders>
            <w:shd w:val="clear" w:color="auto" w:fill="auto"/>
            <w:noWrap/>
            <w:vAlign w:val="bottom"/>
            <w:hideMark/>
          </w:tcPr>
          <w:p w14:paraId="6916C59B" w14:textId="77777777" w:rsidR="00E161BF" w:rsidRPr="00E161BF" w:rsidRDefault="00E161BF" w:rsidP="00E161BF">
            <w:pPr>
              <w:widowControl/>
              <w:autoSpaceDE/>
              <w:autoSpaceDN/>
              <w:rPr>
                <w:color w:val="000000"/>
                <w:sz w:val="24"/>
                <w:szCs w:val="24"/>
              </w:rPr>
            </w:pPr>
            <w:r w:rsidRPr="00E161BF">
              <w:rPr>
                <w:color w:val="000000"/>
                <w:sz w:val="24"/>
                <w:szCs w:val="24"/>
              </w:rPr>
              <w:t>profit</w:t>
            </w:r>
          </w:p>
        </w:tc>
        <w:tc>
          <w:tcPr>
            <w:tcW w:w="1253" w:type="dxa"/>
            <w:tcBorders>
              <w:top w:val="nil"/>
              <w:left w:val="nil"/>
              <w:bottom w:val="nil"/>
              <w:right w:val="nil"/>
            </w:tcBorders>
            <w:shd w:val="clear" w:color="auto" w:fill="auto"/>
            <w:noWrap/>
            <w:vAlign w:val="bottom"/>
            <w:hideMark/>
          </w:tcPr>
          <w:p w14:paraId="29A7CBAA" w14:textId="77777777" w:rsidR="00E161BF" w:rsidRPr="00E161BF" w:rsidRDefault="00E161BF" w:rsidP="00E161BF">
            <w:pPr>
              <w:widowControl/>
              <w:autoSpaceDE/>
              <w:autoSpaceDN/>
              <w:jc w:val="right"/>
              <w:rPr>
                <w:color w:val="000000"/>
                <w:sz w:val="24"/>
                <w:szCs w:val="24"/>
              </w:rPr>
            </w:pPr>
            <w:r w:rsidRPr="00E161BF">
              <w:rPr>
                <w:color w:val="000000"/>
                <w:sz w:val="24"/>
                <w:szCs w:val="24"/>
              </w:rPr>
              <w:t>25.947</w:t>
            </w:r>
          </w:p>
        </w:tc>
        <w:tc>
          <w:tcPr>
            <w:tcW w:w="2093" w:type="dxa"/>
            <w:tcBorders>
              <w:top w:val="nil"/>
              <w:left w:val="nil"/>
              <w:bottom w:val="nil"/>
              <w:right w:val="nil"/>
            </w:tcBorders>
            <w:shd w:val="clear" w:color="auto" w:fill="auto"/>
            <w:noWrap/>
            <w:vAlign w:val="bottom"/>
            <w:hideMark/>
          </w:tcPr>
          <w:p w14:paraId="253CF201" w14:textId="77777777" w:rsidR="00E161BF" w:rsidRPr="00E161BF" w:rsidRDefault="00E161BF" w:rsidP="00E161BF">
            <w:pPr>
              <w:widowControl/>
              <w:autoSpaceDE/>
              <w:autoSpaceDN/>
              <w:rPr>
                <w:color w:val="000000"/>
                <w:sz w:val="24"/>
                <w:szCs w:val="24"/>
              </w:rPr>
            </w:pPr>
            <w:r>
              <w:rPr>
                <w:color w:val="000000"/>
                <w:sz w:val="24"/>
                <w:szCs w:val="24"/>
              </w:rPr>
              <w:t xml:space="preserve">9.814546    </w:t>
            </w:r>
            <w:r w:rsidRPr="00E161BF">
              <w:rPr>
                <w:color w:val="000000"/>
                <w:sz w:val="24"/>
                <w:szCs w:val="24"/>
              </w:rPr>
              <w:t>2.64</w:t>
            </w:r>
          </w:p>
        </w:tc>
        <w:tc>
          <w:tcPr>
            <w:tcW w:w="948" w:type="dxa"/>
            <w:tcBorders>
              <w:top w:val="nil"/>
              <w:left w:val="nil"/>
              <w:bottom w:val="nil"/>
              <w:right w:val="nil"/>
            </w:tcBorders>
            <w:shd w:val="clear" w:color="auto" w:fill="auto"/>
            <w:noWrap/>
            <w:vAlign w:val="bottom"/>
            <w:hideMark/>
          </w:tcPr>
          <w:p w14:paraId="2E1CE183" w14:textId="77777777" w:rsidR="00E161BF" w:rsidRPr="00E161BF" w:rsidRDefault="00E161BF" w:rsidP="00E161BF">
            <w:pPr>
              <w:widowControl/>
              <w:autoSpaceDE/>
              <w:autoSpaceDN/>
              <w:jc w:val="right"/>
              <w:rPr>
                <w:color w:val="000000"/>
                <w:sz w:val="24"/>
                <w:szCs w:val="24"/>
              </w:rPr>
            </w:pPr>
            <w:r w:rsidRPr="00E161BF">
              <w:rPr>
                <w:color w:val="000000"/>
                <w:sz w:val="24"/>
                <w:szCs w:val="24"/>
              </w:rPr>
              <w:t>0.013</w:t>
            </w:r>
          </w:p>
        </w:tc>
        <w:tc>
          <w:tcPr>
            <w:tcW w:w="2683" w:type="dxa"/>
            <w:tcBorders>
              <w:top w:val="nil"/>
              <w:left w:val="nil"/>
              <w:bottom w:val="nil"/>
              <w:right w:val="nil"/>
            </w:tcBorders>
            <w:shd w:val="clear" w:color="auto" w:fill="auto"/>
            <w:noWrap/>
            <w:vAlign w:val="bottom"/>
            <w:hideMark/>
          </w:tcPr>
          <w:p w14:paraId="25042D91" w14:textId="77777777" w:rsidR="00E161BF" w:rsidRPr="00E161BF" w:rsidRDefault="00E161BF" w:rsidP="00E161BF">
            <w:pPr>
              <w:widowControl/>
              <w:autoSpaceDE/>
              <w:autoSpaceDN/>
              <w:jc w:val="right"/>
              <w:rPr>
                <w:color w:val="000000"/>
                <w:sz w:val="24"/>
                <w:szCs w:val="24"/>
              </w:rPr>
            </w:pPr>
            <w:r w:rsidRPr="00E161BF">
              <w:rPr>
                <w:color w:val="000000"/>
                <w:sz w:val="24"/>
                <w:szCs w:val="24"/>
              </w:rPr>
              <w:t>45.9384</w:t>
            </w:r>
          </w:p>
        </w:tc>
        <w:tc>
          <w:tcPr>
            <w:tcW w:w="1408" w:type="dxa"/>
            <w:tcBorders>
              <w:top w:val="nil"/>
              <w:left w:val="nil"/>
              <w:bottom w:val="nil"/>
              <w:right w:val="nil"/>
            </w:tcBorders>
            <w:shd w:val="clear" w:color="auto" w:fill="auto"/>
            <w:noWrap/>
            <w:vAlign w:val="bottom"/>
            <w:hideMark/>
          </w:tcPr>
          <w:p w14:paraId="2C54D863" w14:textId="77777777" w:rsidR="00E161BF" w:rsidRPr="00E161BF" w:rsidRDefault="00E161BF" w:rsidP="00E161BF">
            <w:pPr>
              <w:widowControl/>
              <w:autoSpaceDE/>
              <w:autoSpaceDN/>
              <w:jc w:val="right"/>
              <w:rPr>
                <w:color w:val="000000"/>
                <w:sz w:val="24"/>
                <w:szCs w:val="24"/>
              </w:rPr>
            </w:pPr>
            <w:r w:rsidRPr="00E161BF">
              <w:rPr>
                <w:color w:val="000000"/>
                <w:sz w:val="24"/>
                <w:szCs w:val="24"/>
              </w:rPr>
              <w:t>5.9552</w:t>
            </w:r>
          </w:p>
        </w:tc>
      </w:tr>
      <w:tr w:rsidR="00E161BF" w:rsidRPr="00E161BF" w14:paraId="33DCD9C1" w14:textId="77777777" w:rsidTr="00E161BF">
        <w:trPr>
          <w:trHeight w:val="291"/>
        </w:trPr>
        <w:tc>
          <w:tcPr>
            <w:tcW w:w="1492" w:type="dxa"/>
            <w:tcBorders>
              <w:top w:val="nil"/>
              <w:left w:val="nil"/>
              <w:bottom w:val="single" w:sz="4" w:space="0" w:color="auto"/>
              <w:right w:val="nil"/>
            </w:tcBorders>
            <w:shd w:val="clear" w:color="auto" w:fill="auto"/>
            <w:noWrap/>
            <w:vAlign w:val="bottom"/>
            <w:hideMark/>
          </w:tcPr>
          <w:p w14:paraId="27C8D859" w14:textId="77777777" w:rsidR="00E161BF" w:rsidRPr="00E161BF" w:rsidRDefault="00E161BF" w:rsidP="00E161BF">
            <w:pPr>
              <w:widowControl/>
              <w:autoSpaceDE/>
              <w:autoSpaceDN/>
              <w:rPr>
                <w:color w:val="000000"/>
                <w:sz w:val="24"/>
                <w:szCs w:val="24"/>
              </w:rPr>
            </w:pPr>
            <w:r w:rsidRPr="00E161BF">
              <w:rPr>
                <w:color w:val="000000"/>
                <w:sz w:val="24"/>
                <w:szCs w:val="24"/>
              </w:rPr>
              <w:t>_cons</w:t>
            </w:r>
          </w:p>
        </w:tc>
        <w:tc>
          <w:tcPr>
            <w:tcW w:w="1253" w:type="dxa"/>
            <w:tcBorders>
              <w:top w:val="nil"/>
              <w:left w:val="nil"/>
              <w:bottom w:val="single" w:sz="4" w:space="0" w:color="auto"/>
              <w:right w:val="nil"/>
            </w:tcBorders>
            <w:shd w:val="clear" w:color="auto" w:fill="auto"/>
            <w:noWrap/>
            <w:vAlign w:val="bottom"/>
            <w:hideMark/>
          </w:tcPr>
          <w:p w14:paraId="5F20A5FF" w14:textId="77777777" w:rsidR="00E161BF" w:rsidRPr="00E161BF" w:rsidRDefault="00E161BF" w:rsidP="00E161BF">
            <w:pPr>
              <w:widowControl/>
              <w:autoSpaceDE/>
              <w:autoSpaceDN/>
              <w:jc w:val="right"/>
              <w:rPr>
                <w:color w:val="000000"/>
                <w:sz w:val="24"/>
                <w:szCs w:val="24"/>
              </w:rPr>
            </w:pPr>
            <w:r w:rsidRPr="00E161BF">
              <w:rPr>
                <w:color w:val="000000"/>
                <w:sz w:val="24"/>
                <w:szCs w:val="24"/>
              </w:rPr>
              <w:t>28.513</w:t>
            </w:r>
          </w:p>
        </w:tc>
        <w:tc>
          <w:tcPr>
            <w:tcW w:w="2093" w:type="dxa"/>
            <w:tcBorders>
              <w:top w:val="nil"/>
              <w:left w:val="nil"/>
              <w:bottom w:val="single" w:sz="4" w:space="0" w:color="auto"/>
              <w:right w:val="nil"/>
            </w:tcBorders>
            <w:shd w:val="clear" w:color="auto" w:fill="auto"/>
            <w:noWrap/>
            <w:vAlign w:val="bottom"/>
            <w:hideMark/>
          </w:tcPr>
          <w:p w14:paraId="028D1569" w14:textId="77777777" w:rsidR="00E161BF" w:rsidRPr="00E161BF" w:rsidRDefault="00E161BF" w:rsidP="00E161BF">
            <w:pPr>
              <w:widowControl/>
              <w:autoSpaceDE/>
              <w:autoSpaceDN/>
              <w:rPr>
                <w:color w:val="000000"/>
                <w:sz w:val="24"/>
                <w:szCs w:val="24"/>
              </w:rPr>
            </w:pPr>
            <w:r w:rsidRPr="00E161BF">
              <w:rPr>
                <w:color w:val="000000"/>
                <w:sz w:val="24"/>
                <w:szCs w:val="24"/>
              </w:rPr>
              <w:t>24.32346    1.17</w:t>
            </w:r>
          </w:p>
        </w:tc>
        <w:tc>
          <w:tcPr>
            <w:tcW w:w="948" w:type="dxa"/>
            <w:tcBorders>
              <w:top w:val="nil"/>
              <w:left w:val="nil"/>
              <w:bottom w:val="single" w:sz="4" w:space="0" w:color="auto"/>
              <w:right w:val="nil"/>
            </w:tcBorders>
            <w:shd w:val="clear" w:color="auto" w:fill="auto"/>
            <w:noWrap/>
            <w:vAlign w:val="bottom"/>
            <w:hideMark/>
          </w:tcPr>
          <w:p w14:paraId="797B1497" w14:textId="77777777" w:rsidR="00E161BF" w:rsidRPr="00E161BF" w:rsidRDefault="00E161BF" w:rsidP="00E161BF">
            <w:pPr>
              <w:widowControl/>
              <w:autoSpaceDE/>
              <w:autoSpaceDN/>
              <w:jc w:val="right"/>
              <w:rPr>
                <w:color w:val="000000"/>
                <w:sz w:val="24"/>
                <w:szCs w:val="24"/>
              </w:rPr>
            </w:pPr>
            <w:r w:rsidRPr="00E161BF">
              <w:rPr>
                <w:color w:val="000000"/>
                <w:sz w:val="24"/>
                <w:szCs w:val="24"/>
              </w:rPr>
              <w:t>0.25</w:t>
            </w:r>
          </w:p>
        </w:tc>
        <w:tc>
          <w:tcPr>
            <w:tcW w:w="2683" w:type="dxa"/>
            <w:tcBorders>
              <w:top w:val="nil"/>
              <w:left w:val="nil"/>
              <w:bottom w:val="single" w:sz="4" w:space="0" w:color="auto"/>
              <w:right w:val="nil"/>
            </w:tcBorders>
            <w:shd w:val="clear" w:color="auto" w:fill="auto"/>
            <w:noWrap/>
            <w:vAlign w:val="bottom"/>
            <w:hideMark/>
          </w:tcPr>
          <w:p w14:paraId="01D1CE96" w14:textId="77777777" w:rsidR="00E161BF" w:rsidRPr="00E161BF" w:rsidRDefault="00E161BF" w:rsidP="00E161BF">
            <w:pPr>
              <w:widowControl/>
              <w:autoSpaceDE/>
              <w:autoSpaceDN/>
              <w:jc w:val="right"/>
              <w:rPr>
                <w:color w:val="000000"/>
                <w:sz w:val="24"/>
                <w:szCs w:val="24"/>
              </w:rPr>
            </w:pPr>
            <w:r w:rsidRPr="00E161BF">
              <w:rPr>
                <w:color w:val="000000"/>
                <w:sz w:val="24"/>
                <w:szCs w:val="24"/>
              </w:rPr>
              <w:t>78.05781</w:t>
            </w:r>
          </w:p>
        </w:tc>
        <w:tc>
          <w:tcPr>
            <w:tcW w:w="1408" w:type="dxa"/>
            <w:tcBorders>
              <w:top w:val="nil"/>
              <w:left w:val="nil"/>
              <w:bottom w:val="single" w:sz="4" w:space="0" w:color="auto"/>
              <w:right w:val="nil"/>
            </w:tcBorders>
            <w:shd w:val="clear" w:color="auto" w:fill="auto"/>
            <w:noWrap/>
            <w:vAlign w:val="bottom"/>
            <w:hideMark/>
          </w:tcPr>
          <w:p w14:paraId="68EEFFEB" w14:textId="77777777" w:rsidR="00E161BF" w:rsidRPr="00E161BF" w:rsidRDefault="00E161BF" w:rsidP="00E161BF">
            <w:pPr>
              <w:widowControl/>
              <w:autoSpaceDE/>
              <w:autoSpaceDN/>
              <w:jc w:val="right"/>
              <w:rPr>
                <w:color w:val="000000"/>
                <w:sz w:val="24"/>
                <w:szCs w:val="24"/>
              </w:rPr>
            </w:pPr>
            <w:r w:rsidRPr="00E161BF">
              <w:rPr>
                <w:color w:val="000000"/>
                <w:sz w:val="24"/>
                <w:szCs w:val="24"/>
              </w:rPr>
              <w:t>21.0327</w:t>
            </w:r>
          </w:p>
        </w:tc>
      </w:tr>
    </w:tbl>
    <w:p w14:paraId="3A9A8380" w14:textId="77777777" w:rsidR="00E161BF" w:rsidRPr="008565D4" w:rsidRDefault="00E161BF" w:rsidP="00E161BF">
      <w:pPr>
        <w:rPr>
          <w:rFonts w:eastAsiaTheme="minorHAnsi" w:cstheme="minorBidi"/>
          <w:b/>
        </w:rPr>
      </w:pPr>
      <w:r w:rsidRPr="008565D4">
        <w:rPr>
          <w:rFonts w:eastAsiaTheme="minorHAnsi" w:cstheme="minorBidi"/>
          <w:b/>
        </w:rPr>
        <w:t xml:space="preserve">Source: </w:t>
      </w:r>
      <w:r>
        <w:rPr>
          <w:rFonts w:eastAsiaTheme="minorHAnsi" w:cstheme="minorBidi"/>
          <w:b/>
        </w:rPr>
        <w:t>NSE</w:t>
      </w:r>
      <w:r w:rsidRPr="008565D4">
        <w:rPr>
          <w:rFonts w:eastAsiaTheme="minorHAnsi" w:cstheme="minorBidi"/>
          <w:b/>
        </w:rPr>
        <w:t xml:space="preserve"> Data (2023)</w:t>
      </w:r>
    </w:p>
    <w:p w14:paraId="54B39CCA" w14:textId="77777777" w:rsidR="00E161BF" w:rsidRDefault="00E161BF" w:rsidP="00E161BF"/>
    <w:p w14:paraId="0992E2AE" w14:textId="77777777" w:rsidR="00E161BF" w:rsidRDefault="00E161BF" w:rsidP="00E161BF">
      <w:pPr>
        <w:pStyle w:val="BodyText"/>
      </w:pPr>
      <w:r>
        <w:t xml:space="preserve">Table 1 represents the results of the </w:t>
      </w:r>
      <w:r w:rsidRPr="00E161BF">
        <w:t>effect of liquidity and profitability on share returns</w:t>
      </w:r>
      <w:r>
        <w:t xml:space="preserve"> of the listed firms in the Agriculture Segment of NSE. The results indicated R</w:t>
      </w:r>
      <w:r w:rsidRPr="00E161BF">
        <w:rPr>
          <w:vertAlign w:val="superscript"/>
        </w:rPr>
        <w:t xml:space="preserve">2 </w:t>
      </w:r>
      <w:r>
        <w:t xml:space="preserve">of 0.278 indicating that the data collected on liquidity and profitability contributed to 28% of the results of share returns of the firms which was a high correlation. The p value was 0.0054 which indicated that there was significant effect of liquidity and profitability on share returns the listed firms in the Agriculture Segment of NSE. Specifically, the study established significant effect of liquidity on </w:t>
      </w:r>
      <w:r w:rsidRPr="00E161BF">
        <w:t>share returns</w:t>
      </w:r>
      <w:r>
        <w:t xml:space="preserve"> of the listed firms in the Agriculture Segment of NSE (</w:t>
      </w:r>
      <w:r w:rsidRPr="00E161BF">
        <w:t>β</w:t>
      </w:r>
      <w:r>
        <w:t xml:space="preserve"> = 70.728, p = 0.021). This result indicated that an increase in liquidity by 1 unit will lead to an increase of share returns with 70.728 multiple units). Secondly, the study established significant effect of profitability on </w:t>
      </w:r>
      <w:r w:rsidRPr="00E161BF">
        <w:t>share returns</w:t>
      </w:r>
      <w:r>
        <w:t xml:space="preserve"> of the listed firms in the Agriculture Segment of NSE (</w:t>
      </w:r>
      <w:r w:rsidRPr="00E161BF">
        <w:t>β</w:t>
      </w:r>
      <w:r>
        <w:t xml:space="preserve"> = 25.947, p = 0.013). This result indicated that an increase in lprofitability by 1 unit will lead to an increase of share returns with 70.728 multiple units).</w:t>
      </w:r>
    </w:p>
    <w:p w14:paraId="630ED2E6" w14:textId="77777777" w:rsidR="00532C52" w:rsidRPr="00E161BF" w:rsidRDefault="00A71CBC" w:rsidP="00E161BF">
      <w:pPr>
        <w:pStyle w:val="BodyText"/>
      </w:pPr>
      <w:r>
        <w:rPr>
          <w:b/>
        </w:rPr>
        <w:t>5</w:t>
      </w:r>
      <w:r w:rsidR="00532C52" w:rsidRPr="00A71CBC">
        <w:rPr>
          <w:b/>
        </w:rPr>
        <w:t>.</w:t>
      </w:r>
      <w:r w:rsidR="00E161BF">
        <w:rPr>
          <w:b/>
        </w:rPr>
        <w:t>0.2</w:t>
      </w:r>
      <w:r w:rsidR="00532C52" w:rsidRPr="00A71CBC">
        <w:rPr>
          <w:b/>
        </w:rPr>
        <w:t xml:space="preserve"> </w:t>
      </w:r>
      <w:r w:rsidR="00E161BF">
        <w:rPr>
          <w:b/>
        </w:rPr>
        <w:t>t</w:t>
      </w:r>
      <w:r w:rsidR="00E161BF" w:rsidRPr="00A71CBC">
        <w:rPr>
          <w:b/>
        </w:rPr>
        <w:t>he</w:t>
      </w:r>
      <w:r w:rsidR="00532C52" w:rsidRPr="00A71CBC">
        <w:rPr>
          <w:b/>
        </w:rPr>
        <w:t xml:space="preserve"> Moderating Effect of Tax on Firm Financial Indicators and Share Returns</w:t>
      </w:r>
    </w:p>
    <w:p w14:paraId="4ABDA968" w14:textId="600A28A7" w:rsidR="00532C52" w:rsidRDefault="00532C52" w:rsidP="00532C52">
      <w:pPr>
        <w:pStyle w:val="Caption"/>
        <w:rPr>
          <w:szCs w:val="24"/>
        </w:rPr>
      </w:pPr>
      <w:bookmarkStart w:id="0" w:name="_Toc107827654"/>
      <w:bookmarkStart w:id="1" w:name="_Toc58076097"/>
      <w:bookmarkStart w:id="2" w:name="_Toc57714397"/>
      <w:bookmarkStart w:id="3" w:name="_Toc56688185"/>
      <w:bookmarkStart w:id="4" w:name="_Toc55910385"/>
      <w:bookmarkStart w:id="5" w:name="_Toc55910122"/>
      <w:bookmarkStart w:id="6" w:name="_Toc141109520"/>
      <w:r w:rsidRPr="00A6540B">
        <w:t>Table .</w:t>
      </w:r>
      <w:r>
        <w:fldChar w:fldCharType="begin"/>
      </w:r>
      <w:r>
        <w:instrText xml:space="preserve"> SEQ Table \* ARABIC </w:instrText>
      </w:r>
      <w:r>
        <w:fldChar w:fldCharType="separate"/>
      </w:r>
      <w:r w:rsidR="00E161BF">
        <w:rPr>
          <w:noProof/>
        </w:rPr>
        <w:t>2</w:t>
      </w:r>
      <w:r>
        <w:rPr>
          <w:noProof/>
        </w:rPr>
        <w:fldChar w:fldCharType="end"/>
      </w:r>
      <w:r w:rsidRPr="00A6540B">
        <w:t xml:space="preserve">: </w:t>
      </w:r>
      <w:bookmarkEnd w:id="0"/>
      <w:bookmarkEnd w:id="1"/>
      <w:bookmarkEnd w:id="2"/>
      <w:bookmarkEnd w:id="3"/>
      <w:bookmarkEnd w:id="4"/>
      <w:bookmarkEnd w:id="5"/>
      <w:r w:rsidRPr="00A6540B">
        <w:t>The</w:t>
      </w:r>
      <w:r w:rsidRPr="00A6540B">
        <w:rPr>
          <w:szCs w:val="24"/>
        </w:rPr>
        <w:t xml:space="preserve"> Moderating Effect of Tax on Firm Financial Indicators and Share Returns</w:t>
      </w:r>
      <w:bookmarkEnd w:id="6"/>
    </w:p>
    <w:p w14:paraId="6918CB2D" w14:textId="77777777" w:rsidR="00E161BF" w:rsidRDefault="00E161BF" w:rsidP="00E161BF"/>
    <w:tbl>
      <w:tblPr>
        <w:tblW w:w="9315" w:type="dxa"/>
        <w:tblLook w:val="04A0" w:firstRow="1" w:lastRow="0" w:firstColumn="1" w:lastColumn="0" w:noHBand="0" w:noVBand="1"/>
      </w:tblPr>
      <w:tblGrid>
        <w:gridCol w:w="1366"/>
        <w:gridCol w:w="1419"/>
        <w:gridCol w:w="1917"/>
        <w:gridCol w:w="868"/>
        <w:gridCol w:w="2456"/>
        <w:gridCol w:w="1289"/>
      </w:tblGrid>
      <w:tr w:rsidR="00E161BF" w:rsidRPr="00E161BF" w14:paraId="35B1B897" w14:textId="77777777" w:rsidTr="00E161BF">
        <w:trPr>
          <w:trHeight w:val="309"/>
        </w:trPr>
        <w:tc>
          <w:tcPr>
            <w:tcW w:w="1366" w:type="dxa"/>
            <w:tcBorders>
              <w:top w:val="single" w:sz="4" w:space="0" w:color="auto"/>
              <w:left w:val="nil"/>
              <w:bottom w:val="single" w:sz="4" w:space="0" w:color="auto"/>
              <w:right w:val="nil"/>
            </w:tcBorders>
            <w:shd w:val="clear" w:color="auto" w:fill="auto"/>
            <w:noWrap/>
            <w:vAlign w:val="bottom"/>
            <w:hideMark/>
          </w:tcPr>
          <w:p w14:paraId="773779BA" w14:textId="77777777" w:rsidR="00E161BF" w:rsidRPr="00E161BF" w:rsidRDefault="00E161BF" w:rsidP="00E161BF">
            <w:pPr>
              <w:widowControl/>
              <w:autoSpaceDE/>
              <w:autoSpaceDN/>
              <w:rPr>
                <w:b/>
                <w:bCs/>
                <w:color w:val="000000"/>
                <w:sz w:val="24"/>
                <w:szCs w:val="24"/>
              </w:rPr>
            </w:pPr>
            <w:r w:rsidRPr="00E161BF">
              <w:rPr>
                <w:b/>
                <w:bCs/>
                <w:color w:val="000000"/>
                <w:sz w:val="24"/>
                <w:szCs w:val="24"/>
              </w:rPr>
              <w:t>Source</w:t>
            </w:r>
          </w:p>
        </w:tc>
        <w:tc>
          <w:tcPr>
            <w:tcW w:w="1419" w:type="dxa"/>
            <w:tcBorders>
              <w:top w:val="single" w:sz="4" w:space="0" w:color="auto"/>
              <w:left w:val="nil"/>
              <w:bottom w:val="single" w:sz="4" w:space="0" w:color="auto"/>
              <w:right w:val="nil"/>
            </w:tcBorders>
            <w:shd w:val="clear" w:color="auto" w:fill="auto"/>
            <w:noWrap/>
            <w:vAlign w:val="bottom"/>
            <w:hideMark/>
          </w:tcPr>
          <w:p w14:paraId="2645C27E" w14:textId="77777777" w:rsidR="00E161BF" w:rsidRPr="00E161BF" w:rsidRDefault="00E161BF" w:rsidP="00E161BF">
            <w:pPr>
              <w:widowControl/>
              <w:autoSpaceDE/>
              <w:autoSpaceDN/>
              <w:rPr>
                <w:b/>
                <w:bCs/>
                <w:color w:val="000000"/>
                <w:sz w:val="24"/>
                <w:szCs w:val="24"/>
              </w:rPr>
            </w:pPr>
            <w:r w:rsidRPr="00E161BF">
              <w:rPr>
                <w:b/>
                <w:bCs/>
                <w:color w:val="000000"/>
                <w:sz w:val="24"/>
                <w:szCs w:val="24"/>
              </w:rPr>
              <w:t>SS</w:t>
            </w:r>
          </w:p>
        </w:tc>
        <w:tc>
          <w:tcPr>
            <w:tcW w:w="2785" w:type="dxa"/>
            <w:gridSpan w:val="2"/>
            <w:tcBorders>
              <w:top w:val="single" w:sz="4" w:space="0" w:color="auto"/>
              <w:left w:val="nil"/>
              <w:bottom w:val="single" w:sz="4" w:space="0" w:color="auto"/>
              <w:right w:val="nil"/>
            </w:tcBorders>
            <w:shd w:val="clear" w:color="auto" w:fill="auto"/>
            <w:noWrap/>
            <w:vAlign w:val="bottom"/>
            <w:hideMark/>
          </w:tcPr>
          <w:p w14:paraId="5D43213B" w14:textId="77777777" w:rsidR="00E161BF" w:rsidRPr="00E161BF" w:rsidRDefault="00E161BF" w:rsidP="00E161BF">
            <w:pPr>
              <w:widowControl/>
              <w:autoSpaceDE/>
              <w:autoSpaceDN/>
              <w:rPr>
                <w:b/>
                <w:bCs/>
                <w:color w:val="000000"/>
                <w:sz w:val="24"/>
                <w:szCs w:val="24"/>
              </w:rPr>
            </w:pPr>
            <w:r w:rsidRPr="00E161BF">
              <w:rPr>
                <w:b/>
                <w:bCs/>
                <w:color w:val="000000"/>
                <w:sz w:val="24"/>
                <w:szCs w:val="24"/>
              </w:rPr>
              <w:t>df       MS</w:t>
            </w:r>
          </w:p>
        </w:tc>
        <w:tc>
          <w:tcPr>
            <w:tcW w:w="2456" w:type="dxa"/>
            <w:tcBorders>
              <w:top w:val="single" w:sz="4" w:space="0" w:color="auto"/>
              <w:left w:val="nil"/>
              <w:bottom w:val="single" w:sz="4" w:space="0" w:color="auto"/>
              <w:right w:val="nil"/>
            </w:tcBorders>
            <w:shd w:val="clear" w:color="auto" w:fill="auto"/>
            <w:noWrap/>
            <w:vAlign w:val="bottom"/>
            <w:hideMark/>
          </w:tcPr>
          <w:p w14:paraId="735EBCE1" w14:textId="77777777" w:rsidR="00E161BF" w:rsidRPr="00E161BF" w:rsidRDefault="00E161BF" w:rsidP="00E161BF">
            <w:pPr>
              <w:widowControl/>
              <w:autoSpaceDE/>
              <w:autoSpaceDN/>
              <w:rPr>
                <w:b/>
                <w:bCs/>
                <w:color w:val="000000"/>
                <w:sz w:val="24"/>
                <w:szCs w:val="24"/>
              </w:rPr>
            </w:pPr>
            <w:r w:rsidRPr="00E161BF">
              <w:rPr>
                <w:b/>
                <w:bCs/>
                <w:color w:val="000000"/>
                <w:sz w:val="24"/>
                <w:szCs w:val="24"/>
              </w:rPr>
              <w:t>Number of obs</w:t>
            </w:r>
          </w:p>
        </w:tc>
        <w:tc>
          <w:tcPr>
            <w:tcW w:w="1289" w:type="dxa"/>
            <w:tcBorders>
              <w:top w:val="single" w:sz="4" w:space="0" w:color="auto"/>
              <w:left w:val="nil"/>
              <w:bottom w:val="single" w:sz="4" w:space="0" w:color="auto"/>
              <w:right w:val="nil"/>
            </w:tcBorders>
            <w:shd w:val="clear" w:color="auto" w:fill="auto"/>
            <w:noWrap/>
            <w:vAlign w:val="bottom"/>
            <w:hideMark/>
          </w:tcPr>
          <w:p w14:paraId="14810BE3" w14:textId="77777777" w:rsidR="00E161BF" w:rsidRPr="00E161BF" w:rsidRDefault="00E161BF" w:rsidP="00E161BF">
            <w:pPr>
              <w:widowControl/>
              <w:autoSpaceDE/>
              <w:autoSpaceDN/>
              <w:jc w:val="right"/>
              <w:rPr>
                <w:b/>
                <w:bCs/>
                <w:color w:val="000000"/>
                <w:sz w:val="24"/>
                <w:szCs w:val="24"/>
              </w:rPr>
            </w:pPr>
            <w:r w:rsidRPr="00E161BF">
              <w:rPr>
                <w:b/>
                <w:bCs/>
                <w:color w:val="000000"/>
                <w:sz w:val="24"/>
                <w:szCs w:val="24"/>
              </w:rPr>
              <w:t>35</w:t>
            </w:r>
          </w:p>
        </w:tc>
      </w:tr>
      <w:tr w:rsidR="00E161BF" w:rsidRPr="00E161BF" w14:paraId="247521BA" w14:textId="77777777" w:rsidTr="00E161BF">
        <w:trPr>
          <w:trHeight w:val="309"/>
        </w:trPr>
        <w:tc>
          <w:tcPr>
            <w:tcW w:w="1366" w:type="dxa"/>
            <w:tcBorders>
              <w:top w:val="nil"/>
              <w:left w:val="nil"/>
              <w:bottom w:val="nil"/>
              <w:right w:val="nil"/>
            </w:tcBorders>
            <w:shd w:val="clear" w:color="auto" w:fill="auto"/>
            <w:noWrap/>
            <w:vAlign w:val="bottom"/>
            <w:hideMark/>
          </w:tcPr>
          <w:p w14:paraId="7E034A60" w14:textId="77777777" w:rsidR="00E161BF" w:rsidRPr="00E161BF" w:rsidRDefault="00E161BF" w:rsidP="00E161BF">
            <w:pPr>
              <w:widowControl/>
              <w:autoSpaceDE/>
              <w:autoSpaceDN/>
              <w:jc w:val="right"/>
              <w:rPr>
                <w:b/>
                <w:bCs/>
                <w:color w:val="000000"/>
                <w:sz w:val="24"/>
                <w:szCs w:val="24"/>
              </w:rPr>
            </w:pPr>
          </w:p>
        </w:tc>
        <w:tc>
          <w:tcPr>
            <w:tcW w:w="1419" w:type="dxa"/>
            <w:tcBorders>
              <w:top w:val="nil"/>
              <w:left w:val="nil"/>
              <w:bottom w:val="nil"/>
              <w:right w:val="nil"/>
            </w:tcBorders>
            <w:shd w:val="clear" w:color="auto" w:fill="auto"/>
            <w:noWrap/>
            <w:vAlign w:val="bottom"/>
            <w:hideMark/>
          </w:tcPr>
          <w:p w14:paraId="5F4936B1" w14:textId="77777777" w:rsidR="00E161BF" w:rsidRPr="00E161BF" w:rsidRDefault="00E161BF" w:rsidP="00E161BF">
            <w:pPr>
              <w:widowControl/>
              <w:autoSpaceDE/>
              <w:autoSpaceDN/>
              <w:rPr>
                <w:sz w:val="20"/>
                <w:szCs w:val="20"/>
              </w:rPr>
            </w:pPr>
          </w:p>
        </w:tc>
        <w:tc>
          <w:tcPr>
            <w:tcW w:w="1917" w:type="dxa"/>
            <w:tcBorders>
              <w:top w:val="nil"/>
              <w:left w:val="nil"/>
              <w:bottom w:val="nil"/>
              <w:right w:val="nil"/>
            </w:tcBorders>
            <w:shd w:val="clear" w:color="auto" w:fill="auto"/>
            <w:noWrap/>
            <w:vAlign w:val="bottom"/>
            <w:hideMark/>
          </w:tcPr>
          <w:p w14:paraId="16C3FAD9" w14:textId="77777777" w:rsidR="00E161BF" w:rsidRPr="00E161BF" w:rsidRDefault="00E161BF" w:rsidP="00E161BF">
            <w:pPr>
              <w:widowControl/>
              <w:autoSpaceDE/>
              <w:autoSpaceDN/>
              <w:rPr>
                <w:sz w:val="20"/>
                <w:szCs w:val="20"/>
              </w:rPr>
            </w:pPr>
          </w:p>
        </w:tc>
        <w:tc>
          <w:tcPr>
            <w:tcW w:w="867" w:type="dxa"/>
            <w:tcBorders>
              <w:top w:val="nil"/>
              <w:left w:val="nil"/>
              <w:bottom w:val="nil"/>
              <w:right w:val="nil"/>
            </w:tcBorders>
            <w:shd w:val="clear" w:color="auto" w:fill="auto"/>
            <w:noWrap/>
            <w:vAlign w:val="bottom"/>
            <w:hideMark/>
          </w:tcPr>
          <w:p w14:paraId="777B0270" w14:textId="77777777" w:rsidR="00E161BF" w:rsidRPr="00E161BF" w:rsidRDefault="00E161BF" w:rsidP="00E161BF">
            <w:pPr>
              <w:widowControl/>
              <w:autoSpaceDE/>
              <w:autoSpaceDN/>
              <w:rPr>
                <w:sz w:val="20"/>
                <w:szCs w:val="20"/>
              </w:rPr>
            </w:pPr>
          </w:p>
        </w:tc>
        <w:tc>
          <w:tcPr>
            <w:tcW w:w="2456" w:type="dxa"/>
            <w:tcBorders>
              <w:top w:val="nil"/>
              <w:left w:val="nil"/>
              <w:bottom w:val="nil"/>
              <w:right w:val="nil"/>
            </w:tcBorders>
            <w:shd w:val="clear" w:color="auto" w:fill="auto"/>
            <w:noWrap/>
            <w:vAlign w:val="bottom"/>
            <w:hideMark/>
          </w:tcPr>
          <w:p w14:paraId="451977F3" w14:textId="77777777" w:rsidR="00E161BF" w:rsidRPr="00E161BF" w:rsidRDefault="00E161BF" w:rsidP="00E161BF">
            <w:pPr>
              <w:widowControl/>
              <w:autoSpaceDE/>
              <w:autoSpaceDN/>
              <w:rPr>
                <w:color w:val="000000"/>
                <w:sz w:val="24"/>
                <w:szCs w:val="24"/>
              </w:rPr>
            </w:pPr>
            <w:r w:rsidRPr="00E161BF">
              <w:rPr>
                <w:color w:val="000000"/>
                <w:sz w:val="24"/>
                <w:szCs w:val="24"/>
              </w:rPr>
              <w:t>F(  3,    31)</w:t>
            </w:r>
          </w:p>
        </w:tc>
        <w:tc>
          <w:tcPr>
            <w:tcW w:w="1289" w:type="dxa"/>
            <w:tcBorders>
              <w:top w:val="nil"/>
              <w:left w:val="nil"/>
              <w:bottom w:val="nil"/>
              <w:right w:val="nil"/>
            </w:tcBorders>
            <w:shd w:val="clear" w:color="auto" w:fill="auto"/>
            <w:noWrap/>
            <w:vAlign w:val="bottom"/>
            <w:hideMark/>
          </w:tcPr>
          <w:p w14:paraId="7D1B8974" w14:textId="77777777" w:rsidR="00E161BF" w:rsidRPr="00E161BF" w:rsidRDefault="00E161BF" w:rsidP="00E161BF">
            <w:pPr>
              <w:widowControl/>
              <w:autoSpaceDE/>
              <w:autoSpaceDN/>
              <w:jc w:val="right"/>
              <w:rPr>
                <w:color w:val="000000"/>
                <w:sz w:val="24"/>
                <w:szCs w:val="24"/>
              </w:rPr>
            </w:pPr>
            <w:r w:rsidRPr="00E161BF">
              <w:rPr>
                <w:color w:val="000000"/>
                <w:sz w:val="24"/>
                <w:szCs w:val="24"/>
              </w:rPr>
              <w:t>6.91</w:t>
            </w:r>
          </w:p>
        </w:tc>
      </w:tr>
      <w:tr w:rsidR="00E161BF" w:rsidRPr="00E161BF" w14:paraId="6CDF1454" w14:textId="77777777" w:rsidTr="00E161BF">
        <w:trPr>
          <w:trHeight w:val="309"/>
        </w:trPr>
        <w:tc>
          <w:tcPr>
            <w:tcW w:w="1366" w:type="dxa"/>
            <w:tcBorders>
              <w:top w:val="nil"/>
              <w:left w:val="nil"/>
              <w:bottom w:val="nil"/>
              <w:right w:val="nil"/>
            </w:tcBorders>
            <w:shd w:val="clear" w:color="auto" w:fill="auto"/>
            <w:noWrap/>
            <w:vAlign w:val="bottom"/>
            <w:hideMark/>
          </w:tcPr>
          <w:p w14:paraId="3C9B9657" w14:textId="77777777" w:rsidR="00E161BF" w:rsidRPr="00E161BF" w:rsidRDefault="00E161BF" w:rsidP="00E161BF">
            <w:pPr>
              <w:widowControl/>
              <w:autoSpaceDE/>
              <w:autoSpaceDN/>
              <w:rPr>
                <w:color w:val="000000"/>
                <w:sz w:val="24"/>
                <w:szCs w:val="24"/>
              </w:rPr>
            </w:pPr>
            <w:r w:rsidRPr="00E161BF">
              <w:rPr>
                <w:color w:val="000000"/>
                <w:sz w:val="24"/>
                <w:szCs w:val="24"/>
              </w:rPr>
              <w:t>Model</w:t>
            </w:r>
          </w:p>
        </w:tc>
        <w:tc>
          <w:tcPr>
            <w:tcW w:w="1419" w:type="dxa"/>
            <w:tcBorders>
              <w:top w:val="nil"/>
              <w:left w:val="nil"/>
              <w:bottom w:val="nil"/>
              <w:right w:val="nil"/>
            </w:tcBorders>
            <w:shd w:val="clear" w:color="auto" w:fill="auto"/>
            <w:noWrap/>
            <w:vAlign w:val="bottom"/>
            <w:hideMark/>
          </w:tcPr>
          <w:p w14:paraId="37E3632B" w14:textId="77777777" w:rsidR="00E161BF" w:rsidRPr="00E161BF" w:rsidRDefault="00E161BF" w:rsidP="00E161BF">
            <w:pPr>
              <w:widowControl/>
              <w:autoSpaceDE/>
              <w:autoSpaceDN/>
              <w:jc w:val="right"/>
              <w:rPr>
                <w:color w:val="000000"/>
                <w:sz w:val="24"/>
                <w:szCs w:val="24"/>
              </w:rPr>
            </w:pPr>
            <w:r w:rsidRPr="00E161BF">
              <w:rPr>
                <w:color w:val="000000"/>
                <w:sz w:val="24"/>
                <w:szCs w:val="24"/>
              </w:rPr>
              <w:t>6790.041</w:t>
            </w:r>
          </w:p>
        </w:tc>
        <w:tc>
          <w:tcPr>
            <w:tcW w:w="2785" w:type="dxa"/>
            <w:gridSpan w:val="2"/>
            <w:tcBorders>
              <w:top w:val="nil"/>
              <w:left w:val="nil"/>
              <w:bottom w:val="nil"/>
              <w:right w:val="nil"/>
            </w:tcBorders>
            <w:shd w:val="clear" w:color="auto" w:fill="auto"/>
            <w:noWrap/>
            <w:vAlign w:val="bottom"/>
            <w:hideMark/>
          </w:tcPr>
          <w:p w14:paraId="2960411D" w14:textId="77777777" w:rsidR="00E161BF" w:rsidRPr="00E161BF" w:rsidRDefault="00E161BF" w:rsidP="00E161BF">
            <w:pPr>
              <w:widowControl/>
              <w:autoSpaceDE/>
              <w:autoSpaceDN/>
              <w:rPr>
                <w:color w:val="000000"/>
                <w:sz w:val="24"/>
                <w:szCs w:val="24"/>
              </w:rPr>
            </w:pPr>
            <w:r w:rsidRPr="00E161BF">
              <w:rPr>
                <w:color w:val="000000"/>
                <w:sz w:val="24"/>
                <w:szCs w:val="24"/>
              </w:rPr>
              <w:t>3  2263.34701</w:t>
            </w:r>
          </w:p>
        </w:tc>
        <w:tc>
          <w:tcPr>
            <w:tcW w:w="2456" w:type="dxa"/>
            <w:tcBorders>
              <w:top w:val="nil"/>
              <w:left w:val="nil"/>
              <w:bottom w:val="nil"/>
              <w:right w:val="nil"/>
            </w:tcBorders>
            <w:shd w:val="clear" w:color="auto" w:fill="auto"/>
            <w:noWrap/>
            <w:vAlign w:val="bottom"/>
            <w:hideMark/>
          </w:tcPr>
          <w:p w14:paraId="6CAEBCDD" w14:textId="77777777" w:rsidR="00E161BF" w:rsidRPr="00E161BF" w:rsidRDefault="00E161BF" w:rsidP="00E161BF">
            <w:pPr>
              <w:widowControl/>
              <w:autoSpaceDE/>
              <w:autoSpaceDN/>
              <w:rPr>
                <w:color w:val="000000"/>
                <w:sz w:val="24"/>
                <w:szCs w:val="24"/>
              </w:rPr>
            </w:pPr>
            <w:r w:rsidRPr="00E161BF">
              <w:rPr>
                <w:color w:val="000000"/>
                <w:sz w:val="24"/>
                <w:szCs w:val="24"/>
              </w:rPr>
              <w:t>Prob &gt; F</w:t>
            </w:r>
          </w:p>
        </w:tc>
        <w:tc>
          <w:tcPr>
            <w:tcW w:w="1289" w:type="dxa"/>
            <w:tcBorders>
              <w:top w:val="nil"/>
              <w:left w:val="nil"/>
              <w:bottom w:val="nil"/>
              <w:right w:val="nil"/>
            </w:tcBorders>
            <w:shd w:val="clear" w:color="auto" w:fill="auto"/>
            <w:noWrap/>
            <w:vAlign w:val="bottom"/>
            <w:hideMark/>
          </w:tcPr>
          <w:p w14:paraId="0690677F" w14:textId="77777777" w:rsidR="00E161BF" w:rsidRPr="00E161BF" w:rsidRDefault="00E161BF" w:rsidP="00E161BF">
            <w:pPr>
              <w:widowControl/>
              <w:autoSpaceDE/>
              <w:autoSpaceDN/>
              <w:jc w:val="right"/>
              <w:rPr>
                <w:color w:val="000000"/>
                <w:sz w:val="24"/>
                <w:szCs w:val="24"/>
              </w:rPr>
            </w:pPr>
            <w:r w:rsidRPr="00E161BF">
              <w:rPr>
                <w:color w:val="000000"/>
                <w:sz w:val="24"/>
                <w:szCs w:val="24"/>
              </w:rPr>
              <w:t>0.0011</w:t>
            </w:r>
          </w:p>
        </w:tc>
      </w:tr>
      <w:tr w:rsidR="00E161BF" w:rsidRPr="00E161BF" w14:paraId="0608E6A2" w14:textId="77777777" w:rsidTr="00E161BF">
        <w:trPr>
          <w:trHeight w:val="309"/>
        </w:trPr>
        <w:tc>
          <w:tcPr>
            <w:tcW w:w="1366" w:type="dxa"/>
            <w:tcBorders>
              <w:top w:val="nil"/>
              <w:left w:val="nil"/>
              <w:bottom w:val="nil"/>
              <w:right w:val="nil"/>
            </w:tcBorders>
            <w:shd w:val="clear" w:color="auto" w:fill="auto"/>
            <w:noWrap/>
            <w:vAlign w:val="bottom"/>
            <w:hideMark/>
          </w:tcPr>
          <w:p w14:paraId="451BC643" w14:textId="77777777" w:rsidR="00E161BF" w:rsidRPr="00E161BF" w:rsidRDefault="00E161BF" w:rsidP="00E161BF">
            <w:pPr>
              <w:widowControl/>
              <w:autoSpaceDE/>
              <w:autoSpaceDN/>
              <w:rPr>
                <w:color w:val="000000"/>
                <w:sz w:val="24"/>
                <w:szCs w:val="24"/>
              </w:rPr>
            </w:pPr>
            <w:r w:rsidRPr="00E161BF">
              <w:rPr>
                <w:color w:val="000000"/>
                <w:sz w:val="24"/>
                <w:szCs w:val="24"/>
              </w:rPr>
              <w:t>Residual</w:t>
            </w:r>
          </w:p>
        </w:tc>
        <w:tc>
          <w:tcPr>
            <w:tcW w:w="1419" w:type="dxa"/>
            <w:tcBorders>
              <w:top w:val="nil"/>
              <w:left w:val="nil"/>
              <w:bottom w:val="nil"/>
              <w:right w:val="nil"/>
            </w:tcBorders>
            <w:shd w:val="clear" w:color="auto" w:fill="auto"/>
            <w:noWrap/>
            <w:vAlign w:val="bottom"/>
            <w:hideMark/>
          </w:tcPr>
          <w:p w14:paraId="5591D9F8" w14:textId="77777777" w:rsidR="00E161BF" w:rsidRPr="00E161BF" w:rsidRDefault="00E161BF" w:rsidP="00E161BF">
            <w:pPr>
              <w:widowControl/>
              <w:autoSpaceDE/>
              <w:autoSpaceDN/>
              <w:jc w:val="right"/>
              <w:rPr>
                <w:color w:val="000000"/>
                <w:sz w:val="24"/>
                <w:szCs w:val="24"/>
              </w:rPr>
            </w:pPr>
            <w:r w:rsidRPr="00E161BF">
              <w:rPr>
                <w:color w:val="000000"/>
                <w:sz w:val="24"/>
                <w:szCs w:val="24"/>
              </w:rPr>
              <w:t>10149.556</w:t>
            </w:r>
          </w:p>
        </w:tc>
        <w:tc>
          <w:tcPr>
            <w:tcW w:w="2785" w:type="dxa"/>
            <w:gridSpan w:val="2"/>
            <w:tcBorders>
              <w:top w:val="nil"/>
              <w:left w:val="nil"/>
              <w:bottom w:val="nil"/>
              <w:right w:val="nil"/>
            </w:tcBorders>
            <w:shd w:val="clear" w:color="auto" w:fill="auto"/>
            <w:noWrap/>
            <w:vAlign w:val="bottom"/>
            <w:hideMark/>
          </w:tcPr>
          <w:p w14:paraId="5763F2EF" w14:textId="77777777" w:rsidR="00E161BF" w:rsidRPr="00E161BF" w:rsidRDefault="00E161BF" w:rsidP="00E161BF">
            <w:pPr>
              <w:widowControl/>
              <w:autoSpaceDE/>
              <w:autoSpaceDN/>
              <w:rPr>
                <w:color w:val="000000"/>
                <w:sz w:val="24"/>
                <w:szCs w:val="24"/>
              </w:rPr>
            </w:pPr>
            <w:r w:rsidRPr="00E161BF">
              <w:rPr>
                <w:color w:val="000000"/>
                <w:sz w:val="24"/>
                <w:szCs w:val="24"/>
              </w:rPr>
              <w:t>31  327.405028</w:t>
            </w:r>
          </w:p>
        </w:tc>
        <w:tc>
          <w:tcPr>
            <w:tcW w:w="2456" w:type="dxa"/>
            <w:tcBorders>
              <w:top w:val="nil"/>
              <w:left w:val="nil"/>
              <w:bottom w:val="nil"/>
              <w:right w:val="nil"/>
            </w:tcBorders>
            <w:shd w:val="clear" w:color="auto" w:fill="auto"/>
            <w:noWrap/>
            <w:vAlign w:val="bottom"/>
            <w:hideMark/>
          </w:tcPr>
          <w:p w14:paraId="306B8D9F" w14:textId="77777777" w:rsidR="00E161BF" w:rsidRPr="00E161BF" w:rsidRDefault="00E161BF" w:rsidP="00E161BF">
            <w:pPr>
              <w:widowControl/>
              <w:autoSpaceDE/>
              <w:autoSpaceDN/>
              <w:rPr>
                <w:color w:val="000000"/>
                <w:sz w:val="24"/>
                <w:szCs w:val="24"/>
              </w:rPr>
            </w:pPr>
            <w:r w:rsidRPr="00E161BF">
              <w:rPr>
                <w:color w:val="000000"/>
                <w:sz w:val="24"/>
                <w:szCs w:val="24"/>
              </w:rPr>
              <w:t>R-squared</w:t>
            </w:r>
          </w:p>
        </w:tc>
        <w:tc>
          <w:tcPr>
            <w:tcW w:w="1289" w:type="dxa"/>
            <w:tcBorders>
              <w:top w:val="nil"/>
              <w:left w:val="nil"/>
              <w:bottom w:val="nil"/>
              <w:right w:val="nil"/>
            </w:tcBorders>
            <w:shd w:val="clear" w:color="auto" w:fill="auto"/>
            <w:noWrap/>
            <w:vAlign w:val="bottom"/>
            <w:hideMark/>
          </w:tcPr>
          <w:p w14:paraId="2924DB97" w14:textId="77777777" w:rsidR="00E161BF" w:rsidRPr="00E161BF" w:rsidRDefault="00E161BF" w:rsidP="00E161BF">
            <w:pPr>
              <w:widowControl/>
              <w:autoSpaceDE/>
              <w:autoSpaceDN/>
              <w:jc w:val="right"/>
              <w:rPr>
                <w:color w:val="000000"/>
                <w:sz w:val="24"/>
                <w:szCs w:val="24"/>
              </w:rPr>
            </w:pPr>
            <w:r w:rsidRPr="00E161BF">
              <w:rPr>
                <w:color w:val="000000"/>
                <w:sz w:val="24"/>
                <w:szCs w:val="24"/>
              </w:rPr>
              <w:t>0.4008</w:t>
            </w:r>
          </w:p>
        </w:tc>
      </w:tr>
      <w:tr w:rsidR="00E161BF" w:rsidRPr="00E161BF" w14:paraId="4503C6FF" w14:textId="77777777" w:rsidTr="00E161BF">
        <w:trPr>
          <w:trHeight w:val="309"/>
        </w:trPr>
        <w:tc>
          <w:tcPr>
            <w:tcW w:w="1366" w:type="dxa"/>
            <w:tcBorders>
              <w:top w:val="nil"/>
              <w:left w:val="nil"/>
              <w:bottom w:val="nil"/>
              <w:right w:val="nil"/>
            </w:tcBorders>
            <w:shd w:val="clear" w:color="auto" w:fill="auto"/>
            <w:noWrap/>
            <w:vAlign w:val="bottom"/>
            <w:hideMark/>
          </w:tcPr>
          <w:p w14:paraId="1E847FDD" w14:textId="77777777" w:rsidR="00E161BF" w:rsidRPr="00E161BF" w:rsidRDefault="00E161BF" w:rsidP="00E161BF">
            <w:pPr>
              <w:widowControl/>
              <w:autoSpaceDE/>
              <w:autoSpaceDN/>
              <w:jc w:val="right"/>
              <w:rPr>
                <w:color w:val="000000"/>
                <w:sz w:val="24"/>
                <w:szCs w:val="24"/>
              </w:rPr>
            </w:pPr>
          </w:p>
        </w:tc>
        <w:tc>
          <w:tcPr>
            <w:tcW w:w="1419" w:type="dxa"/>
            <w:tcBorders>
              <w:top w:val="nil"/>
              <w:left w:val="nil"/>
              <w:bottom w:val="nil"/>
              <w:right w:val="nil"/>
            </w:tcBorders>
            <w:shd w:val="clear" w:color="auto" w:fill="auto"/>
            <w:noWrap/>
            <w:vAlign w:val="bottom"/>
            <w:hideMark/>
          </w:tcPr>
          <w:p w14:paraId="5C29FECD" w14:textId="77777777" w:rsidR="00E161BF" w:rsidRPr="00E161BF" w:rsidRDefault="00E161BF" w:rsidP="00E161BF">
            <w:pPr>
              <w:widowControl/>
              <w:autoSpaceDE/>
              <w:autoSpaceDN/>
              <w:rPr>
                <w:sz w:val="20"/>
                <w:szCs w:val="20"/>
              </w:rPr>
            </w:pPr>
          </w:p>
        </w:tc>
        <w:tc>
          <w:tcPr>
            <w:tcW w:w="1917" w:type="dxa"/>
            <w:tcBorders>
              <w:top w:val="nil"/>
              <w:left w:val="nil"/>
              <w:bottom w:val="nil"/>
              <w:right w:val="nil"/>
            </w:tcBorders>
            <w:shd w:val="clear" w:color="auto" w:fill="auto"/>
            <w:noWrap/>
            <w:vAlign w:val="bottom"/>
            <w:hideMark/>
          </w:tcPr>
          <w:p w14:paraId="5220DD2E" w14:textId="77777777" w:rsidR="00E161BF" w:rsidRPr="00E161BF" w:rsidRDefault="00E161BF" w:rsidP="00E161BF">
            <w:pPr>
              <w:widowControl/>
              <w:autoSpaceDE/>
              <w:autoSpaceDN/>
              <w:rPr>
                <w:sz w:val="20"/>
                <w:szCs w:val="20"/>
              </w:rPr>
            </w:pPr>
          </w:p>
        </w:tc>
        <w:tc>
          <w:tcPr>
            <w:tcW w:w="867" w:type="dxa"/>
            <w:tcBorders>
              <w:top w:val="nil"/>
              <w:left w:val="nil"/>
              <w:bottom w:val="nil"/>
              <w:right w:val="nil"/>
            </w:tcBorders>
            <w:shd w:val="clear" w:color="auto" w:fill="auto"/>
            <w:noWrap/>
            <w:vAlign w:val="bottom"/>
            <w:hideMark/>
          </w:tcPr>
          <w:p w14:paraId="51D21E54" w14:textId="77777777" w:rsidR="00E161BF" w:rsidRPr="00E161BF" w:rsidRDefault="00E161BF" w:rsidP="00E161BF">
            <w:pPr>
              <w:widowControl/>
              <w:autoSpaceDE/>
              <w:autoSpaceDN/>
              <w:rPr>
                <w:sz w:val="20"/>
                <w:szCs w:val="20"/>
              </w:rPr>
            </w:pPr>
          </w:p>
        </w:tc>
        <w:tc>
          <w:tcPr>
            <w:tcW w:w="2456" w:type="dxa"/>
            <w:tcBorders>
              <w:top w:val="nil"/>
              <w:left w:val="nil"/>
              <w:bottom w:val="nil"/>
              <w:right w:val="nil"/>
            </w:tcBorders>
            <w:shd w:val="clear" w:color="auto" w:fill="auto"/>
            <w:noWrap/>
            <w:vAlign w:val="bottom"/>
            <w:hideMark/>
          </w:tcPr>
          <w:p w14:paraId="04E25695" w14:textId="77777777" w:rsidR="00E161BF" w:rsidRPr="00E161BF" w:rsidRDefault="00E161BF" w:rsidP="00E161BF">
            <w:pPr>
              <w:widowControl/>
              <w:autoSpaceDE/>
              <w:autoSpaceDN/>
              <w:rPr>
                <w:color w:val="000000"/>
                <w:sz w:val="24"/>
                <w:szCs w:val="24"/>
              </w:rPr>
            </w:pPr>
            <w:r w:rsidRPr="00E161BF">
              <w:rPr>
                <w:color w:val="000000"/>
                <w:sz w:val="24"/>
                <w:szCs w:val="24"/>
              </w:rPr>
              <w:t>Adj R-squared</w:t>
            </w:r>
          </w:p>
        </w:tc>
        <w:tc>
          <w:tcPr>
            <w:tcW w:w="1289" w:type="dxa"/>
            <w:tcBorders>
              <w:top w:val="nil"/>
              <w:left w:val="nil"/>
              <w:bottom w:val="nil"/>
              <w:right w:val="nil"/>
            </w:tcBorders>
            <w:shd w:val="clear" w:color="auto" w:fill="auto"/>
            <w:noWrap/>
            <w:vAlign w:val="bottom"/>
            <w:hideMark/>
          </w:tcPr>
          <w:p w14:paraId="7A205257" w14:textId="77777777" w:rsidR="00E161BF" w:rsidRPr="00E161BF" w:rsidRDefault="00E161BF" w:rsidP="00E161BF">
            <w:pPr>
              <w:widowControl/>
              <w:autoSpaceDE/>
              <w:autoSpaceDN/>
              <w:jc w:val="right"/>
              <w:rPr>
                <w:color w:val="000000"/>
                <w:sz w:val="24"/>
                <w:szCs w:val="24"/>
              </w:rPr>
            </w:pPr>
            <w:r w:rsidRPr="00E161BF">
              <w:rPr>
                <w:color w:val="000000"/>
                <w:sz w:val="24"/>
                <w:szCs w:val="24"/>
              </w:rPr>
              <w:t>0.3429</w:t>
            </w:r>
          </w:p>
        </w:tc>
      </w:tr>
      <w:tr w:rsidR="00E161BF" w:rsidRPr="00E161BF" w14:paraId="4CF98D0C" w14:textId="77777777" w:rsidTr="00E161BF">
        <w:trPr>
          <w:trHeight w:val="309"/>
        </w:trPr>
        <w:tc>
          <w:tcPr>
            <w:tcW w:w="1366" w:type="dxa"/>
            <w:tcBorders>
              <w:top w:val="nil"/>
              <w:left w:val="nil"/>
              <w:bottom w:val="nil"/>
              <w:right w:val="nil"/>
            </w:tcBorders>
            <w:shd w:val="clear" w:color="auto" w:fill="auto"/>
            <w:noWrap/>
            <w:vAlign w:val="bottom"/>
            <w:hideMark/>
          </w:tcPr>
          <w:p w14:paraId="3CF5F3FC" w14:textId="77777777" w:rsidR="00E161BF" w:rsidRPr="00E161BF" w:rsidRDefault="00E161BF" w:rsidP="00E161BF">
            <w:pPr>
              <w:widowControl/>
              <w:autoSpaceDE/>
              <w:autoSpaceDN/>
              <w:rPr>
                <w:color w:val="000000"/>
                <w:sz w:val="24"/>
                <w:szCs w:val="24"/>
              </w:rPr>
            </w:pPr>
            <w:r w:rsidRPr="00E161BF">
              <w:rPr>
                <w:color w:val="000000"/>
                <w:sz w:val="24"/>
                <w:szCs w:val="24"/>
              </w:rPr>
              <w:t>Total</w:t>
            </w:r>
          </w:p>
        </w:tc>
        <w:tc>
          <w:tcPr>
            <w:tcW w:w="1419" w:type="dxa"/>
            <w:tcBorders>
              <w:top w:val="nil"/>
              <w:left w:val="nil"/>
              <w:bottom w:val="nil"/>
              <w:right w:val="nil"/>
            </w:tcBorders>
            <w:shd w:val="clear" w:color="auto" w:fill="auto"/>
            <w:noWrap/>
            <w:vAlign w:val="bottom"/>
            <w:hideMark/>
          </w:tcPr>
          <w:p w14:paraId="429DF219" w14:textId="77777777" w:rsidR="00E161BF" w:rsidRPr="00E161BF" w:rsidRDefault="00E161BF" w:rsidP="00E161BF">
            <w:pPr>
              <w:widowControl/>
              <w:autoSpaceDE/>
              <w:autoSpaceDN/>
              <w:jc w:val="right"/>
              <w:rPr>
                <w:color w:val="000000"/>
                <w:sz w:val="24"/>
                <w:szCs w:val="24"/>
              </w:rPr>
            </w:pPr>
            <w:r w:rsidRPr="00E161BF">
              <w:rPr>
                <w:color w:val="000000"/>
                <w:sz w:val="24"/>
                <w:szCs w:val="24"/>
              </w:rPr>
              <w:t>16939.597</w:t>
            </w:r>
          </w:p>
        </w:tc>
        <w:tc>
          <w:tcPr>
            <w:tcW w:w="2785" w:type="dxa"/>
            <w:gridSpan w:val="2"/>
            <w:tcBorders>
              <w:top w:val="nil"/>
              <w:left w:val="nil"/>
              <w:bottom w:val="nil"/>
              <w:right w:val="nil"/>
            </w:tcBorders>
            <w:shd w:val="clear" w:color="auto" w:fill="auto"/>
            <w:noWrap/>
            <w:vAlign w:val="bottom"/>
            <w:hideMark/>
          </w:tcPr>
          <w:p w14:paraId="405D83F8" w14:textId="77777777" w:rsidR="00E161BF" w:rsidRPr="00E161BF" w:rsidRDefault="00E161BF" w:rsidP="00E161BF">
            <w:pPr>
              <w:widowControl/>
              <w:autoSpaceDE/>
              <w:autoSpaceDN/>
              <w:rPr>
                <w:color w:val="000000"/>
                <w:sz w:val="24"/>
                <w:szCs w:val="24"/>
              </w:rPr>
            </w:pPr>
            <w:r w:rsidRPr="00E161BF">
              <w:rPr>
                <w:color w:val="000000"/>
                <w:sz w:val="24"/>
                <w:szCs w:val="24"/>
              </w:rPr>
              <w:t>34  498.223438</w:t>
            </w:r>
          </w:p>
        </w:tc>
        <w:tc>
          <w:tcPr>
            <w:tcW w:w="2456" w:type="dxa"/>
            <w:tcBorders>
              <w:top w:val="nil"/>
              <w:left w:val="nil"/>
              <w:bottom w:val="nil"/>
              <w:right w:val="nil"/>
            </w:tcBorders>
            <w:shd w:val="clear" w:color="auto" w:fill="auto"/>
            <w:noWrap/>
            <w:vAlign w:val="bottom"/>
            <w:hideMark/>
          </w:tcPr>
          <w:p w14:paraId="5E9CA798" w14:textId="77777777" w:rsidR="00E161BF" w:rsidRPr="00E161BF" w:rsidRDefault="00E161BF" w:rsidP="00E161BF">
            <w:pPr>
              <w:widowControl/>
              <w:autoSpaceDE/>
              <w:autoSpaceDN/>
              <w:rPr>
                <w:color w:val="000000"/>
                <w:sz w:val="24"/>
                <w:szCs w:val="24"/>
              </w:rPr>
            </w:pPr>
            <w:r w:rsidRPr="00E161BF">
              <w:rPr>
                <w:color w:val="000000"/>
                <w:sz w:val="24"/>
                <w:szCs w:val="24"/>
              </w:rPr>
              <w:t>Root MSE</w:t>
            </w:r>
          </w:p>
        </w:tc>
        <w:tc>
          <w:tcPr>
            <w:tcW w:w="1289" w:type="dxa"/>
            <w:tcBorders>
              <w:top w:val="nil"/>
              <w:left w:val="nil"/>
              <w:bottom w:val="nil"/>
              <w:right w:val="nil"/>
            </w:tcBorders>
            <w:shd w:val="clear" w:color="auto" w:fill="auto"/>
            <w:noWrap/>
            <w:vAlign w:val="bottom"/>
            <w:hideMark/>
          </w:tcPr>
          <w:p w14:paraId="3AD65EA4" w14:textId="77777777" w:rsidR="00E161BF" w:rsidRPr="00E161BF" w:rsidRDefault="00E161BF" w:rsidP="00E161BF">
            <w:pPr>
              <w:widowControl/>
              <w:autoSpaceDE/>
              <w:autoSpaceDN/>
              <w:jc w:val="right"/>
              <w:rPr>
                <w:color w:val="000000"/>
                <w:sz w:val="24"/>
                <w:szCs w:val="24"/>
              </w:rPr>
            </w:pPr>
            <w:r w:rsidRPr="00E161BF">
              <w:rPr>
                <w:color w:val="000000"/>
                <w:sz w:val="24"/>
                <w:szCs w:val="24"/>
              </w:rPr>
              <w:t>18.094</w:t>
            </w:r>
          </w:p>
        </w:tc>
      </w:tr>
      <w:tr w:rsidR="00E161BF" w:rsidRPr="00E161BF" w14:paraId="1E7F2FED" w14:textId="77777777" w:rsidTr="00E161BF">
        <w:trPr>
          <w:trHeight w:val="309"/>
        </w:trPr>
        <w:tc>
          <w:tcPr>
            <w:tcW w:w="1366" w:type="dxa"/>
            <w:tcBorders>
              <w:top w:val="single" w:sz="4" w:space="0" w:color="auto"/>
              <w:left w:val="nil"/>
              <w:bottom w:val="single" w:sz="4" w:space="0" w:color="auto"/>
              <w:right w:val="nil"/>
            </w:tcBorders>
            <w:shd w:val="clear" w:color="auto" w:fill="auto"/>
            <w:noWrap/>
            <w:vAlign w:val="bottom"/>
            <w:hideMark/>
          </w:tcPr>
          <w:p w14:paraId="1CA4EC8A" w14:textId="77777777" w:rsidR="00E161BF" w:rsidRPr="00E161BF" w:rsidRDefault="00E161BF" w:rsidP="00E161BF">
            <w:pPr>
              <w:widowControl/>
              <w:autoSpaceDE/>
              <w:autoSpaceDN/>
              <w:rPr>
                <w:b/>
                <w:bCs/>
                <w:color w:val="000000"/>
                <w:sz w:val="24"/>
                <w:szCs w:val="24"/>
              </w:rPr>
            </w:pPr>
            <w:r w:rsidRPr="00E161BF">
              <w:rPr>
                <w:b/>
                <w:bCs/>
                <w:color w:val="000000"/>
                <w:sz w:val="24"/>
                <w:szCs w:val="24"/>
              </w:rPr>
              <w:t>s_returns</w:t>
            </w:r>
          </w:p>
        </w:tc>
        <w:tc>
          <w:tcPr>
            <w:tcW w:w="1419" w:type="dxa"/>
            <w:tcBorders>
              <w:top w:val="single" w:sz="4" w:space="0" w:color="auto"/>
              <w:left w:val="nil"/>
              <w:bottom w:val="single" w:sz="4" w:space="0" w:color="auto"/>
              <w:right w:val="nil"/>
            </w:tcBorders>
            <w:shd w:val="clear" w:color="auto" w:fill="auto"/>
            <w:noWrap/>
            <w:vAlign w:val="bottom"/>
            <w:hideMark/>
          </w:tcPr>
          <w:p w14:paraId="7E13222D" w14:textId="77777777" w:rsidR="00E161BF" w:rsidRPr="00E161BF" w:rsidRDefault="00E161BF" w:rsidP="00E161BF">
            <w:pPr>
              <w:widowControl/>
              <w:autoSpaceDE/>
              <w:autoSpaceDN/>
              <w:rPr>
                <w:b/>
                <w:bCs/>
                <w:color w:val="000000"/>
                <w:sz w:val="24"/>
                <w:szCs w:val="24"/>
              </w:rPr>
            </w:pPr>
            <w:r w:rsidRPr="00E161BF">
              <w:rPr>
                <w:b/>
                <w:bCs/>
                <w:color w:val="000000"/>
                <w:sz w:val="24"/>
                <w:szCs w:val="24"/>
              </w:rPr>
              <w:t>Coef.</w:t>
            </w:r>
          </w:p>
        </w:tc>
        <w:tc>
          <w:tcPr>
            <w:tcW w:w="1917" w:type="dxa"/>
            <w:tcBorders>
              <w:top w:val="single" w:sz="4" w:space="0" w:color="auto"/>
              <w:left w:val="nil"/>
              <w:bottom w:val="single" w:sz="4" w:space="0" w:color="auto"/>
              <w:right w:val="nil"/>
            </w:tcBorders>
            <w:shd w:val="clear" w:color="auto" w:fill="auto"/>
            <w:noWrap/>
            <w:vAlign w:val="bottom"/>
            <w:hideMark/>
          </w:tcPr>
          <w:p w14:paraId="3F131375" w14:textId="77777777" w:rsidR="00E161BF" w:rsidRPr="00E161BF" w:rsidRDefault="00E161BF" w:rsidP="00E161BF">
            <w:pPr>
              <w:widowControl/>
              <w:autoSpaceDE/>
              <w:autoSpaceDN/>
              <w:rPr>
                <w:b/>
                <w:bCs/>
                <w:color w:val="000000"/>
                <w:sz w:val="24"/>
                <w:szCs w:val="24"/>
              </w:rPr>
            </w:pPr>
            <w:r w:rsidRPr="00E161BF">
              <w:rPr>
                <w:b/>
                <w:bCs/>
                <w:color w:val="000000"/>
                <w:sz w:val="24"/>
                <w:szCs w:val="24"/>
              </w:rPr>
              <w:t>Std. Err.      t</w:t>
            </w:r>
          </w:p>
        </w:tc>
        <w:tc>
          <w:tcPr>
            <w:tcW w:w="867" w:type="dxa"/>
            <w:tcBorders>
              <w:top w:val="single" w:sz="4" w:space="0" w:color="auto"/>
              <w:left w:val="nil"/>
              <w:bottom w:val="single" w:sz="4" w:space="0" w:color="auto"/>
              <w:right w:val="nil"/>
            </w:tcBorders>
            <w:shd w:val="clear" w:color="auto" w:fill="auto"/>
            <w:noWrap/>
            <w:vAlign w:val="bottom"/>
            <w:hideMark/>
          </w:tcPr>
          <w:p w14:paraId="59DE33C3" w14:textId="77777777" w:rsidR="00E161BF" w:rsidRPr="00E161BF" w:rsidRDefault="00E161BF" w:rsidP="00E161BF">
            <w:pPr>
              <w:widowControl/>
              <w:autoSpaceDE/>
              <w:autoSpaceDN/>
              <w:rPr>
                <w:b/>
                <w:bCs/>
                <w:color w:val="000000"/>
                <w:sz w:val="24"/>
                <w:szCs w:val="24"/>
              </w:rPr>
            </w:pPr>
            <w:r w:rsidRPr="00E161BF">
              <w:rPr>
                <w:b/>
                <w:bCs/>
                <w:color w:val="000000"/>
                <w:sz w:val="24"/>
                <w:szCs w:val="24"/>
              </w:rPr>
              <w:t>P&gt;t</w:t>
            </w:r>
          </w:p>
        </w:tc>
        <w:tc>
          <w:tcPr>
            <w:tcW w:w="2456" w:type="dxa"/>
            <w:tcBorders>
              <w:top w:val="single" w:sz="4" w:space="0" w:color="auto"/>
              <w:left w:val="nil"/>
              <w:bottom w:val="single" w:sz="4" w:space="0" w:color="auto"/>
              <w:right w:val="nil"/>
            </w:tcBorders>
            <w:shd w:val="clear" w:color="auto" w:fill="auto"/>
            <w:noWrap/>
            <w:vAlign w:val="bottom"/>
            <w:hideMark/>
          </w:tcPr>
          <w:p w14:paraId="3C74ABE3" w14:textId="77777777" w:rsidR="00E161BF" w:rsidRPr="00E161BF" w:rsidRDefault="00E161BF" w:rsidP="00E161BF">
            <w:pPr>
              <w:widowControl/>
              <w:autoSpaceDE/>
              <w:autoSpaceDN/>
              <w:rPr>
                <w:b/>
                <w:bCs/>
                <w:color w:val="000000"/>
                <w:sz w:val="24"/>
                <w:szCs w:val="24"/>
              </w:rPr>
            </w:pPr>
            <w:r w:rsidRPr="00E161BF">
              <w:rPr>
                <w:b/>
                <w:bCs/>
                <w:color w:val="000000"/>
                <w:sz w:val="24"/>
                <w:szCs w:val="24"/>
              </w:rPr>
              <w:t>[95% Conf.</w:t>
            </w:r>
          </w:p>
        </w:tc>
        <w:tc>
          <w:tcPr>
            <w:tcW w:w="1289" w:type="dxa"/>
            <w:tcBorders>
              <w:top w:val="single" w:sz="4" w:space="0" w:color="auto"/>
              <w:left w:val="nil"/>
              <w:bottom w:val="single" w:sz="4" w:space="0" w:color="auto"/>
              <w:right w:val="nil"/>
            </w:tcBorders>
            <w:shd w:val="clear" w:color="auto" w:fill="auto"/>
            <w:noWrap/>
            <w:vAlign w:val="bottom"/>
            <w:hideMark/>
          </w:tcPr>
          <w:p w14:paraId="62F2FA74" w14:textId="77777777" w:rsidR="00E161BF" w:rsidRPr="00E161BF" w:rsidRDefault="00E161BF" w:rsidP="00E161BF">
            <w:pPr>
              <w:widowControl/>
              <w:autoSpaceDE/>
              <w:autoSpaceDN/>
              <w:rPr>
                <w:b/>
                <w:bCs/>
                <w:color w:val="000000"/>
                <w:sz w:val="24"/>
                <w:szCs w:val="24"/>
              </w:rPr>
            </w:pPr>
            <w:r w:rsidRPr="00E161BF">
              <w:rPr>
                <w:b/>
                <w:bCs/>
                <w:color w:val="000000"/>
                <w:sz w:val="24"/>
                <w:szCs w:val="24"/>
              </w:rPr>
              <w:t>Interval]</w:t>
            </w:r>
          </w:p>
        </w:tc>
      </w:tr>
      <w:tr w:rsidR="00E161BF" w:rsidRPr="00E161BF" w14:paraId="12E9C62A" w14:textId="77777777" w:rsidTr="00E161BF">
        <w:trPr>
          <w:trHeight w:val="309"/>
        </w:trPr>
        <w:tc>
          <w:tcPr>
            <w:tcW w:w="1366" w:type="dxa"/>
            <w:tcBorders>
              <w:top w:val="nil"/>
              <w:left w:val="nil"/>
              <w:bottom w:val="nil"/>
              <w:right w:val="nil"/>
            </w:tcBorders>
            <w:shd w:val="clear" w:color="auto" w:fill="auto"/>
            <w:noWrap/>
            <w:vAlign w:val="bottom"/>
            <w:hideMark/>
          </w:tcPr>
          <w:p w14:paraId="105E4D46" w14:textId="77777777" w:rsidR="00E161BF" w:rsidRPr="00E161BF" w:rsidRDefault="00E161BF" w:rsidP="00E161BF">
            <w:pPr>
              <w:widowControl/>
              <w:autoSpaceDE/>
              <w:autoSpaceDN/>
              <w:rPr>
                <w:color w:val="000000"/>
                <w:sz w:val="24"/>
                <w:szCs w:val="24"/>
              </w:rPr>
            </w:pPr>
            <w:r w:rsidRPr="00E161BF">
              <w:rPr>
                <w:color w:val="000000"/>
                <w:sz w:val="24"/>
                <w:szCs w:val="24"/>
              </w:rPr>
              <w:t>liquidity</w:t>
            </w:r>
          </w:p>
        </w:tc>
        <w:tc>
          <w:tcPr>
            <w:tcW w:w="1419" w:type="dxa"/>
            <w:tcBorders>
              <w:top w:val="nil"/>
              <w:left w:val="nil"/>
              <w:bottom w:val="nil"/>
              <w:right w:val="nil"/>
            </w:tcBorders>
            <w:shd w:val="clear" w:color="auto" w:fill="auto"/>
            <w:noWrap/>
            <w:vAlign w:val="bottom"/>
            <w:hideMark/>
          </w:tcPr>
          <w:p w14:paraId="0CC7366C" w14:textId="77777777" w:rsidR="00E161BF" w:rsidRPr="00E161BF" w:rsidRDefault="00E161BF" w:rsidP="00E161BF">
            <w:pPr>
              <w:widowControl/>
              <w:autoSpaceDE/>
              <w:autoSpaceDN/>
              <w:jc w:val="right"/>
              <w:rPr>
                <w:color w:val="000000"/>
                <w:sz w:val="24"/>
                <w:szCs w:val="24"/>
              </w:rPr>
            </w:pPr>
            <w:r w:rsidRPr="00E161BF">
              <w:rPr>
                <w:color w:val="000000"/>
                <w:sz w:val="24"/>
                <w:szCs w:val="24"/>
              </w:rPr>
              <w:t>59.27299</w:t>
            </w:r>
          </w:p>
        </w:tc>
        <w:tc>
          <w:tcPr>
            <w:tcW w:w="1917" w:type="dxa"/>
            <w:tcBorders>
              <w:top w:val="nil"/>
              <w:left w:val="nil"/>
              <w:bottom w:val="nil"/>
              <w:right w:val="nil"/>
            </w:tcBorders>
            <w:shd w:val="clear" w:color="auto" w:fill="auto"/>
            <w:noWrap/>
            <w:vAlign w:val="bottom"/>
            <w:hideMark/>
          </w:tcPr>
          <w:p w14:paraId="517F855B" w14:textId="77777777" w:rsidR="00E161BF" w:rsidRPr="00E161BF" w:rsidRDefault="00E161BF" w:rsidP="00E161BF">
            <w:pPr>
              <w:widowControl/>
              <w:autoSpaceDE/>
              <w:autoSpaceDN/>
              <w:rPr>
                <w:color w:val="000000"/>
                <w:sz w:val="24"/>
                <w:szCs w:val="24"/>
              </w:rPr>
            </w:pPr>
            <w:r w:rsidRPr="00E161BF">
              <w:rPr>
                <w:color w:val="000000"/>
                <w:sz w:val="24"/>
                <w:szCs w:val="24"/>
              </w:rPr>
              <w:t>27.28873     2.17</w:t>
            </w:r>
          </w:p>
        </w:tc>
        <w:tc>
          <w:tcPr>
            <w:tcW w:w="867" w:type="dxa"/>
            <w:tcBorders>
              <w:top w:val="nil"/>
              <w:left w:val="nil"/>
              <w:bottom w:val="nil"/>
              <w:right w:val="nil"/>
            </w:tcBorders>
            <w:shd w:val="clear" w:color="auto" w:fill="auto"/>
            <w:noWrap/>
            <w:vAlign w:val="bottom"/>
            <w:hideMark/>
          </w:tcPr>
          <w:p w14:paraId="242BCFC6" w14:textId="77777777" w:rsidR="00E161BF" w:rsidRPr="00E161BF" w:rsidRDefault="00E161BF" w:rsidP="00E161BF">
            <w:pPr>
              <w:widowControl/>
              <w:autoSpaceDE/>
              <w:autoSpaceDN/>
              <w:jc w:val="right"/>
              <w:rPr>
                <w:color w:val="000000"/>
                <w:sz w:val="24"/>
                <w:szCs w:val="24"/>
              </w:rPr>
            </w:pPr>
            <w:r w:rsidRPr="00E161BF">
              <w:rPr>
                <w:color w:val="000000"/>
                <w:sz w:val="24"/>
                <w:szCs w:val="24"/>
              </w:rPr>
              <w:t>0.038</w:t>
            </w:r>
          </w:p>
        </w:tc>
        <w:tc>
          <w:tcPr>
            <w:tcW w:w="2456" w:type="dxa"/>
            <w:tcBorders>
              <w:top w:val="nil"/>
              <w:left w:val="nil"/>
              <w:bottom w:val="nil"/>
              <w:right w:val="nil"/>
            </w:tcBorders>
            <w:shd w:val="clear" w:color="auto" w:fill="auto"/>
            <w:noWrap/>
            <w:vAlign w:val="bottom"/>
            <w:hideMark/>
          </w:tcPr>
          <w:p w14:paraId="3FCE9EFE" w14:textId="77777777" w:rsidR="00E161BF" w:rsidRPr="00E161BF" w:rsidRDefault="00E161BF" w:rsidP="00E161BF">
            <w:pPr>
              <w:widowControl/>
              <w:autoSpaceDE/>
              <w:autoSpaceDN/>
              <w:jc w:val="right"/>
              <w:rPr>
                <w:color w:val="000000"/>
                <w:sz w:val="24"/>
                <w:szCs w:val="24"/>
              </w:rPr>
            </w:pPr>
            <w:r w:rsidRPr="00E161BF">
              <w:rPr>
                <w:color w:val="000000"/>
                <w:sz w:val="24"/>
                <w:szCs w:val="24"/>
              </w:rPr>
              <w:t>3.617262</w:t>
            </w:r>
          </w:p>
        </w:tc>
        <w:tc>
          <w:tcPr>
            <w:tcW w:w="1289" w:type="dxa"/>
            <w:tcBorders>
              <w:top w:val="nil"/>
              <w:left w:val="nil"/>
              <w:bottom w:val="nil"/>
              <w:right w:val="nil"/>
            </w:tcBorders>
            <w:shd w:val="clear" w:color="auto" w:fill="auto"/>
            <w:noWrap/>
            <w:vAlign w:val="bottom"/>
            <w:hideMark/>
          </w:tcPr>
          <w:p w14:paraId="74B65BB9" w14:textId="77777777" w:rsidR="00E161BF" w:rsidRPr="00E161BF" w:rsidRDefault="00E161BF" w:rsidP="00E161BF">
            <w:pPr>
              <w:widowControl/>
              <w:autoSpaceDE/>
              <w:autoSpaceDN/>
              <w:jc w:val="right"/>
              <w:rPr>
                <w:color w:val="000000"/>
                <w:sz w:val="24"/>
                <w:szCs w:val="24"/>
              </w:rPr>
            </w:pPr>
            <w:r w:rsidRPr="00E161BF">
              <w:rPr>
                <w:color w:val="000000"/>
                <w:sz w:val="24"/>
                <w:szCs w:val="24"/>
              </w:rPr>
              <w:t>114.929</w:t>
            </w:r>
          </w:p>
        </w:tc>
      </w:tr>
      <w:tr w:rsidR="00E161BF" w:rsidRPr="00E161BF" w14:paraId="324A1B85" w14:textId="77777777" w:rsidTr="00E161BF">
        <w:trPr>
          <w:trHeight w:val="309"/>
        </w:trPr>
        <w:tc>
          <w:tcPr>
            <w:tcW w:w="1366" w:type="dxa"/>
            <w:tcBorders>
              <w:top w:val="nil"/>
              <w:left w:val="nil"/>
              <w:bottom w:val="nil"/>
              <w:right w:val="nil"/>
            </w:tcBorders>
            <w:shd w:val="clear" w:color="auto" w:fill="auto"/>
            <w:noWrap/>
            <w:vAlign w:val="bottom"/>
            <w:hideMark/>
          </w:tcPr>
          <w:p w14:paraId="2D63F9C6" w14:textId="77777777" w:rsidR="00E161BF" w:rsidRPr="00E161BF" w:rsidRDefault="00E161BF" w:rsidP="00E161BF">
            <w:pPr>
              <w:widowControl/>
              <w:autoSpaceDE/>
              <w:autoSpaceDN/>
              <w:rPr>
                <w:color w:val="000000"/>
                <w:sz w:val="24"/>
                <w:szCs w:val="24"/>
              </w:rPr>
            </w:pPr>
            <w:r w:rsidRPr="00E161BF">
              <w:rPr>
                <w:color w:val="000000"/>
                <w:sz w:val="24"/>
                <w:szCs w:val="24"/>
              </w:rPr>
              <w:t>profit</w:t>
            </w:r>
          </w:p>
        </w:tc>
        <w:tc>
          <w:tcPr>
            <w:tcW w:w="1419" w:type="dxa"/>
            <w:tcBorders>
              <w:top w:val="nil"/>
              <w:left w:val="nil"/>
              <w:bottom w:val="nil"/>
              <w:right w:val="nil"/>
            </w:tcBorders>
            <w:shd w:val="clear" w:color="auto" w:fill="auto"/>
            <w:noWrap/>
            <w:vAlign w:val="bottom"/>
            <w:hideMark/>
          </w:tcPr>
          <w:p w14:paraId="6F71E377" w14:textId="77777777" w:rsidR="00E161BF" w:rsidRPr="00E161BF" w:rsidRDefault="00E161BF" w:rsidP="00E161BF">
            <w:pPr>
              <w:widowControl/>
              <w:autoSpaceDE/>
              <w:autoSpaceDN/>
              <w:jc w:val="right"/>
              <w:rPr>
                <w:color w:val="000000"/>
                <w:sz w:val="24"/>
                <w:szCs w:val="24"/>
              </w:rPr>
            </w:pPr>
            <w:r w:rsidRPr="00E161BF">
              <w:rPr>
                <w:color w:val="000000"/>
                <w:sz w:val="24"/>
                <w:szCs w:val="24"/>
              </w:rPr>
              <w:t>25.79601</w:t>
            </w:r>
          </w:p>
        </w:tc>
        <w:tc>
          <w:tcPr>
            <w:tcW w:w="1917" w:type="dxa"/>
            <w:tcBorders>
              <w:top w:val="nil"/>
              <w:left w:val="nil"/>
              <w:bottom w:val="nil"/>
              <w:right w:val="nil"/>
            </w:tcBorders>
            <w:shd w:val="clear" w:color="auto" w:fill="auto"/>
            <w:noWrap/>
            <w:vAlign w:val="bottom"/>
            <w:hideMark/>
          </w:tcPr>
          <w:p w14:paraId="7F303174" w14:textId="77777777" w:rsidR="00E161BF" w:rsidRPr="00E161BF" w:rsidRDefault="00E161BF" w:rsidP="00E161BF">
            <w:pPr>
              <w:widowControl/>
              <w:autoSpaceDE/>
              <w:autoSpaceDN/>
              <w:rPr>
                <w:color w:val="000000"/>
                <w:sz w:val="24"/>
                <w:szCs w:val="24"/>
              </w:rPr>
            </w:pPr>
            <w:r w:rsidRPr="00E161BF">
              <w:rPr>
                <w:color w:val="000000"/>
                <w:sz w:val="24"/>
                <w:szCs w:val="24"/>
              </w:rPr>
              <w:t>9.086541    -2.84</w:t>
            </w:r>
          </w:p>
        </w:tc>
        <w:tc>
          <w:tcPr>
            <w:tcW w:w="867" w:type="dxa"/>
            <w:tcBorders>
              <w:top w:val="nil"/>
              <w:left w:val="nil"/>
              <w:bottom w:val="nil"/>
              <w:right w:val="nil"/>
            </w:tcBorders>
            <w:shd w:val="clear" w:color="auto" w:fill="auto"/>
            <w:noWrap/>
            <w:vAlign w:val="bottom"/>
            <w:hideMark/>
          </w:tcPr>
          <w:p w14:paraId="76E63EA0" w14:textId="77777777" w:rsidR="00E161BF" w:rsidRPr="00E161BF" w:rsidRDefault="00E161BF" w:rsidP="00E161BF">
            <w:pPr>
              <w:widowControl/>
              <w:autoSpaceDE/>
              <w:autoSpaceDN/>
              <w:jc w:val="right"/>
              <w:rPr>
                <w:color w:val="000000"/>
                <w:sz w:val="24"/>
                <w:szCs w:val="24"/>
              </w:rPr>
            </w:pPr>
            <w:r w:rsidRPr="00E161BF">
              <w:rPr>
                <w:color w:val="000000"/>
                <w:sz w:val="24"/>
                <w:szCs w:val="24"/>
              </w:rPr>
              <w:t>0.008</w:t>
            </w:r>
          </w:p>
        </w:tc>
        <w:tc>
          <w:tcPr>
            <w:tcW w:w="2456" w:type="dxa"/>
            <w:tcBorders>
              <w:top w:val="nil"/>
              <w:left w:val="nil"/>
              <w:bottom w:val="nil"/>
              <w:right w:val="nil"/>
            </w:tcBorders>
            <w:shd w:val="clear" w:color="auto" w:fill="auto"/>
            <w:noWrap/>
            <w:vAlign w:val="bottom"/>
            <w:hideMark/>
          </w:tcPr>
          <w:p w14:paraId="79FD7A54" w14:textId="77777777" w:rsidR="00E161BF" w:rsidRPr="00E161BF" w:rsidRDefault="00E161BF" w:rsidP="00E161BF">
            <w:pPr>
              <w:widowControl/>
              <w:autoSpaceDE/>
              <w:autoSpaceDN/>
              <w:jc w:val="right"/>
              <w:rPr>
                <w:color w:val="000000"/>
                <w:sz w:val="24"/>
                <w:szCs w:val="24"/>
              </w:rPr>
            </w:pPr>
            <w:r w:rsidRPr="00E161BF">
              <w:rPr>
                <w:color w:val="000000"/>
                <w:sz w:val="24"/>
                <w:szCs w:val="24"/>
              </w:rPr>
              <w:t>44.32814</w:t>
            </w:r>
          </w:p>
        </w:tc>
        <w:tc>
          <w:tcPr>
            <w:tcW w:w="1289" w:type="dxa"/>
            <w:tcBorders>
              <w:top w:val="nil"/>
              <w:left w:val="nil"/>
              <w:bottom w:val="nil"/>
              <w:right w:val="nil"/>
            </w:tcBorders>
            <w:shd w:val="clear" w:color="auto" w:fill="auto"/>
            <w:noWrap/>
            <w:vAlign w:val="bottom"/>
            <w:hideMark/>
          </w:tcPr>
          <w:p w14:paraId="0C4AF29D" w14:textId="77777777" w:rsidR="00E161BF" w:rsidRPr="00E161BF" w:rsidRDefault="00E161BF" w:rsidP="00E161BF">
            <w:pPr>
              <w:widowControl/>
              <w:autoSpaceDE/>
              <w:autoSpaceDN/>
              <w:jc w:val="right"/>
              <w:rPr>
                <w:color w:val="000000"/>
                <w:sz w:val="24"/>
                <w:szCs w:val="24"/>
              </w:rPr>
            </w:pPr>
            <w:r w:rsidRPr="00E161BF">
              <w:rPr>
                <w:color w:val="000000"/>
                <w:sz w:val="24"/>
                <w:szCs w:val="24"/>
              </w:rPr>
              <w:t>7.26389</w:t>
            </w:r>
          </w:p>
        </w:tc>
      </w:tr>
      <w:tr w:rsidR="00E161BF" w:rsidRPr="00E161BF" w14:paraId="56B70B44" w14:textId="77777777" w:rsidTr="00E161BF">
        <w:trPr>
          <w:trHeight w:val="309"/>
        </w:trPr>
        <w:tc>
          <w:tcPr>
            <w:tcW w:w="1366" w:type="dxa"/>
            <w:tcBorders>
              <w:top w:val="nil"/>
              <w:left w:val="nil"/>
              <w:bottom w:val="nil"/>
              <w:right w:val="nil"/>
            </w:tcBorders>
            <w:shd w:val="clear" w:color="auto" w:fill="auto"/>
            <w:noWrap/>
            <w:vAlign w:val="bottom"/>
            <w:hideMark/>
          </w:tcPr>
          <w:p w14:paraId="600E96C7" w14:textId="77777777" w:rsidR="00E161BF" w:rsidRPr="00E161BF" w:rsidRDefault="00E161BF" w:rsidP="00E161BF">
            <w:pPr>
              <w:widowControl/>
              <w:autoSpaceDE/>
              <w:autoSpaceDN/>
              <w:rPr>
                <w:color w:val="000000"/>
                <w:sz w:val="24"/>
                <w:szCs w:val="24"/>
              </w:rPr>
            </w:pPr>
            <w:r w:rsidRPr="00E161BF">
              <w:rPr>
                <w:color w:val="000000"/>
                <w:sz w:val="24"/>
                <w:szCs w:val="24"/>
              </w:rPr>
              <w:t>tax</w:t>
            </w:r>
          </w:p>
        </w:tc>
        <w:tc>
          <w:tcPr>
            <w:tcW w:w="1419" w:type="dxa"/>
            <w:tcBorders>
              <w:top w:val="nil"/>
              <w:left w:val="nil"/>
              <w:bottom w:val="nil"/>
              <w:right w:val="nil"/>
            </w:tcBorders>
            <w:shd w:val="clear" w:color="auto" w:fill="auto"/>
            <w:noWrap/>
            <w:vAlign w:val="bottom"/>
            <w:hideMark/>
          </w:tcPr>
          <w:p w14:paraId="2ABB4BDA" w14:textId="77777777" w:rsidR="00E161BF" w:rsidRPr="00E161BF" w:rsidRDefault="00E161BF" w:rsidP="00E161BF">
            <w:pPr>
              <w:widowControl/>
              <w:autoSpaceDE/>
              <w:autoSpaceDN/>
              <w:jc w:val="right"/>
              <w:rPr>
                <w:color w:val="000000"/>
                <w:sz w:val="24"/>
                <w:szCs w:val="24"/>
              </w:rPr>
            </w:pPr>
            <w:r w:rsidRPr="00E161BF">
              <w:rPr>
                <w:color w:val="000000"/>
                <w:sz w:val="24"/>
                <w:szCs w:val="24"/>
              </w:rPr>
              <w:t>9.91016</w:t>
            </w:r>
          </w:p>
        </w:tc>
        <w:tc>
          <w:tcPr>
            <w:tcW w:w="1917" w:type="dxa"/>
            <w:tcBorders>
              <w:top w:val="nil"/>
              <w:left w:val="nil"/>
              <w:bottom w:val="nil"/>
              <w:right w:val="nil"/>
            </w:tcBorders>
            <w:shd w:val="clear" w:color="auto" w:fill="auto"/>
            <w:noWrap/>
            <w:vAlign w:val="bottom"/>
            <w:hideMark/>
          </w:tcPr>
          <w:p w14:paraId="6E59B1D3" w14:textId="77777777" w:rsidR="00E161BF" w:rsidRPr="00E161BF" w:rsidRDefault="00E161BF" w:rsidP="00E161BF">
            <w:pPr>
              <w:widowControl/>
              <w:autoSpaceDE/>
              <w:autoSpaceDN/>
              <w:rPr>
                <w:color w:val="000000"/>
                <w:sz w:val="24"/>
                <w:szCs w:val="24"/>
              </w:rPr>
            </w:pPr>
            <w:r w:rsidRPr="00E161BF">
              <w:rPr>
                <w:color w:val="000000"/>
                <w:sz w:val="24"/>
                <w:szCs w:val="24"/>
              </w:rPr>
              <w:t>3.65473</w:t>
            </w:r>
            <w:r>
              <w:rPr>
                <w:color w:val="000000"/>
                <w:sz w:val="24"/>
                <w:szCs w:val="24"/>
              </w:rPr>
              <w:t xml:space="preserve">      2.53</w:t>
            </w:r>
          </w:p>
        </w:tc>
        <w:tc>
          <w:tcPr>
            <w:tcW w:w="867" w:type="dxa"/>
            <w:tcBorders>
              <w:top w:val="nil"/>
              <w:left w:val="nil"/>
              <w:bottom w:val="nil"/>
              <w:right w:val="nil"/>
            </w:tcBorders>
            <w:shd w:val="clear" w:color="auto" w:fill="auto"/>
            <w:noWrap/>
            <w:vAlign w:val="bottom"/>
            <w:hideMark/>
          </w:tcPr>
          <w:p w14:paraId="0207DE5F" w14:textId="77777777" w:rsidR="00E161BF" w:rsidRPr="00E161BF" w:rsidRDefault="00E161BF" w:rsidP="00E161BF">
            <w:pPr>
              <w:widowControl/>
              <w:autoSpaceDE/>
              <w:autoSpaceDN/>
              <w:jc w:val="right"/>
              <w:rPr>
                <w:color w:val="000000"/>
                <w:sz w:val="24"/>
                <w:szCs w:val="24"/>
              </w:rPr>
            </w:pPr>
            <w:r w:rsidRPr="00E161BF">
              <w:rPr>
                <w:color w:val="000000"/>
                <w:sz w:val="24"/>
                <w:szCs w:val="24"/>
              </w:rPr>
              <w:t>0.017</w:t>
            </w:r>
          </w:p>
        </w:tc>
        <w:tc>
          <w:tcPr>
            <w:tcW w:w="2456" w:type="dxa"/>
            <w:tcBorders>
              <w:top w:val="nil"/>
              <w:left w:val="nil"/>
              <w:bottom w:val="nil"/>
              <w:right w:val="nil"/>
            </w:tcBorders>
            <w:shd w:val="clear" w:color="auto" w:fill="auto"/>
            <w:noWrap/>
            <w:vAlign w:val="bottom"/>
            <w:hideMark/>
          </w:tcPr>
          <w:p w14:paraId="02EA9997" w14:textId="77777777" w:rsidR="00E161BF" w:rsidRPr="00E161BF" w:rsidRDefault="00E161BF" w:rsidP="00E161BF">
            <w:pPr>
              <w:widowControl/>
              <w:autoSpaceDE/>
              <w:autoSpaceDN/>
              <w:jc w:val="right"/>
              <w:rPr>
                <w:color w:val="000000"/>
                <w:sz w:val="24"/>
                <w:szCs w:val="24"/>
              </w:rPr>
            </w:pPr>
            <w:r w:rsidRPr="00E161BF">
              <w:rPr>
                <w:color w:val="000000"/>
                <w:sz w:val="24"/>
                <w:szCs w:val="24"/>
              </w:rPr>
              <w:t>1.74425</w:t>
            </w:r>
          </w:p>
        </w:tc>
        <w:tc>
          <w:tcPr>
            <w:tcW w:w="1289" w:type="dxa"/>
            <w:tcBorders>
              <w:top w:val="nil"/>
              <w:left w:val="nil"/>
              <w:bottom w:val="nil"/>
              <w:right w:val="nil"/>
            </w:tcBorders>
            <w:shd w:val="clear" w:color="auto" w:fill="auto"/>
            <w:noWrap/>
            <w:vAlign w:val="bottom"/>
            <w:hideMark/>
          </w:tcPr>
          <w:p w14:paraId="7D12D660" w14:textId="77777777" w:rsidR="00E161BF" w:rsidRPr="00E161BF" w:rsidRDefault="00E161BF" w:rsidP="00E161BF">
            <w:pPr>
              <w:widowControl/>
              <w:autoSpaceDE/>
              <w:autoSpaceDN/>
              <w:jc w:val="right"/>
              <w:rPr>
                <w:color w:val="000000"/>
                <w:sz w:val="24"/>
                <w:szCs w:val="24"/>
              </w:rPr>
            </w:pPr>
            <w:r w:rsidRPr="00E161BF">
              <w:rPr>
                <w:color w:val="000000"/>
                <w:sz w:val="24"/>
                <w:szCs w:val="24"/>
              </w:rPr>
              <w:t>1.66419</w:t>
            </w:r>
          </w:p>
        </w:tc>
      </w:tr>
      <w:tr w:rsidR="00E161BF" w:rsidRPr="00E161BF" w14:paraId="27BE20E6" w14:textId="77777777" w:rsidTr="00E161BF">
        <w:trPr>
          <w:trHeight w:val="309"/>
        </w:trPr>
        <w:tc>
          <w:tcPr>
            <w:tcW w:w="1366" w:type="dxa"/>
            <w:tcBorders>
              <w:top w:val="nil"/>
              <w:left w:val="nil"/>
              <w:bottom w:val="single" w:sz="4" w:space="0" w:color="auto"/>
              <w:right w:val="nil"/>
            </w:tcBorders>
            <w:shd w:val="clear" w:color="auto" w:fill="auto"/>
            <w:noWrap/>
            <w:vAlign w:val="bottom"/>
            <w:hideMark/>
          </w:tcPr>
          <w:p w14:paraId="473825B7" w14:textId="77777777" w:rsidR="00E161BF" w:rsidRPr="00E161BF" w:rsidRDefault="00E161BF" w:rsidP="00E161BF">
            <w:pPr>
              <w:widowControl/>
              <w:autoSpaceDE/>
              <w:autoSpaceDN/>
              <w:rPr>
                <w:color w:val="000000"/>
                <w:sz w:val="24"/>
                <w:szCs w:val="24"/>
              </w:rPr>
            </w:pPr>
            <w:r w:rsidRPr="00E161BF">
              <w:rPr>
                <w:color w:val="000000"/>
                <w:sz w:val="24"/>
                <w:szCs w:val="24"/>
              </w:rPr>
              <w:t>_cons</w:t>
            </w:r>
          </w:p>
        </w:tc>
        <w:tc>
          <w:tcPr>
            <w:tcW w:w="1419" w:type="dxa"/>
            <w:tcBorders>
              <w:top w:val="nil"/>
              <w:left w:val="nil"/>
              <w:bottom w:val="single" w:sz="4" w:space="0" w:color="auto"/>
              <w:right w:val="nil"/>
            </w:tcBorders>
            <w:shd w:val="clear" w:color="auto" w:fill="auto"/>
            <w:noWrap/>
            <w:vAlign w:val="bottom"/>
            <w:hideMark/>
          </w:tcPr>
          <w:p w14:paraId="500BBA8A" w14:textId="77777777" w:rsidR="00E161BF" w:rsidRPr="00E161BF" w:rsidRDefault="00E161BF" w:rsidP="00E161BF">
            <w:pPr>
              <w:widowControl/>
              <w:autoSpaceDE/>
              <w:autoSpaceDN/>
              <w:jc w:val="right"/>
              <w:rPr>
                <w:color w:val="000000"/>
                <w:sz w:val="24"/>
                <w:szCs w:val="24"/>
              </w:rPr>
            </w:pPr>
            <w:r w:rsidRPr="00E161BF">
              <w:rPr>
                <w:color w:val="000000"/>
                <w:sz w:val="24"/>
                <w:szCs w:val="24"/>
              </w:rPr>
              <w:t>-25.87944</w:t>
            </w:r>
          </w:p>
        </w:tc>
        <w:tc>
          <w:tcPr>
            <w:tcW w:w="1917" w:type="dxa"/>
            <w:tcBorders>
              <w:top w:val="nil"/>
              <w:left w:val="nil"/>
              <w:bottom w:val="single" w:sz="4" w:space="0" w:color="auto"/>
              <w:right w:val="nil"/>
            </w:tcBorders>
            <w:shd w:val="clear" w:color="auto" w:fill="auto"/>
            <w:noWrap/>
            <w:vAlign w:val="bottom"/>
            <w:hideMark/>
          </w:tcPr>
          <w:p w14:paraId="6D0030E6" w14:textId="77777777" w:rsidR="00E161BF" w:rsidRPr="00E161BF" w:rsidRDefault="00E161BF" w:rsidP="00E161BF">
            <w:pPr>
              <w:widowControl/>
              <w:autoSpaceDE/>
              <w:autoSpaceDN/>
              <w:rPr>
                <w:color w:val="000000"/>
                <w:sz w:val="24"/>
                <w:szCs w:val="24"/>
              </w:rPr>
            </w:pPr>
            <w:r w:rsidRPr="00E161BF">
              <w:rPr>
                <w:color w:val="000000"/>
                <w:sz w:val="24"/>
                <w:szCs w:val="24"/>
              </w:rPr>
              <w:t>22.54303    -1.15</w:t>
            </w:r>
          </w:p>
        </w:tc>
        <w:tc>
          <w:tcPr>
            <w:tcW w:w="867" w:type="dxa"/>
            <w:tcBorders>
              <w:top w:val="nil"/>
              <w:left w:val="nil"/>
              <w:bottom w:val="single" w:sz="4" w:space="0" w:color="auto"/>
              <w:right w:val="nil"/>
            </w:tcBorders>
            <w:shd w:val="clear" w:color="auto" w:fill="auto"/>
            <w:noWrap/>
            <w:vAlign w:val="bottom"/>
            <w:hideMark/>
          </w:tcPr>
          <w:p w14:paraId="3B60CF8E" w14:textId="77777777" w:rsidR="00E161BF" w:rsidRPr="00E161BF" w:rsidRDefault="00E161BF" w:rsidP="00E161BF">
            <w:pPr>
              <w:widowControl/>
              <w:autoSpaceDE/>
              <w:autoSpaceDN/>
              <w:jc w:val="right"/>
              <w:rPr>
                <w:color w:val="000000"/>
                <w:sz w:val="24"/>
                <w:szCs w:val="24"/>
              </w:rPr>
            </w:pPr>
            <w:r w:rsidRPr="00E161BF">
              <w:rPr>
                <w:color w:val="000000"/>
                <w:sz w:val="24"/>
                <w:szCs w:val="24"/>
              </w:rPr>
              <w:t>0.26</w:t>
            </w:r>
          </w:p>
        </w:tc>
        <w:tc>
          <w:tcPr>
            <w:tcW w:w="2456" w:type="dxa"/>
            <w:tcBorders>
              <w:top w:val="nil"/>
              <w:left w:val="nil"/>
              <w:bottom w:val="single" w:sz="4" w:space="0" w:color="auto"/>
              <w:right w:val="nil"/>
            </w:tcBorders>
            <w:shd w:val="clear" w:color="auto" w:fill="auto"/>
            <w:noWrap/>
            <w:vAlign w:val="bottom"/>
            <w:hideMark/>
          </w:tcPr>
          <w:p w14:paraId="0C0758ED" w14:textId="77777777" w:rsidR="00E161BF" w:rsidRPr="00E161BF" w:rsidRDefault="00E161BF" w:rsidP="00E161BF">
            <w:pPr>
              <w:widowControl/>
              <w:autoSpaceDE/>
              <w:autoSpaceDN/>
              <w:jc w:val="right"/>
              <w:rPr>
                <w:color w:val="000000"/>
                <w:sz w:val="24"/>
                <w:szCs w:val="24"/>
              </w:rPr>
            </w:pPr>
            <w:r w:rsidRPr="00E161BF">
              <w:rPr>
                <w:color w:val="000000"/>
                <w:sz w:val="24"/>
                <w:szCs w:val="24"/>
              </w:rPr>
              <w:t>-71.85626</w:t>
            </w:r>
          </w:p>
        </w:tc>
        <w:tc>
          <w:tcPr>
            <w:tcW w:w="1289" w:type="dxa"/>
            <w:tcBorders>
              <w:top w:val="nil"/>
              <w:left w:val="nil"/>
              <w:bottom w:val="single" w:sz="4" w:space="0" w:color="auto"/>
              <w:right w:val="nil"/>
            </w:tcBorders>
            <w:shd w:val="clear" w:color="auto" w:fill="auto"/>
            <w:noWrap/>
            <w:vAlign w:val="bottom"/>
            <w:hideMark/>
          </w:tcPr>
          <w:p w14:paraId="10EB2383" w14:textId="77777777" w:rsidR="00E161BF" w:rsidRPr="00E161BF" w:rsidRDefault="00E161BF" w:rsidP="00E161BF">
            <w:pPr>
              <w:widowControl/>
              <w:autoSpaceDE/>
              <w:autoSpaceDN/>
              <w:jc w:val="right"/>
              <w:rPr>
                <w:color w:val="000000"/>
                <w:sz w:val="24"/>
                <w:szCs w:val="24"/>
              </w:rPr>
            </w:pPr>
            <w:r w:rsidRPr="00E161BF">
              <w:rPr>
                <w:color w:val="000000"/>
                <w:sz w:val="24"/>
                <w:szCs w:val="24"/>
              </w:rPr>
              <w:t>20.0974</w:t>
            </w:r>
          </w:p>
        </w:tc>
      </w:tr>
    </w:tbl>
    <w:p w14:paraId="4400D5E5" w14:textId="77777777" w:rsidR="00E161BF" w:rsidRDefault="00E161BF" w:rsidP="00E161BF"/>
    <w:p w14:paraId="6F1A90D3" w14:textId="77777777" w:rsidR="00532C52" w:rsidRPr="008565D4" w:rsidRDefault="00532C52" w:rsidP="00532C52">
      <w:pPr>
        <w:rPr>
          <w:rFonts w:eastAsiaTheme="minorHAnsi" w:cstheme="minorBidi"/>
          <w:b/>
        </w:rPr>
      </w:pPr>
      <w:r w:rsidRPr="008565D4">
        <w:rPr>
          <w:rFonts w:eastAsiaTheme="minorHAnsi" w:cstheme="minorBidi"/>
          <w:b/>
        </w:rPr>
        <w:t xml:space="preserve">Source: </w:t>
      </w:r>
      <w:r w:rsidR="00E161BF">
        <w:rPr>
          <w:rFonts w:eastAsiaTheme="minorHAnsi" w:cstheme="minorBidi"/>
          <w:b/>
        </w:rPr>
        <w:t>NSE</w:t>
      </w:r>
      <w:r w:rsidRPr="008565D4">
        <w:rPr>
          <w:rFonts w:eastAsiaTheme="minorHAnsi" w:cstheme="minorBidi"/>
          <w:b/>
        </w:rPr>
        <w:t xml:space="preserve"> Data (2023)</w:t>
      </w:r>
    </w:p>
    <w:p w14:paraId="6932D84D" w14:textId="7EDA9859" w:rsidR="00532C52" w:rsidRDefault="00532C52" w:rsidP="00532C52">
      <w:pPr>
        <w:pStyle w:val="BodyText"/>
      </w:pPr>
      <w:r>
        <w:t xml:space="preserve">Table </w:t>
      </w:r>
      <w:r w:rsidR="00B45DF6">
        <w:t xml:space="preserve">3 </w:t>
      </w:r>
      <w:r w:rsidRPr="00A6540B">
        <w:t xml:space="preserve"> presents the changes in R Square and F Statistics before and after interaction of moderating factor tax and the Firm Financial Indicators. </w:t>
      </w:r>
      <w:r w:rsidR="00E161BF">
        <w:t xml:space="preserve">The R2 before the introduction of tax as a moderator variable was 28%, when tax was introduced as a moderator variable, the R2 increased to 0.4008 </w:t>
      </w:r>
      <w:r w:rsidR="00E161BF">
        <w:lastRenderedPageBreak/>
        <w:t xml:space="preserve">representing 40% increase. </w:t>
      </w:r>
      <w:r w:rsidRPr="00A6540B">
        <w:t xml:space="preserve">The study </w:t>
      </w:r>
      <w:r w:rsidR="00E161BF">
        <w:t xml:space="preserve">therefore </w:t>
      </w:r>
      <w:r w:rsidRPr="00A6540B">
        <w:t xml:space="preserve">established a </w:t>
      </w:r>
      <w:r w:rsidR="00E161BF">
        <w:t xml:space="preserve">huge </w:t>
      </w:r>
      <w:r w:rsidRPr="00A6540B">
        <w:t xml:space="preserve">change in the R square of </w:t>
      </w:r>
      <w:r w:rsidR="00E161BF">
        <w:t>12%</w:t>
      </w:r>
      <w:r w:rsidR="00E161BF" w:rsidRPr="00A6540B">
        <w:t xml:space="preserve"> </w:t>
      </w:r>
      <w:r w:rsidRPr="00A6540B">
        <w:t>and F statistics of 6.</w:t>
      </w:r>
      <w:r w:rsidR="00E161BF">
        <w:t>91</w:t>
      </w:r>
      <w:r w:rsidRPr="00A6540B">
        <w:t xml:space="preserve"> after the introduction of tax as a moderating factor in the regression compared to R</w:t>
      </w:r>
      <w:r w:rsidRPr="00A6540B">
        <w:rPr>
          <w:vertAlign w:val="superscript"/>
        </w:rPr>
        <w:t>2</w:t>
      </w:r>
      <w:r w:rsidRPr="00A6540B">
        <w:t xml:space="preserve"> of </w:t>
      </w:r>
      <w:r w:rsidR="00E161BF">
        <w:t>28</w:t>
      </w:r>
      <w:r w:rsidRPr="00A6540B">
        <w:t xml:space="preserve"> and F Statistics of </w:t>
      </w:r>
      <w:r w:rsidR="00E161BF">
        <w:t>6.17</w:t>
      </w:r>
      <w:r w:rsidRPr="00A6540B">
        <w:t xml:space="preserve"> before the introduction of tax as a moderator. The finding </w:t>
      </w:r>
      <w:r w:rsidR="00E161BF">
        <w:t xml:space="preserve">therefore indicated </w:t>
      </w:r>
      <w:r w:rsidRPr="00A6540B">
        <w:t xml:space="preserve">the tax </w:t>
      </w:r>
      <w:r w:rsidR="00E161BF">
        <w:t xml:space="preserve">had a moderating effect on the relationship between liquidity, profitability and share returns of the </w:t>
      </w:r>
      <w:r w:rsidR="00E161BF" w:rsidRPr="00A6540B">
        <w:t xml:space="preserve">Agricultural Firms </w:t>
      </w:r>
      <w:r w:rsidR="00E161BF">
        <w:t xml:space="preserve">listed at NSE. Specifically, there was change in the </w:t>
      </w:r>
      <w:r w:rsidR="00E161BF" w:rsidRPr="00E161BF">
        <w:t>β</w:t>
      </w:r>
      <w:r w:rsidR="00E161BF">
        <w:t xml:space="preserve"> coefficient between liquidity and share returns of the </w:t>
      </w:r>
      <w:r w:rsidR="00E161BF" w:rsidRPr="00A6540B">
        <w:t xml:space="preserve">Agricultural Firms </w:t>
      </w:r>
      <w:r w:rsidR="00E161BF">
        <w:t xml:space="preserve">listed at NSE when tax was introduced as a moderator variable from </w:t>
      </w:r>
      <w:r w:rsidR="00E161BF" w:rsidRPr="00E161BF">
        <w:t>β</w:t>
      </w:r>
      <w:r w:rsidR="00E161BF">
        <w:t xml:space="preserve"> = 70.728 to </w:t>
      </w:r>
      <w:r w:rsidR="00E161BF" w:rsidRPr="00E161BF">
        <w:t>β</w:t>
      </w:r>
      <w:r w:rsidR="00E161BF">
        <w:t xml:space="preserve"> = 59.273 after the introduction of tax as a moderator. In real world, this finding indicated that when tax is increased, it reduces liquidity and by extension reduces the share returns of the </w:t>
      </w:r>
      <w:r w:rsidR="00E161BF" w:rsidRPr="00A6540B">
        <w:t xml:space="preserve">Agricultural Firms </w:t>
      </w:r>
      <w:r w:rsidR="00E161BF">
        <w:t xml:space="preserve">listed at NSE. Further, there was slight change in the </w:t>
      </w:r>
      <w:r w:rsidR="00E161BF" w:rsidRPr="00E161BF">
        <w:t>β</w:t>
      </w:r>
      <w:r w:rsidR="00E161BF">
        <w:t xml:space="preserve"> coefficient between profitability and share returns of the </w:t>
      </w:r>
      <w:r w:rsidR="00E161BF" w:rsidRPr="00A6540B">
        <w:t xml:space="preserve">Agricultural Firms </w:t>
      </w:r>
      <w:r w:rsidR="00E161BF">
        <w:t xml:space="preserve">listed at NSE when tax was introduced as a moderator variable from </w:t>
      </w:r>
      <w:r w:rsidR="00E161BF" w:rsidRPr="00E161BF">
        <w:t>β</w:t>
      </w:r>
      <w:r w:rsidR="00E161BF">
        <w:t xml:space="preserve"> = 25.947 to </w:t>
      </w:r>
      <w:r w:rsidR="00E161BF" w:rsidRPr="00E161BF">
        <w:t>β</w:t>
      </w:r>
      <w:r w:rsidR="00E161BF">
        <w:t xml:space="preserve"> = 25.796 after the introduction of tax as a moderator. In real world, this finding indicated that when tax is increased, it slightly reduces profitability and by extension reduces the share returns of the </w:t>
      </w:r>
      <w:r w:rsidR="00E161BF" w:rsidRPr="00A6540B">
        <w:t xml:space="preserve">Agricultural Firms </w:t>
      </w:r>
      <w:r w:rsidR="00E161BF">
        <w:t>listed at NSE.</w:t>
      </w:r>
    </w:p>
    <w:p w14:paraId="5EA0E04E" w14:textId="77777777" w:rsidR="00532C52" w:rsidRPr="00E161BF" w:rsidRDefault="00532C52" w:rsidP="00532C52">
      <w:pPr>
        <w:pStyle w:val="BodyText"/>
      </w:pPr>
      <w:r w:rsidRPr="00A6540B">
        <w:t>The finding is corroborated by Mwangi (2022) who established that taxation, like interest rates, had a negative but insignificant impact on economic growth. Further the finding is supported by Ndirangu (2022) who established that tax enforcement Costs had a negative and significant impact on tax revenue collected by KRA in Kenya.</w:t>
      </w:r>
      <w:r>
        <w:t xml:space="preserve"> </w:t>
      </w:r>
      <w:r w:rsidRPr="00A6540B">
        <w:t>The study used tax as a moderating factor on probability of the firm financial indicators and share returns whose objective was to assess the moderating effect of tax on the relationship between firm financial indicators and share returns on agricultural firms listed at NSE, Kenya. Fixed effects regression model was used to assess if the relationship was statistically significant and as a result the following null hypothesis was tested: H</w:t>
      </w:r>
      <w:r w:rsidRPr="00A6540B">
        <w:rPr>
          <w:vertAlign w:val="subscript"/>
        </w:rPr>
        <w:t>05</w:t>
      </w:r>
      <w:r w:rsidRPr="00A6540B">
        <w:rPr>
          <w:b/>
        </w:rPr>
        <w:t>:</w:t>
      </w:r>
      <w:r w:rsidRPr="00A6540B">
        <w:t xml:space="preserve"> Tax does not have significant moderating effect on the relationship between firm financial indicators and share returns on agricultural firms listed at NSE, Kenya. The study established that tax had statistically significant relationship with the firm financial indicators and share returns as a moderating factor. Further, the introduction of tax changed the relationship between the firm financial indicators and share returns. This finding is supported by Erin and Kewei (2017) found that aggregate tax expense, aggregate earnings management aggregate tax avoidance, and future aggregate performance all have explanatory power on stock returns.</w:t>
      </w:r>
    </w:p>
    <w:p w14:paraId="5CCA0479" w14:textId="77777777" w:rsidR="00E875F0" w:rsidRDefault="00A71CBC" w:rsidP="007A2D80">
      <w:pPr>
        <w:pStyle w:val="Heading1"/>
        <w:tabs>
          <w:tab w:val="left" w:pos="3235"/>
        </w:tabs>
        <w:ind w:left="22"/>
        <w:jc w:val="left"/>
      </w:pPr>
      <w:r>
        <w:t xml:space="preserve">6.0 </w:t>
      </w:r>
      <w:r w:rsidR="007F27FB">
        <w:t>CONCLUSION</w:t>
      </w:r>
      <w:r w:rsidR="007F27FB">
        <w:rPr>
          <w:spacing w:val="-1"/>
        </w:rPr>
        <w:t xml:space="preserve"> </w:t>
      </w:r>
      <w:r w:rsidR="007F27FB">
        <w:t>OF THE</w:t>
      </w:r>
      <w:r w:rsidR="007F27FB">
        <w:rPr>
          <w:spacing w:val="-1"/>
        </w:rPr>
        <w:t xml:space="preserve"> </w:t>
      </w:r>
      <w:r w:rsidR="007F27FB">
        <w:t>STUDY</w:t>
      </w:r>
    </w:p>
    <w:p w14:paraId="4D1A84A0" w14:textId="77777777" w:rsidR="00E875F0" w:rsidRDefault="003851D2" w:rsidP="003851D2">
      <w:pPr>
        <w:pStyle w:val="BodyText"/>
      </w:pPr>
      <w:r w:rsidRPr="00A6540B">
        <w:t xml:space="preserve">The study established that the introduction of tax changed the relationship between </w:t>
      </w:r>
      <w:r w:rsidR="00490ABA">
        <w:t>liquidity, profitability</w:t>
      </w:r>
      <w:r w:rsidRPr="00A6540B">
        <w:t xml:space="preserve"> Indicators and Share Returns</w:t>
      </w:r>
      <w:r w:rsidR="00490ABA">
        <w:t xml:space="preserve"> the </w:t>
      </w:r>
      <w:r w:rsidR="00490ABA" w:rsidRPr="00A6540B">
        <w:t xml:space="preserve">Agricultural Firms </w:t>
      </w:r>
      <w:r w:rsidR="00490ABA">
        <w:t>listed at NSE</w:t>
      </w:r>
      <w:r w:rsidRPr="00A6540B">
        <w:t xml:space="preserve">. This finding therefore, made the researcher to conclude that </w:t>
      </w:r>
      <w:r w:rsidR="00490ABA" w:rsidRPr="00A6540B">
        <w:t xml:space="preserve">tax </w:t>
      </w:r>
      <w:r w:rsidR="00490ABA">
        <w:t xml:space="preserve">had a moderating effect on the relationship between liquidity, profitability and share returns of the </w:t>
      </w:r>
      <w:r w:rsidR="00490ABA" w:rsidRPr="00A6540B">
        <w:t xml:space="preserve">Agricultural Firms </w:t>
      </w:r>
      <w:r w:rsidR="00490ABA">
        <w:t xml:space="preserve">listed at NSE. Specifically, there was change in the </w:t>
      </w:r>
      <w:r w:rsidR="00490ABA" w:rsidRPr="00E161BF">
        <w:t>β</w:t>
      </w:r>
      <w:r w:rsidR="00490ABA">
        <w:t xml:space="preserve"> coefficient between liquidity and share returns of the </w:t>
      </w:r>
      <w:r w:rsidR="00490ABA" w:rsidRPr="00A6540B">
        <w:t xml:space="preserve">Agricultural Firms </w:t>
      </w:r>
      <w:r w:rsidR="00490ABA">
        <w:t>listed at NSE</w:t>
      </w:r>
      <w:r w:rsidRPr="00A6540B">
        <w:t>. The null hypothesis H</w:t>
      </w:r>
      <w:r w:rsidRPr="00A6540B">
        <w:rPr>
          <w:vertAlign w:val="subscript"/>
        </w:rPr>
        <w:t>05</w:t>
      </w:r>
      <w:r w:rsidRPr="00A6540B">
        <w:rPr>
          <w:b/>
        </w:rPr>
        <w:t>:</w:t>
      </w:r>
      <w:r w:rsidRPr="00A6540B">
        <w:t xml:space="preserve"> Tax does not have significant moderating effect on the relationship between </w:t>
      </w:r>
      <w:r w:rsidR="00490ABA">
        <w:t>liquidity, profitability</w:t>
      </w:r>
      <w:r w:rsidRPr="00A6540B">
        <w:t xml:space="preserve"> and share returns on agricultural firms listed at NSE, Kenya was rejected. This is an indication that tax had a significant moderating effect </w:t>
      </w:r>
      <w:r w:rsidR="00490ABA">
        <w:t xml:space="preserve">on the relationship between liquidity, profitability and share returns of the </w:t>
      </w:r>
      <w:r w:rsidR="00490ABA" w:rsidRPr="00A6540B">
        <w:t xml:space="preserve">Agricultural Firms </w:t>
      </w:r>
      <w:r w:rsidR="00490ABA">
        <w:t>listed at NSE</w:t>
      </w:r>
      <w:r w:rsidRPr="00A6540B">
        <w:t>, Kenya.</w:t>
      </w:r>
    </w:p>
    <w:p w14:paraId="0D5ED2D5" w14:textId="77777777" w:rsidR="00E875F0" w:rsidRDefault="00A71CBC" w:rsidP="007A2D80">
      <w:pPr>
        <w:pStyle w:val="Heading1"/>
        <w:tabs>
          <w:tab w:val="left" w:pos="2826"/>
        </w:tabs>
        <w:ind w:left="18"/>
        <w:jc w:val="left"/>
      </w:pPr>
      <w:r>
        <w:rPr>
          <w:spacing w:val="-1"/>
        </w:rPr>
        <w:t xml:space="preserve">7.0 </w:t>
      </w:r>
      <w:r w:rsidR="007F27FB">
        <w:rPr>
          <w:spacing w:val="-1"/>
        </w:rPr>
        <w:t>RECOMMENDATIONS</w:t>
      </w:r>
      <w:r w:rsidR="007F27FB">
        <w:rPr>
          <w:spacing w:val="-8"/>
        </w:rPr>
        <w:t xml:space="preserve"> </w:t>
      </w:r>
      <w:r w:rsidR="007F27FB">
        <w:t>OF</w:t>
      </w:r>
      <w:r w:rsidR="007F27FB">
        <w:rPr>
          <w:spacing w:val="-13"/>
        </w:rPr>
        <w:t xml:space="preserve"> </w:t>
      </w:r>
      <w:r w:rsidR="007F27FB">
        <w:t>THE</w:t>
      </w:r>
      <w:r w:rsidR="007F27FB">
        <w:rPr>
          <w:spacing w:val="-11"/>
        </w:rPr>
        <w:t xml:space="preserve"> </w:t>
      </w:r>
      <w:r w:rsidR="007F27FB">
        <w:t>STUDY</w:t>
      </w:r>
    </w:p>
    <w:p w14:paraId="09CAEDA7" w14:textId="77777777" w:rsidR="00E875F0" w:rsidRDefault="003851D2" w:rsidP="007A2D80">
      <w:pPr>
        <w:pStyle w:val="BodyText"/>
        <w:ind w:right="216"/>
      </w:pPr>
      <w:r w:rsidRPr="00A6540B">
        <w:t xml:space="preserve">First, from the current evidence indicating the important liquidity </w:t>
      </w:r>
      <w:r w:rsidR="001C7B03">
        <w:t xml:space="preserve">and profitability </w:t>
      </w:r>
      <w:r w:rsidRPr="00A6540B">
        <w:t>on shares returns of the firms. While the Capital Market Act CAP 485A promotes of investors investing in the stock market. There is a need to evaluate the Act in the light of analysing the liquidity trends of the firms listed in the Agricultural Sector at NSE so as to inform amendments that can encourage possibility of liquidity of these firms. Prudence in dealing with debts should also be re-evaluated to make sure that these firms are financially stable to meet their obligations</w:t>
      </w:r>
      <w:r w:rsidR="007F27FB">
        <w:t>.</w:t>
      </w:r>
    </w:p>
    <w:p w14:paraId="490BE2F4" w14:textId="77777777" w:rsidR="003851D2" w:rsidRDefault="003851D2" w:rsidP="003851D2">
      <w:pPr>
        <w:pStyle w:val="BodyText"/>
      </w:pPr>
      <w:r w:rsidRPr="00A6540B">
        <w:lastRenderedPageBreak/>
        <w:t xml:space="preserve">According to the study, the management of non-financial firms listed on the NSE should encourage their shareholders to reinvest their earnings rather than consume them as dividends. It was discovered that retained earnings have a significant impact on financial growth as measured by earnings per share growth. Notably, retained earnings are a cost borne by equity holders. Retained earnings are a readily available internal source. Furthermore, retentions are less expensive than external equity, do not result in ownership dilution, and have a positive connotation because stakeholders perceive the firm as having potential investment opportunities. Because there are few firm financing options available, firms prefer to retain more earnings and reinvest them in operations, especially when there are viable investment opportunities. </w:t>
      </w:r>
    </w:p>
    <w:p w14:paraId="680E88D3" w14:textId="77777777" w:rsidR="00E875F0" w:rsidRPr="008E4E00" w:rsidRDefault="007F27FB" w:rsidP="008E4E00">
      <w:pPr>
        <w:pStyle w:val="BodyText"/>
        <w:rPr>
          <w:b/>
        </w:rPr>
      </w:pPr>
      <w:r w:rsidRPr="008E4E00">
        <w:rPr>
          <w:b/>
        </w:rPr>
        <w:t>REFERENCES</w:t>
      </w:r>
    </w:p>
    <w:p w14:paraId="10A3ECDC" w14:textId="77777777" w:rsidR="00E161BF" w:rsidRDefault="00E161BF" w:rsidP="008E4E00">
      <w:pPr>
        <w:pStyle w:val="NoSpacing"/>
        <w:rPr>
          <w:shd w:val="clear" w:color="auto" w:fill="FFFFFF"/>
        </w:rPr>
      </w:pPr>
      <w:r>
        <w:rPr>
          <w:shd w:val="clear" w:color="auto" w:fill="FFFFFF"/>
        </w:rPr>
        <w:t>AlAli, M. S. (2020). Risk velocity and financial markets performance: Measuring the early effect of covid-19 pandemic on major stock markets performance. </w:t>
      </w:r>
      <w:r>
        <w:rPr>
          <w:i/>
          <w:iCs/>
          <w:shd w:val="clear" w:color="auto" w:fill="FFFFFF"/>
        </w:rPr>
        <w:t>International Journal of Economics and Financial Research</w:t>
      </w:r>
      <w:r>
        <w:rPr>
          <w:shd w:val="clear" w:color="auto" w:fill="FFFFFF"/>
        </w:rPr>
        <w:t>, </w:t>
      </w:r>
      <w:r>
        <w:rPr>
          <w:i/>
          <w:iCs/>
          <w:shd w:val="clear" w:color="auto" w:fill="FFFFFF"/>
        </w:rPr>
        <w:t>10</w:t>
      </w:r>
      <w:r>
        <w:rPr>
          <w:shd w:val="clear" w:color="auto" w:fill="FFFFFF"/>
        </w:rPr>
        <w:t>.</w:t>
      </w:r>
    </w:p>
    <w:p w14:paraId="7BC25E1A" w14:textId="77777777" w:rsidR="00E161BF" w:rsidRDefault="00E161BF" w:rsidP="008E4E00">
      <w:pPr>
        <w:pStyle w:val="NoSpacing"/>
        <w:rPr>
          <w:shd w:val="clear" w:color="auto" w:fill="FFFFFF"/>
        </w:rPr>
      </w:pPr>
      <w:r>
        <w:rPr>
          <w:shd w:val="clear" w:color="auto" w:fill="FFFFFF"/>
        </w:rPr>
        <w:t>Alareeni, B. A., &amp; Hamdan, A. (2020). ESG impact on performance of US S&amp;P 500-listed firms. </w:t>
      </w:r>
      <w:r>
        <w:rPr>
          <w:i/>
          <w:iCs/>
          <w:shd w:val="clear" w:color="auto" w:fill="FFFFFF"/>
        </w:rPr>
        <w:t>Corporate Governance: The International Journal of Business in Society</w:t>
      </w:r>
      <w:r>
        <w:rPr>
          <w:shd w:val="clear" w:color="auto" w:fill="FFFFFF"/>
        </w:rPr>
        <w:t>.</w:t>
      </w:r>
    </w:p>
    <w:p w14:paraId="6AA115C3" w14:textId="77777777" w:rsidR="00E161BF" w:rsidRDefault="00E161BF" w:rsidP="008E4E00">
      <w:pPr>
        <w:pStyle w:val="NoSpacing"/>
      </w:pPr>
      <w:r>
        <w:t xml:space="preserve">Barney, J. B. (1991). Firm resources and sustained competitive advantage. </w:t>
      </w:r>
      <w:r w:rsidRPr="00B67722">
        <w:rPr>
          <w:i/>
        </w:rPr>
        <w:t>Journal of management</w:t>
      </w:r>
      <w:r>
        <w:t>, 17(1), 99-120.</w:t>
      </w:r>
    </w:p>
    <w:p w14:paraId="40CCBFAB" w14:textId="77777777" w:rsidR="00E161BF" w:rsidRDefault="00E161BF" w:rsidP="008E4E00">
      <w:pPr>
        <w:pStyle w:val="NoSpacing"/>
      </w:pPr>
      <w:r>
        <w:t>DeAngelo, H., and R.W. Masulis (2080). Optimal Capital Structure under Corporate and Personal Taxation. Journal of Financial Economics 8, 1980, pp. 3-29.</w:t>
      </w:r>
    </w:p>
    <w:p w14:paraId="09E1D732" w14:textId="77777777" w:rsidR="00E161BF" w:rsidRDefault="00E161BF" w:rsidP="008E4E00">
      <w:pPr>
        <w:pStyle w:val="NoSpacing"/>
        <w:rPr>
          <w:shd w:val="clear" w:color="auto" w:fill="FFFFFF"/>
        </w:rPr>
      </w:pPr>
      <w:r>
        <w:t>Ehiedu</w:t>
      </w:r>
      <w:r>
        <w:rPr>
          <w:shd w:val="clear" w:color="auto" w:fill="FFFFFF"/>
        </w:rPr>
        <w:t>, V. C., &amp; Priscilla, I. C. (2022). Firm specific determinants and its implication on listed oil and gas firms profitability in Nigeria. </w:t>
      </w:r>
      <w:r>
        <w:rPr>
          <w:i/>
          <w:iCs/>
          <w:shd w:val="clear" w:color="auto" w:fill="FFFFFF"/>
        </w:rPr>
        <w:t>International Journal of Advanced Economics</w:t>
      </w:r>
      <w:r>
        <w:rPr>
          <w:shd w:val="clear" w:color="auto" w:fill="FFFFFF"/>
        </w:rPr>
        <w:t>, </w:t>
      </w:r>
      <w:r>
        <w:rPr>
          <w:i/>
          <w:iCs/>
          <w:shd w:val="clear" w:color="auto" w:fill="FFFFFF"/>
        </w:rPr>
        <w:t>4</w:t>
      </w:r>
      <w:r>
        <w:rPr>
          <w:shd w:val="clear" w:color="auto" w:fill="FFFFFF"/>
        </w:rPr>
        <w:t>(7), 142-158.</w:t>
      </w:r>
    </w:p>
    <w:p w14:paraId="380944FF" w14:textId="77777777" w:rsidR="00E161BF" w:rsidRDefault="00E161BF" w:rsidP="008E4E00">
      <w:pPr>
        <w:pStyle w:val="NoSpacing"/>
        <w:rPr>
          <w:shd w:val="clear" w:color="auto" w:fill="FFFFFF"/>
        </w:rPr>
      </w:pPr>
      <w:r>
        <w:rPr>
          <w:shd w:val="clear" w:color="auto" w:fill="FFFFFF"/>
        </w:rPr>
        <w:t>Elmghaamez, I. K., &amp;Olarewaju, J. I. (2022). Corporate social responsibility and financial performance of product and service‐based firms listed on London Stock Exchange. </w:t>
      </w:r>
      <w:r>
        <w:rPr>
          <w:i/>
          <w:iCs/>
          <w:shd w:val="clear" w:color="auto" w:fill="FFFFFF"/>
        </w:rPr>
        <w:t>Corporate Social Responsibility and Environmental Management</w:t>
      </w:r>
      <w:r>
        <w:rPr>
          <w:shd w:val="clear" w:color="auto" w:fill="FFFFFF"/>
        </w:rPr>
        <w:t>, </w:t>
      </w:r>
      <w:r>
        <w:rPr>
          <w:i/>
          <w:iCs/>
          <w:shd w:val="clear" w:color="auto" w:fill="FFFFFF"/>
        </w:rPr>
        <w:t>29</w:t>
      </w:r>
      <w:r>
        <w:rPr>
          <w:shd w:val="clear" w:color="auto" w:fill="FFFFFF"/>
        </w:rPr>
        <w:t>(5), 1370-1383.</w:t>
      </w:r>
    </w:p>
    <w:p w14:paraId="56A8CE71" w14:textId="77777777" w:rsidR="00E161BF" w:rsidRDefault="00E161BF" w:rsidP="008E4E00">
      <w:pPr>
        <w:pStyle w:val="NoSpacing"/>
      </w:pPr>
      <w:r>
        <w:t xml:space="preserve">Erin, H. and Kewei, H. (2017). </w:t>
      </w:r>
      <w:r w:rsidRPr="00B67722">
        <w:rPr>
          <w:i/>
        </w:rPr>
        <w:t>Tax Expense and Aggregate Stock Returns</w:t>
      </w:r>
      <w:r>
        <w:t xml:space="preserve">. National Tax </w:t>
      </w:r>
      <w:r>
        <w:tab/>
        <w:t>Association Proceedings.</w:t>
      </w:r>
    </w:p>
    <w:p w14:paraId="25049CCB" w14:textId="77777777" w:rsidR="00E161BF" w:rsidRDefault="00E161BF" w:rsidP="008E4E00">
      <w:pPr>
        <w:pStyle w:val="NoSpacing"/>
      </w:pPr>
      <w:r>
        <w:rPr>
          <w:shd w:val="clear" w:color="auto" w:fill="FFFFFF"/>
        </w:rPr>
        <w:t xml:space="preserve">Gerio, P. J., Egessa, R., &amp; Alala, O. B. (2021). Influence Of Earnings Management OnFinancal Performance Of Agricultural Firms Listed In Nairobi Securities Exchange. </w:t>
      </w:r>
      <w:r>
        <w:rPr>
          <w:i/>
        </w:rPr>
        <w:t>Journal of Economics and Finance, (12)</w:t>
      </w:r>
      <w:r>
        <w:t>, 1; 33-39.</w:t>
      </w:r>
    </w:p>
    <w:p w14:paraId="3CFFE61F" w14:textId="77777777" w:rsidR="00E161BF" w:rsidRDefault="00E161BF" w:rsidP="008E4E00">
      <w:pPr>
        <w:pStyle w:val="NoSpacing"/>
        <w:rPr>
          <w:shd w:val="clear" w:color="auto" w:fill="FFFFFF"/>
        </w:rPr>
      </w:pPr>
      <w:r>
        <w:rPr>
          <w:shd w:val="clear" w:color="auto" w:fill="FFFFFF"/>
        </w:rPr>
        <w:lastRenderedPageBreak/>
        <w:t>Gormsen, N. J., &amp;Koijen, R. S. (2020). Coronavirus: Impact on stock prices and growth expectations. </w:t>
      </w:r>
      <w:r>
        <w:rPr>
          <w:i/>
          <w:iCs/>
          <w:shd w:val="clear" w:color="auto" w:fill="FFFFFF"/>
        </w:rPr>
        <w:t>The Review of Asset Pricing Studies</w:t>
      </w:r>
      <w:r>
        <w:rPr>
          <w:shd w:val="clear" w:color="auto" w:fill="FFFFFF"/>
        </w:rPr>
        <w:t>, </w:t>
      </w:r>
      <w:r>
        <w:rPr>
          <w:i/>
          <w:iCs/>
          <w:shd w:val="clear" w:color="auto" w:fill="FFFFFF"/>
        </w:rPr>
        <w:t>10</w:t>
      </w:r>
      <w:r>
        <w:rPr>
          <w:shd w:val="clear" w:color="auto" w:fill="FFFFFF"/>
        </w:rPr>
        <w:t>(4), 574-597.</w:t>
      </w:r>
    </w:p>
    <w:p w14:paraId="402C0CF4" w14:textId="77777777" w:rsidR="00E161BF" w:rsidRDefault="00E161BF" w:rsidP="008E4E00">
      <w:pPr>
        <w:pStyle w:val="NoSpacing"/>
        <w:rPr>
          <w:shd w:val="clear" w:color="auto" w:fill="FFFFFF"/>
        </w:rPr>
      </w:pPr>
      <w:r>
        <w:rPr>
          <w:shd w:val="clear" w:color="auto" w:fill="FFFFFF"/>
        </w:rPr>
        <w:t>Kakiya, E. I. (2019). </w:t>
      </w:r>
      <w:r>
        <w:rPr>
          <w:i/>
          <w:iCs/>
          <w:shd w:val="clear" w:color="auto" w:fill="FFFFFF"/>
        </w:rPr>
        <w:t>Effect of financial leverage on profitability of listed manufacturing firms in Kenya</w:t>
      </w:r>
      <w:r>
        <w:rPr>
          <w:shd w:val="clear" w:color="auto" w:fill="FFFFFF"/>
        </w:rPr>
        <w:t> (Doctoral dissertation, Egerton University).</w:t>
      </w:r>
    </w:p>
    <w:p w14:paraId="74F9B05F" w14:textId="77777777" w:rsidR="00E161BF" w:rsidRDefault="00E161BF" w:rsidP="008E4E00">
      <w:pPr>
        <w:pStyle w:val="NoSpacing"/>
        <w:rPr>
          <w:shd w:val="clear" w:color="auto" w:fill="FFFFFF"/>
        </w:rPr>
      </w:pPr>
      <w:r>
        <w:rPr>
          <w:shd w:val="clear" w:color="auto" w:fill="FFFFFF"/>
        </w:rPr>
        <w:t>Kartikasari, D., &amp;Merianti, M. (2016). The effect of leverage and firm size to profitability of public manufacturing companies in Indonesia. </w:t>
      </w:r>
      <w:r>
        <w:rPr>
          <w:i/>
          <w:iCs/>
          <w:shd w:val="clear" w:color="auto" w:fill="FFFFFF"/>
        </w:rPr>
        <w:t>International Journal of Economics and Financial Issues</w:t>
      </w:r>
      <w:r>
        <w:rPr>
          <w:shd w:val="clear" w:color="auto" w:fill="FFFFFF"/>
        </w:rPr>
        <w:t>, </w:t>
      </w:r>
      <w:r>
        <w:rPr>
          <w:i/>
          <w:iCs/>
          <w:shd w:val="clear" w:color="auto" w:fill="FFFFFF"/>
        </w:rPr>
        <w:t>6</w:t>
      </w:r>
      <w:r>
        <w:rPr>
          <w:shd w:val="clear" w:color="auto" w:fill="FFFFFF"/>
        </w:rPr>
        <w:t>(2), 409-413.</w:t>
      </w:r>
    </w:p>
    <w:p w14:paraId="29F03482" w14:textId="77777777" w:rsidR="00E161BF" w:rsidRDefault="00E161BF" w:rsidP="00427ED7">
      <w:pPr>
        <w:pStyle w:val="NoSpacing"/>
      </w:pPr>
      <w:r>
        <w:t xml:space="preserve">Korir, J, C Tanui, K, L &amp; Cheruiyot, P (2019). Applicability of Piotroski F-score Model in Predicting Financial Distress of Listed Companies at the Nairobi Securities Exchange. </w:t>
      </w:r>
      <w:r w:rsidRPr="00427ED7">
        <w:rPr>
          <w:i/>
        </w:rPr>
        <w:t>International Journal of Business Management and Processes (IJBMP),</w:t>
      </w:r>
      <w:r>
        <w:t xml:space="preserve"> 5(3).</w:t>
      </w:r>
    </w:p>
    <w:p w14:paraId="7F1B2CC6" w14:textId="77777777" w:rsidR="00E161BF" w:rsidRDefault="00E161BF" w:rsidP="008E4E00">
      <w:pPr>
        <w:pStyle w:val="NoSpacing"/>
        <w:rPr>
          <w:shd w:val="clear" w:color="auto" w:fill="FFFFFF"/>
        </w:rPr>
      </w:pPr>
      <w:r>
        <w:rPr>
          <w:shd w:val="clear" w:color="auto" w:fill="FFFFFF"/>
        </w:rPr>
        <w:t>Kusuma, M. C., &amp;Kitri, M. L. (2022). The Effect of Capital Structure Management on Firm’s Value: The Case of Final Tax Regulation on Indonesian Construction Firm. </w:t>
      </w:r>
      <w:r>
        <w:rPr>
          <w:i/>
          <w:iCs/>
          <w:shd w:val="clear" w:color="auto" w:fill="FFFFFF"/>
        </w:rPr>
        <w:t>Asian Journal of Accounting and Finance</w:t>
      </w:r>
      <w:r>
        <w:rPr>
          <w:shd w:val="clear" w:color="auto" w:fill="FFFFFF"/>
        </w:rPr>
        <w:t>, </w:t>
      </w:r>
      <w:r>
        <w:rPr>
          <w:i/>
          <w:iCs/>
          <w:shd w:val="clear" w:color="auto" w:fill="FFFFFF"/>
        </w:rPr>
        <w:t>4</w:t>
      </w:r>
      <w:r>
        <w:rPr>
          <w:shd w:val="clear" w:color="auto" w:fill="FFFFFF"/>
        </w:rPr>
        <w:t>(3), 15-29.</w:t>
      </w:r>
    </w:p>
    <w:p w14:paraId="5091A80E" w14:textId="77777777" w:rsidR="00E161BF" w:rsidRDefault="00E161BF" w:rsidP="008E4E00">
      <w:pPr>
        <w:pStyle w:val="NoSpacing"/>
      </w:pPr>
      <w:r>
        <w:t xml:space="preserve">Lintner, J. (1965). The valuation of risk assets and the selection of risky investments in stock portfolios and capital budgets. </w:t>
      </w:r>
      <w:r w:rsidRPr="00927C46">
        <w:rPr>
          <w:i/>
        </w:rPr>
        <w:t>Review of Economics &amp; Statistics</w:t>
      </w:r>
      <w:r>
        <w:t>, 17, 13-37.</w:t>
      </w:r>
    </w:p>
    <w:p w14:paraId="7EE9124D" w14:textId="77777777" w:rsidR="00E161BF" w:rsidRDefault="00E161BF" w:rsidP="008E4E00">
      <w:pPr>
        <w:pStyle w:val="NoSpacing"/>
        <w:rPr>
          <w:shd w:val="clear" w:color="auto" w:fill="FFFFFF"/>
        </w:rPr>
      </w:pPr>
      <w:r>
        <w:rPr>
          <w:shd w:val="clear" w:color="auto" w:fill="FFFFFF"/>
        </w:rPr>
        <w:t>Mabinda, B. B. (2021). </w:t>
      </w:r>
      <w:r w:rsidRPr="001A4F89">
        <w:rPr>
          <w:i/>
          <w:shd w:val="clear" w:color="auto" w:fill="FFFFFF"/>
        </w:rPr>
        <w:t>Determinants of Investment Perceptions of the Managers of Firms Listed at Nairobi Securities Exchange, Kenya</w:t>
      </w:r>
      <w:r>
        <w:rPr>
          <w:shd w:val="clear" w:color="auto" w:fill="FFFFFF"/>
        </w:rPr>
        <w:t> (Doctoral dissertation, JKUAT-COHRED).</w:t>
      </w:r>
    </w:p>
    <w:p w14:paraId="4E6FFF6B" w14:textId="77777777" w:rsidR="00E161BF" w:rsidRDefault="00E161BF" w:rsidP="008E4E00">
      <w:pPr>
        <w:pStyle w:val="NoSpacing"/>
      </w:pPr>
      <w:r>
        <w:rPr>
          <w:rFonts w:ascii="Arial" w:hAnsi="Arial" w:cs="Arial"/>
          <w:color w:val="222222"/>
          <w:sz w:val="20"/>
          <w:szCs w:val="20"/>
          <w:shd w:val="clear" w:color="auto" w:fill="FFFFFF"/>
        </w:rPr>
        <w:t xml:space="preserve">Mogusu, M. W., Nkari, I. M., &amp; Wabwire, J. M. (2022). Effect of liquidity risk on shareholders’ wealth in commercial banks listed at the Nairobi Securities Exchange. </w:t>
      </w:r>
      <w:r>
        <w:t>J</w:t>
      </w:r>
      <w:r w:rsidRPr="00E77F49">
        <w:rPr>
          <w:i/>
        </w:rPr>
        <w:t>. Env. Sust. Adv. Res</w:t>
      </w:r>
      <w:r>
        <w:t>., 8:84-90.</w:t>
      </w:r>
    </w:p>
    <w:p w14:paraId="39A697FE" w14:textId="77777777" w:rsidR="00E161BF" w:rsidRPr="001A4F89" w:rsidRDefault="00E161BF" w:rsidP="008E4E00">
      <w:pPr>
        <w:pStyle w:val="NoSpacing"/>
      </w:pPr>
      <w:r>
        <w:t xml:space="preserve">Musembi, D.M. 2018. </w:t>
      </w:r>
      <w:r w:rsidRPr="00E77F49">
        <w:rPr>
          <w:i/>
        </w:rPr>
        <w:t>Effect of liquidity risk determinants on financial performance of commercial banks listed at Nairobi Securities Exchange, Kenya</w:t>
      </w:r>
      <w:r>
        <w:t xml:space="preserve"> (Doctoral Dissertation, JKUAT).</w:t>
      </w:r>
    </w:p>
    <w:p w14:paraId="4721C93C" w14:textId="77777777" w:rsidR="00E161BF" w:rsidRDefault="00E161BF" w:rsidP="008E4E00">
      <w:pPr>
        <w:pStyle w:val="NoSpacing"/>
        <w:rPr>
          <w:shd w:val="clear" w:color="auto" w:fill="FFFFFF"/>
        </w:rPr>
      </w:pPr>
      <w:r>
        <w:rPr>
          <w:shd w:val="clear" w:color="auto" w:fill="FFFFFF"/>
        </w:rPr>
        <w:t xml:space="preserve">Mwangi, E.M. (2022). </w:t>
      </w:r>
      <w:r>
        <w:t>Impact</w:t>
      </w:r>
      <w:r>
        <w:rPr>
          <w:spacing w:val="-3"/>
        </w:rPr>
        <w:t xml:space="preserve"> </w:t>
      </w:r>
      <w:r>
        <w:t>of</w:t>
      </w:r>
      <w:r>
        <w:rPr>
          <w:spacing w:val="-4"/>
        </w:rPr>
        <w:t xml:space="preserve"> </w:t>
      </w:r>
      <w:r>
        <w:t>taxation</w:t>
      </w:r>
      <w:r>
        <w:rPr>
          <w:spacing w:val="-2"/>
        </w:rPr>
        <w:t xml:space="preserve"> </w:t>
      </w:r>
      <w:r>
        <w:t>on</w:t>
      </w:r>
      <w:r>
        <w:rPr>
          <w:spacing w:val="-2"/>
        </w:rPr>
        <w:t xml:space="preserve"> </w:t>
      </w:r>
      <w:r>
        <w:t>economic</w:t>
      </w:r>
      <w:r>
        <w:rPr>
          <w:spacing w:val="-2"/>
        </w:rPr>
        <w:t xml:space="preserve"> </w:t>
      </w:r>
      <w:r>
        <w:t>growth</w:t>
      </w:r>
      <w:r>
        <w:rPr>
          <w:spacing w:val="-1"/>
        </w:rPr>
        <w:t xml:space="preserve"> </w:t>
      </w:r>
      <w:r>
        <w:t>in</w:t>
      </w:r>
      <w:r>
        <w:rPr>
          <w:spacing w:val="-2"/>
        </w:rPr>
        <w:t xml:space="preserve"> </w:t>
      </w:r>
      <w:r>
        <w:t>Kenya (Masters dissertation, University of Nairobi).</w:t>
      </w:r>
    </w:p>
    <w:p w14:paraId="7631D417" w14:textId="77777777" w:rsidR="00E161BF" w:rsidRPr="006A0255" w:rsidRDefault="00E161BF" w:rsidP="008E4E00">
      <w:pPr>
        <w:pStyle w:val="NoSpacing"/>
      </w:pPr>
      <w:r>
        <w:rPr>
          <w:shd w:val="clear" w:color="auto" w:fill="FFFFFF"/>
        </w:rPr>
        <w:t>Ndirangu, A. W. (2022). </w:t>
      </w:r>
      <w:r w:rsidRPr="006A0255">
        <w:rPr>
          <w:i/>
          <w:shd w:val="clear" w:color="auto" w:fill="FFFFFF"/>
        </w:rPr>
        <w:t>Taxation Policy Implementation Costs, Macroeconomic Factors and Revenue Collection in Kenya</w:t>
      </w:r>
      <w:r>
        <w:rPr>
          <w:shd w:val="clear" w:color="auto" w:fill="FFFFFF"/>
        </w:rPr>
        <w:t> (Doctoral dissertation, JKUAT-COHRED).</w:t>
      </w:r>
    </w:p>
    <w:p w14:paraId="70A279A1" w14:textId="77777777" w:rsidR="00E161BF" w:rsidRPr="006A0255" w:rsidRDefault="00E161BF" w:rsidP="008E4E00">
      <w:pPr>
        <w:pStyle w:val="NoSpacing"/>
      </w:pPr>
      <w:r>
        <w:rPr>
          <w:shd w:val="clear" w:color="auto" w:fill="FFFFFF"/>
        </w:rPr>
        <w:t>Obongo, B. M. (2020). Determinants of Tax Compliance among Export Processing Zones Investors in Kenya (Doctoral dissertation, JKUAT-COHRED).</w:t>
      </w:r>
    </w:p>
    <w:p w14:paraId="2420F852" w14:textId="77777777" w:rsidR="00E161BF" w:rsidRDefault="00E161BF" w:rsidP="008E4E00">
      <w:pPr>
        <w:pStyle w:val="NoSpacing"/>
        <w:rPr>
          <w:shd w:val="clear" w:color="auto" w:fill="FFFFFF"/>
        </w:rPr>
      </w:pPr>
      <w:r>
        <w:rPr>
          <w:shd w:val="clear" w:color="auto" w:fill="FFFFFF"/>
        </w:rPr>
        <w:lastRenderedPageBreak/>
        <w:t>Olang, M. A., Akenga, G. M., &amp; Mwangi, J. K. (2015). Effect of liquidity on the dividend pay-out by firms listed at the Nairobi securities exchange, Kenya. </w:t>
      </w:r>
      <w:r>
        <w:rPr>
          <w:i/>
          <w:iCs/>
          <w:shd w:val="clear" w:color="auto" w:fill="FFFFFF"/>
        </w:rPr>
        <w:t>Science Journal of Business and Management</w:t>
      </w:r>
      <w:r>
        <w:rPr>
          <w:shd w:val="clear" w:color="auto" w:fill="FFFFFF"/>
        </w:rPr>
        <w:t>, </w:t>
      </w:r>
      <w:r>
        <w:rPr>
          <w:i/>
          <w:iCs/>
          <w:shd w:val="clear" w:color="auto" w:fill="FFFFFF"/>
        </w:rPr>
        <w:t>3</w:t>
      </w:r>
      <w:r>
        <w:rPr>
          <w:shd w:val="clear" w:color="auto" w:fill="FFFFFF"/>
        </w:rPr>
        <w:t>(5), 196-208.</w:t>
      </w:r>
    </w:p>
    <w:p w14:paraId="1FE32BBF" w14:textId="77777777" w:rsidR="00E161BF" w:rsidRDefault="00E161BF" w:rsidP="008E4E00">
      <w:pPr>
        <w:pStyle w:val="NoSpacing"/>
        <w:rPr>
          <w:shd w:val="clear" w:color="auto" w:fill="FFFFFF"/>
        </w:rPr>
      </w:pPr>
      <w:r>
        <w:rPr>
          <w:shd w:val="clear" w:color="auto" w:fill="FFFFFF"/>
        </w:rPr>
        <w:t>Rünger, S. (2021). Personal taxation and individual stock ownership. </w:t>
      </w:r>
      <w:r>
        <w:rPr>
          <w:i/>
          <w:iCs/>
          <w:shd w:val="clear" w:color="auto" w:fill="FFFFFF"/>
        </w:rPr>
        <w:t>The European Journal of Finance</w:t>
      </w:r>
      <w:r>
        <w:rPr>
          <w:shd w:val="clear" w:color="auto" w:fill="FFFFFF"/>
        </w:rPr>
        <w:t>, </w:t>
      </w:r>
      <w:r>
        <w:rPr>
          <w:i/>
          <w:iCs/>
          <w:shd w:val="clear" w:color="auto" w:fill="FFFFFF"/>
        </w:rPr>
        <w:t>27</w:t>
      </w:r>
      <w:r>
        <w:rPr>
          <w:shd w:val="clear" w:color="auto" w:fill="FFFFFF"/>
        </w:rPr>
        <w:t>(6), 596-611.</w:t>
      </w:r>
    </w:p>
    <w:p w14:paraId="6911FC93" w14:textId="77777777" w:rsidR="00E161BF" w:rsidRPr="008A4508" w:rsidRDefault="00E161BF" w:rsidP="008A4508">
      <w:pPr>
        <w:pStyle w:val="NoSpacing"/>
      </w:pPr>
      <w:r>
        <w:rPr>
          <w:shd w:val="clear" w:color="auto" w:fill="FFFFFF"/>
        </w:rPr>
        <w:t>Waweru, E. W., &amp; Oribu, W. S. (2023). Assessing the Impact of Liquidity Ratio Requirements on the Financial Performance of Commercial Banks in Kenya. </w:t>
      </w:r>
      <w:r>
        <w:rPr>
          <w:i/>
          <w:iCs/>
          <w:shd w:val="clear" w:color="auto" w:fill="FFFFFF"/>
        </w:rPr>
        <w:t>East African Journal of Business and Economics</w:t>
      </w:r>
      <w:r>
        <w:rPr>
          <w:shd w:val="clear" w:color="auto" w:fill="FFFFFF"/>
        </w:rPr>
        <w:t>, </w:t>
      </w:r>
      <w:r>
        <w:rPr>
          <w:i/>
          <w:iCs/>
          <w:shd w:val="clear" w:color="auto" w:fill="FFFFFF"/>
        </w:rPr>
        <w:t>6</w:t>
      </w:r>
      <w:r>
        <w:rPr>
          <w:shd w:val="clear" w:color="auto" w:fill="FFFFFF"/>
        </w:rPr>
        <w:t>(1), 203-210.</w:t>
      </w:r>
    </w:p>
    <w:p w14:paraId="72138A76" w14:textId="77777777" w:rsidR="00E875F0" w:rsidRDefault="00E875F0">
      <w:pPr>
        <w:pStyle w:val="BodyText"/>
        <w:rPr>
          <w:sz w:val="20"/>
        </w:rPr>
      </w:pPr>
    </w:p>
    <w:p w14:paraId="72B3C2C1" w14:textId="77777777" w:rsidR="007A2D80" w:rsidRDefault="007A2D80">
      <w:pPr>
        <w:pStyle w:val="BodyText"/>
        <w:rPr>
          <w:sz w:val="20"/>
        </w:rPr>
      </w:pPr>
    </w:p>
    <w:sectPr w:rsidR="007A2D80">
      <w:headerReference w:type="even" r:id="rId8"/>
      <w:headerReference w:type="default" r:id="rId9"/>
      <w:footerReference w:type="even" r:id="rId10"/>
      <w:footerReference w:type="default" r:id="rId11"/>
      <w:headerReference w:type="first" r:id="rId12"/>
      <w:footerReference w:type="first" r:id="rId13"/>
      <w:pgSz w:w="11910" w:h="16850"/>
      <w:pgMar w:top="1720" w:right="1220" w:bottom="1180" w:left="1200" w:header="1140" w:footer="9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387375" w14:textId="77777777" w:rsidR="00E60556" w:rsidRDefault="00E60556">
      <w:r>
        <w:separator/>
      </w:r>
    </w:p>
  </w:endnote>
  <w:endnote w:type="continuationSeparator" w:id="0">
    <w:p w14:paraId="4A3A3C92" w14:textId="77777777" w:rsidR="00E60556" w:rsidRDefault="00E60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FF30C" w14:textId="77777777" w:rsidR="00EC1D9D" w:rsidRDefault="00EC1D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9468D" w14:textId="77777777" w:rsidR="00EC1D9D" w:rsidRDefault="00EC1D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A2544" w14:textId="77777777" w:rsidR="00EC1D9D" w:rsidRDefault="00EC1D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BABE5" w14:textId="77777777" w:rsidR="00E60556" w:rsidRDefault="00E60556">
      <w:r>
        <w:separator/>
      </w:r>
    </w:p>
  </w:footnote>
  <w:footnote w:type="continuationSeparator" w:id="0">
    <w:p w14:paraId="005E78BF" w14:textId="77777777" w:rsidR="00E60556" w:rsidRDefault="00E60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A8B00" w14:textId="397C2BFC" w:rsidR="00EC1D9D" w:rsidRDefault="00EC1D9D">
    <w:pPr>
      <w:pStyle w:val="Header"/>
    </w:pPr>
    <w:r>
      <w:rPr>
        <w:noProof/>
      </w:rPr>
      <w:pict w14:anchorId="540406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0571391" o:spid="_x0000_s1026" type="#_x0000_t136" style="position:absolute;margin-left:0;margin-top:0;width:602.1pt;height:66.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1FFB5" w14:textId="0E4EE7E7" w:rsidR="00EC1D9D" w:rsidRDefault="00EC1D9D">
    <w:pPr>
      <w:pStyle w:val="Header"/>
    </w:pPr>
    <w:r>
      <w:rPr>
        <w:noProof/>
      </w:rPr>
      <w:pict w14:anchorId="447D19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0571392" o:spid="_x0000_s1027" type="#_x0000_t136" style="position:absolute;margin-left:0;margin-top:0;width:602.1pt;height:66.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B9ED1" w14:textId="048C34D7" w:rsidR="00EC1D9D" w:rsidRDefault="00EC1D9D">
    <w:pPr>
      <w:pStyle w:val="Header"/>
    </w:pPr>
    <w:r>
      <w:rPr>
        <w:noProof/>
      </w:rPr>
      <w:pict w14:anchorId="4D34FA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0571390" o:spid="_x0000_s1025" type="#_x0000_t136" style="position:absolute;margin-left:0;margin-top:0;width:602.1pt;height:66.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00D78"/>
    <w:multiLevelType w:val="hybridMultilevel"/>
    <w:tmpl w:val="8D30E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E57EE6"/>
    <w:multiLevelType w:val="hybridMultilevel"/>
    <w:tmpl w:val="39F02380"/>
    <w:lvl w:ilvl="0" w:tplc="4220179A">
      <w:start w:val="1"/>
      <w:numFmt w:val="decimal"/>
      <w:lvlText w:val="%1)"/>
      <w:lvlJc w:val="left"/>
      <w:pPr>
        <w:ind w:left="960" w:hanging="360"/>
      </w:pPr>
      <w:rPr>
        <w:rFonts w:ascii="Times New Roman" w:eastAsia="Times New Roman" w:hAnsi="Times New Roman" w:cs="Times New Roman" w:hint="default"/>
        <w:w w:val="99"/>
        <w:sz w:val="24"/>
        <w:szCs w:val="24"/>
        <w:lang w:val="en-US" w:eastAsia="en-US" w:bidi="ar-SA"/>
      </w:rPr>
    </w:lvl>
    <w:lvl w:ilvl="1" w:tplc="B686BE92">
      <w:numFmt w:val="bullet"/>
      <w:lvlText w:val="•"/>
      <w:lvlJc w:val="left"/>
      <w:pPr>
        <w:ind w:left="1812" w:hanging="360"/>
      </w:pPr>
      <w:rPr>
        <w:rFonts w:hint="default"/>
        <w:lang w:val="en-US" w:eastAsia="en-US" w:bidi="ar-SA"/>
      </w:rPr>
    </w:lvl>
    <w:lvl w:ilvl="2" w:tplc="90B4C15C">
      <w:numFmt w:val="bullet"/>
      <w:lvlText w:val="•"/>
      <w:lvlJc w:val="left"/>
      <w:pPr>
        <w:ind w:left="2665" w:hanging="360"/>
      </w:pPr>
      <w:rPr>
        <w:rFonts w:hint="default"/>
        <w:lang w:val="en-US" w:eastAsia="en-US" w:bidi="ar-SA"/>
      </w:rPr>
    </w:lvl>
    <w:lvl w:ilvl="3" w:tplc="5C74556C">
      <w:numFmt w:val="bullet"/>
      <w:lvlText w:val="•"/>
      <w:lvlJc w:val="left"/>
      <w:pPr>
        <w:ind w:left="3517" w:hanging="360"/>
      </w:pPr>
      <w:rPr>
        <w:rFonts w:hint="default"/>
        <w:lang w:val="en-US" w:eastAsia="en-US" w:bidi="ar-SA"/>
      </w:rPr>
    </w:lvl>
    <w:lvl w:ilvl="4" w:tplc="60922D40">
      <w:numFmt w:val="bullet"/>
      <w:lvlText w:val="•"/>
      <w:lvlJc w:val="left"/>
      <w:pPr>
        <w:ind w:left="4370" w:hanging="360"/>
      </w:pPr>
      <w:rPr>
        <w:rFonts w:hint="default"/>
        <w:lang w:val="en-US" w:eastAsia="en-US" w:bidi="ar-SA"/>
      </w:rPr>
    </w:lvl>
    <w:lvl w:ilvl="5" w:tplc="568EE4B8">
      <w:numFmt w:val="bullet"/>
      <w:lvlText w:val="•"/>
      <w:lvlJc w:val="left"/>
      <w:pPr>
        <w:ind w:left="5223" w:hanging="360"/>
      </w:pPr>
      <w:rPr>
        <w:rFonts w:hint="default"/>
        <w:lang w:val="en-US" w:eastAsia="en-US" w:bidi="ar-SA"/>
      </w:rPr>
    </w:lvl>
    <w:lvl w:ilvl="6" w:tplc="F6FA8A46">
      <w:numFmt w:val="bullet"/>
      <w:lvlText w:val="•"/>
      <w:lvlJc w:val="left"/>
      <w:pPr>
        <w:ind w:left="6075" w:hanging="360"/>
      </w:pPr>
      <w:rPr>
        <w:rFonts w:hint="default"/>
        <w:lang w:val="en-US" w:eastAsia="en-US" w:bidi="ar-SA"/>
      </w:rPr>
    </w:lvl>
    <w:lvl w:ilvl="7" w:tplc="22849F86">
      <w:numFmt w:val="bullet"/>
      <w:lvlText w:val="•"/>
      <w:lvlJc w:val="left"/>
      <w:pPr>
        <w:ind w:left="6928" w:hanging="360"/>
      </w:pPr>
      <w:rPr>
        <w:rFonts w:hint="default"/>
        <w:lang w:val="en-US" w:eastAsia="en-US" w:bidi="ar-SA"/>
      </w:rPr>
    </w:lvl>
    <w:lvl w:ilvl="8" w:tplc="5E1E29AC">
      <w:numFmt w:val="bullet"/>
      <w:lvlText w:val="•"/>
      <w:lvlJc w:val="left"/>
      <w:pPr>
        <w:ind w:left="7781" w:hanging="360"/>
      </w:pPr>
      <w:rPr>
        <w:rFonts w:hint="default"/>
        <w:lang w:val="en-US" w:eastAsia="en-US" w:bidi="ar-SA"/>
      </w:rPr>
    </w:lvl>
  </w:abstractNum>
  <w:abstractNum w:abstractNumId="2" w15:restartNumberingAfterBreak="0">
    <w:nsid w:val="77D170D0"/>
    <w:multiLevelType w:val="hybridMultilevel"/>
    <w:tmpl w:val="6002C28A"/>
    <w:lvl w:ilvl="0" w:tplc="B57257E0">
      <w:start w:val="2"/>
      <w:numFmt w:val="upperRoman"/>
      <w:lvlText w:val="%1."/>
      <w:lvlJc w:val="left"/>
      <w:pPr>
        <w:ind w:left="3369" w:hanging="249"/>
        <w:jc w:val="right"/>
      </w:pPr>
      <w:rPr>
        <w:rFonts w:ascii="Times New Roman" w:eastAsia="Times New Roman" w:hAnsi="Times New Roman" w:cs="Times New Roman" w:hint="default"/>
        <w:b/>
        <w:bCs/>
        <w:w w:val="99"/>
        <w:sz w:val="22"/>
        <w:szCs w:val="22"/>
        <w:lang w:val="en-US" w:eastAsia="en-US" w:bidi="ar-SA"/>
      </w:rPr>
    </w:lvl>
    <w:lvl w:ilvl="1" w:tplc="9C88BEB6">
      <w:numFmt w:val="bullet"/>
      <w:lvlText w:val="•"/>
      <w:lvlJc w:val="left"/>
      <w:pPr>
        <w:ind w:left="3972" w:hanging="249"/>
      </w:pPr>
      <w:rPr>
        <w:rFonts w:hint="default"/>
        <w:lang w:val="en-US" w:eastAsia="en-US" w:bidi="ar-SA"/>
      </w:rPr>
    </w:lvl>
    <w:lvl w:ilvl="2" w:tplc="C30C3628">
      <w:numFmt w:val="bullet"/>
      <w:lvlText w:val="•"/>
      <w:lvlJc w:val="left"/>
      <w:pPr>
        <w:ind w:left="4585" w:hanging="249"/>
      </w:pPr>
      <w:rPr>
        <w:rFonts w:hint="default"/>
        <w:lang w:val="en-US" w:eastAsia="en-US" w:bidi="ar-SA"/>
      </w:rPr>
    </w:lvl>
    <w:lvl w:ilvl="3" w:tplc="13564AFA">
      <w:numFmt w:val="bullet"/>
      <w:lvlText w:val="•"/>
      <w:lvlJc w:val="left"/>
      <w:pPr>
        <w:ind w:left="5197" w:hanging="249"/>
      </w:pPr>
      <w:rPr>
        <w:rFonts w:hint="default"/>
        <w:lang w:val="en-US" w:eastAsia="en-US" w:bidi="ar-SA"/>
      </w:rPr>
    </w:lvl>
    <w:lvl w:ilvl="4" w:tplc="BE2669F6">
      <w:numFmt w:val="bullet"/>
      <w:lvlText w:val="•"/>
      <w:lvlJc w:val="left"/>
      <w:pPr>
        <w:ind w:left="5810" w:hanging="249"/>
      </w:pPr>
      <w:rPr>
        <w:rFonts w:hint="default"/>
        <w:lang w:val="en-US" w:eastAsia="en-US" w:bidi="ar-SA"/>
      </w:rPr>
    </w:lvl>
    <w:lvl w:ilvl="5" w:tplc="9C9CB82E">
      <w:numFmt w:val="bullet"/>
      <w:lvlText w:val="•"/>
      <w:lvlJc w:val="left"/>
      <w:pPr>
        <w:ind w:left="6423" w:hanging="249"/>
      </w:pPr>
      <w:rPr>
        <w:rFonts w:hint="default"/>
        <w:lang w:val="en-US" w:eastAsia="en-US" w:bidi="ar-SA"/>
      </w:rPr>
    </w:lvl>
    <w:lvl w:ilvl="6" w:tplc="428089C2">
      <w:numFmt w:val="bullet"/>
      <w:lvlText w:val="•"/>
      <w:lvlJc w:val="left"/>
      <w:pPr>
        <w:ind w:left="7035" w:hanging="249"/>
      </w:pPr>
      <w:rPr>
        <w:rFonts w:hint="default"/>
        <w:lang w:val="en-US" w:eastAsia="en-US" w:bidi="ar-SA"/>
      </w:rPr>
    </w:lvl>
    <w:lvl w:ilvl="7" w:tplc="631815AE">
      <w:numFmt w:val="bullet"/>
      <w:lvlText w:val="•"/>
      <w:lvlJc w:val="left"/>
      <w:pPr>
        <w:ind w:left="7648" w:hanging="249"/>
      </w:pPr>
      <w:rPr>
        <w:rFonts w:hint="default"/>
        <w:lang w:val="en-US" w:eastAsia="en-US" w:bidi="ar-SA"/>
      </w:rPr>
    </w:lvl>
    <w:lvl w:ilvl="8" w:tplc="0C94D094">
      <w:numFmt w:val="bullet"/>
      <w:lvlText w:val="•"/>
      <w:lvlJc w:val="left"/>
      <w:pPr>
        <w:ind w:left="8261" w:hanging="249"/>
      </w:pPr>
      <w:rPr>
        <w:rFonts w:hint="default"/>
        <w:lang w:val="en-US" w:eastAsia="en-US" w:bidi="ar-SA"/>
      </w:rPr>
    </w:lvl>
  </w:abstractNum>
  <w:num w:numId="1" w16cid:durableId="787047805">
    <w:abstractNumId w:val="1"/>
  </w:num>
  <w:num w:numId="2" w16cid:durableId="2072076980">
    <w:abstractNumId w:val="2"/>
  </w:num>
  <w:num w:numId="3" w16cid:durableId="287200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5F0"/>
    <w:rsid w:val="001908A1"/>
    <w:rsid w:val="001C7B03"/>
    <w:rsid w:val="001E435B"/>
    <w:rsid w:val="002252F3"/>
    <w:rsid w:val="002256F8"/>
    <w:rsid w:val="002A51BB"/>
    <w:rsid w:val="00381A11"/>
    <w:rsid w:val="003851D2"/>
    <w:rsid w:val="00427ED7"/>
    <w:rsid w:val="00490ABA"/>
    <w:rsid w:val="004A6CB7"/>
    <w:rsid w:val="004E42E3"/>
    <w:rsid w:val="005005F8"/>
    <w:rsid w:val="00532C52"/>
    <w:rsid w:val="00572495"/>
    <w:rsid w:val="00614B9F"/>
    <w:rsid w:val="007A2D80"/>
    <w:rsid w:val="007F27FB"/>
    <w:rsid w:val="008A4508"/>
    <w:rsid w:val="008E4E00"/>
    <w:rsid w:val="0091135B"/>
    <w:rsid w:val="009463D0"/>
    <w:rsid w:val="009658ED"/>
    <w:rsid w:val="009774BE"/>
    <w:rsid w:val="00997FEB"/>
    <w:rsid w:val="009D0BEE"/>
    <w:rsid w:val="00A41C16"/>
    <w:rsid w:val="00A71CBC"/>
    <w:rsid w:val="00B45DF6"/>
    <w:rsid w:val="00C17687"/>
    <w:rsid w:val="00C504B5"/>
    <w:rsid w:val="00C6098B"/>
    <w:rsid w:val="00C65470"/>
    <w:rsid w:val="00CE379B"/>
    <w:rsid w:val="00CE70E3"/>
    <w:rsid w:val="00DA68F7"/>
    <w:rsid w:val="00E161BF"/>
    <w:rsid w:val="00E60556"/>
    <w:rsid w:val="00E7436E"/>
    <w:rsid w:val="00E77F49"/>
    <w:rsid w:val="00E875F0"/>
    <w:rsid w:val="00EC1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E8DA9"/>
  <w15:docId w15:val="{6BBE3462-7B99-4E20-93B9-7D30B8A76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rsid w:val="00A71CBC"/>
    <w:pPr>
      <w:spacing w:line="274" w:lineRule="exact"/>
      <w:jc w:val="both"/>
      <w:outlineLvl w:val="0"/>
    </w:pPr>
    <w:rPr>
      <w:b/>
      <w:bCs/>
      <w:sz w:val="24"/>
      <w:szCs w:val="24"/>
    </w:rPr>
  </w:style>
  <w:style w:type="paragraph" w:styleId="Heading3">
    <w:name w:val="heading 3"/>
    <w:basedOn w:val="Normal"/>
    <w:next w:val="Normal"/>
    <w:link w:val="Heading3Char"/>
    <w:uiPriority w:val="9"/>
    <w:semiHidden/>
    <w:unhideWhenUsed/>
    <w:qFormat/>
    <w:rsid w:val="001E435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E42E3"/>
    <w:pPr>
      <w:spacing w:after="240"/>
      <w:jc w:val="both"/>
    </w:pPr>
    <w:rPr>
      <w:sz w:val="24"/>
      <w:szCs w:val="24"/>
    </w:rPr>
  </w:style>
  <w:style w:type="paragraph" w:styleId="ListParagraph">
    <w:name w:val="List Paragraph"/>
    <w:aliases w:val="Title 2,normal"/>
    <w:basedOn w:val="Normal"/>
    <w:link w:val="ListParagraphChar"/>
    <w:uiPriority w:val="34"/>
    <w:qFormat/>
    <w:pPr>
      <w:ind w:left="960" w:hanging="360"/>
      <w:jc w:val="both"/>
    </w:pPr>
  </w:style>
  <w:style w:type="paragraph" w:customStyle="1" w:styleId="TableParagraph">
    <w:name w:val="Table Paragraph"/>
    <w:basedOn w:val="Normal"/>
    <w:uiPriority w:val="1"/>
    <w:qFormat/>
    <w:pPr>
      <w:spacing w:line="256" w:lineRule="exact"/>
      <w:ind w:left="122"/>
    </w:pPr>
  </w:style>
  <w:style w:type="character" w:styleId="Hyperlink">
    <w:name w:val="Hyperlink"/>
    <w:basedOn w:val="DefaultParagraphFont"/>
    <w:uiPriority w:val="99"/>
    <w:semiHidden/>
    <w:unhideWhenUsed/>
    <w:rsid w:val="00381A11"/>
    <w:rPr>
      <w:color w:val="0000FF"/>
      <w:u w:val="single"/>
    </w:rPr>
  </w:style>
  <w:style w:type="character" w:customStyle="1" w:styleId="Heading3Char">
    <w:name w:val="Heading 3 Char"/>
    <w:basedOn w:val="DefaultParagraphFont"/>
    <w:link w:val="Heading3"/>
    <w:uiPriority w:val="9"/>
    <w:semiHidden/>
    <w:rsid w:val="001E435B"/>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aliases w:val="Title 2 Char,normal Char"/>
    <w:link w:val="ListParagraph"/>
    <w:uiPriority w:val="34"/>
    <w:rsid w:val="001E435B"/>
    <w:rPr>
      <w:rFonts w:ascii="Times New Roman" w:eastAsia="Times New Roman" w:hAnsi="Times New Roman" w:cs="Times New Roman"/>
    </w:rPr>
  </w:style>
  <w:style w:type="paragraph" w:styleId="Header">
    <w:name w:val="header"/>
    <w:basedOn w:val="Normal"/>
    <w:link w:val="HeaderChar"/>
    <w:uiPriority w:val="99"/>
    <w:unhideWhenUsed/>
    <w:rsid w:val="002256F8"/>
    <w:pPr>
      <w:tabs>
        <w:tab w:val="center" w:pos="4680"/>
        <w:tab w:val="right" w:pos="9360"/>
      </w:tabs>
    </w:pPr>
  </w:style>
  <w:style w:type="character" w:customStyle="1" w:styleId="HeaderChar">
    <w:name w:val="Header Char"/>
    <w:basedOn w:val="DefaultParagraphFont"/>
    <w:link w:val="Header"/>
    <w:uiPriority w:val="99"/>
    <w:rsid w:val="002256F8"/>
    <w:rPr>
      <w:rFonts w:ascii="Times New Roman" w:eastAsia="Times New Roman" w:hAnsi="Times New Roman" w:cs="Times New Roman"/>
    </w:rPr>
  </w:style>
  <w:style w:type="paragraph" w:styleId="Footer">
    <w:name w:val="footer"/>
    <w:basedOn w:val="Normal"/>
    <w:link w:val="FooterChar"/>
    <w:uiPriority w:val="99"/>
    <w:unhideWhenUsed/>
    <w:rsid w:val="002256F8"/>
    <w:pPr>
      <w:tabs>
        <w:tab w:val="center" w:pos="4680"/>
        <w:tab w:val="right" w:pos="9360"/>
      </w:tabs>
    </w:pPr>
  </w:style>
  <w:style w:type="character" w:customStyle="1" w:styleId="FooterChar">
    <w:name w:val="Footer Char"/>
    <w:basedOn w:val="DefaultParagraphFont"/>
    <w:link w:val="Footer"/>
    <w:uiPriority w:val="99"/>
    <w:rsid w:val="002256F8"/>
    <w:rPr>
      <w:rFonts w:ascii="Times New Roman" w:eastAsia="Times New Roman" w:hAnsi="Times New Roman" w:cs="Times New Roman"/>
    </w:rPr>
  </w:style>
  <w:style w:type="paragraph" w:styleId="Caption">
    <w:name w:val="caption"/>
    <w:aliases w:val="Tables"/>
    <w:basedOn w:val="Normal"/>
    <w:next w:val="Normal"/>
    <w:uiPriority w:val="35"/>
    <w:rsid w:val="002252F3"/>
    <w:pPr>
      <w:widowControl/>
      <w:autoSpaceDE/>
      <w:autoSpaceDN/>
      <w:spacing w:before="240" w:after="200"/>
      <w:jc w:val="both"/>
    </w:pPr>
    <w:rPr>
      <w:rFonts w:eastAsia="Calibri" w:cs="SimSun"/>
      <w:b/>
      <w:iCs/>
      <w:sz w:val="24"/>
      <w:szCs w:val="18"/>
    </w:rPr>
  </w:style>
  <w:style w:type="paragraph" w:styleId="NoSpacing">
    <w:name w:val="No Spacing"/>
    <w:link w:val="NoSpacingChar"/>
    <w:uiPriority w:val="1"/>
    <w:qFormat/>
    <w:rsid w:val="008E4E00"/>
    <w:pPr>
      <w:widowControl/>
      <w:autoSpaceDE/>
      <w:autoSpaceDN/>
      <w:spacing w:after="240" w:line="360" w:lineRule="auto"/>
      <w:ind w:left="720" w:hanging="720"/>
      <w:jc w:val="both"/>
    </w:pPr>
    <w:rPr>
      <w:rFonts w:ascii="Times New Roman" w:hAnsi="Times New Roman"/>
      <w:sz w:val="24"/>
    </w:rPr>
  </w:style>
  <w:style w:type="character" w:customStyle="1" w:styleId="NoSpacingChar">
    <w:name w:val="No Spacing Char"/>
    <w:link w:val="NoSpacing"/>
    <w:uiPriority w:val="1"/>
    <w:qFormat/>
    <w:locked/>
    <w:rsid w:val="008E4E0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836846">
      <w:bodyDiv w:val="1"/>
      <w:marLeft w:val="0"/>
      <w:marRight w:val="0"/>
      <w:marTop w:val="0"/>
      <w:marBottom w:val="0"/>
      <w:divBdr>
        <w:top w:val="none" w:sz="0" w:space="0" w:color="auto"/>
        <w:left w:val="none" w:sz="0" w:space="0" w:color="auto"/>
        <w:bottom w:val="none" w:sz="0" w:space="0" w:color="auto"/>
        <w:right w:val="none" w:sz="0" w:space="0" w:color="auto"/>
      </w:divBdr>
    </w:div>
    <w:div w:id="820584934">
      <w:bodyDiv w:val="1"/>
      <w:marLeft w:val="0"/>
      <w:marRight w:val="0"/>
      <w:marTop w:val="0"/>
      <w:marBottom w:val="0"/>
      <w:divBdr>
        <w:top w:val="none" w:sz="0" w:space="0" w:color="auto"/>
        <w:left w:val="none" w:sz="0" w:space="0" w:color="auto"/>
        <w:bottom w:val="none" w:sz="0" w:space="0" w:color="auto"/>
        <w:right w:val="none" w:sz="0" w:space="0" w:color="auto"/>
      </w:divBdr>
    </w:div>
    <w:div w:id="1084764314">
      <w:bodyDiv w:val="1"/>
      <w:marLeft w:val="0"/>
      <w:marRight w:val="0"/>
      <w:marTop w:val="0"/>
      <w:marBottom w:val="0"/>
      <w:divBdr>
        <w:top w:val="none" w:sz="0" w:space="0" w:color="auto"/>
        <w:left w:val="none" w:sz="0" w:space="0" w:color="auto"/>
        <w:bottom w:val="none" w:sz="0" w:space="0" w:color="auto"/>
        <w:right w:val="none" w:sz="0" w:space="0" w:color="auto"/>
      </w:divBdr>
    </w:div>
    <w:div w:id="21290114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DC4CD-13E7-40BC-8D98-5F2CA4CAE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11</Pages>
  <Words>5039</Words>
  <Characters>28724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IJBMP</dc:creator>
  <cp:lastModifiedBy>Editor-23</cp:lastModifiedBy>
  <cp:revision>13</cp:revision>
  <dcterms:created xsi:type="dcterms:W3CDTF">2024-05-20T14:10:00Z</dcterms:created>
  <dcterms:modified xsi:type="dcterms:W3CDTF">2024-05-31T14:09:00Z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2019-01-17T00:00:00Z</vt:filetime>
  </property>
  <property fmtid="{D5CDD505-2E9C-101B-9397-08002B2CF9AE}" pid="3" name="Creator">
    <vt:lpwstr>Microsoft® Word 2013</vt:lpwstr>
  </property>
  <property fmtid="{D5CDD505-2E9C-101B-9397-08002B2CF9AE}" pid="4" name="LastSaved">
    <vt:filetime>2023-12-18T00:00:00Z</vt:filetime>
  </property>
</Properties>
</file>