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59C70B" w14:textId="77777777" w:rsidR="001F7EDC" w:rsidRDefault="001F7EDC" w:rsidP="001F7EDC">
      <w:pPr>
        <w:jc w:val="center"/>
        <w:rPr>
          <w:rFonts w:ascii="Times New Roman" w:eastAsia="Times New Roman" w:hAnsi="Times New Roman"/>
          <w:b/>
          <w:sz w:val="24"/>
          <w:szCs w:val="24"/>
        </w:rPr>
      </w:pPr>
      <w:r w:rsidRPr="001F7EDC">
        <w:rPr>
          <w:rFonts w:ascii="Times New Roman" w:eastAsia="Times New Roman" w:hAnsi="Times New Roman"/>
          <w:b/>
          <w:sz w:val="24"/>
          <w:szCs w:val="24"/>
        </w:rPr>
        <w:t>BANKING BUSINESS MODELS AND DEPOSIT FUNDING REQUIREMENTS: A STUDY OF SELECTED NIGERIAN DEPOSIT MONEY BANKS</w:t>
      </w:r>
    </w:p>
    <w:p w14:paraId="75F8E434" w14:textId="77777777" w:rsidR="001F7EDC" w:rsidRPr="008047C6" w:rsidRDefault="001F7EDC" w:rsidP="001F7EDC">
      <w:pPr>
        <w:spacing w:after="0" w:line="240" w:lineRule="auto"/>
        <w:jc w:val="center"/>
        <w:rPr>
          <w:rFonts w:ascii="Times New Roman" w:eastAsia="Times New Roman" w:hAnsi="Times New Roman"/>
          <w:b/>
          <w:sz w:val="24"/>
          <w:szCs w:val="24"/>
        </w:rPr>
      </w:pPr>
    </w:p>
    <w:p w14:paraId="68578564" w14:textId="77777777" w:rsidR="001F7EDC" w:rsidRDefault="001F7EDC" w:rsidP="00052F82">
      <w:pPr>
        <w:spacing w:line="240" w:lineRule="auto"/>
        <w:rPr>
          <w:rFonts w:eastAsia="Times New Roman"/>
          <w:b/>
          <w:color w:val="4D4D4D"/>
          <w:spacing w:val="6"/>
          <w:sz w:val="28"/>
          <w:szCs w:val="28"/>
          <w:lang w:eastAsia="en-GB"/>
        </w:rPr>
      </w:pPr>
    </w:p>
    <w:p w14:paraId="00A539C1" w14:textId="77777777" w:rsidR="00CB2268" w:rsidRPr="00052F82" w:rsidRDefault="00052F82" w:rsidP="00052F82">
      <w:pPr>
        <w:spacing w:line="240" w:lineRule="auto"/>
        <w:rPr>
          <w:b/>
        </w:rPr>
      </w:pPr>
      <w:r>
        <w:rPr>
          <w:b/>
        </w:rPr>
        <w:t>Abstract</w:t>
      </w:r>
    </w:p>
    <w:p w14:paraId="5DA54E38" w14:textId="77777777" w:rsidR="00CB2268" w:rsidRDefault="00CB2268" w:rsidP="00CB2268">
      <w:pPr>
        <w:jc w:val="both"/>
        <w:rPr>
          <w:rFonts w:ascii="Times New Roman" w:hAnsi="Times New Roman"/>
          <w:sz w:val="24"/>
          <w:szCs w:val="24"/>
        </w:rPr>
      </w:pPr>
      <w:r w:rsidRPr="00645FAD">
        <w:rPr>
          <w:rFonts w:ascii="Times New Roman" w:hAnsi="Times New Roman"/>
          <w:sz w:val="24"/>
          <w:szCs w:val="24"/>
        </w:rPr>
        <w:t>The objective of this paper was to examine the empirical evidence of the different business models that Nigerian deposit money banks operate and their deposit funding requirements using the top five Nigerian deposit money banks by asset base. Data were collected from various annual reports of Access Bank, Zenith Bank, FBN Holdings, UBA, and GT Bank from 2005 to 2020. We reviewed the bank’s primary deposit characteristics to establish the prevailing deposit mix, with an inquiry into why banks switch models. We used the cluster analysis technique to analyse the selected banks statements of financial position ratios and identify the different business models the banks had adopted in the period under study. The studied banks, Access, Zenith, FBN Holdings, UBA, and GT Bank, were classified according to the respective business models they adopted using the data characteristics. The identified models are retail-funded, wholesale-funded, and market-oriented. Zenith, UBA, and FBN Holdings adopted wholesale, retail, and market-oriented models, respectively. Access and GT Bank</w:t>
      </w:r>
      <w:r w:rsidR="00000477">
        <w:rPr>
          <w:rFonts w:ascii="Times New Roman" w:hAnsi="Times New Roman"/>
          <w:sz w:val="24"/>
          <w:szCs w:val="24"/>
        </w:rPr>
        <w:t>s</w:t>
      </w:r>
      <w:r w:rsidRPr="00645FAD">
        <w:rPr>
          <w:rFonts w:ascii="Times New Roman" w:hAnsi="Times New Roman"/>
          <w:sz w:val="24"/>
          <w:szCs w:val="24"/>
        </w:rPr>
        <w:t xml:space="preserve"> switched models at various times. Across the models, the activities of the banks on the asset side of the balance sheet were mainly funded by customer deposit liabilities. The banks’ deposit structures also indicate that the mixes were skewed in favour of current accounts and savings bank accounts, which are known, in banking parlance, as demand deposits. We conclude that demand deposits are critical and the most vital components of banking institutions deposit structures, irrespective of the business model adopted. Its implications for the profitability, efficiency, and effectiveness of the bank's overall objectives cannot be overemphasized. We also conclude that the reason for switching models in Nigerian deposit money banks flows more from the strategic decisions of the management than regulatory or environmental factors.</w:t>
      </w:r>
    </w:p>
    <w:p w14:paraId="29B6A186" w14:textId="77777777" w:rsidR="004B4FDF" w:rsidRDefault="004B4FDF" w:rsidP="004B4FDF">
      <w:pPr>
        <w:pStyle w:val="NormalWeb"/>
        <w:shd w:val="clear" w:color="auto" w:fill="FFFFFF"/>
        <w:spacing w:before="0" w:beforeAutospacing="0" w:after="405" w:afterAutospacing="0"/>
        <w:jc w:val="both"/>
        <w:rPr>
          <w:b/>
        </w:rPr>
      </w:pPr>
      <w:r w:rsidRPr="000626F1">
        <w:rPr>
          <w:b/>
        </w:rPr>
        <w:t>Key words: banking business models, Cluster analysis, deposit mix, statement of financial position ratios</w:t>
      </w:r>
      <w:r>
        <w:rPr>
          <w:b/>
        </w:rPr>
        <w:t>, asset base</w:t>
      </w:r>
    </w:p>
    <w:p w14:paraId="0A540588" w14:textId="77777777" w:rsidR="004B4FDF" w:rsidRPr="00915BD0" w:rsidRDefault="004B4FDF" w:rsidP="004B4FDF">
      <w:pPr>
        <w:spacing w:line="240" w:lineRule="auto"/>
        <w:rPr>
          <w:rFonts w:eastAsia="Times New Roman"/>
          <w:color w:val="4D4D4D"/>
          <w:spacing w:val="6"/>
          <w:lang w:eastAsia="en-GB"/>
        </w:rPr>
      </w:pPr>
      <w:r>
        <w:rPr>
          <w:b/>
        </w:rPr>
        <w:t xml:space="preserve">1 </w:t>
      </w:r>
      <w:r w:rsidRPr="002F0B80">
        <w:rPr>
          <w:b/>
        </w:rPr>
        <w:t>INTRODUCTION</w:t>
      </w:r>
    </w:p>
    <w:p w14:paraId="5464E5E2" w14:textId="77777777" w:rsidR="004B4FDF" w:rsidRPr="0075510D" w:rsidRDefault="004B4FDF" w:rsidP="003E01F8">
      <w:pPr>
        <w:spacing w:after="0" w:line="240" w:lineRule="auto"/>
        <w:jc w:val="both"/>
        <w:rPr>
          <w:rFonts w:ascii="Times New Roman" w:hAnsi="Times New Roman"/>
          <w:color w:val="202124"/>
          <w:sz w:val="24"/>
          <w:szCs w:val="24"/>
          <w:shd w:val="clear" w:color="auto" w:fill="FFFFFF"/>
        </w:rPr>
      </w:pPr>
      <w:r w:rsidRPr="004B4FDF">
        <w:rPr>
          <w:rFonts w:ascii="Times New Roman" w:hAnsi="Times New Roman"/>
          <w:color w:val="202124"/>
          <w:sz w:val="24"/>
          <w:szCs w:val="24"/>
          <w:shd w:val="clear" w:color="auto" w:fill="FFFFFF"/>
        </w:rPr>
        <w:t>A business model is organization’s strategic plan to identify appropriate products and services to deliver, target market to cover and associated expenses with a view to making reasonable profit and operating profitability.  It is a distinct business tool that separates one organization/ bank from the others by providing a unique market share according to the business product or services involved. In our context, banking business activities with its associated products and services are our focus.</w:t>
      </w:r>
    </w:p>
    <w:p w14:paraId="3DD3E0C6" w14:textId="77777777" w:rsidR="0075510D" w:rsidRDefault="0075510D" w:rsidP="003E01F8">
      <w:pPr>
        <w:pStyle w:val="NormalWeb"/>
        <w:spacing w:after="0" w:afterAutospacing="0"/>
        <w:jc w:val="both"/>
      </w:pPr>
      <w:r>
        <w:t xml:space="preserve">Ayadi, </w:t>
      </w:r>
      <w:proofErr w:type="spellStart"/>
      <w:r>
        <w:t>Arbak</w:t>
      </w:r>
      <w:proofErr w:type="spellEnd"/>
      <w:r>
        <w:t xml:space="preserve">, and de Groen (2011), distinguished between the key banking activities and the funding strategies. They used six instruments to define the activity and funding features of a business model in banks from an asset and liability standpoint. They are; customer deposits (as % of assets), trading assets (as % of assets); loans to banks (as % of assets), tangible common </w:t>
      </w:r>
      <w:r>
        <w:lastRenderedPageBreak/>
        <w:t>equity (as % of assets), domestic activity (as % of assets), and derivative exposures (as % of assets).</w:t>
      </w:r>
      <w:r>
        <w:rPr>
          <w:vertAlign w:val="superscript"/>
        </w:rPr>
        <w:t xml:space="preserve"> </w:t>
      </w:r>
    </w:p>
    <w:p w14:paraId="0462E553" w14:textId="77777777" w:rsidR="0075510D" w:rsidRDefault="0075510D" w:rsidP="003E01F8">
      <w:pPr>
        <w:pStyle w:val="NormalWeb"/>
        <w:spacing w:after="0" w:afterAutospacing="0"/>
        <w:jc w:val="both"/>
      </w:pPr>
      <w:r>
        <w:t>The three basic categories of business models in the contemporary banking sector can be defined as retail-funded commercial banks, wholesale-funded commercial banks, and capital markets-oriented banks (</w:t>
      </w:r>
      <w:proofErr w:type="spellStart"/>
      <w:r>
        <w:t>Roengpitya</w:t>
      </w:r>
      <w:proofErr w:type="spellEnd"/>
      <w:r>
        <w:t xml:space="preserve">, </w:t>
      </w:r>
      <w:proofErr w:type="spellStart"/>
      <w:r>
        <w:t>Tarashev</w:t>
      </w:r>
      <w:proofErr w:type="spellEnd"/>
      <w:r>
        <w:t xml:space="preserve">, and </w:t>
      </w:r>
      <w:proofErr w:type="spellStart"/>
      <w:r>
        <w:t>Tsatsaronis</w:t>
      </w:r>
      <w:proofErr w:type="spellEnd"/>
      <w:r>
        <w:t xml:space="preserve">, 2014). The first two categories of bank business models differ primarily in terms of the funding mix (whether we are dealing with retail or wholesale funding), while the third business model indicates that the bank is primarily engaged in the field of trading activities.  Banks that are diversified on the asset side with a high reliance on retail deposits are classified as retail. </w:t>
      </w:r>
      <w:r w:rsidRPr="002B022A">
        <w:rPr>
          <w:rStyle w:val="Strong"/>
          <w:b w:val="0"/>
        </w:rPr>
        <w:t>Wholesale</w:t>
      </w:r>
      <w:r>
        <w:t xml:space="preserve"> banks are predominately wholesale on the asset and liability sides, while</w:t>
      </w:r>
      <w:r w:rsidRPr="002B022A">
        <w:t xml:space="preserve"> </w:t>
      </w:r>
      <w:r w:rsidRPr="002B022A">
        <w:rPr>
          <w:rStyle w:val="Strong"/>
          <w:b w:val="0"/>
        </w:rPr>
        <w:t>market-oriented</w:t>
      </w:r>
      <w:r w:rsidRPr="002B022A">
        <w:t xml:space="preserve"> </w:t>
      </w:r>
      <w:r>
        <w:t>banks are predominately investment-oriented on the asset side and display diversified funding.</w:t>
      </w:r>
    </w:p>
    <w:p w14:paraId="61044903" w14:textId="77777777" w:rsidR="004B4FDF" w:rsidRDefault="00540A57" w:rsidP="003E01F8">
      <w:pPr>
        <w:spacing w:after="0" w:line="240" w:lineRule="auto"/>
        <w:jc w:val="both"/>
        <w:rPr>
          <w:rFonts w:ascii="Times New Roman" w:hAnsi="Times New Roman"/>
          <w:color w:val="000000"/>
          <w:sz w:val="24"/>
          <w:szCs w:val="24"/>
        </w:rPr>
      </w:pPr>
      <w:r w:rsidRPr="00540A57">
        <w:rPr>
          <w:rFonts w:ascii="Times New Roman" w:hAnsi="Times New Roman"/>
          <w:spacing w:val="6"/>
          <w:sz w:val="24"/>
          <w:szCs w:val="24"/>
        </w:rPr>
        <w:t>A major feature of the traditional banking model is the use of deposits to fund the bank’s activities and asset portfolio.</w:t>
      </w:r>
      <w:r w:rsidRPr="00540A57">
        <w:rPr>
          <w:rFonts w:ascii="Times New Roman" w:hAnsi="Times New Roman"/>
          <w:sz w:val="24"/>
          <w:szCs w:val="24"/>
          <w:shd w:val="clear" w:color="auto" w:fill="FFFFFF"/>
        </w:rPr>
        <w:t xml:space="preserve"> </w:t>
      </w:r>
      <w:r w:rsidRPr="00540A57">
        <w:rPr>
          <w:rFonts w:ascii="Times New Roman" w:hAnsi="Times New Roman"/>
          <w:color w:val="000000"/>
          <w:sz w:val="24"/>
          <w:szCs w:val="24"/>
          <w:shd w:val="clear" w:color="auto" w:fill="FFFFFF"/>
        </w:rPr>
        <w:t xml:space="preserve"> Deposits constitute the main source of funds for any banking institution.  Apart from deposits, other sources of funds include capital and borrowing. Surplus economic units keep their surplus funds with a bank as deposits, primarily for three motives: safety motive, liquidity motive, and earning/speculative motive. Depending on the purpose, a deposit account may be termed a Savings Bank (SB) deposit account, a current deposit (CD) account, a fixed deposit (FD) account, or a recurring deposit (RD) account. </w:t>
      </w:r>
      <w:r w:rsidRPr="00540A57">
        <w:rPr>
          <w:rFonts w:ascii="Times New Roman" w:hAnsi="Times New Roman"/>
          <w:color w:val="000000"/>
          <w:sz w:val="24"/>
          <w:szCs w:val="24"/>
        </w:rPr>
        <w:t>It may be either in the form of a demand deposit (DD) or a term deposit (TD). Demand Deposit includes Savings Bank accounts and Current Deposit accounts, popularly known in banking parlance as CASA, while Term Deposit includes Recurring Deposit (RD) and Fixed Deposit (FD) of various flavours.</w:t>
      </w:r>
    </w:p>
    <w:p w14:paraId="7C71EA34" w14:textId="77777777" w:rsidR="00A33172" w:rsidRDefault="00A33172" w:rsidP="003E01F8">
      <w:pPr>
        <w:pStyle w:val="NormalWeb"/>
        <w:shd w:val="clear" w:color="auto" w:fill="FFFFFF"/>
        <w:spacing w:before="0" w:beforeAutospacing="0" w:after="0" w:afterAutospacing="0"/>
        <w:jc w:val="both"/>
        <w:rPr>
          <w:color w:val="000000"/>
        </w:rPr>
      </w:pPr>
      <w:r>
        <w:rPr>
          <w:color w:val="000000"/>
        </w:rPr>
        <w:t>Deposit mix refers to the combination of various types of deposits (as above) and their share in total deposits. The interest payment obligation for the current deposit account is nil, and for savings bank deposit accounts, it is very low, hence the source of low-cost funds. This underscores the importance of CASA in the deposit mix. It is a major determinant of the size of the bank's net interest margin (NIM) or net revenue from funds (NRFF). It is also an index for efficiency as it impacts the cost-to-income ratio, which is a major profitability index.</w:t>
      </w:r>
    </w:p>
    <w:p w14:paraId="3932BF3B" w14:textId="77777777" w:rsidR="00A33172" w:rsidRDefault="00A33172" w:rsidP="003E01F8">
      <w:pPr>
        <w:pStyle w:val="NormalWeb"/>
        <w:shd w:val="clear" w:color="auto" w:fill="FFFFFF"/>
        <w:spacing w:before="0" w:beforeAutospacing="0" w:after="0" w:afterAutospacing="0"/>
        <w:jc w:val="both"/>
      </w:pPr>
    </w:p>
    <w:p w14:paraId="6ADF1B77" w14:textId="77777777" w:rsidR="00A33172" w:rsidRDefault="00A33172" w:rsidP="003E01F8">
      <w:pPr>
        <w:pStyle w:val="NormalWeb"/>
        <w:shd w:val="clear" w:color="auto" w:fill="FFFFFF"/>
        <w:spacing w:before="0" w:beforeAutospacing="0" w:after="0" w:afterAutospacing="0"/>
        <w:jc w:val="both"/>
      </w:pPr>
      <w:r>
        <w:rPr>
          <w:color w:val="000000"/>
        </w:rPr>
        <w:t xml:space="preserve">It is traditionally held that current account deposits are the most volatile among other account types, while savings and term deposit accounts are the least volatile, leading to a concentration of savings/term deposit mobilisation (interest-bearing) against current account deposits (non-interest bearing). The argument is that savings and term deposits give stability to the bank’s balance sheet and therefore should be a dominant source of deposit liabilities. </w:t>
      </w:r>
      <w:r w:rsidR="00065201">
        <w:rPr>
          <w:color w:val="000000"/>
        </w:rPr>
        <w:t>This traditionally known view</w:t>
      </w:r>
      <w:r>
        <w:rPr>
          <w:color w:val="000000"/>
        </w:rPr>
        <w:t xml:space="preserve"> may have, as shown in this study, been diluted by the dynamics of business models adopted by deposit money banks.</w:t>
      </w:r>
    </w:p>
    <w:p w14:paraId="0C2D86B1" w14:textId="77777777" w:rsidR="001457D9" w:rsidRDefault="001457D9" w:rsidP="003E01F8">
      <w:pPr>
        <w:pStyle w:val="NormalWeb"/>
        <w:spacing w:after="0" w:afterAutospacing="0"/>
        <w:jc w:val="both"/>
      </w:pPr>
      <w:r>
        <w:t>Amel and Rhoades (1988) and Mehra (1996) adopted more systematic quantitative approaches to identifying and analysing bank business models. Some approaches include linking banks revenue mix with their profitability (</w:t>
      </w:r>
      <w:proofErr w:type="spellStart"/>
      <w:r>
        <w:t>Stiroh</w:t>
      </w:r>
      <w:proofErr w:type="spellEnd"/>
      <w:r>
        <w:t xml:space="preserve"> and Rumble, 2006; Kohler, 2015). Others sustain that the composition of statements of financial position gives a direct link to banks strategic choices than an income statement and composition (</w:t>
      </w:r>
      <w:proofErr w:type="spellStart"/>
      <w:r>
        <w:t>Roengpitya</w:t>
      </w:r>
      <w:proofErr w:type="spellEnd"/>
      <w:r>
        <w:t xml:space="preserve">, </w:t>
      </w:r>
      <w:proofErr w:type="spellStart"/>
      <w:r>
        <w:t>Tarashev</w:t>
      </w:r>
      <w:proofErr w:type="spellEnd"/>
      <w:r>
        <w:t xml:space="preserve">, &amp; </w:t>
      </w:r>
      <w:proofErr w:type="spellStart"/>
      <w:r>
        <w:t>Tsatsaronis</w:t>
      </w:r>
      <w:proofErr w:type="spellEnd"/>
      <w:r>
        <w:t>, 2017). The idea behind this is that bank management has control over the exposures they would want to get into, while the income statement can change over time even with an existing strategy in place.</w:t>
      </w:r>
    </w:p>
    <w:p w14:paraId="4994DB7D" w14:textId="77777777" w:rsidR="001457D9" w:rsidRDefault="001457D9" w:rsidP="003E01F8">
      <w:pPr>
        <w:pStyle w:val="NormalWeb"/>
        <w:spacing w:after="0" w:afterAutospacing="0"/>
        <w:jc w:val="both"/>
      </w:pPr>
      <w:r>
        <w:t xml:space="preserve">The objective of this study is to examine the empirical evidence of different business models that Nigerian deposit money banks operate using the five top Nigerian banks by asset base from 2005 to 2020 with a view to establishing the dominant funding requirements of the business </w:t>
      </w:r>
      <w:r>
        <w:lastRenderedPageBreak/>
        <w:t xml:space="preserve">models for each of the banks studied and bringing to bear the unsustainability of the traditional preference for time deposit accounts in the deposit structure of deposit money banks. A further review of the banks’ primary deposit characteristics is also carried out to reveal the deposit type combinations or deposit mix that make up the deposit funding requirements. It helped validate the </w:t>
      </w:r>
      <w:r w:rsidR="00F1725E">
        <w:t>traditional</w:t>
      </w:r>
      <w:r>
        <w:t xml:space="preserve"> view or otherwise. We also inquire about bank switch models and what informs the switch.</w:t>
      </w:r>
    </w:p>
    <w:p w14:paraId="6EB5242C" w14:textId="77777777" w:rsidR="00540A57" w:rsidRPr="00365BDE" w:rsidRDefault="00E0584E" w:rsidP="003E01F8">
      <w:pPr>
        <w:spacing w:after="0" w:line="240" w:lineRule="auto"/>
        <w:jc w:val="both"/>
        <w:rPr>
          <w:rFonts w:ascii="Times New Roman" w:hAnsi="Times New Roman"/>
          <w:sz w:val="24"/>
          <w:szCs w:val="24"/>
        </w:rPr>
      </w:pPr>
      <w:r w:rsidRPr="00365BDE">
        <w:rPr>
          <w:rFonts w:ascii="Times New Roman" w:hAnsi="Times New Roman"/>
          <w:sz w:val="24"/>
          <w:szCs w:val="24"/>
        </w:rPr>
        <w:t>The rest of the paper is presented in four sections. Section two reviewed the conceptual and empirical literature. The empirical strategy is discussed in the third section. We presented the analysis and discuss</w:t>
      </w:r>
      <w:r w:rsidR="000F74DC">
        <w:rPr>
          <w:rFonts w:ascii="Times New Roman" w:hAnsi="Times New Roman"/>
          <w:sz w:val="24"/>
          <w:szCs w:val="24"/>
        </w:rPr>
        <w:t>ion of the findings in Section four</w:t>
      </w:r>
      <w:r w:rsidRPr="00365BDE">
        <w:rPr>
          <w:rFonts w:ascii="Times New Roman" w:hAnsi="Times New Roman"/>
          <w:sz w:val="24"/>
          <w:szCs w:val="24"/>
        </w:rPr>
        <w:t>. The summary and conclusi</w:t>
      </w:r>
      <w:r w:rsidR="000F74DC">
        <w:rPr>
          <w:rFonts w:ascii="Times New Roman" w:hAnsi="Times New Roman"/>
          <w:sz w:val="24"/>
          <w:szCs w:val="24"/>
        </w:rPr>
        <w:t>on were carried out in Section five</w:t>
      </w:r>
      <w:r w:rsidRPr="00365BDE">
        <w:rPr>
          <w:rFonts w:ascii="Times New Roman" w:hAnsi="Times New Roman"/>
          <w:sz w:val="24"/>
          <w:szCs w:val="24"/>
        </w:rPr>
        <w:t>.</w:t>
      </w:r>
    </w:p>
    <w:p w14:paraId="36399D0D" w14:textId="77777777" w:rsidR="00365BDE" w:rsidRDefault="00365BDE" w:rsidP="003E01F8">
      <w:pPr>
        <w:pStyle w:val="NormalWeb"/>
        <w:spacing w:after="0" w:afterAutospacing="0"/>
      </w:pPr>
      <w:r>
        <w:rPr>
          <w:rStyle w:val="Strong"/>
        </w:rPr>
        <w:t xml:space="preserve">2.0 LITERATURE REVIEW </w:t>
      </w:r>
    </w:p>
    <w:p w14:paraId="5B4AD94F" w14:textId="77777777" w:rsidR="00365BDE" w:rsidRDefault="00365BDE" w:rsidP="003E01F8">
      <w:pPr>
        <w:pStyle w:val="NormalWeb"/>
        <w:spacing w:after="0" w:afterAutospacing="0"/>
      </w:pPr>
      <w:r>
        <w:rPr>
          <w:rStyle w:val="Strong"/>
        </w:rPr>
        <w:t>2.1 Conceptual Framework</w:t>
      </w:r>
    </w:p>
    <w:p w14:paraId="617F8084" w14:textId="77777777" w:rsidR="00365BDE" w:rsidRDefault="00365BDE" w:rsidP="003E01F8">
      <w:pPr>
        <w:pStyle w:val="NormalWeb"/>
        <w:spacing w:after="0" w:afterAutospacing="0"/>
      </w:pPr>
      <w:r>
        <w:rPr>
          <w:rStyle w:val="Strong"/>
        </w:rPr>
        <w:t>2.1.1 Deposit Mix and Cost of Funds</w:t>
      </w:r>
    </w:p>
    <w:p w14:paraId="73723977" w14:textId="77777777" w:rsidR="00365BDE" w:rsidRDefault="00365BDE" w:rsidP="003E01F8">
      <w:pPr>
        <w:pStyle w:val="NormalWeb"/>
        <w:spacing w:after="0" w:afterAutospacing="0"/>
        <w:jc w:val="both"/>
      </w:pPr>
      <w:r>
        <w:t> The Central Bank of Nigeria (2012) outlined the framework for determining a bank's cost of funds applicable to different types of deposit liabilities. These include the cost of interbank borrowings, deposit insurance premium payments, and the cost of sterilising funds at the central bank due to reserve requirements. The cost is usually calculated as the total interest exposure annualised, divided by average interest bearing deposits and other interest bearing borrowings, plus average non-interest bearing current account deposits. It is one of the most important input costs for financial institutions. When funds or deposits are cost-effective, they generate better returns if they are lent out as short- and long term loans (Drury, 2000; Mouck, 1997). The difference between the cost of funds and the interest charged to borrowers is known as the spread. And this is the main source of profit for financial institutions.</w:t>
      </w:r>
    </w:p>
    <w:p w14:paraId="0013918E" w14:textId="77777777" w:rsidR="008A6D74" w:rsidRPr="008A6D74" w:rsidRDefault="008A6D74" w:rsidP="003E01F8">
      <w:pPr>
        <w:spacing w:before="100" w:beforeAutospacing="1" w:after="0" w:line="240" w:lineRule="auto"/>
        <w:rPr>
          <w:rFonts w:ascii="Times New Roman" w:eastAsia="Times New Roman" w:hAnsi="Times New Roman"/>
          <w:sz w:val="24"/>
          <w:szCs w:val="24"/>
          <w:lang w:eastAsia="en-GB"/>
        </w:rPr>
      </w:pPr>
      <w:r w:rsidRPr="008A6D74">
        <w:rPr>
          <w:rFonts w:ascii="Times New Roman" w:eastAsia="Times New Roman" w:hAnsi="Times New Roman"/>
          <w:b/>
          <w:bCs/>
          <w:sz w:val="24"/>
          <w:szCs w:val="24"/>
          <w:lang w:eastAsia="en-GB"/>
        </w:rPr>
        <w:t>2.1.2 Banking Business Models</w:t>
      </w:r>
    </w:p>
    <w:p w14:paraId="09C3A9DD" w14:textId="77777777" w:rsidR="008A6D74" w:rsidRPr="008A6D74" w:rsidRDefault="008A6D74" w:rsidP="003E01F8">
      <w:pPr>
        <w:spacing w:before="100" w:beforeAutospacing="1" w:after="0" w:line="240" w:lineRule="auto"/>
        <w:jc w:val="both"/>
        <w:rPr>
          <w:rFonts w:ascii="Times New Roman" w:eastAsia="Times New Roman" w:hAnsi="Times New Roman"/>
          <w:sz w:val="24"/>
          <w:szCs w:val="24"/>
          <w:lang w:eastAsia="en-GB"/>
        </w:rPr>
      </w:pPr>
      <w:r w:rsidRPr="008A6D74">
        <w:rPr>
          <w:rFonts w:ascii="Times New Roman" w:eastAsia="Times New Roman" w:hAnsi="Times New Roman"/>
          <w:sz w:val="24"/>
          <w:szCs w:val="24"/>
          <w:lang w:eastAsia="en-GB"/>
        </w:rPr>
        <w:t>Ayadi et al. (2011) distinguished between the key banking activities (retail versus market or mixed) and the funding strategies in Europe. He used six instruments to define the activity and funding features of a business model in banks from an asset and liability standpoint. They are; </w:t>
      </w:r>
    </w:p>
    <w:p w14:paraId="32583C62" w14:textId="77777777" w:rsidR="008A6D74" w:rsidRPr="008A6D74" w:rsidRDefault="008A6D74" w:rsidP="003E01F8">
      <w:pPr>
        <w:numPr>
          <w:ilvl w:val="0"/>
          <w:numId w:val="1"/>
        </w:numPr>
        <w:spacing w:before="100" w:beforeAutospacing="1" w:after="0" w:line="240" w:lineRule="auto"/>
        <w:jc w:val="both"/>
        <w:rPr>
          <w:rFonts w:ascii="Times New Roman" w:eastAsia="Times New Roman" w:hAnsi="Times New Roman"/>
          <w:sz w:val="24"/>
          <w:szCs w:val="24"/>
          <w:lang w:eastAsia="en-GB"/>
        </w:rPr>
      </w:pPr>
      <w:r w:rsidRPr="008A6D74">
        <w:rPr>
          <w:rFonts w:ascii="Times New Roman" w:eastAsia="Times New Roman" w:hAnsi="Times New Roman"/>
          <w:sz w:val="24"/>
          <w:szCs w:val="24"/>
          <w:lang w:eastAsia="en-GB"/>
        </w:rPr>
        <w:t>Customer deposits (as % of assets). The indicator identifies the share of deposits from non-bank and private customers, e.g., households or enterprises, in the total balance sheet, indicating reliance on more traditional funding sources.</w:t>
      </w:r>
    </w:p>
    <w:p w14:paraId="7E114C77" w14:textId="77777777" w:rsidR="008A6D74" w:rsidRPr="008A6D74" w:rsidRDefault="008A6D74" w:rsidP="003E01F8">
      <w:pPr>
        <w:numPr>
          <w:ilvl w:val="0"/>
          <w:numId w:val="1"/>
        </w:numPr>
        <w:spacing w:before="100" w:beforeAutospacing="1" w:after="0" w:line="240" w:lineRule="auto"/>
        <w:jc w:val="both"/>
        <w:rPr>
          <w:rFonts w:ascii="Times New Roman" w:eastAsia="Times New Roman" w:hAnsi="Times New Roman"/>
          <w:sz w:val="24"/>
          <w:szCs w:val="24"/>
          <w:lang w:eastAsia="en-GB"/>
        </w:rPr>
      </w:pPr>
      <w:r w:rsidRPr="008A6D74">
        <w:rPr>
          <w:rFonts w:ascii="Times New Roman" w:eastAsia="Times New Roman" w:hAnsi="Times New Roman"/>
          <w:sz w:val="24"/>
          <w:szCs w:val="24"/>
          <w:lang w:eastAsia="en-GB"/>
        </w:rPr>
        <w:t> Trading assets (as % of assets). Defined as non-cash assets other than loans, a greater value would indicate the prevalence of investment activities that are prone to market and liquidity risks.</w:t>
      </w:r>
    </w:p>
    <w:p w14:paraId="78AF6930" w14:textId="77777777" w:rsidR="008A6D74" w:rsidRPr="008A6D74" w:rsidRDefault="008A6D74" w:rsidP="003E01F8">
      <w:pPr>
        <w:numPr>
          <w:ilvl w:val="0"/>
          <w:numId w:val="2"/>
        </w:numPr>
        <w:spacing w:before="100" w:beforeAutospacing="1" w:after="0" w:line="240" w:lineRule="auto"/>
        <w:jc w:val="both"/>
        <w:rPr>
          <w:rFonts w:ascii="Times New Roman" w:eastAsia="Times New Roman" w:hAnsi="Times New Roman"/>
          <w:sz w:val="24"/>
          <w:szCs w:val="24"/>
          <w:lang w:eastAsia="en-GB"/>
        </w:rPr>
      </w:pPr>
      <w:r w:rsidRPr="008A6D74">
        <w:rPr>
          <w:rFonts w:ascii="Times New Roman" w:eastAsia="Times New Roman" w:hAnsi="Times New Roman"/>
          <w:sz w:val="24"/>
          <w:szCs w:val="24"/>
          <w:lang w:eastAsia="en-GB"/>
        </w:rPr>
        <w:t>Loans to banks (as % of assets). The indicator measures the scale of wholesale and interbank activities, which proxy for exposures to risks arising from interconnectedness in the banking sector.</w:t>
      </w:r>
    </w:p>
    <w:p w14:paraId="7C634F4B" w14:textId="77777777" w:rsidR="008A6D74" w:rsidRPr="008A6D74" w:rsidRDefault="008A6D74" w:rsidP="003E01F8">
      <w:pPr>
        <w:numPr>
          <w:ilvl w:val="0"/>
          <w:numId w:val="2"/>
        </w:numPr>
        <w:spacing w:before="100" w:beforeAutospacing="1" w:after="0" w:line="240" w:lineRule="auto"/>
        <w:jc w:val="both"/>
        <w:rPr>
          <w:rFonts w:ascii="Times New Roman" w:eastAsia="Times New Roman" w:hAnsi="Times New Roman"/>
          <w:sz w:val="24"/>
          <w:szCs w:val="24"/>
          <w:lang w:eastAsia="en-GB"/>
        </w:rPr>
      </w:pPr>
      <w:r w:rsidRPr="008A6D74">
        <w:rPr>
          <w:rFonts w:ascii="Times New Roman" w:eastAsia="Times New Roman" w:hAnsi="Times New Roman"/>
          <w:sz w:val="24"/>
          <w:szCs w:val="24"/>
          <w:lang w:eastAsia="en-GB"/>
        </w:rPr>
        <w:t>Total derivative exposures (as % of assets). This measure aggregates all the positive and negative derivative exposures of a bank, which are often identified as one of the key (and most risky) financial exposures of banks with heavy investment and trading activities.</w:t>
      </w:r>
    </w:p>
    <w:p w14:paraId="08E5F001" w14:textId="77777777" w:rsidR="008A6D74" w:rsidRPr="008A6D74" w:rsidRDefault="008A6D74" w:rsidP="003E01F8">
      <w:pPr>
        <w:numPr>
          <w:ilvl w:val="0"/>
          <w:numId w:val="2"/>
        </w:numPr>
        <w:spacing w:before="100" w:beforeAutospacing="1" w:after="0" w:line="240" w:lineRule="auto"/>
        <w:jc w:val="both"/>
        <w:rPr>
          <w:rFonts w:ascii="Times New Roman" w:eastAsia="Times New Roman" w:hAnsi="Times New Roman"/>
          <w:sz w:val="24"/>
          <w:szCs w:val="24"/>
          <w:lang w:eastAsia="en-GB"/>
        </w:rPr>
      </w:pPr>
      <w:r w:rsidRPr="008A6D74">
        <w:rPr>
          <w:rFonts w:ascii="Times New Roman" w:eastAsia="Times New Roman" w:hAnsi="Times New Roman"/>
          <w:sz w:val="24"/>
          <w:szCs w:val="24"/>
          <w:lang w:eastAsia="en-GB"/>
        </w:rPr>
        <w:lastRenderedPageBreak/>
        <w:t>Tangible common equity (as % of assets). The indicator focuses on the most loss-absorbing parts of a bank’s capital structure, providing an insight into the bank’s risk attitudes and its leverage.</w:t>
      </w:r>
    </w:p>
    <w:p w14:paraId="7834FE4C" w14:textId="77777777" w:rsidR="008A6D74" w:rsidRPr="008A6D74" w:rsidRDefault="008A6D74" w:rsidP="003E01F8">
      <w:pPr>
        <w:numPr>
          <w:ilvl w:val="0"/>
          <w:numId w:val="2"/>
        </w:numPr>
        <w:spacing w:before="100" w:beforeAutospacing="1" w:after="0" w:line="240" w:lineRule="auto"/>
        <w:jc w:val="both"/>
        <w:rPr>
          <w:rFonts w:ascii="Times New Roman" w:eastAsia="Times New Roman" w:hAnsi="Times New Roman"/>
          <w:sz w:val="24"/>
          <w:szCs w:val="24"/>
          <w:lang w:eastAsia="en-GB"/>
        </w:rPr>
      </w:pPr>
      <w:r w:rsidRPr="008A6D74">
        <w:rPr>
          <w:rFonts w:ascii="Times New Roman" w:eastAsia="Times New Roman" w:hAnsi="Times New Roman"/>
          <w:sz w:val="24"/>
          <w:szCs w:val="24"/>
          <w:lang w:eastAsia="en-GB"/>
        </w:rPr>
        <w:t>Domestic activity (as % of assets). While banks that are more domestically-oriented are likely to face fewer cross-border risks, they may also face more concentration risks. </w:t>
      </w:r>
    </w:p>
    <w:p w14:paraId="240CA2B2" w14:textId="77777777" w:rsidR="005F630F" w:rsidRDefault="005F630F" w:rsidP="003E01F8">
      <w:pPr>
        <w:pStyle w:val="NormalWeb"/>
        <w:spacing w:after="0" w:afterAutospacing="0"/>
        <w:jc w:val="both"/>
      </w:pPr>
      <w:r>
        <w:t>The three basic categories of business models in the contemporary banking sector can be defined as retail-funded commercial banks; wholesale-funded commercial banks, and capital markets-oriented banks (</w:t>
      </w:r>
      <w:proofErr w:type="spellStart"/>
      <w:r>
        <w:t>Roengpitya</w:t>
      </w:r>
      <w:proofErr w:type="spellEnd"/>
      <w:r>
        <w:t xml:space="preserve">, </w:t>
      </w:r>
      <w:proofErr w:type="spellStart"/>
      <w:r>
        <w:t>Tarashev</w:t>
      </w:r>
      <w:proofErr w:type="spellEnd"/>
      <w:r>
        <w:t xml:space="preserve">, and </w:t>
      </w:r>
      <w:proofErr w:type="spellStart"/>
      <w:r>
        <w:t>Tsatsaronis</w:t>
      </w:r>
      <w:proofErr w:type="spellEnd"/>
      <w:r>
        <w:t>, 2014). Banks that are diversified on the asset side with a high reliance on retail deposits are classified as retail.</w:t>
      </w:r>
      <w:r w:rsidRPr="005F630F">
        <w:t xml:space="preserve"> </w:t>
      </w:r>
      <w:r w:rsidRPr="005F630F">
        <w:rPr>
          <w:rStyle w:val="Strong"/>
          <w:b w:val="0"/>
        </w:rPr>
        <w:t>Wholesale</w:t>
      </w:r>
      <w:r>
        <w:t xml:space="preserve"> banks are predominately wholesale on the asset and liability sides, while</w:t>
      </w:r>
      <w:r w:rsidRPr="005F630F">
        <w:t xml:space="preserve"> </w:t>
      </w:r>
      <w:r w:rsidRPr="005F630F">
        <w:rPr>
          <w:rStyle w:val="Strong"/>
          <w:b w:val="0"/>
        </w:rPr>
        <w:t>market-oriented</w:t>
      </w:r>
      <w:r w:rsidRPr="005F630F">
        <w:t xml:space="preserve"> </w:t>
      </w:r>
      <w:r>
        <w:t>banks are predominately investment-oriented on the asset side and display diversified funding.</w:t>
      </w:r>
    </w:p>
    <w:p w14:paraId="13CA4E86" w14:textId="77777777" w:rsidR="00345142" w:rsidRDefault="00345142" w:rsidP="003E01F8">
      <w:pPr>
        <w:pStyle w:val="NormalWeb"/>
        <w:spacing w:after="0" w:afterAutospacing="0"/>
      </w:pPr>
      <w:r>
        <w:rPr>
          <w:rStyle w:val="Strong"/>
        </w:rPr>
        <w:t>2.2 Empirical Review</w:t>
      </w:r>
    </w:p>
    <w:p w14:paraId="53332593" w14:textId="77777777" w:rsidR="00345142" w:rsidRDefault="00345142" w:rsidP="003E01F8">
      <w:pPr>
        <w:pStyle w:val="NormalWeb"/>
        <w:spacing w:after="0" w:afterAutospacing="0"/>
      </w:pPr>
      <w:r>
        <w:rPr>
          <w:rStyle w:val="Strong"/>
        </w:rPr>
        <w:t>2.2.1 Deposit Mix and Profitability</w:t>
      </w:r>
    </w:p>
    <w:p w14:paraId="6C354966" w14:textId="77777777" w:rsidR="00345142" w:rsidRDefault="00345142" w:rsidP="003E01F8">
      <w:pPr>
        <w:pStyle w:val="NormalWeb"/>
        <w:spacing w:after="0" w:afterAutospacing="0"/>
        <w:jc w:val="both"/>
      </w:pPr>
      <w:proofErr w:type="spellStart"/>
      <w:r>
        <w:t>Bodla</w:t>
      </w:r>
      <w:proofErr w:type="spellEnd"/>
      <w:r>
        <w:t xml:space="preserve"> &amp; Verma (2006) examined the impact of a few banking variables on profitability in public sector banks in India. They deployed a step-wise multivariate regression model on temporal data from 1991–1992 to 2003–04. The study found that the explanatory power of some variables, like spread, net interest margin, provision and contingencies, and operating expenses, is significantly high, while others, like business per employee, credit deposit ratio, and non-performing assets as a percentage of net advances, have low explanatory power. The study concludes that variables such as provision and contingencies, net interest margin, spread, and operating expenses have a significant relationship with net profit and therefore are major areas of concern in public sector banks in India.</w:t>
      </w:r>
    </w:p>
    <w:p w14:paraId="534DB574" w14:textId="77777777" w:rsidR="00365BDE" w:rsidRDefault="00DB43DE" w:rsidP="003E01F8">
      <w:pPr>
        <w:spacing w:after="0" w:line="240" w:lineRule="auto"/>
        <w:jc w:val="both"/>
        <w:rPr>
          <w:rFonts w:ascii="Times New Roman" w:hAnsi="Times New Roman"/>
          <w:sz w:val="24"/>
          <w:szCs w:val="24"/>
        </w:rPr>
      </w:pPr>
      <w:proofErr w:type="spellStart"/>
      <w:r w:rsidRPr="00DB43DE">
        <w:rPr>
          <w:rFonts w:ascii="Times New Roman" w:hAnsi="Times New Roman"/>
          <w:sz w:val="24"/>
          <w:szCs w:val="24"/>
        </w:rPr>
        <w:t>Shollapur</w:t>
      </w:r>
      <w:proofErr w:type="spellEnd"/>
      <w:r w:rsidRPr="00DB43DE">
        <w:rPr>
          <w:rFonts w:ascii="Times New Roman" w:hAnsi="Times New Roman"/>
          <w:sz w:val="24"/>
          <w:szCs w:val="24"/>
        </w:rPr>
        <w:t xml:space="preserve"> &amp; </w:t>
      </w:r>
      <w:proofErr w:type="spellStart"/>
      <w:r w:rsidRPr="00DB43DE">
        <w:rPr>
          <w:rFonts w:ascii="Times New Roman" w:hAnsi="Times New Roman"/>
          <w:sz w:val="24"/>
          <w:szCs w:val="24"/>
        </w:rPr>
        <w:t>Bangati</w:t>
      </w:r>
      <w:proofErr w:type="spellEnd"/>
      <w:r w:rsidRPr="00DB43DE">
        <w:rPr>
          <w:rFonts w:ascii="Times New Roman" w:hAnsi="Times New Roman"/>
          <w:sz w:val="24"/>
          <w:szCs w:val="24"/>
        </w:rPr>
        <w:t xml:space="preserve"> (2010) examined the profitability of fund management at the selected Indian banks with the help of cost-benefit analysis and observed that efficient fund management involves raising the proper mix of funds and their applications to generate maximum spread. The study revealed that the overall cost of funds, comprised of the cost of deposits and the cost of borrowings, has maintained a decreasing trend, which reflects smart handling of the source of funds. However, return on application of funds also exhibited declining trends, resulting in a declining spread.</w:t>
      </w:r>
    </w:p>
    <w:p w14:paraId="67371674" w14:textId="77777777" w:rsidR="00721F9B" w:rsidRDefault="00721F9B" w:rsidP="003E01F8">
      <w:pPr>
        <w:spacing w:after="0" w:line="240" w:lineRule="auto"/>
        <w:jc w:val="both"/>
        <w:rPr>
          <w:rFonts w:ascii="Times New Roman" w:hAnsi="Times New Roman"/>
          <w:sz w:val="24"/>
          <w:szCs w:val="24"/>
        </w:rPr>
      </w:pPr>
      <w:r w:rsidRPr="00721F9B">
        <w:rPr>
          <w:rFonts w:ascii="Times New Roman" w:hAnsi="Times New Roman"/>
          <w:sz w:val="24"/>
          <w:szCs w:val="24"/>
        </w:rPr>
        <w:t>Venkatesan (2012) tried to evaluate empirically the trend and growth in deposit mobilisation by banks in Tamil Nadu from 2000 to 2009. For the purpose of the study, deposits have been classified as current account deposits, savings bank accounts, and term deposits. Time series data collected from the Reserve Bank of India Bulletin was analysed with the help of descriptive statistics and simple regression analysis. The compound growth rate and linear growth rate were also used to arrive at the definite conclusion that there was a significant growth in the mobilisation of all types of deposits.</w:t>
      </w:r>
    </w:p>
    <w:p w14:paraId="47654EE2" w14:textId="77777777" w:rsidR="00B64AD6" w:rsidRDefault="00B64AD6" w:rsidP="003E01F8">
      <w:pPr>
        <w:spacing w:after="0" w:line="240" w:lineRule="auto"/>
        <w:jc w:val="both"/>
        <w:rPr>
          <w:rFonts w:ascii="Times New Roman" w:hAnsi="Times New Roman"/>
          <w:sz w:val="24"/>
          <w:szCs w:val="24"/>
        </w:rPr>
      </w:pPr>
      <w:r>
        <w:rPr>
          <w:rFonts w:ascii="Times New Roman" w:hAnsi="Times New Roman"/>
          <w:sz w:val="24"/>
          <w:szCs w:val="24"/>
        </w:rPr>
        <w:t>Baltes and</w:t>
      </w:r>
      <w:r w:rsidRPr="00B64AD6">
        <w:rPr>
          <w:rFonts w:ascii="Times New Roman" w:hAnsi="Times New Roman"/>
          <w:sz w:val="24"/>
          <w:szCs w:val="24"/>
        </w:rPr>
        <w:t xml:space="preserve"> Cozma (2017) estimated the impact of credit, liquidity, and solvency risk on the efficiency of the operational activity of commercial banks listed on the Bucharest Stock Exchange, Romania. The findings from the results obtained by applying multiple linear regressions showed that the level of the “cost to income” indicator during 2010–2015 was significantly influenced by the capitalization level, the lending rate, and the saving rate</w:t>
      </w:r>
    </w:p>
    <w:p w14:paraId="14901FC7" w14:textId="77777777" w:rsidR="00D24426" w:rsidRDefault="00D24426" w:rsidP="003E01F8">
      <w:pPr>
        <w:spacing w:after="0" w:line="240" w:lineRule="auto"/>
        <w:jc w:val="both"/>
        <w:rPr>
          <w:rFonts w:ascii="Times New Roman" w:hAnsi="Times New Roman"/>
          <w:sz w:val="24"/>
          <w:szCs w:val="24"/>
        </w:rPr>
      </w:pPr>
      <w:proofErr w:type="spellStart"/>
      <w:r w:rsidRPr="00D24426">
        <w:rPr>
          <w:rFonts w:ascii="Times New Roman" w:hAnsi="Times New Roman"/>
          <w:sz w:val="24"/>
          <w:szCs w:val="24"/>
        </w:rPr>
        <w:t>Hryckiewicz</w:t>
      </w:r>
      <w:proofErr w:type="spellEnd"/>
      <w:r w:rsidRPr="00D24426">
        <w:rPr>
          <w:rFonts w:ascii="Times New Roman" w:hAnsi="Times New Roman"/>
          <w:sz w:val="24"/>
          <w:szCs w:val="24"/>
        </w:rPr>
        <w:t xml:space="preserve"> and Kozłowski (2017) analysed the heterogeneity between various business models among systemically important banks in 65 countries over the period of 2000–2012. For the first time, they identified true banking strategies consisting of different combinations of bank assets and funding sources and assessed their impact on the mortgage crisis. They </w:t>
      </w:r>
      <w:r w:rsidRPr="00D24426">
        <w:rPr>
          <w:rFonts w:ascii="Times New Roman" w:hAnsi="Times New Roman"/>
          <w:sz w:val="24"/>
          <w:szCs w:val="24"/>
        </w:rPr>
        <w:lastRenderedPageBreak/>
        <w:t>estimated how distinct strategies had affected bank profitability and risk before the crisis and what impact they had had on the mortgage crisis. Results prove that the asset structure of banks was responsible for the systemic risk before the mortgage crisis, whereas the liability structure was responsible for the crisis itself. Finally, they showed that countries with banks that rely on investment activities experienced a greater but more short-lived drop in GDP compared to countries that have a predominantly traditional banking sector</w:t>
      </w:r>
    </w:p>
    <w:p w14:paraId="781FC971" w14:textId="77777777" w:rsidR="00BB4644" w:rsidRDefault="00BB4644" w:rsidP="003E01F8">
      <w:pPr>
        <w:pStyle w:val="NormalWeb"/>
        <w:spacing w:after="0" w:afterAutospacing="0"/>
      </w:pPr>
      <w:r>
        <w:rPr>
          <w:rStyle w:val="Strong"/>
        </w:rPr>
        <w:t>2.2.2 Identification of Banking Business Models</w:t>
      </w:r>
    </w:p>
    <w:p w14:paraId="767FDE12" w14:textId="77777777" w:rsidR="00535DDB" w:rsidRDefault="00BB4644" w:rsidP="003E01F8">
      <w:pPr>
        <w:pStyle w:val="NormalWeb"/>
        <w:spacing w:after="0" w:afterAutospacing="0"/>
        <w:jc w:val="both"/>
      </w:pPr>
      <w:r>
        <w:t xml:space="preserve">The first notion of a business model was first used in the field of management studies (Zott and </w:t>
      </w:r>
      <w:proofErr w:type="spellStart"/>
      <w:r>
        <w:t>Amitt</w:t>
      </w:r>
      <w:proofErr w:type="spellEnd"/>
      <w:r>
        <w:t>, 2011). The early work in this area was done by Amel and Rhoades (1988) and Mehra (1996). Prior to this time, a business model was understood as a strategy that translates into similar income statement ratios. However, in recent times, researchers have adopted more systematic quantitative approaches to identifying and analysing bank business models. Some approaches include linking banks revenue mix with their profitability (</w:t>
      </w:r>
      <w:proofErr w:type="spellStart"/>
      <w:r>
        <w:t>Stiroh</w:t>
      </w:r>
      <w:proofErr w:type="spellEnd"/>
      <w:r>
        <w:t xml:space="preserve"> and Rumble, 2006; Kohler, 2015).</w:t>
      </w:r>
    </w:p>
    <w:p w14:paraId="227759A5" w14:textId="77777777" w:rsidR="00BB4644" w:rsidRDefault="00BB4644" w:rsidP="003E01F8">
      <w:pPr>
        <w:pStyle w:val="NormalWeb"/>
        <w:spacing w:after="0" w:afterAutospacing="0"/>
        <w:jc w:val="both"/>
      </w:pPr>
      <w:r>
        <w:t xml:space="preserve"> </w:t>
      </w:r>
      <w:proofErr w:type="spellStart"/>
      <w:r w:rsidR="00535DDB">
        <w:t>Roengpitya</w:t>
      </w:r>
      <w:proofErr w:type="spellEnd"/>
      <w:r w:rsidR="00535DDB">
        <w:t xml:space="preserve">, </w:t>
      </w:r>
      <w:proofErr w:type="spellStart"/>
      <w:r w:rsidR="00535DDB">
        <w:t>Tarashev</w:t>
      </w:r>
      <w:proofErr w:type="spellEnd"/>
      <w:r w:rsidR="00535DDB">
        <w:t xml:space="preserve">, &amp; </w:t>
      </w:r>
      <w:proofErr w:type="spellStart"/>
      <w:r w:rsidR="00535DDB">
        <w:t>Tsatsaronis</w:t>
      </w:r>
      <w:proofErr w:type="spellEnd"/>
      <w:r w:rsidR="00535DDB">
        <w:t xml:space="preserve"> (2017) argued</w:t>
      </w:r>
      <w:r>
        <w:t xml:space="preserve"> that the composition of statements of financial position gives a direct link to banks” strategic choices than an income statement and </w:t>
      </w:r>
      <w:r w:rsidR="0090114D">
        <w:t>composition The</w:t>
      </w:r>
      <w:r>
        <w:t xml:space="preserve"> idea behind this is that bank management has control over the exposures they would want to get into, while the income statement can change over time even with </w:t>
      </w:r>
      <w:r w:rsidR="003A596B">
        <w:t>an existing strategy in place.  A</w:t>
      </w:r>
      <w:r>
        <w:t>gree</w:t>
      </w:r>
      <w:r w:rsidR="003A596B">
        <w:t>ably, and</w:t>
      </w:r>
      <w:r>
        <w:t xml:space="preserve"> most of the time,</w:t>
      </w:r>
      <w:r w:rsidR="001B4163">
        <w:t> revenue</w:t>
      </w:r>
      <w:r>
        <w:t xml:space="preserve"> and profit outcomes are consistent with the statement of financial position over time, but year-to-year variability will reflect factors beyond management control.</w:t>
      </w:r>
    </w:p>
    <w:p w14:paraId="57B6C138" w14:textId="77777777" w:rsidR="00BB4644" w:rsidRDefault="000206E8" w:rsidP="003E01F8">
      <w:pPr>
        <w:spacing w:after="0" w:line="240" w:lineRule="auto"/>
        <w:jc w:val="both"/>
        <w:rPr>
          <w:rFonts w:ascii="Times New Roman" w:hAnsi="Times New Roman"/>
          <w:sz w:val="24"/>
          <w:szCs w:val="24"/>
        </w:rPr>
      </w:pPr>
      <w:r w:rsidRPr="000206E8">
        <w:rPr>
          <w:rFonts w:ascii="Times New Roman" w:hAnsi="Times New Roman"/>
          <w:sz w:val="24"/>
          <w:szCs w:val="24"/>
        </w:rPr>
        <w:t xml:space="preserve">Ayadi and de Groen (2014) focused on 173 European banks from 2006 to 2013, and </w:t>
      </w:r>
      <w:proofErr w:type="spellStart"/>
      <w:r w:rsidRPr="000206E8">
        <w:rPr>
          <w:rFonts w:ascii="Times New Roman" w:hAnsi="Times New Roman"/>
          <w:sz w:val="24"/>
          <w:szCs w:val="24"/>
        </w:rPr>
        <w:t>Farnè</w:t>
      </w:r>
      <w:proofErr w:type="spellEnd"/>
      <w:r w:rsidRPr="000206E8">
        <w:rPr>
          <w:rFonts w:ascii="Times New Roman" w:hAnsi="Times New Roman"/>
          <w:sz w:val="24"/>
          <w:szCs w:val="24"/>
        </w:rPr>
        <w:t xml:space="preserve"> and </w:t>
      </w:r>
      <w:proofErr w:type="spellStart"/>
      <w:r w:rsidRPr="000206E8">
        <w:rPr>
          <w:rFonts w:ascii="Times New Roman" w:hAnsi="Times New Roman"/>
          <w:sz w:val="24"/>
          <w:szCs w:val="24"/>
        </w:rPr>
        <w:t>Vouldis</w:t>
      </w:r>
      <w:proofErr w:type="spellEnd"/>
      <w:r w:rsidRPr="000206E8">
        <w:rPr>
          <w:rFonts w:ascii="Times New Roman" w:hAnsi="Times New Roman"/>
          <w:sz w:val="24"/>
          <w:szCs w:val="24"/>
        </w:rPr>
        <w:t xml:space="preserve"> (2017) focused on 365 euro area banks at the end of 2014. Both studies converge on four banking models. They used a dataset with a small geographical coverage and a shorter time span. They also found that business models with a stronger commercial-banking focus are more robustly identified than models with more extensive capital markets activities.</w:t>
      </w:r>
    </w:p>
    <w:p w14:paraId="191F569D" w14:textId="77777777" w:rsidR="000206E8" w:rsidRDefault="000206E8" w:rsidP="003E01F8">
      <w:pPr>
        <w:spacing w:after="0" w:line="240" w:lineRule="auto"/>
        <w:jc w:val="both"/>
        <w:rPr>
          <w:rFonts w:ascii="Times New Roman" w:hAnsi="Times New Roman"/>
          <w:sz w:val="24"/>
          <w:szCs w:val="24"/>
        </w:rPr>
      </w:pPr>
    </w:p>
    <w:p w14:paraId="624A93A2" w14:textId="77777777" w:rsidR="000206E8" w:rsidRDefault="00151F2D" w:rsidP="003E01F8">
      <w:pPr>
        <w:spacing w:after="0" w:line="240" w:lineRule="auto"/>
        <w:jc w:val="both"/>
        <w:rPr>
          <w:rFonts w:ascii="Times New Roman" w:hAnsi="Times New Roman"/>
          <w:sz w:val="24"/>
          <w:szCs w:val="24"/>
        </w:rPr>
      </w:pPr>
      <w:proofErr w:type="spellStart"/>
      <w:r>
        <w:rPr>
          <w:rFonts w:ascii="Times New Roman" w:hAnsi="Times New Roman"/>
          <w:sz w:val="24"/>
          <w:szCs w:val="24"/>
        </w:rPr>
        <w:t>Mergaerts</w:t>
      </w:r>
      <w:proofErr w:type="spellEnd"/>
      <w:r>
        <w:rPr>
          <w:rFonts w:ascii="Times New Roman" w:hAnsi="Times New Roman"/>
          <w:sz w:val="24"/>
          <w:szCs w:val="24"/>
        </w:rPr>
        <w:t xml:space="preserve"> and</w:t>
      </w:r>
      <w:r w:rsidR="003E5ECA" w:rsidRPr="003E5ECA">
        <w:rPr>
          <w:rFonts w:ascii="Times New Roman" w:hAnsi="Times New Roman"/>
          <w:sz w:val="24"/>
          <w:szCs w:val="24"/>
        </w:rPr>
        <w:t xml:space="preserve"> </w:t>
      </w:r>
      <w:proofErr w:type="spellStart"/>
      <w:r w:rsidR="003E5ECA" w:rsidRPr="003E5ECA">
        <w:rPr>
          <w:rFonts w:ascii="Times New Roman" w:hAnsi="Times New Roman"/>
          <w:sz w:val="24"/>
          <w:szCs w:val="24"/>
        </w:rPr>
        <w:t>Vennet</w:t>
      </w:r>
      <w:proofErr w:type="spellEnd"/>
      <w:r w:rsidR="003E5ECA" w:rsidRPr="003E5ECA">
        <w:rPr>
          <w:rFonts w:ascii="Times New Roman" w:hAnsi="Times New Roman"/>
          <w:sz w:val="24"/>
          <w:szCs w:val="24"/>
        </w:rPr>
        <w:t xml:space="preserve"> (2016) presented evidence that, for a period of time, variability is higher for income ratios than that of financial position ratios. Therefore, linking business models on the basis of statements of financial position ratios looks more confident and reliable because the model has a direct relationship to whatever choice the bank has made. This will remain stable over time and explains why the transition from one model to another can be attributed to managerial choice instead of other factors that are not endogenous to the system (Ayadi et al., 2011; Ayadi &amp; de Groen, 2014; and </w:t>
      </w:r>
      <w:proofErr w:type="spellStart"/>
      <w:r w:rsidR="003E5ECA" w:rsidRPr="003E5ECA">
        <w:rPr>
          <w:rFonts w:ascii="Times New Roman" w:hAnsi="Times New Roman"/>
          <w:sz w:val="24"/>
          <w:szCs w:val="24"/>
        </w:rPr>
        <w:t>Farnè</w:t>
      </w:r>
      <w:proofErr w:type="spellEnd"/>
      <w:r w:rsidR="003E5ECA" w:rsidRPr="003E5ECA">
        <w:rPr>
          <w:rFonts w:ascii="Times New Roman" w:hAnsi="Times New Roman"/>
          <w:sz w:val="24"/>
          <w:szCs w:val="24"/>
        </w:rPr>
        <w:t xml:space="preserve"> and </w:t>
      </w:r>
      <w:proofErr w:type="spellStart"/>
      <w:r w:rsidR="003E5ECA" w:rsidRPr="003E5ECA">
        <w:rPr>
          <w:rFonts w:ascii="Times New Roman" w:hAnsi="Times New Roman"/>
          <w:sz w:val="24"/>
          <w:szCs w:val="24"/>
        </w:rPr>
        <w:t>Vouldis</w:t>
      </w:r>
      <w:proofErr w:type="spellEnd"/>
      <w:r w:rsidR="003E5ECA" w:rsidRPr="003E5ECA">
        <w:rPr>
          <w:rFonts w:ascii="Times New Roman" w:hAnsi="Times New Roman"/>
          <w:sz w:val="24"/>
          <w:szCs w:val="24"/>
        </w:rPr>
        <w:t>, 2017).</w:t>
      </w:r>
    </w:p>
    <w:p w14:paraId="620E9C72" w14:textId="77777777" w:rsidR="003217ED" w:rsidRPr="003217ED" w:rsidRDefault="003217ED" w:rsidP="003E01F8">
      <w:pPr>
        <w:spacing w:after="0" w:line="240" w:lineRule="auto"/>
        <w:jc w:val="both"/>
        <w:rPr>
          <w:rFonts w:ascii="Times New Roman" w:hAnsi="Times New Roman"/>
          <w:sz w:val="24"/>
          <w:szCs w:val="24"/>
        </w:rPr>
      </w:pPr>
      <w:proofErr w:type="spellStart"/>
      <w:r w:rsidRPr="003217ED">
        <w:rPr>
          <w:rFonts w:ascii="Times New Roman" w:hAnsi="Times New Roman"/>
          <w:sz w:val="24"/>
          <w:szCs w:val="24"/>
        </w:rPr>
        <w:t>Roengpitya</w:t>
      </w:r>
      <w:proofErr w:type="spellEnd"/>
      <w:r w:rsidRPr="003217ED">
        <w:rPr>
          <w:rFonts w:ascii="Times New Roman" w:hAnsi="Times New Roman"/>
          <w:sz w:val="24"/>
          <w:szCs w:val="24"/>
        </w:rPr>
        <w:t xml:space="preserve"> et al. (2017), using a panel of 178 banks for the period 2005–15, experimented with various combinations of statements of financial positions as inputs in cluster analysis to allocate distinct business models to banks. They identified a retail-funded and a wholesale-funded commercial banking model that is robust to the choice of inputs. In comparison, a model emphasising trading activities and a universal banking model were less robustly identified. Both commercial banking models exhibit lower cost-to-income ratios and a more stable return on equity than the trading model. Over the entire sample period, banks that switched into the retail-funded model saw their return on equity improve by 2.5 percentage points on average relative to non-switchers. By contrast, the relative performance of banks switching to the wholesale-funded model deteriorated by 5 percentage points on average</w:t>
      </w:r>
    </w:p>
    <w:p w14:paraId="65949F26" w14:textId="77777777" w:rsidR="00825471" w:rsidRPr="00825471" w:rsidRDefault="00825471" w:rsidP="003E01F8">
      <w:pPr>
        <w:spacing w:before="100" w:beforeAutospacing="1" w:after="0" w:line="240" w:lineRule="auto"/>
        <w:outlineLvl w:val="0"/>
        <w:rPr>
          <w:rFonts w:ascii="Times New Roman" w:eastAsia="Times New Roman" w:hAnsi="Times New Roman"/>
          <w:b/>
          <w:bCs/>
          <w:kern w:val="36"/>
          <w:sz w:val="24"/>
          <w:szCs w:val="24"/>
          <w:lang w:eastAsia="en-GB"/>
        </w:rPr>
      </w:pPr>
      <w:r w:rsidRPr="00825471">
        <w:rPr>
          <w:rFonts w:ascii="Times New Roman" w:eastAsia="Times New Roman" w:hAnsi="Times New Roman"/>
          <w:b/>
          <w:bCs/>
          <w:kern w:val="36"/>
          <w:sz w:val="24"/>
          <w:szCs w:val="24"/>
          <w:lang w:eastAsia="en-GB"/>
        </w:rPr>
        <w:t>3.0 METHODOLOGY</w:t>
      </w:r>
    </w:p>
    <w:p w14:paraId="11AA5790" w14:textId="77777777" w:rsidR="00825471" w:rsidRPr="00825471" w:rsidRDefault="00825471" w:rsidP="003E01F8">
      <w:pPr>
        <w:spacing w:before="100" w:beforeAutospacing="1" w:after="0" w:line="240" w:lineRule="auto"/>
        <w:outlineLvl w:val="0"/>
        <w:rPr>
          <w:rFonts w:ascii="Times New Roman" w:eastAsia="Times New Roman" w:hAnsi="Times New Roman"/>
          <w:b/>
          <w:bCs/>
          <w:kern w:val="36"/>
          <w:sz w:val="24"/>
          <w:szCs w:val="24"/>
          <w:lang w:eastAsia="en-GB"/>
        </w:rPr>
      </w:pPr>
      <w:r w:rsidRPr="00825471">
        <w:rPr>
          <w:rFonts w:ascii="Times New Roman" w:eastAsia="Times New Roman" w:hAnsi="Times New Roman"/>
          <w:b/>
          <w:bCs/>
          <w:kern w:val="36"/>
          <w:sz w:val="24"/>
          <w:szCs w:val="24"/>
          <w:lang w:eastAsia="en-GB"/>
        </w:rPr>
        <w:lastRenderedPageBreak/>
        <w:t>3.1 Data Collection.</w:t>
      </w:r>
    </w:p>
    <w:p w14:paraId="4EEDF239" w14:textId="77777777" w:rsidR="00825471" w:rsidRPr="00825471" w:rsidRDefault="00825471" w:rsidP="003E01F8">
      <w:pPr>
        <w:spacing w:before="100" w:beforeAutospacing="1" w:after="0" w:line="240" w:lineRule="auto"/>
        <w:jc w:val="both"/>
        <w:outlineLvl w:val="0"/>
        <w:rPr>
          <w:rFonts w:ascii="Times New Roman" w:eastAsia="Times New Roman" w:hAnsi="Times New Roman"/>
          <w:bCs/>
          <w:kern w:val="36"/>
          <w:sz w:val="24"/>
          <w:szCs w:val="24"/>
          <w:lang w:eastAsia="en-GB"/>
        </w:rPr>
      </w:pPr>
      <w:r w:rsidRPr="00825471">
        <w:rPr>
          <w:rFonts w:ascii="Times New Roman" w:eastAsia="Times New Roman" w:hAnsi="Times New Roman"/>
          <w:bCs/>
          <w:kern w:val="36"/>
          <w:sz w:val="24"/>
          <w:szCs w:val="24"/>
          <w:lang w:eastAsia="en-GB"/>
        </w:rPr>
        <w:t>Data from the top five Nigerian deposit money banks by asset base was collected from their respective annual accounts. The banks are Access Bank, Zenith Bank, United Bank for Africa, First Bank Holdings, and GT Bank. The balance sheet sizes of these chosen banks represent 50% of the entire balance sheets of deposit money banks in Nigeria as of 2020. The data collection is from 2005 to 2020. The year 2005 is chosen as it coincides with the year of bank consolidation by the Central Bank of Nigeria. Input variables for cluster analysis from the respective statements of financial positions are customer deposit/asset ratio (CDAR), trading asset ratio (TRAR), bank loan asset ratio (BLAR), tangible common equity/asset ratio (TCER), and domestic activity/asset ratio (DACTR). These are presented in Tables 7 to 11.</w:t>
      </w:r>
    </w:p>
    <w:p w14:paraId="1972566B" w14:textId="77777777" w:rsidR="001A6AC8" w:rsidRDefault="001A6AC8" w:rsidP="003E01F8">
      <w:pPr>
        <w:pStyle w:val="NormalWeb"/>
        <w:spacing w:after="0" w:afterAutospacing="0"/>
      </w:pPr>
      <w:r>
        <w:rPr>
          <w:rStyle w:val="Strong"/>
        </w:rPr>
        <w:t>3.2 Measurement of Variables</w:t>
      </w:r>
    </w:p>
    <w:p w14:paraId="5269F4F4" w14:textId="77777777" w:rsidR="001A6AC8" w:rsidRDefault="001A6AC8" w:rsidP="003E01F8">
      <w:pPr>
        <w:pStyle w:val="NormalWeb"/>
        <w:spacing w:after="0" w:afterAutospacing="0"/>
        <w:jc w:val="both"/>
      </w:pPr>
      <w:r>
        <w:rPr>
          <w:rStyle w:val="Strong"/>
        </w:rPr>
        <w:t>Customer Deposits to Assets Ratio (CDAR)</w:t>
      </w:r>
      <w:r>
        <w:t>:  These indicate the share of deposits from non-bank and private customers, e.g., households or enterprises, in the total balance sheet. This shows reliance on more traditional funding.</w:t>
      </w:r>
    </w:p>
    <w:p w14:paraId="45E70351" w14:textId="77777777" w:rsidR="001A6AC8" w:rsidRDefault="001A6AC8" w:rsidP="003E01F8">
      <w:pPr>
        <w:pStyle w:val="NormalWeb"/>
        <w:spacing w:after="0" w:afterAutospacing="0"/>
        <w:jc w:val="both"/>
      </w:pPr>
      <w:r>
        <w:rPr>
          <w:rStyle w:val="Strong"/>
        </w:rPr>
        <w:t>Trading Assets (as a percentage of Assets) Ratio (TRAR):</w:t>
      </w:r>
      <w:r>
        <w:t xml:space="preserve"> This is non-cash assets other than loans; a greater value would indicate the prevalence of investment activities that are prone to market and liquidity risks.</w:t>
      </w:r>
    </w:p>
    <w:p w14:paraId="4A7709A0" w14:textId="77777777" w:rsidR="001A6AC8" w:rsidRDefault="001A6AC8" w:rsidP="003E01F8">
      <w:pPr>
        <w:pStyle w:val="NormalWeb"/>
        <w:spacing w:after="0" w:afterAutospacing="0"/>
        <w:jc w:val="both"/>
      </w:pPr>
      <w:r>
        <w:rPr>
          <w:rStyle w:val="Strong"/>
        </w:rPr>
        <w:t xml:space="preserve">Loans to banks (as a percentage of assets) BLAR: </w:t>
      </w:r>
      <w:r w:rsidRPr="001A6AC8">
        <w:rPr>
          <w:rStyle w:val="Strong"/>
          <w:b w:val="0"/>
        </w:rPr>
        <w:t>This</w:t>
      </w:r>
      <w:r>
        <w:t> measures the scale of wholesale and interbank activities, which is a proxy for exposure to risks arising from interconnectedness in the banking sector.</w:t>
      </w:r>
    </w:p>
    <w:p w14:paraId="53B918BD" w14:textId="77777777" w:rsidR="001A6AC8" w:rsidRDefault="001A6AC8" w:rsidP="003E01F8">
      <w:pPr>
        <w:pStyle w:val="NormalWeb"/>
        <w:spacing w:after="0" w:afterAutospacing="0"/>
        <w:jc w:val="both"/>
      </w:pPr>
      <w:r>
        <w:rPr>
          <w:rStyle w:val="Strong"/>
        </w:rPr>
        <w:t xml:space="preserve">Tangible </w:t>
      </w:r>
      <w:r w:rsidR="00291137">
        <w:rPr>
          <w:rStyle w:val="Strong"/>
        </w:rPr>
        <w:t>Common Equity (as a percentage</w:t>
      </w:r>
      <w:r>
        <w:rPr>
          <w:rStyle w:val="Strong"/>
        </w:rPr>
        <w:t xml:space="preserve"> of Assets) TCER:</w:t>
      </w:r>
      <w:r>
        <w:t xml:space="preserve"> This focuses on the most loss-absorbing parts of a bank’s capital structure, providing an insight into the bank’s risk attitude and its leverage.</w:t>
      </w:r>
    </w:p>
    <w:p w14:paraId="7EF6EDC9" w14:textId="77777777" w:rsidR="001A6AC8" w:rsidRDefault="001A6AC8" w:rsidP="003E01F8">
      <w:pPr>
        <w:pStyle w:val="NormalWeb"/>
        <w:spacing w:after="0" w:afterAutospacing="0"/>
        <w:jc w:val="both"/>
      </w:pPr>
      <w:r>
        <w:rPr>
          <w:rStyle w:val="Strong"/>
        </w:rPr>
        <w:t>Domestic Activity (as a percentage of Assets) DACTR:</w:t>
      </w:r>
      <w:r>
        <w:t xml:space="preserve"> This indicates concentration risk.</w:t>
      </w:r>
    </w:p>
    <w:p w14:paraId="620D4422" w14:textId="77777777" w:rsidR="00722EAF" w:rsidRDefault="00722EAF" w:rsidP="003E01F8">
      <w:pPr>
        <w:pStyle w:val="NormalWeb"/>
        <w:spacing w:after="0" w:afterAutospacing="0"/>
      </w:pPr>
      <w:r>
        <w:rPr>
          <w:rStyle w:val="Strong"/>
        </w:rPr>
        <w:t>3.3 Operational Definitions</w:t>
      </w:r>
    </w:p>
    <w:p w14:paraId="31FBBFF8" w14:textId="77777777" w:rsidR="00722EAF" w:rsidRDefault="00722EAF" w:rsidP="003E01F8">
      <w:pPr>
        <w:pStyle w:val="NormalWeb"/>
        <w:spacing w:after="0" w:afterAutospacing="0"/>
        <w:jc w:val="both"/>
      </w:pPr>
      <w:r>
        <w:rPr>
          <w:rStyle w:val="Strong"/>
        </w:rPr>
        <w:t>Trading assets</w:t>
      </w:r>
      <w:r>
        <w:t xml:space="preserve"> are defined as total assets minus liquid assets (cash and deposits at the Central Bank of Nigeria) minus total loans minus intangible assets.</w:t>
      </w:r>
    </w:p>
    <w:p w14:paraId="22004AFD" w14:textId="77777777" w:rsidR="00722EAF" w:rsidRDefault="00722EAF" w:rsidP="003E01F8">
      <w:pPr>
        <w:pStyle w:val="NormalWeb"/>
        <w:spacing w:after="0" w:afterAutospacing="0"/>
        <w:jc w:val="both"/>
      </w:pPr>
      <w:r>
        <w:rPr>
          <w:rStyle w:val="Strong"/>
        </w:rPr>
        <w:t xml:space="preserve">Tangible common equity </w:t>
      </w:r>
      <w:r>
        <w:t>is defined as the common equity minus intangible assets (goodwill and others) minus treasury shares.</w:t>
      </w:r>
    </w:p>
    <w:p w14:paraId="004980BD" w14:textId="77777777" w:rsidR="00722EAF" w:rsidRDefault="00722EAF" w:rsidP="003E01F8">
      <w:pPr>
        <w:pStyle w:val="NormalWeb"/>
        <w:spacing w:after="0" w:afterAutospacing="0"/>
        <w:jc w:val="both"/>
      </w:pPr>
      <w:r>
        <w:rPr>
          <w:rStyle w:val="Strong"/>
        </w:rPr>
        <w:t xml:space="preserve">Common equity </w:t>
      </w:r>
      <w:r>
        <w:t>is equal to common stocks, paid up capital, and retained earnings.</w:t>
      </w:r>
    </w:p>
    <w:p w14:paraId="1EDC8850" w14:textId="77777777" w:rsidR="00722FBF" w:rsidRDefault="00722FBF" w:rsidP="003E01F8">
      <w:pPr>
        <w:pStyle w:val="NormalWeb"/>
        <w:spacing w:after="0" w:afterAutospacing="0"/>
      </w:pPr>
      <w:r>
        <w:rPr>
          <w:rStyle w:val="Strong"/>
        </w:rPr>
        <w:t>3.4 Techniques for Analysis</w:t>
      </w:r>
    </w:p>
    <w:p w14:paraId="0D661AA4" w14:textId="77777777" w:rsidR="00722FBF" w:rsidRDefault="00722FBF" w:rsidP="003E01F8">
      <w:pPr>
        <w:pStyle w:val="Heading1"/>
        <w:spacing w:after="0" w:afterAutospacing="0"/>
        <w:jc w:val="both"/>
        <w:rPr>
          <w:b w:val="0"/>
          <w:sz w:val="24"/>
          <w:szCs w:val="24"/>
        </w:rPr>
      </w:pPr>
      <w:r w:rsidRPr="00722FBF">
        <w:rPr>
          <w:b w:val="0"/>
          <w:sz w:val="24"/>
          <w:szCs w:val="24"/>
        </w:rPr>
        <w:t xml:space="preserve"> We used cluster analysis to identify various business models.  Cluster analysis is a statistical technique for assigning a set of observations (i.e., a particular bank in a particular year) into distinct clusters (i.e., business models). By definition, observations that are assigned to the same cluster share a certain degree of similarity, as measured by a set of instruments that are considered relevant. The formation of clusters ensures that they are sufficiently dissimilar among themselves, identifying different distinguishing characteristics of the observations they </w:t>
      </w:r>
      <w:r w:rsidRPr="00722FBF">
        <w:rPr>
          <w:b w:val="0"/>
          <w:sz w:val="24"/>
          <w:szCs w:val="24"/>
        </w:rPr>
        <w:lastRenderedPageBreak/>
        <w:t xml:space="preserve">represent. To create the clusters, the initial step is to determine a set of instruments to identify any similarities or distinctions. The second step, more technical in nature, is to determine the methods for measuring similarities, for partitioning the clusters, and for determining the appropriate number of clusters (i.e., the ‘stopping rule’). One of the key problems often encountered in clustering is the presence of missing values. When a particular observation has one or more missing instrument values, it has to be dropped from the cluster analysis since the similarity measures cannot be computed (Wilkinson et al., 2007; Everitt et al., 2011; </w:t>
      </w:r>
      <w:proofErr w:type="spellStart"/>
      <w:r w:rsidRPr="00722FBF">
        <w:rPr>
          <w:b w:val="0"/>
          <w:sz w:val="24"/>
          <w:szCs w:val="24"/>
        </w:rPr>
        <w:t>Calinski</w:t>
      </w:r>
      <w:proofErr w:type="spellEnd"/>
      <w:r w:rsidRPr="00722FBF">
        <w:rPr>
          <w:b w:val="0"/>
          <w:sz w:val="24"/>
          <w:szCs w:val="24"/>
        </w:rPr>
        <w:t xml:space="preserve"> &amp;. </w:t>
      </w:r>
      <w:proofErr w:type="spellStart"/>
      <w:r w:rsidRPr="00722FBF">
        <w:rPr>
          <w:b w:val="0"/>
          <w:sz w:val="24"/>
          <w:szCs w:val="24"/>
        </w:rPr>
        <w:t>Harabasz</w:t>
      </w:r>
      <w:proofErr w:type="spellEnd"/>
      <w:r w:rsidRPr="00722FBF">
        <w:rPr>
          <w:b w:val="0"/>
          <w:sz w:val="24"/>
          <w:szCs w:val="24"/>
        </w:rPr>
        <w:t xml:space="preserve">, </w:t>
      </w:r>
      <w:proofErr w:type="gramStart"/>
      <w:r w:rsidRPr="00722FBF">
        <w:rPr>
          <w:b w:val="0"/>
          <w:sz w:val="24"/>
          <w:szCs w:val="24"/>
        </w:rPr>
        <w:t>1974</w:t>
      </w:r>
      <w:r w:rsidR="0009499D">
        <w:rPr>
          <w:b w:val="0"/>
          <w:sz w:val="24"/>
          <w:szCs w:val="24"/>
        </w:rPr>
        <w:t xml:space="preserve"> </w:t>
      </w:r>
      <w:r w:rsidRPr="00722FBF">
        <w:rPr>
          <w:b w:val="0"/>
          <w:sz w:val="24"/>
          <w:szCs w:val="24"/>
        </w:rPr>
        <w:t>)</w:t>
      </w:r>
      <w:proofErr w:type="gramEnd"/>
      <w:r w:rsidRPr="00722FBF">
        <w:rPr>
          <w:b w:val="0"/>
          <w:sz w:val="24"/>
          <w:szCs w:val="24"/>
        </w:rPr>
        <w:t>.</w:t>
      </w:r>
    </w:p>
    <w:p w14:paraId="2118C292" w14:textId="77777777" w:rsidR="007931DE" w:rsidRPr="007931DE" w:rsidRDefault="007931DE" w:rsidP="003E01F8">
      <w:pPr>
        <w:pStyle w:val="Heading1"/>
        <w:spacing w:after="0" w:afterAutospacing="0"/>
        <w:rPr>
          <w:sz w:val="24"/>
          <w:szCs w:val="24"/>
        </w:rPr>
      </w:pPr>
      <w:r w:rsidRPr="007931DE">
        <w:rPr>
          <w:sz w:val="24"/>
          <w:szCs w:val="24"/>
        </w:rPr>
        <w:t>4.0   DATA ANALYSIS AND RESULTS</w:t>
      </w:r>
    </w:p>
    <w:p w14:paraId="4DED2F55" w14:textId="77777777" w:rsidR="007931DE" w:rsidRPr="007931DE" w:rsidRDefault="007931DE" w:rsidP="003E01F8">
      <w:pPr>
        <w:pStyle w:val="Heading2"/>
        <w:rPr>
          <w:color w:val="000000"/>
        </w:rPr>
      </w:pPr>
      <w:r w:rsidRPr="007931DE">
        <w:rPr>
          <w:color w:val="000000"/>
        </w:rPr>
        <w:t xml:space="preserve">4.1   Descriptive Statistics </w:t>
      </w:r>
    </w:p>
    <w:p w14:paraId="1F3DB6FC" w14:textId="77777777" w:rsidR="007931DE" w:rsidRDefault="007931DE" w:rsidP="003E01F8">
      <w:pPr>
        <w:pStyle w:val="Heading1"/>
        <w:spacing w:after="0" w:afterAutospacing="0" w:line="480" w:lineRule="auto"/>
        <w:jc w:val="both"/>
        <w:rPr>
          <w:b w:val="0"/>
          <w:sz w:val="24"/>
          <w:szCs w:val="24"/>
        </w:rPr>
      </w:pPr>
      <w:r w:rsidRPr="007931DE">
        <w:rPr>
          <w:b w:val="0"/>
          <w:sz w:val="24"/>
          <w:szCs w:val="24"/>
        </w:rPr>
        <w:t>Table 1 shows some basic statistics that describe the distributional characteristics of the pooled data. Some of these statistics are also plotted in Figures 1 and 2.</w:t>
      </w:r>
    </w:p>
    <w:p w14:paraId="1DA192A1" w14:textId="77777777" w:rsidR="007931DE" w:rsidRPr="007931DE" w:rsidRDefault="007931DE" w:rsidP="00722FBF">
      <w:pPr>
        <w:pStyle w:val="Heading1"/>
        <w:spacing w:line="480" w:lineRule="auto"/>
        <w:jc w:val="both"/>
        <w:rPr>
          <w:b w:val="0"/>
          <w:sz w:val="24"/>
          <w:szCs w:val="24"/>
        </w:rPr>
      </w:pPr>
    </w:p>
    <w:p w14:paraId="5A82DCFD" w14:textId="77777777" w:rsidR="007931DE" w:rsidRPr="000336F6" w:rsidRDefault="007931DE" w:rsidP="007931DE">
      <w:r>
        <w:tab/>
      </w:r>
    </w:p>
    <w:p w14:paraId="6964C015" w14:textId="77777777" w:rsidR="007931DE" w:rsidRPr="00771F67" w:rsidRDefault="007931DE" w:rsidP="007931DE">
      <w:pPr>
        <w:rPr>
          <w:b/>
          <w:bCs/>
        </w:rPr>
      </w:pPr>
      <w:r w:rsidRPr="00771F67">
        <w:rPr>
          <w:b/>
          <w:bCs/>
        </w:rPr>
        <w:t xml:space="preserve">Table 1: Descriptive Statistics </w:t>
      </w:r>
    </w:p>
    <w:tbl>
      <w:tblPr>
        <w:tblW w:w="0" w:type="auto"/>
        <w:tblBorders>
          <w:top w:val="single" w:sz="4" w:space="0" w:color="auto"/>
          <w:bottom w:val="single" w:sz="4" w:space="0" w:color="auto"/>
        </w:tblBorders>
        <w:tblLook w:val="04A0" w:firstRow="1" w:lastRow="0" w:firstColumn="1" w:lastColumn="0" w:noHBand="0" w:noVBand="1"/>
      </w:tblPr>
      <w:tblGrid>
        <w:gridCol w:w="1487"/>
        <w:gridCol w:w="1122"/>
        <w:gridCol w:w="1193"/>
        <w:gridCol w:w="1197"/>
        <w:gridCol w:w="1223"/>
        <w:gridCol w:w="1414"/>
        <w:gridCol w:w="1390"/>
      </w:tblGrid>
      <w:tr w:rsidR="007931DE" w:rsidRPr="00D52B01" w14:paraId="4382FC1A" w14:textId="77777777" w:rsidTr="000A303F">
        <w:tc>
          <w:tcPr>
            <w:tcW w:w="1587" w:type="dxa"/>
            <w:tcBorders>
              <w:bottom w:val="single" w:sz="4" w:space="0" w:color="auto"/>
            </w:tcBorders>
          </w:tcPr>
          <w:p w14:paraId="5929CE3A" w14:textId="77777777" w:rsidR="007931DE" w:rsidRPr="00D52B01" w:rsidRDefault="007931DE" w:rsidP="000A303F">
            <w:pPr>
              <w:rPr>
                <w:b/>
                <w:bCs/>
              </w:rPr>
            </w:pPr>
            <w:r w:rsidRPr="00D52B01">
              <w:rPr>
                <w:b/>
                <w:bCs/>
              </w:rPr>
              <w:t>Variable</w:t>
            </w:r>
          </w:p>
        </w:tc>
        <w:tc>
          <w:tcPr>
            <w:tcW w:w="1256" w:type="dxa"/>
            <w:tcBorders>
              <w:bottom w:val="single" w:sz="4" w:space="0" w:color="auto"/>
            </w:tcBorders>
          </w:tcPr>
          <w:p w14:paraId="33D976CA" w14:textId="77777777" w:rsidR="007931DE" w:rsidRPr="00D52B01" w:rsidRDefault="007931DE" w:rsidP="000A303F">
            <w:pPr>
              <w:jc w:val="center"/>
              <w:rPr>
                <w:b/>
                <w:bCs/>
              </w:rPr>
            </w:pPr>
            <w:r w:rsidRPr="00D52B01">
              <w:rPr>
                <w:b/>
                <w:bCs/>
              </w:rPr>
              <w:t>N</w:t>
            </w:r>
          </w:p>
        </w:tc>
        <w:tc>
          <w:tcPr>
            <w:tcW w:w="1286" w:type="dxa"/>
            <w:tcBorders>
              <w:bottom w:val="single" w:sz="4" w:space="0" w:color="auto"/>
            </w:tcBorders>
          </w:tcPr>
          <w:p w14:paraId="38AEF68E" w14:textId="77777777" w:rsidR="007931DE" w:rsidRPr="00D52B01" w:rsidRDefault="0042492D" w:rsidP="000A303F">
            <w:pPr>
              <w:rPr>
                <w:b/>
                <w:bCs/>
              </w:rPr>
            </w:pPr>
            <w:r>
              <w:rPr>
                <w:noProof/>
              </w:rPr>
              <w:pict w14:anchorId="716040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5pt;height:15.0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1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B2268&quot;/&gt;&lt;wsp:rsid wsp:val=&quot;00000477&quot;/&gt;&lt;wsp:rsid wsp:val=&quot;000206E8&quot;/&gt;&lt;wsp:rsid wsp:val=&quot;0004243D&quot;/&gt;&lt;wsp:rsid wsp:val=&quot;0004543F&quot;/&gt;&lt;wsp:rsid wsp:val=&quot;00046A9A&quot;/&gt;&lt;wsp:rsid wsp:val=&quot;00052F82&quot;/&gt;&lt;wsp:rsid wsp:val=&quot;00065201&quot;/&gt;&lt;wsp:rsid wsp:val=&quot;0009499D&quot;/&gt;&lt;wsp:rsid wsp:val=&quot;000F74DC&quot;/&gt;&lt;wsp:rsid wsp:val=&quot;0013731B&quot;/&gt;&lt;wsp:rsid wsp:val=&quot;001457D9&quot;/&gt;&lt;wsp:rsid wsp:val=&quot;00151F2D&quot;/&gt;&lt;wsp:rsid wsp:val=&quot;00154DC8&quot;/&gt;&lt;wsp:rsid wsp:val=&quot;001A1ECC&quot;/&gt;&lt;wsp:rsid wsp:val=&quot;001A2234&quot;/&gt;&lt;wsp:rsid wsp:val=&quot;001A235B&quot;/&gt;&lt;wsp:rsid wsp:val=&quot;001A6AC8&quot;/&gt;&lt;wsp:rsid wsp:val=&quot;001B4163&quot;/&gt;&lt;wsp:rsid wsp:val=&quot;001C0874&quot;/&gt;&lt;wsp:rsid wsp:val=&quot;00280B83&quot;/&gt;&lt;wsp:rsid wsp:val=&quot;00283B7E&quot;/&gt;&lt;wsp:rsid wsp:val=&quot;002846AF&quot;/&gt;&lt;wsp:rsid wsp:val=&quot;00291137&quot;/&gt;&lt;wsp:rsid wsp:val=&quot;002A0824&quot;/&gt;&lt;wsp:rsid wsp:val=&quot;002B022A&quot;/&gt;&lt;wsp:rsid wsp:val=&quot;00302D56&quot;/&gt;&lt;wsp:rsid wsp:val=&quot;003217ED&quot;/&gt;&lt;wsp:rsid wsp:val=&quot;00335B7C&quot;/&gt;&lt;wsp:rsid wsp:val=&quot;00341673&quot;/&gt;&lt;wsp:rsid wsp:val=&quot;00345142&quot;/&gt;&lt;wsp:rsid wsp:val=&quot;00357362&quot;/&gt;&lt;wsp:rsid wsp:val=&quot;003618DC&quot;/&gt;&lt;wsp:rsid wsp:val=&quot;00365BDE&quot;/&gt;&lt;wsp:rsid wsp:val=&quot;003671BF&quot;/&gt;&lt;wsp:rsid wsp:val=&quot;003703B4&quot;/&gt;&lt;wsp:rsid wsp:val=&quot;003A0F8E&quot;/&gt;&lt;wsp:rsid wsp:val=&quot;003A2AA3&quot;/&gt;&lt;wsp:rsid wsp:val=&quot;003A596B&quot;/&gt;&lt;wsp:rsid wsp:val=&quot;003B7FC5&quot;/&gt;&lt;wsp:rsid wsp:val=&quot;003D1D2D&quot;/&gt;&lt;wsp:rsid wsp:val=&quot;003E5ABD&quot;/&gt;&lt;wsp:rsid wsp:val=&quot;003E5ECA&quot;/&gt;&lt;wsp:rsid wsp:val=&quot;00402D30&quot;/&gt;&lt;wsp:rsid wsp:val=&quot;00413632&quot;/&gt;&lt;wsp:rsid wsp:val=&quot;004526FF&quot;/&gt;&lt;wsp:rsid wsp:val=&quot;00462FF5&quot;/&gt;&lt;wsp:rsid wsp:val=&quot;004A6443&quot;/&gt;&lt;wsp:rsid wsp:val=&quot;004A7FCF&quot;/&gt;&lt;wsp:rsid wsp:val=&quot;004B4FDF&quot;/&gt;&lt;wsp:rsid wsp:val=&quot;004D6299&quot;/&gt;&lt;wsp:rsid wsp:val=&quot;00535DDB&quot;/&gt;&lt;wsp:rsid wsp:val=&quot;00540A57&quot;/&gt;&lt;wsp:rsid wsp:val=&quot;00560179&quot;/&gt;&lt;wsp:rsid wsp:val=&quot;005D37AA&quot;/&gt;&lt;wsp:rsid wsp:val=&quot;005F630F&quot;/&gt;&lt;wsp:rsid wsp:val=&quot;00602696&quot;/&gt;&lt;wsp:rsid wsp:val=&quot;00620C5A&quot;/&gt;&lt;wsp:rsid wsp:val=&quot;0062263A&quot;/&gt;&lt;wsp:rsid wsp:val=&quot;00645FAD&quot;/&gt;&lt;wsp:rsid wsp:val=&quot;00671F73&quot;/&gt;&lt;wsp:rsid wsp:val=&quot;00680563&quot;/&gt;&lt;wsp:rsid wsp:val=&quot;006808AF&quot;/&gt;&lt;wsp:rsid wsp:val=&quot;006E5EA8&quot;/&gt;&lt;wsp:rsid wsp:val=&quot;006F36EB&quot;/&gt;&lt;wsp:rsid wsp:val=&quot;00721F9B&quot;/&gt;&lt;wsp:rsid wsp:val=&quot;007223F8&quot;/&gt;&lt;wsp:rsid wsp:val=&quot;00722EAF&quot;/&gt;&lt;wsp:rsid wsp:val=&quot;00722FBF&quot;/&gt;&lt;wsp:rsid wsp:val=&quot;0075510D&quot;/&gt;&lt;wsp:rsid wsp:val=&quot;007931DE&quot;/&gt;&lt;wsp:rsid wsp:val=&quot;007E3B25&quot;/&gt;&lt;wsp:rsid wsp:val=&quot;007F31F4&quot;/&gt;&lt;wsp:rsid wsp:val=&quot;00821892&quot;/&gt;&lt;wsp:rsid wsp:val=&quot;00825471&quot;/&gt;&lt;wsp:rsid wsp:val=&quot;00834D76&quot;/&gt;&lt;wsp:rsid wsp:val=&quot;00846096&quot;/&gt;&lt;wsp:rsid wsp:val=&quot;008566FE&quot;/&gt;&lt;wsp:rsid wsp:val=&quot;008833AE&quot;/&gt;&lt;wsp:rsid wsp:val=&quot;008A6D74&quot;/&gt;&lt;wsp:rsid wsp:val=&quot;008D30FA&quot;/&gt;&lt;wsp:rsid wsp:val=&quot;0090114D&quot;/&gt;&lt;wsp:rsid wsp:val=&quot;009718CA&quot;/&gt;&lt;wsp:rsid wsp:val=&quot;0098311F&quot;/&gt;&lt;wsp:rsid wsp:val=&quot;009C35C7&quot;/&gt;&lt;wsp:rsid wsp:val=&quot;009D6924&quot;/&gt;&lt;wsp:rsid wsp:val=&quot;00A1223B&quot;/&gt;&lt;wsp:rsid wsp:val=&quot;00A33172&quot;/&gt;&lt;wsp:rsid wsp:val=&quot;00A504CC&quot;/&gt;&lt;wsp:rsid wsp:val=&quot;00A86BF2&quot;/&gt;&lt;wsp:rsid wsp:val=&quot;00B35140&quot;/&gt;&lt;wsp:rsid wsp:val=&quot;00B42BFC&quot;/&gt;&lt;wsp:rsid wsp:val=&quot;00B6122F&quot;/&gt;&lt;wsp:rsid wsp:val=&quot;00B64AD6&quot;/&gt;&lt;wsp:rsid wsp:val=&quot;00BA0400&quot;/&gt;&lt;wsp:rsid wsp:val=&quot;00BB4644&quot;/&gt;&lt;wsp:rsid wsp:val=&quot;00C35022&quot;/&gt;&lt;wsp:rsid wsp:val=&quot;00C91CE2&quot;/&gt;&lt;wsp:rsid wsp:val=&quot;00CB0245&quot;/&gt;&lt;wsp:rsid wsp:val=&quot;00CB2268&quot;/&gt;&lt;wsp:rsid wsp:val=&quot;00D130FD&quot;/&gt;&lt;wsp:rsid wsp:val=&quot;00D24426&quot;/&gt;&lt;wsp:rsid wsp:val=&quot;00D51EDE&quot;/&gt;&lt;wsp:rsid wsp:val=&quot;00D52B01&quot;/&gt;&lt;wsp:rsid wsp:val=&quot;00D63911&quot;/&gt;&lt;wsp:rsid wsp:val=&quot;00D64CA8&quot;/&gt;&lt;wsp:rsid wsp:val=&quot;00D731F9&quot;/&gt;&lt;wsp:rsid wsp:val=&quot;00DB43DE&quot;/&gt;&lt;wsp:rsid wsp:val=&quot;00DB7EAF&quot;/&gt;&lt;wsp:rsid wsp:val=&quot;00DF1414&quot;/&gt;&lt;wsp:rsid wsp:val=&quot;00E0584E&quot;/&gt;&lt;wsp:rsid wsp:val=&quot;00E214C9&quot;/&gt;&lt;wsp:rsid wsp:val=&quot;00EC60DF&quot;/&gt;&lt;wsp:rsid wsp:val=&quot;00EE02C4&quot;/&gt;&lt;wsp:rsid wsp:val=&quot;00EF199C&quot;/&gt;&lt;wsp:rsid wsp:val=&quot;00EF3C12&quot;/&gt;&lt;wsp:rsid wsp:val=&quot;00F1725E&quot;/&gt;&lt;wsp:rsid wsp:val=&quot;00F97B55&quot;/&gt;&lt;wsp:rsid wsp:val=&quot;00FA028D&quot;/&gt;&lt;wsp:rsid wsp:val=&quot;00FA5986&quot;/&gt;&lt;wsp:rsid wsp:val=&quot;00FC71A1&quot;/&gt;&lt;wsp:rsid wsp:val=&quot;00FD0FB7&quot;/&gt;&lt;wsp:rsid wsp:val=&quot;00FD1464&quot;/&gt;&lt;/wsp:rsids&gt;&lt;/w:docPr&gt;&lt;w:body&gt;&lt;w:p wsp:rsidR=&quot;00000000&quot; wsp:rsidRDefault=&quot;00462FF5&quot;&gt;&lt;m:oMathPara&gt;&lt;m:oMath&gt;&lt;m:acc&gt;&lt;m:accPr&gt;&lt;m:chr m:val=&quot;Ì…&quot;/&gt;&lt;m:ctrlPr&gt;&lt;w:rPr&gt;&lt;w:rFonts w:ascii=&quot;Cambria Math&quot; w:fareast=&quot;Calibri&quot; w:h-ansi=&quot;Cambria Math&quot; w:cs=&quot;Times New Roman&quot;/&gt;&lt;wx:font wx:val=&quot;Cambria Math&quot;/&gt;&lt;w:b/&gt;&lt;w:b-cs/&gt;&lt;w:i/&gt;&lt;/w:rPr&gt;&lt;/m:ctrlPr&gt;&lt;/m:accPr&gt;&lt;m:e&gt;&lt;m:r&gt;&lt;m:rPr&gt;&lt;m:sty m:val=&quot;bi&quot;/&gt;&lt;/m:rPr&gt;&lt;w:rPr&gt;&lt;w:rFonts w:ascii=&quot;Cambria Math&quot; w:h-ansi=&quot;Cambria Math&quot;/&gt;&lt;wx:font wx:val=&quot;Cambria Math&quot;/&gt;&lt;w:b/&gt;&lt;w:i/&gt;&lt;/w:rPr&gt;&lt;m:t&gt;x&lt;/m:t&gt;&lt;/m:r&gt;&lt;m:ctrlPr&gt;&lt;w:rPr&gt;&lt;w:rFonts w:ascii=&quot;Cambria Math&quot; w:h-ansi=&quot;Cambria Math&quot;/&gt;&lt;wx:font wx:val=&quot;Cambria Math&quot;/&gt;&lt;w:b/&gt;&lt;w:b-cs/&gt;&lt;w:i/&gt;&lt;/w:rPr&gt;&lt;/m:ctrlP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7" o:title="" chromakey="white"/>
                </v:shape>
              </w:pict>
            </w:r>
          </w:p>
        </w:tc>
        <w:tc>
          <w:tcPr>
            <w:tcW w:w="1291" w:type="dxa"/>
            <w:tcBorders>
              <w:bottom w:val="single" w:sz="4" w:space="0" w:color="auto"/>
            </w:tcBorders>
          </w:tcPr>
          <w:p w14:paraId="2B3570E4" w14:textId="77777777" w:rsidR="007931DE" w:rsidRPr="00D52B01" w:rsidRDefault="0042492D" w:rsidP="000A303F">
            <w:pPr>
              <w:rPr>
                <w:b/>
                <w:bCs/>
              </w:rPr>
            </w:pPr>
            <w:r>
              <w:rPr>
                <w:noProof/>
              </w:rPr>
              <w:pict w14:anchorId="148CBF26">
                <v:shape id="_x0000_i1026" type="#_x0000_t75" style="width:6.9pt;height:15.0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1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B2268&quot;/&gt;&lt;wsp:rsid wsp:val=&quot;00000477&quot;/&gt;&lt;wsp:rsid wsp:val=&quot;000206E8&quot;/&gt;&lt;wsp:rsid wsp:val=&quot;0004243D&quot;/&gt;&lt;wsp:rsid wsp:val=&quot;0004543F&quot;/&gt;&lt;wsp:rsid wsp:val=&quot;00046A9A&quot;/&gt;&lt;wsp:rsid wsp:val=&quot;00052F82&quot;/&gt;&lt;wsp:rsid wsp:val=&quot;00065201&quot;/&gt;&lt;wsp:rsid wsp:val=&quot;0009499D&quot;/&gt;&lt;wsp:rsid wsp:val=&quot;000F74DC&quot;/&gt;&lt;wsp:rsid wsp:val=&quot;0013731B&quot;/&gt;&lt;wsp:rsid wsp:val=&quot;001457D9&quot;/&gt;&lt;wsp:rsid wsp:val=&quot;00151F2D&quot;/&gt;&lt;wsp:rsid wsp:val=&quot;00154DC8&quot;/&gt;&lt;wsp:rsid wsp:val=&quot;001A1ECC&quot;/&gt;&lt;wsp:rsid wsp:val=&quot;001A2234&quot;/&gt;&lt;wsp:rsid wsp:val=&quot;001A235B&quot;/&gt;&lt;wsp:rsid wsp:val=&quot;001A6AC8&quot;/&gt;&lt;wsp:rsid wsp:val=&quot;001B4163&quot;/&gt;&lt;wsp:rsid wsp:val=&quot;001C0874&quot;/&gt;&lt;wsp:rsid wsp:val=&quot;00280B83&quot;/&gt;&lt;wsp:rsid wsp:val=&quot;00283B7E&quot;/&gt;&lt;wsp:rsid wsp:val=&quot;002846AF&quot;/&gt;&lt;wsp:rsid wsp:val=&quot;00291137&quot;/&gt;&lt;wsp:rsid wsp:val=&quot;002A0824&quot;/&gt;&lt;wsp:rsid wsp:val=&quot;002B022A&quot;/&gt;&lt;wsp:rsid wsp:val=&quot;00302D56&quot;/&gt;&lt;wsp:rsid wsp:val=&quot;003217ED&quot;/&gt;&lt;wsp:rsid wsp:val=&quot;00335B7C&quot;/&gt;&lt;wsp:rsid wsp:val=&quot;00341673&quot;/&gt;&lt;wsp:rsid wsp:val=&quot;00345142&quot;/&gt;&lt;wsp:rsid wsp:val=&quot;00357362&quot;/&gt;&lt;wsp:rsid wsp:val=&quot;003618DC&quot;/&gt;&lt;wsp:rsid wsp:val=&quot;00365BDE&quot;/&gt;&lt;wsp:rsid wsp:val=&quot;003671BF&quot;/&gt;&lt;wsp:rsid wsp:val=&quot;003703B4&quot;/&gt;&lt;wsp:rsid wsp:val=&quot;003A0F8E&quot;/&gt;&lt;wsp:rsid wsp:val=&quot;003A2AA3&quot;/&gt;&lt;wsp:rsid wsp:val=&quot;003A596B&quot;/&gt;&lt;wsp:rsid wsp:val=&quot;003B7FC5&quot;/&gt;&lt;wsp:rsid wsp:val=&quot;003D1D2D&quot;/&gt;&lt;wsp:rsid wsp:val=&quot;003E5ABD&quot;/&gt;&lt;wsp:rsid wsp:val=&quot;003E5ECA&quot;/&gt;&lt;wsp:rsid wsp:val=&quot;00402D30&quot;/&gt;&lt;wsp:rsid wsp:val=&quot;00413632&quot;/&gt;&lt;wsp:rsid wsp:val=&quot;004526FF&quot;/&gt;&lt;wsp:rsid wsp:val=&quot;004A6443&quot;/&gt;&lt;wsp:rsid wsp:val=&quot;004A7FCF&quot;/&gt;&lt;wsp:rsid wsp:val=&quot;004B4FDF&quot;/&gt;&lt;wsp:rsid wsp:val=&quot;004D6299&quot;/&gt;&lt;wsp:rsid wsp:val=&quot;00535DDB&quot;/&gt;&lt;wsp:rsid wsp:val=&quot;00540A57&quot;/&gt;&lt;wsp:rsid wsp:val=&quot;00560179&quot;/&gt;&lt;wsp:rsid wsp:val=&quot;005B24FC&quot;/&gt;&lt;wsp:rsid wsp:val=&quot;005D37AA&quot;/&gt;&lt;wsp:rsid wsp:val=&quot;005F630F&quot;/&gt;&lt;wsp:rsid wsp:val=&quot;00602696&quot;/&gt;&lt;wsp:rsid wsp:val=&quot;00620C5A&quot;/&gt;&lt;wsp:rsid wsp:val=&quot;0062263A&quot;/&gt;&lt;wsp:rsid wsp:val=&quot;00645FAD&quot;/&gt;&lt;wsp:rsid wsp:val=&quot;00671F73&quot;/&gt;&lt;wsp:rsid wsp:val=&quot;00680563&quot;/&gt;&lt;wsp:rsid wsp:val=&quot;006808AF&quot;/&gt;&lt;wsp:rsid wsp:val=&quot;006E5EA8&quot;/&gt;&lt;wsp:rsid wsp:val=&quot;006F36EB&quot;/&gt;&lt;wsp:rsid wsp:val=&quot;00721F9B&quot;/&gt;&lt;wsp:rsid wsp:val=&quot;007223F8&quot;/&gt;&lt;wsp:rsid wsp:val=&quot;00722EAF&quot;/&gt;&lt;wsp:rsid wsp:val=&quot;00722FBF&quot;/&gt;&lt;wsp:rsid wsp:val=&quot;0075510D&quot;/&gt;&lt;wsp:rsid wsp:val=&quot;007931DE&quot;/&gt;&lt;wsp:rsid wsp:val=&quot;007E3B25&quot;/&gt;&lt;wsp:rsid wsp:val=&quot;007F31F4&quot;/&gt;&lt;wsp:rsid wsp:val=&quot;00821892&quot;/&gt;&lt;wsp:rsid wsp:val=&quot;00825471&quot;/&gt;&lt;wsp:rsid wsp:val=&quot;00834D76&quot;/&gt;&lt;wsp:rsid wsp:val=&quot;00846096&quot;/&gt;&lt;wsp:rsid wsp:val=&quot;008566FE&quot;/&gt;&lt;wsp:rsid wsp:val=&quot;008833AE&quot;/&gt;&lt;wsp:rsid wsp:val=&quot;008A6D74&quot;/&gt;&lt;wsp:rsid wsp:val=&quot;008D30FA&quot;/&gt;&lt;wsp:rsid wsp:val=&quot;0090114D&quot;/&gt;&lt;wsp:rsid wsp:val=&quot;009718CA&quot;/&gt;&lt;wsp:rsid wsp:val=&quot;0098311F&quot;/&gt;&lt;wsp:rsid wsp:val=&quot;009C35C7&quot;/&gt;&lt;wsp:rsid wsp:val=&quot;009D6924&quot;/&gt;&lt;wsp:rsid wsp:val=&quot;00A1223B&quot;/&gt;&lt;wsp:rsid wsp:val=&quot;00A33172&quot;/&gt;&lt;wsp:rsid wsp:val=&quot;00A504CC&quot;/&gt;&lt;wsp:rsid wsp:val=&quot;00A86BF2&quot;/&gt;&lt;wsp:rsid wsp:val=&quot;00B35140&quot;/&gt;&lt;wsp:rsid wsp:val=&quot;00B42BFC&quot;/&gt;&lt;wsp:rsid wsp:val=&quot;00B6122F&quot;/&gt;&lt;wsp:rsid wsp:val=&quot;00B64AD6&quot;/&gt;&lt;wsp:rsid wsp:val=&quot;00BA0400&quot;/&gt;&lt;wsp:rsid wsp:val=&quot;00BB4644&quot;/&gt;&lt;wsp:rsid wsp:val=&quot;00C35022&quot;/&gt;&lt;wsp:rsid wsp:val=&quot;00C91CE2&quot;/&gt;&lt;wsp:rsid wsp:val=&quot;00CB0245&quot;/&gt;&lt;wsp:rsid wsp:val=&quot;00CB2268&quot;/&gt;&lt;wsp:rsid wsp:val=&quot;00D130FD&quot;/&gt;&lt;wsp:rsid wsp:val=&quot;00D24426&quot;/&gt;&lt;wsp:rsid wsp:val=&quot;00D51EDE&quot;/&gt;&lt;wsp:rsid wsp:val=&quot;00D52B01&quot;/&gt;&lt;wsp:rsid wsp:val=&quot;00D63911&quot;/&gt;&lt;wsp:rsid wsp:val=&quot;00D64CA8&quot;/&gt;&lt;wsp:rsid wsp:val=&quot;00D731F9&quot;/&gt;&lt;wsp:rsid wsp:val=&quot;00DB43DE&quot;/&gt;&lt;wsp:rsid wsp:val=&quot;00DB7EAF&quot;/&gt;&lt;wsp:rsid wsp:val=&quot;00DF1414&quot;/&gt;&lt;wsp:rsid wsp:val=&quot;00E0584E&quot;/&gt;&lt;wsp:rsid wsp:val=&quot;00E214C9&quot;/&gt;&lt;wsp:rsid wsp:val=&quot;00EC60DF&quot;/&gt;&lt;wsp:rsid wsp:val=&quot;00EE02C4&quot;/&gt;&lt;wsp:rsid wsp:val=&quot;00EF199C&quot;/&gt;&lt;wsp:rsid wsp:val=&quot;00EF3C12&quot;/&gt;&lt;wsp:rsid wsp:val=&quot;00F1725E&quot;/&gt;&lt;wsp:rsid wsp:val=&quot;00F97B55&quot;/&gt;&lt;wsp:rsid wsp:val=&quot;00FA028D&quot;/&gt;&lt;wsp:rsid wsp:val=&quot;00FA5986&quot;/&gt;&lt;wsp:rsid wsp:val=&quot;00FC71A1&quot;/&gt;&lt;wsp:rsid wsp:val=&quot;00FD0FB7&quot;/&gt;&lt;wsp:rsid wsp:val=&quot;00FD1464&quot;/&gt;&lt;/wsp:rsids&gt;&lt;/w:docPr&gt;&lt;w:body&gt;&lt;w:p wsp:rsidR=&quot;00000000&quot; wsp:rsidRDefault=&quot;005B24FC&quot;&gt;&lt;m:oMathPara&gt;&lt;m:oMath&gt;&lt;m:r&gt;&lt;m:rPr&gt;&lt;m:sty m:val=&quot;bi&quot;/&gt;&lt;/m:rPr&gt;&lt;w:rPr&gt;&lt;w:rFonts w:ascii=&quot;Cambria Math&quot; w:fareast=&quot;Calibri&quot; w:h-ansi=&quot;Cambria Math&quot; w:cs=&quot;Times New Roman&quot;/&gt;&lt;wx:font wx:val=&quot;Cambria Math&quot;/&gt;&lt;w:b/&gt;&lt;w:i/&gt;&lt;/w:rPr&gt;&lt;m:t&gt;Ïƒ&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8" o:title="" chromakey="white"/>
                </v:shape>
              </w:pict>
            </w:r>
          </w:p>
        </w:tc>
        <w:tc>
          <w:tcPr>
            <w:tcW w:w="1300" w:type="dxa"/>
            <w:tcBorders>
              <w:bottom w:val="single" w:sz="4" w:space="0" w:color="auto"/>
            </w:tcBorders>
          </w:tcPr>
          <w:p w14:paraId="3C38A35C" w14:textId="77777777" w:rsidR="007931DE" w:rsidRPr="00D52B01" w:rsidRDefault="0042492D" w:rsidP="000A303F">
            <w:pPr>
              <w:rPr>
                <w:b/>
                <w:bCs/>
              </w:rPr>
            </w:pPr>
            <w:r>
              <w:rPr>
                <w:noProof/>
              </w:rPr>
              <w:pict w14:anchorId="768DD2C4">
                <v:shape id="_x0000_i1027" type="#_x0000_t75" style="width:14.4pt;height:15.0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1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B2268&quot;/&gt;&lt;wsp:rsid wsp:val=&quot;00000477&quot;/&gt;&lt;wsp:rsid wsp:val=&quot;000206E8&quot;/&gt;&lt;wsp:rsid wsp:val=&quot;0004243D&quot;/&gt;&lt;wsp:rsid wsp:val=&quot;0004543F&quot;/&gt;&lt;wsp:rsid wsp:val=&quot;00046A9A&quot;/&gt;&lt;wsp:rsid wsp:val=&quot;00052F82&quot;/&gt;&lt;wsp:rsid wsp:val=&quot;00065201&quot;/&gt;&lt;wsp:rsid wsp:val=&quot;0009499D&quot;/&gt;&lt;wsp:rsid wsp:val=&quot;000F74DC&quot;/&gt;&lt;wsp:rsid wsp:val=&quot;0013731B&quot;/&gt;&lt;wsp:rsid wsp:val=&quot;001457D9&quot;/&gt;&lt;wsp:rsid wsp:val=&quot;00151F2D&quot;/&gt;&lt;wsp:rsid wsp:val=&quot;00154DC8&quot;/&gt;&lt;wsp:rsid wsp:val=&quot;001A1ECC&quot;/&gt;&lt;wsp:rsid wsp:val=&quot;001A2234&quot;/&gt;&lt;wsp:rsid wsp:val=&quot;001A235B&quot;/&gt;&lt;wsp:rsid wsp:val=&quot;001A6AC8&quot;/&gt;&lt;wsp:rsid wsp:val=&quot;001B4163&quot;/&gt;&lt;wsp:rsid wsp:val=&quot;001C0874&quot;/&gt;&lt;wsp:rsid wsp:val=&quot;00280B83&quot;/&gt;&lt;wsp:rsid wsp:val=&quot;00283B7E&quot;/&gt;&lt;wsp:rsid wsp:val=&quot;002846AF&quot;/&gt;&lt;wsp:rsid wsp:val=&quot;00291137&quot;/&gt;&lt;wsp:rsid wsp:val=&quot;002A0824&quot;/&gt;&lt;wsp:rsid wsp:val=&quot;002B022A&quot;/&gt;&lt;wsp:rsid wsp:val=&quot;00302D56&quot;/&gt;&lt;wsp:rsid wsp:val=&quot;003217ED&quot;/&gt;&lt;wsp:rsid wsp:val=&quot;00335B7C&quot;/&gt;&lt;wsp:rsid wsp:val=&quot;00341673&quot;/&gt;&lt;wsp:rsid wsp:val=&quot;00345142&quot;/&gt;&lt;wsp:rsid wsp:val=&quot;00357362&quot;/&gt;&lt;wsp:rsid wsp:val=&quot;003618DC&quot;/&gt;&lt;wsp:rsid wsp:val=&quot;00365BDE&quot;/&gt;&lt;wsp:rsid wsp:val=&quot;003671BF&quot;/&gt;&lt;wsp:rsid wsp:val=&quot;003703B4&quot;/&gt;&lt;wsp:rsid wsp:val=&quot;003A0F8E&quot;/&gt;&lt;wsp:rsid wsp:val=&quot;003A2AA3&quot;/&gt;&lt;wsp:rsid wsp:val=&quot;003A596B&quot;/&gt;&lt;wsp:rsid wsp:val=&quot;003B7FC5&quot;/&gt;&lt;wsp:rsid wsp:val=&quot;003D1D2D&quot;/&gt;&lt;wsp:rsid wsp:val=&quot;003E5ABD&quot;/&gt;&lt;wsp:rsid wsp:val=&quot;003E5ECA&quot;/&gt;&lt;wsp:rsid wsp:val=&quot;00402D30&quot;/&gt;&lt;wsp:rsid wsp:val=&quot;00413632&quot;/&gt;&lt;wsp:rsid wsp:val=&quot;004526FF&quot;/&gt;&lt;wsp:rsid wsp:val=&quot;004A6443&quot;/&gt;&lt;wsp:rsid wsp:val=&quot;004A7FCF&quot;/&gt;&lt;wsp:rsid wsp:val=&quot;004B4FDF&quot;/&gt;&lt;wsp:rsid wsp:val=&quot;004D6299&quot;/&gt;&lt;wsp:rsid wsp:val=&quot;00535DDB&quot;/&gt;&lt;wsp:rsid wsp:val=&quot;00540A57&quot;/&gt;&lt;wsp:rsid wsp:val=&quot;00560179&quot;/&gt;&lt;wsp:rsid wsp:val=&quot;005D37AA&quot;/&gt;&lt;wsp:rsid wsp:val=&quot;005F630F&quot;/&gt;&lt;wsp:rsid wsp:val=&quot;00602696&quot;/&gt;&lt;wsp:rsid wsp:val=&quot;00620C5A&quot;/&gt;&lt;wsp:rsid wsp:val=&quot;0062263A&quot;/&gt;&lt;wsp:rsid wsp:val=&quot;00645FAD&quot;/&gt;&lt;wsp:rsid wsp:val=&quot;00671F73&quot;/&gt;&lt;wsp:rsid wsp:val=&quot;00680563&quot;/&gt;&lt;wsp:rsid wsp:val=&quot;006808AF&quot;/&gt;&lt;wsp:rsid wsp:val=&quot;006E5EA8&quot;/&gt;&lt;wsp:rsid wsp:val=&quot;006F36EB&quot;/&gt;&lt;wsp:rsid wsp:val=&quot;00721F9B&quot;/&gt;&lt;wsp:rsid wsp:val=&quot;007223F8&quot;/&gt;&lt;wsp:rsid wsp:val=&quot;00722EAF&quot;/&gt;&lt;wsp:rsid wsp:val=&quot;00722FBF&quot;/&gt;&lt;wsp:rsid wsp:val=&quot;0075510D&quot;/&gt;&lt;wsp:rsid wsp:val=&quot;007931DE&quot;/&gt;&lt;wsp:rsid wsp:val=&quot;007E3B25&quot;/&gt;&lt;wsp:rsid wsp:val=&quot;007F31F4&quot;/&gt;&lt;wsp:rsid wsp:val=&quot;00821892&quot;/&gt;&lt;wsp:rsid wsp:val=&quot;00825471&quot;/&gt;&lt;wsp:rsid wsp:val=&quot;00834D76&quot;/&gt;&lt;wsp:rsid wsp:val=&quot;00846096&quot;/&gt;&lt;wsp:rsid wsp:val=&quot;008566FE&quot;/&gt;&lt;wsp:rsid wsp:val=&quot;008833AE&quot;/&gt;&lt;wsp:rsid wsp:val=&quot;008A6D74&quot;/&gt;&lt;wsp:rsid wsp:val=&quot;008D30FA&quot;/&gt;&lt;wsp:rsid wsp:val=&quot;0090114D&quot;/&gt;&lt;wsp:rsid wsp:val=&quot;009718CA&quot;/&gt;&lt;wsp:rsid wsp:val=&quot;0098311F&quot;/&gt;&lt;wsp:rsid wsp:val=&quot;009C35C7&quot;/&gt;&lt;wsp:rsid wsp:val=&quot;009D6924&quot;/&gt;&lt;wsp:rsid wsp:val=&quot;00A1223B&quot;/&gt;&lt;wsp:rsid wsp:val=&quot;00A33172&quot;/&gt;&lt;wsp:rsid wsp:val=&quot;00A504CC&quot;/&gt;&lt;wsp:rsid wsp:val=&quot;00A86BF2&quot;/&gt;&lt;wsp:rsid wsp:val=&quot;00B35140&quot;/&gt;&lt;wsp:rsid wsp:val=&quot;00B42BFC&quot;/&gt;&lt;wsp:rsid wsp:val=&quot;00B6122F&quot;/&gt;&lt;wsp:rsid wsp:val=&quot;00B64AD6&quot;/&gt;&lt;wsp:rsid wsp:val=&quot;00BA0400&quot;/&gt;&lt;wsp:rsid wsp:val=&quot;00BB4644&quot;/&gt;&lt;wsp:rsid wsp:val=&quot;00C35022&quot;/&gt;&lt;wsp:rsid wsp:val=&quot;00C91CE2&quot;/&gt;&lt;wsp:rsid wsp:val=&quot;00CB0245&quot;/&gt;&lt;wsp:rsid wsp:val=&quot;00CB2268&quot;/&gt;&lt;wsp:rsid wsp:val=&quot;00D130FD&quot;/&gt;&lt;wsp:rsid wsp:val=&quot;00D24426&quot;/&gt;&lt;wsp:rsid wsp:val=&quot;00D4598A&quot;/&gt;&lt;wsp:rsid wsp:val=&quot;00D51EDE&quot;/&gt;&lt;wsp:rsid wsp:val=&quot;00D52B01&quot;/&gt;&lt;wsp:rsid wsp:val=&quot;00D63911&quot;/&gt;&lt;wsp:rsid wsp:val=&quot;00D64CA8&quot;/&gt;&lt;wsp:rsid wsp:val=&quot;00D731F9&quot;/&gt;&lt;wsp:rsid wsp:val=&quot;00DB43DE&quot;/&gt;&lt;wsp:rsid wsp:val=&quot;00DB7EAF&quot;/&gt;&lt;wsp:rsid wsp:val=&quot;00DF1414&quot;/&gt;&lt;wsp:rsid wsp:val=&quot;00E0584E&quot;/&gt;&lt;wsp:rsid wsp:val=&quot;00E214C9&quot;/&gt;&lt;wsp:rsid wsp:val=&quot;00EC60DF&quot;/&gt;&lt;wsp:rsid wsp:val=&quot;00EE02C4&quot;/&gt;&lt;wsp:rsid wsp:val=&quot;00EF199C&quot;/&gt;&lt;wsp:rsid wsp:val=&quot;00EF3C12&quot;/&gt;&lt;wsp:rsid wsp:val=&quot;00F1725E&quot;/&gt;&lt;wsp:rsid wsp:val=&quot;00F97B55&quot;/&gt;&lt;wsp:rsid wsp:val=&quot;00FA028D&quot;/&gt;&lt;wsp:rsid wsp:val=&quot;00FA5986&quot;/&gt;&lt;wsp:rsid wsp:val=&quot;00FC71A1&quot;/&gt;&lt;wsp:rsid wsp:val=&quot;00FD0FB7&quot;/&gt;&lt;wsp:rsid wsp:val=&quot;00FD1464&quot;/&gt;&lt;/wsp:rsids&gt;&lt;/w:docPr&gt;&lt;w:body&gt;&lt;w:p wsp:rsidR=&quot;00000000&quot; wsp:rsidRDefault=&quot;00D4598A&quot;&gt;&lt;m:oMathPara&gt;&lt;m:oMath&gt;&lt;m:r&gt;&lt;m:rPr&gt;&lt;m:sty m:val=&quot;bi&quot;/&gt;&lt;/m:rPr&gt;&lt;w:rPr&gt;&lt;w:rFonts w:ascii=&quot;Cambria Math&quot; w:fareast=&quot;Calibri&quot; w:h-ansi=&quot;Cambria Math&quot; w:cs=&quot;Times New Roman&quot;/&gt;&lt;wx:font wx:val=&quot;Cambria Math&quot;/&gt;&lt;w:b/&gt;&lt;w:i/&gt;&lt;/w:rPr&gt;&lt;m:t&gt;CV&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9" o:title="" chromakey="white"/>
                </v:shape>
              </w:pict>
            </w:r>
          </w:p>
        </w:tc>
        <w:tc>
          <w:tcPr>
            <w:tcW w:w="1519" w:type="dxa"/>
            <w:tcBorders>
              <w:bottom w:val="single" w:sz="4" w:space="0" w:color="auto"/>
            </w:tcBorders>
          </w:tcPr>
          <w:p w14:paraId="63DFD3AA" w14:textId="77777777" w:rsidR="007931DE" w:rsidRPr="00D52B01" w:rsidRDefault="0042492D" w:rsidP="000A303F">
            <w:pPr>
              <w:rPr>
                <w:b/>
                <w:bCs/>
              </w:rPr>
            </w:pPr>
            <w:r>
              <w:rPr>
                <w:noProof/>
              </w:rPr>
              <w:pict w14:anchorId="39DBB1B9">
                <v:shape id="_x0000_i1028" type="#_x0000_t75" style="width:33.2pt;height:15.0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1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B2268&quot;/&gt;&lt;wsp:rsid wsp:val=&quot;00000477&quot;/&gt;&lt;wsp:rsid wsp:val=&quot;000206E8&quot;/&gt;&lt;wsp:rsid wsp:val=&quot;0004243D&quot;/&gt;&lt;wsp:rsid wsp:val=&quot;0004543F&quot;/&gt;&lt;wsp:rsid wsp:val=&quot;00046A9A&quot;/&gt;&lt;wsp:rsid wsp:val=&quot;00052F82&quot;/&gt;&lt;wsp:rsid wsp:val=&quot;00065201&quot;/&gt;&lt;wsp:rsid wsp:val=&quot;0009499D&quot;/&gt;&lt;wsp:rsid wsp:val=&quot;000F74DC&quot;/&gt;&lt;wsp:rsid wsp:val=&quot;0013731B&quot;/&gt;&lt;wsp:rsid wsp:val=&quot;001457D9&quot;/&gt;&lt;wsp:rsid wsp:val=&quot;00151F2D&quot;/&gt;&lt;wsp:rsid wsp:val=&quot;00154DC8&quot;/&gt;&lt;wsp:rsid wsp:val=&quot;001A1ECC&quot;/&gt;&lt;wsp:rsid wsp:val=&quot;001A2234&quot;/&gt;&lt;wsp:rsid wsp:val=&quot;001A235B&quot;/&gt;&lt;wsp:rsid wsp:val=&quot;001A6AC8&quot;/&gt;&lt;wsp:rsid wsp:val=&quot;001B4163&quot;/&gt;&lt;wsp:rsid wsp:val=&quot;001C0874&quot;/&gt;&lt;wsp:rsid wsp:val=&quot;00280B83&quot;/&gt;&lt;wsp:rsid wsp:val=&quot;00283B7E&quot;/&gt;&lt;wsp:rsid wsp:val=&quot;002846AF&quot;/&gt;&lt;wsp:rsid wsp:val=&quot;00291137&quot;/&gt;&lt;wsp:rsid wsp:val=&quot;002A0824&quot;/&gt;&lt;wsp:rsid wsp:val=&quot;002B022A&quot;/&gt;&lt;wsp:rsid wsp:val=&quot;00302D56&quot;/&gt;&lt;wsp:rsid wsp:val=&quot;003217ED&quot;/&gt;&lt;wsp:rsid wsp:val=&quot;00335B7C&quot;/&gt;&lt;wsp:rsid wsp:val=&quot;00341673&quot;/&gt;&lt;wsp:rsid wsp:val=&quot;00345142&quot;/&gt;&lt;wsp:rsid wsp:val=&quot;00357362&quot;/&gt;&lt;wsp:rsid wsp:val=&quot;003618DC&quot;/&gt;&lt;wsp:rsid wsp:val=&quot;00365BDE&quot;/&gt;&lt;wsp:rsid wsp:val=&quot;003671BF&quot;/&gt;&lt;wsp:rsid wsp:val=&quot;003703B4&quot;/&gt;&lt;wsp:rsid wsp:val=&quot;003A0F8E&quot;/&gt;&lt;wsp:rsid wsp:val=&quot;003A2AA3&quot;/&gt;&lt;wsp:rsid wsp:val=&quot;003A596B&quot;/&gt;&lt;wsp:rsid wsp:val=&quot;003B7FC5&quot;/&gt;&lt;wsp:rsid wsp:val=&quot;003D1D2D&quot;/&gt;&lt;wsp:rsid wsp:val=&quot;003E5ABD&quot;/&gt;&lt;wsp:rsid wsp:val=&quot;003E5ECA&quot;/&gt;&lt;wsp:rsid wsp:val=&quot;00402D30&quot;/&gt;&lt;wsp:rsid wsp:val=&quot;00413632&quot;/&gt;&lt;wsp:rsid wsp:val=&quot;004526FF&quot;/&gt;&lt;wsp:rsid wsp:val=&quot;004A6443&quot;/&gt;&lt;wsp:rsid wsp:val=&quot;004A7FCF&quot;/&gt;&lt;wsp:rsid wsp:val=&quot;004B4FDF&quot;/&gt;&lt;wsp:rsid wsp:val=&quot;004D6299&quot;/&gt;&lt;wsp:rsid wsp:val=&quot;00535DDB&quot;/&gt;&lt;wsp:rsid wsp:val=&quot;00540A57&quot;/&gt;&lt;wsp:rsid wsp:val=&quot;00560179&quot;/&gt;&lt;wsp:rsid wsp:val=&quot;005D37AA&quot;/&gt;&lt;wsp:rsid wsp:val=&quot;005F630F&quot;/&gt;&lt;wsp:rsid wsp:val=&quot;00602696&quot;/&gt;&lt;wsp:rsid wsp:val=&quot;00620C5A&quot;/&gt;&lt;wsp:rsid wsp:val=&quot;0062263A&quot;/&gt;&lt;wsp:rsid wsp:val=&quot;00645FAD&quot;/&gt;&lt;wsp:rsid wsp:val=&quot;00671F73&quot;/&gt;&lt;wsp:rsid wsp:val=&quot;00680563&quot;/&gt;&lt;wsp:rsid wsp:val=&quot;006808AF&quot;/&gt;&lt;wsp:rsid wsp:val=&quot;006E5EA8&quot;/&gt;&lt;wsp:rsid wsp:val=&quot;006F36EB&quot;/&gt;&lt;wsp:rsid wsp:val=&quot;00721F9B&quot;/&gt;&lt;wsp:rsid wsp:val=&quot;007223F8&quot;/&gt;&lt;wsp:rsid wsp:val=&quot;00722EAF&quot;/&gt;&lt;wsp:rsid wsp:val=&quot;00722FBF&quot;/&gt;&lt;wsp:rsid wsp:val=&quot;0075510D&quot;/&gt;&lt;wsp:rsid wsp:val=&quot;007931DE&quot;/&gt;&lt;wsp:rsid wsp:val=&quot;007E3B25&quot;/&gt;&lt;wsp:rsid wsp:val=&quot;007F31F4&quot;/&gt;&lt;wsp:rsid wsp:val=&quot;00821892&quot;/&gt;&lt;wsp:rsid wsp:val=&quot;00825471&quot;/&gt;&lt;wsp:rsid wsp:val=&quot;00834D76&quot;/&gt;&lt;wsp:rsid wsp:val=&quot;00846096&quot;/&gt;&lt;wsp:rsid wsp:val=&quot;008566FE&quot;/&gt;&lt;wsp:rsid wsp:val=&quot;008833AE&quot;/&gt;&lt;wsp:rsid wsp:val=&quot;008A6D74&quot;/&gt;&lt;wsp:rsid wsp:val=&quot;008D30FA&quot;/&gt;&lt;wsp:rsid wsp:val=&quot;0090114D&quot;/&gt;&lt;wsp:rsid wsp:val=&quot;009718CA&quot;/&gt;&lt;wsp:rsid wsp:val=&quot;0098311F&quot;/&gt;&lt;wsp:rsid wsp:val=&quot;009C35C7&quot;/&gt;&lt;wsp:rsid wsp:val=&quot;009D6924&quot;/&gt;&lt;wsp:rsid wsp:val=&quot;00A1223B&quot;/&gt;&lt;wsp:rsid wsp:val=&quot;00A33172&quot;/&gt;&lt;wsp:rsid wsp:val=&quot;00A504CC&quot;/&gt;&lt;wsp:rsid wsp:val=&quot;00A86BF2&quot;/&gt;&lt;wsp:rsid wsp:val=&quot;00B35140&quot;/&gt;&lt;wsp:rsid wsp:val=&quot;00B42BFC&quot;/&gt;&lt;wsp:rsid wsp:val=&quot;00B6122F&quot;/&gt;&lt;wsp:rsid wsp:val=&quot;00B64AD6&quot;/&gt;&lt;wsp:rsid wsp:val=&quot;00BA0400&quot;/&gt;&lt;wsp:rsid wsp:val=&quot;00BB4644&quot;/&gt;&lt;wsp:rsid wsp:val=&quot;00C35022&quot;/&gt;&lt;wsp:rsid wsp:val=&quot;00C91CE2&quot;/&gt;&lt;wsp:rsid wsp:val=&quot;00CB0245&quot;/&gt;&lt;wsp:rsid wsp:val=&quot;00CB2268&quot;/&gt;&lt;wsp:rsid wsp:val=&quot;00D130FD&quot;/&gt;&lt;wsp:rsid wsp:val=&quot;00D24426&quot;/&gt;&lt;wsp:rsid wsp:val=&quot;00D25B51&quot;/&gt;&lt;wsp:rsid wsp:val=&quot;00D51EDE&quot;/&gt;&lt;wsp:rsid wsp:val=&quot;00D52B01&quot;/&gt;&lt;wsp:rsid wsp:val=&quot;00D63911&quot;/&gt;&lt;wsp:rsid wsp:val=&quot;00D64CA8&quot;/&gt;&lt;wsp:rsid wsp:val=&quot;00D731F9&quot;/&gt;&lt;wsp:rsid wsp:val=&quot;00DB43DE&quot;/&gt;&lt;wsp:rsid wsp:val=&quot;00DB7EAF&quot;/&gt;&lt;wsp:rsid wsp:val=&quot;00DF1414&quot;/&gt;&lt;wsp:rsid wsp:val=&quot;00E0584E&quot;/&gt;&lt;wsp:rsid wsp:val=&quot;00E214C9&quot;/&gt;&lt;wsp:rsid wsp:val=&quot;00EC60DF&quot;/&gt;&lt;wsp:rsid wsp:val=&quot;00EE02C4&quot;/&gt;&lt;wsp:rsid wsp:val=&quot;00EF199C&quot;/&gt;&lt;wsp:rsid wsp:val=&quot;00EF3C12&quot;/&gt;&lt;wsp:rsid wsp:val=&quot;00F1725E&quot;/&gt;&lt;wsp:rsid wsp:val=&quot;00F97B55&quot;/&gt;&lt;wsp:rsid wsp:val=&quot;00FA028D&quot;/&gt;&lt;wsp:rsid wsp:val=&quot;00FA5986&quot;/&gt;&lt;wsp:rsid wsp:val=&quot;00FC71A1&quot;/&gt;&lt;wsp:rsid wsp:val=&quot;00FD0FB7&quot;/&gt;&lt;wsp:rsid wsp:val=&quot;00FD1464&quot;/&gt;&lt;/wsp:rsids&gt;&lt;/w:docPr&gt;&lt;w:body&gt;&lt;w:p wsp:rsidR=&quot;00000000&quot; wsp:rsidRDefault=&quot;00D25B51&quot;&gt;&lt;m:oMathPara&gt;&lt;m:oMath&gt;&lt;m:r&gt;&lt;m:rPr&gt;&lt;m:sty m:val=&quot;bi&quot;/&gt;&lt;/m:rPr&gt;&lt;w:rPr&gt;&lt;w:rFonts w:ascii=&quot;Cambria Math&quot; w:fareast=&quot;Calibri&quot; w:h-ansi=&quot;Cambria Math&quot; w:cs=&quot;Times New Roman&quot;/&gt;&lt;wx:font wx:val=&quot;Cambria Math&quot;/&gt;&lt;w:b/&gt;&lt;w:i/&gt;&lt;/w:rPr&gt;&lt;m:t&gt;SKEW&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10" o:title="" chromakey="white"/>
                </v:shape>
              </w:pict>
            </w:r>
          </w:p>
        </w:tc>
        <w:tc>
          <w:tcPr>
            <w:tcW w:w="1501" w:type="dxa"/>
            <w:tcBorders>
              <w:bottom w:val="single" w:sz="4" w:space="0" w:color="auto"/>
            </w:tcBorders>
          </w:tcPr>
          <w:p w14:paraId="1CC81965" w14:textId="77777777" w:rsidR="007931DE" w:rsidRPr="00D52B01" w:rsidRDefault="0042492D" w:rsidP="000A303F">
            <w:pPr>
              <w:rPr>
                <w:b/>
                <w:bCs/>
              </w:rPr>
            </w:pPr>
            <w:r>
              <w:rPr>
                <w:noProof/>
              </w:rPr>
              <w:pict w14:anchorId="3C3DDE40">
                <v:shape id="_x0000_i1029" type="#_x0000_t75" style="width:30.7pt;height:15.0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10&quot;/&gt;&lt;w:doNotEmbedSystemFonts/&gt;&lt;w:defaultTabStop w:val=&quot;720&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B2268&quot;/&gt;&lt;wsp:rsid wsp:val=&quot;00000477&quot;/&gt;&lt;wsp:rsid wsp:val=&quot;000206E8&quot;/&gt;&lt;wsp:rsid wsp:val=&quot;0004243D&quot;/&gt;&lt;wsp:rsid wsp:val=&quot;0004543F&quot;/&gt;&lt;wsp:rsid wsp:val=&quot;00046A9A&quot;/&gt;&lt;wsp:rsid wsp:val=&quot;00052F82&quot;/&gt;&lt;wsp:rsid wsp:val=&quot;00065201&quot;/&gt;&lt;wsp:rsid wsp:val=&quot;0009499D&quot;/&gt;&lt;wsp:rsid wsp:val=&quot;000F74DC&quot;/&gt;&lt;wsp:rsid wsp:val=&quot;0013731B&quot;/&gt;&lt;wsp:rsid wsp:val=&quot;001457D9&quot;/&gt;&lt;wsp:rsid wsp:val=&quot;00151F2D&quot;/&gt;&lt;wsp:rsid wsp:val=&quot;00154DC8&quot;/&gt;&lt;wsp:rsid wsp:val=&quot;001A1ECC&quot;/&gt;&lt;wsp:rsid wsp:val=&quot;001A2234&quot;/&gt;&lt;wsp:rsid wsp:val=&quot;001A235B&quot;/&gt;&lt;wsp:rsid wsp:val=&quot;001A6AC8&quot;/&gt;&lt;wsp:rsid wsp:val=&quot;001B4163&quot;/&gt;&lt;wsp:rsid wsp:val=&quot;001C0874&quot;/&gt;&lt;wsp:rsid wsp:val=&quot;00280B83&quot;/&gt;&lt;wsp:rsid wsp:val=&quot;00283B7E&quot;/&gt;&lt;wsp:rsid wsp:val=&quot;002846AF&quot;/&gt;&lt;wsp:rsid wsp:val=&quot;00291137&quot;/&gt;&lt;wsp:rsid wsp:val=&quot;002A0824&quot;/&gt;&lt;wsp:rsid wsp:val=&quot;002B022A&quot;/&gt;&lt;wsp:rsid wsp:val=&quot;00302D56&quot;/&gt;&lt;wsp:rsid wsp:val=&quot;003217ED&quot;/&gt;&lt;wsp:rsid wsp:val=&quot;00335B7C&quot;/&gt;&lt;wsp:rsid wsp:val=&quot;00341673&quot;/&gt;&lt;wsp:rsid wsp:val=&quot;00345142&quot;/&gt;&lt;wsp:rsid wsp:val=&quot;00357362&quot;/&gt;&lt;wsp:rsid wsp:val=&quot;003618DC&quot;/&gt;&lt;wsp:rsid wsp:val=&quot;00365BDE&quot;/&gt;&lt;wsp:rsid wsp:val=&quot;003671BF&quot;/&gt;&lt;wsp:rsid wsp:val=&quot;003703B4&quot;/&gt;&lt;wsp:rsid wsp:val=&quot;003A0F8E&quot;/&gt;&lt;wsp:rsid wsp:val=&quot;003A2AA3&quot;/&gt;&lt;wsp:rsid wsp:val=&quot;003A596B&quot;/&gt;&lt;wsp:rsid wsp:val=&quot;003B7FC5&quot;/&gt;&lt;wsp:rsid wsp:val=&quot;003D1D2D&quot;/&gt;&lt;wsp:rsid wsp:val=&quot;003E5ABD&quot;/&gt;&lt;wsp:rsid wsp:val=&quot;003E5ECA&quot;/&gt;&lt;wsp:rsid wsp:val=&quot;00402D30&quot;/&gt;&lt;wsp:rsid wsp:val=&quot;00413632&quot;/&gt;&lt;wsp:rsid wsp:val=&quot;004526FF&quot;/&gt;&lt;wsp:rsid wsp:val=&quot;004A6443&quot;/&gt;&lt;wsp:rsid wsp:val=&quot;004A7FCF&quot;/&gt;&lt;wsp:rsid wsp:val=&quot;004B4FDF&quot;/&gt;&lt;wsp:rsid wsp:val=&quot;004D6299&quot;/&gt;&lt;wsp:rsid wsp:val=&quot;00535DDB&quot;/&gt;&lt;wsp:rsid wsp:val=&quot;00540A57&quot;/&gt;&lt;wsp:rsid wsp:val=&quot;00560179&quot;/&gt;&lt;wsp:rsid wsp:val=&quot;005D37AA&quot;/&gt;&lt;wsp:rsid wsp:val=&quot;005F630F&quot;/&gt;&lt;wsp:rsid wsp:val=&quot;00602696&quot;/&gt;&lt;wsp:rsid wsp:val=&quot;00620C5A&quot;/&gt;&lt;wsp:rsid wsp:val=&quot;0062263A&quot;/&gt;&lt;wsp:rsid wsp:val=&quot;00645FAD&quot;/&gt;&lt;wsp:rsid wsp:val=&quot;00671F73&quot;/&gt;&lt;wsp:rsid wsp:val=&quot;00680563&quot;/&gt;&lt;wsp:rsid wsp:val=&quot;006808AF&quot;/&gt;&lt;wsp:rsid wsp:val=&quot;006E5EA8&quot;/&gt;&lt;wsp:rsid wsp:val=&quot;006F36EB&quot;/&gt;&lt;wsp:rsid wsp:val=&quot;00721F9B&quot;/&gt;&lt;wsp:rsid wsp:val=&quot;007223F8&quot;/&gt;&lt;wsp:rsid wsp:val=&quot;00722EAF&quot;/&gt;&lt;wsp:rsid wsp:val=&quot;00722FBF&quot;/&gt;&lt;wsp:rsid wsp:val=&quot;0075510D&quot;/&gt;&lt;wsp:rsid wsp:val=&quot;007931DE&quot;/&gt;&lt;wsp:rsid wsp:val=&quot;007E3B25&quot;/&gt;&lt;wsp:rsid wsp:val=&quot;007F31F4&quot;/&gt;&lt;wsp:rsid wsp:val=&quot;00821892&quot;/&gt;&lt;wsp:rsid wsp:val=&quot;00825471&quot;/&gt;&lt;wsp:rsid wsp:val=&quot;00834D76&quot;/&gt;&lt;wsp:rsid wsp:val=&quot;00846096&quot;/&gt;&lt;wsp:rsid wsp:val=&quot;008566FE&quot;/&gt;&lt;wsp:rsid wsp:val=&quot;008833AE&quot;/&gt;&lt;wsp:rsid wsp:val=&quot;008A6D74&quot;/&gt;&lt;wsp:rsid wsp:val=&quot;008D30FA&quot;/&gt;&lt;wsp:rsid wsp:val=&quot;0090114D&quot;/&gt;&lt;wsp:rsid wsp:val=&quot;009718CA&quot;/&gt;&lt;wsp:rsid wsp:val=&quot;0098311F&quot;/&gt;&lt;wsp:rsid wsp:val=&quot;009C35C7&quot;/&gt;&lt;wsp:rsid wsp:val=&quot;009D6924&quot;/&gt;&lt;wsp:rsid wsp:val=&quot;00A1223B&quot;/&gt;&lt;wsp:rsid wsp:val=&quot;00A33172&quot;/&gt;&lt;wsp:rsid wsp:val=&quot;00A504CC&quot;/&gt;&lt;wsp:rsid wsp:val=&quot;00A86BF2&quot;/&gt;&lt;wsp:rsid wsp:val=&quot;00B35140&quot;/&gt;&lt;wsp:rsid wsp:val=&quot;00B42BFC&quot;/&gt;&lt;wsp:rsid wsp:val=&quot;00B6122F&quot;/&gt;&lt;wsp:rsid wsp:val=&quot;00B64AD6&quot;/&gt;&lt;wsp:rsid wsp:val=&quot;00BA0400&quot;/&gt;&lt;wsp:rsid wsp:val=&quot;00BB4644&quot;/&gt;&lt;wsp:rsid wsp:val=&quot;00BE2852&quot;/&gt;&lt;wsp:rsid wsp:val=&quot;00C35022&quot;/&gt;&lt;wsp:rsid wsp:val=&quot;00C91CE2&quot;/&gt;&lt;wsp:rsid wsp:val=&quot;00CB0245&quot;/&gt;&lt;wsp:rsid wsp:val=&quot;00CB2268&quot;/&gt;&lt;wsp:rsid wsp:val=&quot;00D130FD&quot;/&gt;&lt;wsp:rsid wsp:val=&quot;00D24426&quot;/&gt;&lt;wsp:rsid wsp:val=&quot;00D51EDE&quot;/&gt;&lt;wsp:rsid wsp:val=&quot;00D52B01&quot;/&gt;&lt;wsp:rsid wsp:val=&quot;00D63911&quot;/&gt;&lt;wsp:rsid wsp:val=&quot;00D64CA8&quot;/&gt;&lt;wsp:rsid wsp:val=&quot;00D731F9&quot;/&gt;&lt;wsp:rsid wsp:val=&quot;00DB43DE&quot;/&gt;&lt;wsp:rsid wsp:val=&quot;00DB7EAF&quot;/&gt;&lt;wsp:rsid wsp:val=&quot;00DF1414&quot;/&gt;&lt;wsp:rsid wsp:val=&quot;00E0584E&quot;/&gt;&lt;wsp:rsid wsp:val=&quot;00E214C9&quot;/&gt;&lt;wsp:rsid wsp:val=&quot;00EC60DF&quot;/&gt;&lt;wsp:rsid wsp:val=&quot;00EE02C4&quot;/&gt;&lt;wsp:rsid wsp:val=&quot;00EF199C&quot;/&gt;&lt;wsp:rsid wsp:val=&quot;00EF3C12&quot;/&gt;&lt;wsp:rsid wsp:val=&quot;00F1725E&quot;/&gt;&lt;wsp:rsid wsp:val=&quot;00F97B55&quot;/&gt;&lt;wsp:rsid wsp:val=&quot;00FA028D&quot;/&gt;&lt;wsp:rsid wsp:val=&quot;00FA5986&quot;/&gt;&lt;wsp:rsid wsp:val=&quot;00FC71A1&quot;/&gt;&lt;wsp:rsid wsp:val=&quot;00FD0FB7&quot;/&gt;&lt;wsp:rsid wsp:val=&quot;00FD1464&quot;/&gt;&lt;/wsp:rsids&gt;&lt;/w:docPr&gt;&lt;w:body&gt;&lt;w:p wsp:rsidR=&quot;00000000&quot; wsp:rsidRDefault=&quot;00BE2852&quot;&gt;&lt;m:oMathPara&gt;&lt;m:oMath&gt;&lt;m:r&gt;&lt;m:rPr&gt;&lt;m:sty m:val=&quot;bi&quot;/&gt;&lt;/m:rPr&gt;&lt;w:rPr&gt;&lt;w:rFonts w:ascii=&quot;Cambria Math&quot; w:fareast=&quot;Calibri&quot; w:h-ansi=&quot;Cambria Math&quot; w:cs=&quot;Times New Roman&quot;/&gt;&lt;wx:font wx:val=&quot;Cambria Math&quot;/&gt;&lt;w:b/&gt;&lt;w:i/&gt;&lt;/w:rPr&gt;&lt;m:t&gt;KURT&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body&gt;&lt;/w:wordDocument&gt;">
                  <v:imagedata r:id="rId11" o:title="" chromakey="white"/>
                </v:shape>
              </w:pict>
            </w:r>
          </w:p>
        </w:tc>
      </w:tr>
      <w:tr w:rsidR="007931DE" w:rsidRPr="00D52B01" w14:paraId="52C2D0C7" w14:textId="77777777" w:rsidTr="000A303F">
        <w:tc>
          <w:tcPr>
            <w:tcW w:w="1587" w:type="dxa"/>
            <w:tcBorders>
              <w:top w:val="single" w:sz="4" w:space="0" w:color="auto"/>
              <w:bottom w:val="nil"/>
            </w:tcBorders>
          </w:tcPr>
          <w:p w14:paraId="130E4511" w14:textId="77777777" w:rsidR="007931DE" w:rsidRPr="00D52B01" w:rsidRDefault="007931DE" w:rsidP="000A303F">
            <w:r w:rsidRPr="00D52B01">
              <w:t>CDAR</w:t>
            </w:r>
          </w:p>
        </w:tc>
        <w:tc>
          <w:tcPr>
            <w:tcW w:w="1256" w:type="dxa"/>
            <w:tcBorders>
              <w:top w:val="single" w:sz="4" w:space="0" w:color="auto"/>
              <w:bottom w:val="nil"/>
            </w:tcBorders>
          </w:tcPr>
          <w:p w14:paraId="257C6BED" w14:textId="77777777" w:rsidR="007931DE" w:rsidRPr="00D52B01" w:rsidRDefault="007931DE" w:rsidP="000A303F">
            <w:pPr>
              <w:jc w:val="center"/>
              <w:rPr>
                <w:b/>
                <w:bCs/>
              </w:rPr>
            </w:pPr>
            <w:r w:rsidRPr="00D52B01">
              <w:t>80</w:t>
            </w:r>
          </w:p>
        </w:tc>
        <w:tc>
          <w:tcPr>
            <w:tcW w:w="1286" w:type="dxa"/>
            <w:tcBorders>
              <w:top w:val="single" w:sz="4" w:space="0" w:color="auto"/>
              <w:bottom w:val="nil"/>
            </w:tcBorders>
          </w:tcPr>
          <w:p w14:paraId="31453944" w14:textId="77777777" w:rsidR="007931DE" w:rsidRPr="00D52B01" w:rsidRDefault="007931DE" w:rsidP="000A303F">
            <w:pPr>
              <w:jc w:val="center"/>
              <w:rPr>
                <w:b/>
                <w:bCs/>
              </w:rPr>
            </w:pPr>
            <w:r w:rsidRPr="00D52B01">
              <w:t>68.21</w:t>
            </w:r>
          </w:p>
        </w:tc>
        <w:tc>
          <w:tcPr>
            <w:tcW w:w="1291" w:type="dxa"/>
            <w:tcBorders>
              <w:top w:val="single" w:sz="4" w:space="0" w:color="auto"/>
              <w:bottom w:val="nil"/>
            </w:tcBorders>
          </w:tcPr>
          <w:p w14:paraId="47B2BB32" w14:textId="77777777" w:rsidR="007931DE" w:rsidRPr="00D52B01" w:rsidRDefault="007931DE" w:rsidP="000A303F">
            <w:pPr>
              <w:jc w:val="center"/>
              <w:rPr>
                <w:b/>
                <w:bCs/>
              </w:rPr>
            </w:pPr>
            <w:r w:rsidRPr="00D52B01">
              <w:t>8.33</w:t>
            </w:r>
          </w:p>
        </w:tc>
        <w:tc>
          <w:tcPr>
            <w:tcW w:w="1300" w:type="dxa"/>
            <w:tcBorders>
              <w:top w:val="single" w:sz="4" w:space="0" w:color="auto"/>
              <w:bottom w:val="nil"/>
            </w:tcBorders>
          </w:tcPr>
          <w:p w14:paraId="2EC450AC" w14:textId="77777777" w:rsidR="007931DE" w:rsidRPr="00D52B01" w:rsidRDefault="007931DE" w:rsidP="000A303F">
            <w:pPr>
              <w:jc w:val="center"/>
              <w:rPr>
                <w:b/>
                <w:bCs/>
              </w:rPr>
            </w:pPr>
            <w:r w:rsidRPr="00D52B01">
              <w:t>12.21</w:t>
            </w:r>
          </w:p>
        </w:tc>
        <w:tc>
          <w:tcPr>
            <w:tcW w:w="1519" w:type="dxa"/>
            <w:tcBorders>
              <w:top w:val="single" w:sz="4" w:space="0" w:color="auto"/>
              <w:bottom w:val="nil"/>
            </w:tcBorders>
          </w:tcPr>
          <w:p w14:paraId="3C57925A" w14:textId="77777777" w:rsidR="007931DE" w:rsidRPr="00D52B01" w:rsidRDefault="007931DE" w:rsidP="000A303F">
            <w:pPr>
              <w:jc w:val="center"/>
              <w:rPr>
                <w:b/>
                <w:bCs/>
              </w:rPr>
            </w:pPr>
            <w:r w:rsidRPr="00D52B01">
              <w:t>-0.76</w:t>
            </w:r>
          </w:p>
        </w:tc>
        <w:tc>
          <w:tcPr>
            <w:tcW w:w="1501" w:type="dxa"/>
            <w:tcBorders>
              <w:top w:val="single" w:sz="4" w:space="0" w:color="auto"/>
              <w:bottom w:val="nil"/>
            </w:tcBorders>
          </w:tcPr>
          <w:p w14:paraId="0696658F" w14:textId="77777777" w:rsidR="007931DE" w:rsidRPr="00D52B01" w:rsidRDefault="007931DE" w:rsidP="000A303F">
            <w:pPr>
              <w:jc w:val="center"/>
              <w:rPr>
                <w:b/>
                <w:bCs/>
              </w:rPr>
            </w:pPr>
            <w:r w:rsidRPr="00D52B01">
              <w:t>2.02</w:t>
            </w:r>
          </w:p>
        </w:tc>
      </w:tr>
      <w:tr w:rsidR="007931DE" w:rsidRPr="00D52B01" w14:paraId="2252A3A1" w14:textId="77777777" w:rsidTr="000A303F">
        <w:tc>
          <w:tcPr>
            <w:tcW w:w="1587" w:type="dxa"/>
            <w:tcBorders>
              <w:top w:val="nil"/>
              <w:bottom w:val="nil"/>
            </w:tcBorders>
          </w:tcPr>
          <w:p w14:paraId="16D0341E" w14:textId="77777777" w:rsidR="007931DE" w:rsidRPr="00D52B01" w:rsidRDefault="007931DE" w:rsidP="000A303F">
            <w:r w:rsidRPr="00D52B01">
              <w:t>TRAR</w:t>
            </w:r>
          </w:p>
        </w:tc>
        <w:tc>
          <w:tcPr>
            <w:tcW w:w="1256" w:type="dxa"/>
            <w:tcBorders>
              <w:top w:val="nil"/>
              <w:bottom w:val="nil"/>
            </w:tcBorders>
          </w:tcPr>
          <w:p w14:paraId="4C6C23DC" w14:textId="77777777" w:rsidR="007931DE" w:rsidRPr="00D52B01" w:rsidRDefault="007931DE" w:rsidP="000A303F">
            <w:pPr>
              <w:jc w:val="center"/>
            </w:pPr>
            <w:r w:rsidRPr="00D52B01">
              <w:t>80</w:t>
            </w:r>
          </w:p>
        </w:tc>
        <w:tc>
          <w:tcPr>
            <w:tcW w:w="1286" w:type="dxa"/>
            <w:tcBorders>
              <w:top w:val="nil"/>
              <w:bottom w:val="nil"/>
            </w:tcBorders>
          </w:tcPr>
          <w:p w14:paraId="6BA89B44" w14:textId="77777777" w:rsidR="007931DE" w:rsidRPr="00D52B01" w:rsidRDefault="007931DE" w:rsidP="000A303F">
            <w:pPr>
              <w:jc w:val="center"/>
            </w:pPr>
            <w:r w:rsidRPr="00D52B01">
              <w:t>42.56</w:t>
            </w:r>
          </w:p>
        </w:tc>
        <w:tc>
          <w:tcPr>
            <w:tcW w:w="1291" w:type="dxa"/>
            <w:tcBorders>
              <w:top w:val="nil"/>
              <w:bottom w:val="nil"/>
            </w:tcBorders>
          </w:tcPr>
          <w:p w14:paraId="3E597292" w14:textId="77777777" w:rsidR="007931DE" w:rsidRPr="00D52B01" w:rsidRDefault="007931DE" w:rsidP="000A303F">
            <w:pPr>
              <w:jc w:val="center"/>
            </w:pPr>
            <w:r w:rsidRPr="00D52B01">
              <w:t>12.47</w:t>
            </w:r>
          </w:p>
        </w:tc>
        <w:tc>
          <w:tcPr>
            <w:tcW w:w="1300" w:type="dxa"/>
            <w:tcBorders>
              <w:top w:val="nil"/>
              <w:bottom w:val="nil"/>
            </w:tcBorders>
          </w:tcPr>
          <w:p w14:paraId="088D100D" w14:textId="77777777" w:rsidR="007931DE" w:rsidRPr="00D52B01" w:rsidRDefault="007931DE" w:rsidP="000A303F">
            <w:pPr>
              <w:jc w:val="center"/>
            </w:pPr>
            <w:r w:rsidRPr="00D52B01">
              <w:t>29.29</w:t>
            </w:r>
          </w:p>
        </w:tc>
        <w:tc>
          <w:tcPr>
            <w:tcW w:w="1519" w:type="dxa"/>
            <w:tcBorders>
              <w:top w:val="nil"/>
              <w:bottom w:val="nil"/>
            </w:tcBorders>
          </w:tcPr>
          <w:p w14:paraId="26AD815D" w14:textId="77777777" w:rsidR="007931DE" w:rsidRPr="00D52B01" w:rsidRDefault="007931DE" w:rsidP="000A303F">
            <w:pPr>
              <w:jc w:val="center"/>
            </w:pPr>
            <w:r w:rsidRPr="00D52B01">
              <w:t>0.30</w:t>
            </w:r>
          </w:p>
        </w:tc>
        <w:tc>
          <w:tcPr>
            <w:tcW w:w="1501" w:type="dxa"/>
            <w:tcBorders>
              <w:top w:val="nil"/>
              <w:bottom w:val="nil"/>
            </w:tcBorders>
          </w:tcPr>
          <w:p w14:paraId="6948A0ED" w14:textId="77777777" w:rsidR="007931DE" w:rsidRPr="00D52B01" w:rsidRDefault="007931DE" w:rsidP="000A303F">
            <w:pPr>
              <w:jc w:val="center"/>
            </w:pPr>
            <w:r w:rsidRPr="00D52B01">
              <w:t>1.23</w:t>
            </w:r>
          </w:p>
        </w:tc>
      </w:tr>
      <w:tr w:rsidR="007931DE" w:rsidRPr="00D52B01" w14:paraId="4CF69220" w14:textId="77777777" w:rsidTr="000A303F">
        <w:tc>
          <w:tcPr>
            <w:tcW w:w="1587" w:type="dxa"/>
            <w:tcBorders>
              <w:top w:val="nil"/>
            </w:tcBorders>
          </w:tcPr>
          <w:p w14:paraId="575C10CF" w14:textId="77777777" w:rsidR="007931DE" w:rsidRPr="00D52B01" w:rsidRDefault="007931DE" w:rsidP="000A303F">
            <w:r w:rsidRPr="00D52B01">
              <w:t>BLAR</w:t>
            </w:r>
          </w:p>
        </w:tc>
        <w:tc>
          <w:tcPr>
            <w:tcW w:w="1256" w:type="dxa"/>
            <w:tcBorders>
              <w:top w:val="nil"/>
            </w:tcBorders>
          </w:tcPr>
          <w:p w14:paraId="01FDAD52" w14:textId="77777777" w:rsidR="007931DE" w:rsidRPr="00D52B01" w:rsidRDefault="007931DE" w:rsidP="000A303F">
            <w:pPr>
              <w:jc w:val="center"/>
            </w:pPr>
            <w:r w:rsidRPr="00D52B01">
              <w:t>77</w:t>
            </w:r>
          </w:p>
        </w:tc>
        <w:tc>
          <w:tcPr>
            <w:tcW w:w="1286" w:type="dxa"/>
            <w:tcBorders>
              <w:top w:val="nil"/>
            </w:tcBorders>
          </w:tcPr>
          <w:p w14:paraId="7BEEC747" w14:textId="77777777" w:rsidR="007931DE" w:rsidRPr="00D52B01" w:rsidRDefault="007931DE" w:rsidP="000A303F">
            <w:pPr>
              <w:jc w:val="center"/>
            </w:pPr>
            <w:r w:rsidRPr="00D52B01">
              <w:t>10.93</w:t>
            </w:r>
          </w:p>
        </w:tc>
        <w:tc>
          <w:tcPr>
            <w:tcW w:w="1291" w:type="dxa"/>
            <w:tcBorders>
              <w:top w:val="nil"/>
            </w:tcBorders>
          </w:tcPr>
          <w:p w14:paraId="125FDA3F" w14:textId="77777777" w:rsidR="007931DE" w:rsidRPr="00D52B01" w:rsidRDefault="007931DE" w:rsidP="000A303F">
            <w:pPr>
              <w:jc w:val="center"/>
            </w:pPr>
            <w:r w:rsidRPr="00D52B01">
              <w:t>11.77</w:t>
            </w:r>
          </w:p>
        </w:tc>
        <w:tc>
          <w:tcPr>
            <w:tcW w:w="1300" w:type="dxa"/>
            <w:tcBorders>
              <w:top w:val="nil"/>
            </w:tcBorders>
          </w:tcPr>
          <w:p w14:paraId="02445937" w14:textId="77777777" w:rsidR="007931DE" w:rsidRPr="00D52B01" w:rsidRDefault="007931DE" w:rsidP="000A303F">
            <w:pPr>
              <w:jc w:val="center"/>
            </w:pPr>
            <w:r w:rsidRPr="00D52B01">
              <w:t>107.66</w:t>
            </w:r>
          </w:p>
        </w:tc>
        <w:tc>
          <w:tcPr>
            <w:tcW w:w="1519" w:type="dxa"/>
            <w:tcBorders>
              <w:top w:val="nil"/>
            </w:tcBorders>
          </w:tcPr>
          <w:p w14:paraId="131F3A8C" w14:textId="77777777" w:rsidR="007931DE" w:rsidRPr="00D52B01" w:rsidRDefault="007931DE" w:rsidP="000A303F">
            <w:pPr>
              <w:jc w:val="center"/>
            </w:pPr>
            <w:r w:rsidRPr="00D52B01">
              <w:t>1.21</w:t>
            </w:r>
          </w:p>
        </w:tc>
        <w:tc>
          <w:tcPr>
            <w:tcW w:w="1501" w:type="dxa"/>
            <w:tcBorders>
              <w:top w:val="nil"/>
            </w:tcBorders>
          </w:tcPr>
          <w:p w14:paraId="3015BCBE" w14:textId="77777777" w:rsidR="007931DE" w:rsidRPr="00D52B01" w:rsidRDefault="007931DE" w:rsidP="000A303F">
            <w:pPr>
              <w:jc w:val="center"/>
            </w:pPr>
            <w:r w:rsidRPr="00D52B01">
              <w:t>0.92</w:t>
            </w:r>
          </w:p>
        </w:tc>
      </w:tr>
      <w:tr w:rsidR="007931DE" w:rsidRPr="00D52B01" w14:paraId="48953A85" w14:textId="77777777" w:rsidTr="000A303F">
        <w:tc>
          <w:tcPr>
            <w:tcW w:w="1587" w:type="dxa"/>
          </w:tcPr>
          <w:p w14:paraId="2A50ABF2" w14:textId="77777777" w:rsidR="007931DE" w:rsidRPr="00D52B01" w:rsidRDefault="007931DE" w:rsidP="000A303F">
            <w:r w:rsidRPr="00D52B01">
              <w:t>TCER</w:t>
            </w:r>
          </w:p>
        </w:tc>
        <w:tc>
          <w:tcPr>
            <w:tcW w:w="1256" w:type="dxa"/>
          </w:tcPr>
          <w:p w14:paraId="73E11FFA" w14:textId="77777777" w:rsidR="007931DE" w:rsidRPr="00D52B01" w:rsidRDefault="007931DE" w:rsidP="000A303F">
            <w:pPr>
              <w:jc w:val="center"/>
            </w:pPr>
            <w:r w:rsidRPr="00D52B01">
              <w:t>80</w:t>
            </w:r>
          </w:p>
        </w:tc>
        <w:tc>
          <w:tcPr>
            <w:tcW w:w="1286" w:type="dxa"/>
          </w:tcPr>
          <w:p w14:paraId="1E94BB73" w14:textId="77777777" w:rsidR="007931DE" w:rsidRPr="00D52B01" w:rsidRDefault="007931DE" w:rsidP="000A303F">
            <w:pPr>
              <w:jc w:val="center"/>
            </w:pPr>
            <w:r w:rsidRPr="00D52B01">
              <w:t>14.75</w:t>
            </w:r>
          </w:p>
        </w:tc>
        <w:tc>
          <w:tcPr>
            <w:tcW w:w="1291" w:type="dxa"/>
          </w:tcPr>
          <w:p w14:paraId="4AE7E78B" w14:textId="77777777" w:rsidR="007931DE" w:rsidRPr="00D52B01" w:rsidRDefault="007931DE" w:rsidP="000A303F">
            <w:pPr>
              <w:jc w:val="center"/>
            </w:pPr>
            <w:r w:rsidRPr="00D52B01">
              <w:t>10.48</w:t>
            </w:r>
          </w:p>
        </w:tc>
        <w:tc>
          <w:tcPr>
            <w:tcW w:w="1300" w:type="dxa"/>
          </w:tcPr>
          <w:p w14:paraId="3DAAA540" w14:textId="77777777" w:rsidR="007931DE" w:rsidRPr="00D52B01" w:rsidRDefault="007931DE" w:rsidP="000A303F">
            <w:pPr>
              <w:jc w:val="center"/>
            </w:pPr>
            <w:r w:rsidRPr="00D52B01">
              <w:t>71.09</w:t>
            </w:r>
          </w:p>
        </w:tc>
        <w:tc>
          <w:tcPr>
            <w:tcW w:w="1519" w:type="dxa"/>
          </w:tcPr>
          <w:p w14:paraId="5692555A" w14:textId="77777777" w:rsidR="007931DE" w:rsidRPr="00D52B01" w:rsidRDefault="007931DE" w:rsidP="000A303F">
            <w:pPr>
              <w:jc w:val="center"/>
            </w:pPr>
            <w:r w:rsidRPr="00D52B01">
              <w:t>6.97</w:t>
            </w:r>
          </w:p>
        </w:tc>
        <w:tc>
          <w:tcPr>
            <w:tcW w:w="1501" w:type="dxa"/>
          </w:tcPr>
          <w:p w14:paraId="46E13403" w14:textId="77777777" w:rsidR="007931DE" w:rsidRPr="00D52B01" w:rsidRDefault="007931DE" w:rsidP="000A303F">
            <w:pPr>
              <w:jc w:val="center"/>
            </w:pPr>
            <w:r w:rsidRPr="00D52B01">
              <w:t>56.71</w:t>
            </w:r>
          </w:p>
        </w:tc>
      </w:tr>
      <w:tr w:rsidR="007931DE" w:rsidRPr="00D52B01" w14:paraId="7BA4A76E" w14:textId="77777777" w:rsidTr="000A303F">
        <w:tc>
          <w:tcPr>
            <w:tcW w:w="1587" w:type="dxa"/>
          </w:tcPr>
          <w:p w14:paraId="1FF2DB95" w14:textId="77777777" w:rsidR="007931DE" w:rsidRPr="00D52B01" w:rsidRDefault="007931DE" w:rsidP="000A303F">
            <w:r w:rsidRPr="00D52B01">
              <w:t>DACTR</w:t>
            </w:r>
          </w:p>
        </w:tc>
        <w:tc>
          <w:tcPr>
            <w:tcW w:w="1256" w:type="dxa"/>
          </w:tcPr>
          <w:p w14:paraId="42DE9FBF" w14:textId="77777777" w:rsidR="007931DE" w:rsidRPr="00D52B01" w:rsidRDefault="007931DE" w:rsidP="000A303F">
            <w:pPr>
              <w:jc w:val="center"/>
            </w:pPr>
            <w:r w:rsidRPr="00D52B01">
              <w:t>75</w:t>
            </w:r>
          </w:p>
        </w:tc>
        <w:tc>
          <w:tcPr>
            <w:tcW w:w="1286" w:type="dxa"/>
          </w:tcPr>
          <w:p w14:paraId="71A33A33" w14:textId="77777777" w:rsidR="007931DE" w:rsidRPr="00D52B01" w:rsidRDefault="007931DE" w:rsidP="000A303F">
            <w:pPr>
              <w:jc w:val="center"/>
            </w:pPr>
            <w:r w:rsidRPr="00D52B01">
              <w:t>18.13</w:t>
            </w:r>
          </w:p>
        </w:tc>
        <w:tc>
          <w:tcPr>
            <w:tcW w:w="1291" w:type="dxa"/>
          </w:tcPr>
          <w:p w14:paraId="1DFCB23D" w14:textId="77777777" w:rsidR="007931DE" w:rsidRPr="00D52B01" w:rsidRDefault="007931DE" w:rsidP="000A303F">
            <w:pPr>
              <w:jc w:val="center"/>
            </w:pPr>
            <w:r w:rsidRPr="00D52B01">
              <w:t>12.81</w:t>
            </w:r>
          </w:p>
        </w:tc>
        <w:tc>
          <w:tcPr>
            <w:tcW w:w="1300" w:type="dxa"/>
          </w:tcPr>
          <w:p w14:paraId="024E7D72" w14:textId="77777777" w:rsidR="007931DE" w:rsidRPr="00D52B01" w:rsidRDefault="007931DE" w:rsidP="000A303F">
            <w:pPr>
              <w:jc w:val="center"/>
            </w:pPr>
            <w:r w:rsidRPr="00D52B01">
              <w:t>70.66</w:t>
            </w:r>
          </w:p>
        </w:tc>
        <w:tc>
          <w:tcPr>
            <w:tcW w:w="1519" w:type="dxa"/>
          </w:tcPr>
          <w:p w14:paraId="182F2322" w14:textId="77777777" w:rsidR="007931DE" w:rsidRPr="00D52B01" w:rsidRDefault="007931DE" w:rsidP="000A303F">
            <w:pPr>
              <w:jc w:val="center"/>
            </w:pPr>
            <w:r w:rsidRPr="00D52B01">
              <w:t>2.79</w:t>
            </w:r>
          </w:p>
        </w:tc>
        <w:tc>
          <w:tcPr>
            <w:tcW w:w="1501" w:type="dxa"/>
          </w:tcPr>
          <w:p w14:paraId="636382FA" w14:textId="77777777" w:rsidR="007931DE" w:rsidRPr="00D52B01" w:rsidRDefault="007931DE" w:rsidP="000A303F">
            <w:pPr>
              <w:jc w:val="center"/>
            </w:pPr>
            <w:r w:rsidRPr="00D52B01">
              <w:t>14.84</w:t>
            </w:r>
          </w:p>
        </w:tc>
      </w:tr>
    </w:tbl>
    <w:p w14:paraId="76B81567" w14:textId="77777777" w:rsidR="007931DE" w:rsidRDefault="007931DE" w:rsidP="007931DE"/>
    <w:p w14:paraId="0F1A06BC" w14:textId="77777777" w:rsidR="007931DE" w:rsidRPr="00D87B33" w:rsidRDefault="00085A0C" w:rsidP="007931DE">
      <w:pPr>
        <w:jc w:val="center"/>
        <w:rPr>
          <w:b/>
          <w:bCs/>
        </w:rPr>
      </w:pPr>
      <w:r w:rsidRPr="001A295E">
        <w:rPr>
          <w:noProof/>
          <w:lang w:val="en-US"/>
        </w:rPr>
        <w:lastRenderedPageBreak/>
        <w:drawing>
          <wp:inline distT="0" distB="0" distL="0" distR="0" wp14:anchorId="2C840123" wp14:editId="5F2C64EB">
            <wp:extent cx="5146675" cy="3980815"/>
            <wp:effectExtent l="0" t="0" r="0" b="0"/>
            <wp:docPr id="6" name="Chart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
                    <pic:cNvPicPr>
                      <a:picLocks/>
                    </pic:cNvPicPr>
                  </pic:nvPicPr>
                  <pic:blipFill>
                    <a:blip r:embed="rId12">
                      <a:extLst>
                        <a:ext uri="{28A0092B-C50C-407E-A947-70E740481C1C}">
                          <a14:useLocalDpi xmlns:a14="http://schemas.microsoft.com/office/drawing/2010/main" val="0"/>
                        </a:ext>
                      </a:extLst>
                    </a:blip>
                    <a:srcRect b="-15"/>
                    <a:stretch>
                      <a:fillRect/>
                    </a:stretch>
                  </pic:blipFill>
                  <pic:spPr bwMode="auto">
                    <a:xfrm>
                      <a:off x="0" y="0"/>
                      <a:ext cx="5146675" cy="3980815"/>
                    </a:xfrm>
                    <a:prstGeom prst="rect">
                      <a:avLst/>
                    </a:prstGeom>
                    <a:noFill/>
                    <a:ln>
                      <a:noFill/>
                    </a:ln>
                  </pic:spPr>
                </pic:pic>
              </a:graphicData>
            </a:graphic>
          </wp:inline>
        </w:drawing>
      </w:r>
    </w:p>
    <w:p w14:paraId="74810694" w14:textId="77777777" w:rsidR="007931DE" w:rsidRPr="00D87B33" w:rsidRDefault="007931DE" w:rsidP="007931DE">
      <w:pPr>
        <w:ind w:left="720" w:firstLine="720"/>
        <w:rPr>
          <w:b/>
          <w:bCs/>
        </w:rPr>
      </w:pPr>
      <w:r w:rsidRPr="00D87B33">
        <w:rPr>
          <w:b/>
          <w:bCs/>
        </w:rPr>
        <w:t>Figure 1: Mean and Standard Deviation Plot</w:t>
      </w:r>
    </w:p>
    <w:p w14:paraId="14E64305" w14:textId="77777777" w:rsidR="00151F2D" w:rsidRDefault="00151F2D" w:rsidP="00540A57">
      <w:pPr>
        <w:spacing w:line="480" w:lineRule="auto"/>
        <w:jc w:val="both"/>
        <w:rPr>
          <w:rFonts w:ascii="Times New Roman" w:hAnsi="Times New Roman"/>
          <w:sz w:val="24"/>
          <w:szCs w:val="24"/>
        </w:rPr>
      </w:pPr>
    </w:p>
    <w:p w14:paraId="60A5D5FB" w14:textId="77777777" w:rsidR="007931DE" w:rsidRDefault="007931DE" w:rsidP="00540A57">
      <w:pPr>
        <w:spacing w:line="480" w:lineRule="auto"/>
        <w:jc w:val="both"/>
        <w:rPr>
          <w:rFonts w:ascii="Times New Roman" w:hAnsi="Times New Roman"/>
          <w:sz w:val="24"/>
          <w:szCs w:val="24"/>
        </w:rPr>
      </w:pPr>
    </w:p>
    <w:p w14:paraId="550EDCBE" w14:textId="77777777" w:rsidR="007931DE" w:rsidRDefault="007931DE" w:rsidP="00540A57">
      <w:pPr>
        <w:spacing w:line="480" w:lineRule="auto"/>
        <w:jc w:val="both"/>
        <w:rPr>
          <w:rFonts w:ascii="Times New Roman" w:hAnsi="Times New Roman"/>
          <w:sz w:val="24"/>
          <w:szCs w:val="24"/>
        </w:rPr>
      </w:pPr>
    </w:p>
    <w:p w14:paraId="363747B4" w14:textId="77777777" w:rsidR="007931DE" w:rsidRDefault="00085A0C" w:rsidP="007931DE">
      <w:pPr>
        <w:jc w:val="center"/>
      </w:pPr>
      <w:r w:rsidRPr="001A295E">
        <w:rPr>
          <w:noProof/>
          <w:lang w:val="en-US"/>
        </w:rPr>
        <w:lastRenderedPageBreak/>
        <w:drawing>
          <wp:inline distT="0" distB="0" distL="0" distR="0" wp14:anchorId="452876F8" wp14:editId="3C68DBA4">
            <wp:extent cx="5323840" cy="3388995"/>
            <wp:effectExtent l="0" t="0" r="0" b="0"/>
            <wp:docPr id="7" name="Char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pic:cNvPicPr>
                  </pic:nvPicPr>
                  <pic:blipFill>
                    <a:blip r:embed="rId13">
                      <a:extLst>
                        <a:ext uri="{28A0092B-C50C-407E-A947-70E740481C1C}">
                          <a14:useLocalDpi xmlns:a14="http://schemas.microsoft.com/office/drawing/2010/main" val="0"/>
                        </a:ext>
                      </a:extLst>
                    </a:blip>
                    <a:srcRect b="-18"/>
                    <a:stretch>
                      <a:fillRect/>
                    </a:stretch>
                  </pic:blipFill>
                  <pic:spPr bwMode="auto">
                    <a:xfrm>
                      <a:off x="0" y="0"/>
                      <a:ext cx="5323840" cy="3388995"/>
                    </a:xfrm>
                    <a:prstGeom prst="rect">
                      <a:avLst/>
                    </a:prstGeom>
                    <a:noFill/>
                    <a:ln>
                      <a:noFill/>
                    </a:ln>
                  </pic:spPr>
                </pic:pic>
              </a:graphicData>
            </a:graphic>
          </wp:inline>
        </w:drawing>
      </w:r>
    </w:p>
    <w:p w14:paraId="01C6A6B3" w14:textId="77777777" w:rsidR="007931DE" w:rsidRDefault="007931DE" w:rsidP="007931DE">
      <w:pPr>
        <w:spacing w:line="480" w:lineRule="auto"/>
        <w:jc w:val="both"/>
        <w:rPr>
          <w:b/>
          <w:bCs/>
        </w:rPr>
      </w:pPr>
      <w:r w:rsidRPr="00D87B33">
        <w:rPr>
          <w:b/>
          <w:bCs/>
        </w:rPr>
        <w:t xml:space="preserve">Figure </w:t>
      </w:r>
      <w:r>
        <w:rPr>
          <w:b/>
          <w:bCs/>
        </w:rPr>
        <w:t>2</w:t>
      </w:r>
      <w:r w:rsidRPr="00D87B33">
        <w:rPr>
          <w:b/>
          <w:bCs/>
        </w:rPr>
        <w:t xml:space="preserve">: </w:t>
      </w:r>
      <w:r>
        <w:rPr>
          <w:b/>
          <w:bCs/>
        </w:rPr>
        <w:t>Coefficient of Variation</w:t>
      </w:r>
      <w:r w:rsidRPr="00D87B33">
        <w:rPr>
          <w:b/>
          <w:bCs/>
        </w:rPr>
        <w:t xml:space="preserve"> Plot</w:t>
      </w:r>
    </w:p>
    <w:p w14:paraId="3CF5E07E" w14:textId="77777777" w:rsidR="007931DE" w:rsidRDefault="00EF3C12" w:rsidP="003E01F8">
      <w:pPr>
        <w:spacing w:after="0" w:line="240" w:lineRule="auto"/>
        <w:jc w:val="both"/>
        <w:rPr>
          <w:rFonts w:ascii="Times New Roman" w:hAnsi="Times New Roman"/>
          <w:sz w:val="24"/>
          <w:szCs w:val="24"/>
        </w:rPr>
      </w:pPr>
      <w:r w:rsidRPr="00EF3C12">
        <w:rPr>
          <w:rFonts w:ascii="Times New Roman" w:hAnsi="Times New Roman"/>
          <w:sz w:val="24"/>
          <w:szCs w:val="24"/>
        </w:rPr>
        <w:t>From Table 1 (see also Figures 1 and 2), we can see that customer deposit to asset ratio (CDAR) has the highest mean value, while domestic activity ratio (DACTR) has the highest standard deviation. However, as indicated by the coefficient of variation (CV), the interbank lending to assets ratio (BLAR) has the highest variability, followed by the tangible common equity ratio (TCER) and the domestic activity ratio, while the deposit to asset ratio has the lowest variability. The skewness coefficient shows that most of the variables have a positively skewed distribution, except CDAR, whose distribution is skewed to the left. On the other hand, the kurtosis coefficient indicates that TCER and DACTR both have a distribution that is characterised by excess kurtosis (KURT &gt; 3), while CDAR, TRAR, and BLAR have a platykurtic distribution (KURT &lt; 3).</w:t>
      </w:r>
    </w:p>
    <w:p w14:paraId="3FB215D8" w14:textId="77777777" w:rsidR="00EF3C12" w:rsidRDefault="009C35C7" w:rsidP="003E01F8">
      <w:pPr>
        <w:spacing w:after="0" w:line="240" w:lineRule="auto"/>
        <w:jc w:val="both"/>
        <w:rPr>
          <w:b/>
        </w:rPr>
      </w:pPr>
      <w:r w:rsidRPr="009C35C7">
        <w:rPr>
          <w:b/>
        </w:rPr>
        <w:t>4.2   Cluster Analysis</w:t>
      </w:r>
    </w:p>
    <w:p w14:paraId="2DFCE8AB" w14:textId="77777777" w:rsidR="009C35C7" w:rsidRDefault="009C35C7" w:rsidP="003E01F8">
      <w:pPr>
        <w:spacing w:after="0" w:line="240" w:lineRule="auto"/>
        <w:jc w:val="both"/>
        <w:rPr>
          <w:rFonts w:ascii="Times New Roman" w:hAnsi="Times New Roman"/>
          <w:sz w:val="24"/>
          <w:szCs w:val="24"/>
        </w:rPr>
      </w:pPr>
      <w:r w:rsidRPr="009C35C7">
        <w:rPr>
          <w:rFonts w:ascii="Times New Roman" w:hAnsi="Times New Roman"/>
          <w:sz w:val="24"/>
          <w:szCs w:val="24"/>
        </w:rPr>
        <w:t xml:space="preserve">First, we perform the hierarchical cluster analysis to identify the number of clusters that can be extracted from the data. Figure 3 shows the Dendrogram which represents the hierarchical relationships in our data. Secondly, we perform the two-step cluster analysis to classify banks according to their business models. Figure 4 shows the cluster model summary and cluster quality, while Figure 5 shows the cluster size. Tables 2–4 show the cluster profile, cluster labelling, and classification of banks (Wilkinson et al., 2007; Everitt et al., 2011; </w:t>
      </w:r>
      <w:proofErr w:type="spellStart"/>
      <w:r w:rsidRPr="009C35C7">
        <w:rPr>
          <w:rFonts w:ascii="Times New Roman" w:hAnsi="Times New Roman"/>
          <w:sz w:val="24"/>
          <w:szCs w:val="24"/>
        </w:rPr>
        <w:t>Calinski</w:t>
      </w:r>
      <w:proofErr w:type="spellEnd"/>
      <w:r w:rsidRPr="009C35C7">
        <w:rPr>
          <w:rFonts w:ascii="Times New Roman" w:hAnsi="Times New Roman"/>
          <w:sz w:val="24"/>
          <w:szCs w:val="24"/>
        </w:rPr>
        <w:t xml:space="preserve">, &amp; J. </w:t>
      </w:r>
      <w:proofErr w:type="spellStart"/>
      <w:r w:rsidRPr="009C35C7">
        <w:rPr>
          <w:rFonts w:ascii="Times New Roman" w:hAnsi="Times New Roman"/>
          <w:sz w:val="24"/>
          <w:szCs w:val="24"/>
        </w:rPr>
        <w:t>Harabasz</w:t>
      </w:r>
      <w:proofErr w:type="spellEnd"/>
      <w:r w:rsidRPr="009C35C7">
        <w:rPr>
          <w:rFonts w:ascii="Times New Roman" w:hAnsi="Times New Roman"/>
          <w:sz w:val="24"/>
          <w:szCs w:val="24"/>
        </w:rPr>
        <w:t>, 1974).</w:t>
      </w:r>
    </w:p>
    <w:p w14:paraId="5A76C2DC" w14:textId="77777777" w:rsidR="008566FE" w:rsidRDefault="008566FE" w:rsidP="008566FE">
      <w:pPr>
        <w:spacing w:after="240" w:line="480" w:lineRule="auto"/>
      </w:pPr>
    </w:p>
    <w:p w14:paraId="191E4A7D" w14:textId="77777777" w:rsidR="008566FE" w:rsidRDefault="00085A0C" w:rsidP="008566FE">
      <w:r w:rsidRPr="001A295E">
        <w:rPr>
          <w:noProof/>
          <w:lang w:val="en-US"/>
        </w:rPr>
        <w:lastRenderedPageBreak/>
        <w:drawing>
          <wp:inline distT="0" distB="0" distL="0" distR="0" wp14:anchorId="1DBEEA5D" wp14:editId="4031A5B6">
            <wp:extent cx="6021070" cy="7164070"/>
            <wp:effectExtent l="0" t="0" r="0" b="0"/>
            <wp:docPr id="8" name="Picture 1" descr="A picture containing text, measuring stick, devic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measuring stick, device&#10;&#10;Description automatically generated"/>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21070" cy="7164070"/>
                    </a:xfrm>
                    <a:prstGeom prst="rect">
                      <a:avLst/>
                    </a:prstGeom>
                    <a:noFill/>
                    <a:ln>
                      <a:noFill/>
                    </a:ln>
                  </pic:spPr>
                </pic:pic>
              </a:graphicData>
            </a:graphic>
          </wp:inline>
        </w:drawing>
      </w:r>
    </w:p>
    <w:p w14:paraId="3A1C6BB6" w14:textId="77777777" w:rsidR="009C35C7" w:rsidRDefault="008566FE" w:rsidP="008566FE">
      <w:pPr>
        <w:spacing w:line="480" w:lineRule="auto"/>
        <w:jc w:val="both"/>
        <w:rPr>
          <w:b/>
          <w:bCs/>
        </w:rPr>
      </w:pPr>
      <w:r w:rsidRPr="00975D5A">
        <w:rPr>
          <w:b/>
          <w:bCs/>
        </w:rPr>
        <w:t>Figure 3: Dendrogram for cluster identification</w:t>
      </w:r>
    </w:p>
    <w:p w14:paraId="6F5CF7D6" w14:textId="77777777" w:rsidR="003B7FC5" w:rsidRDefault="003B7FC5" w:rsidP="008566FE">
      <w:pPr>
        <w:spacing w:line="480" w:lineRule="auto"/>
        <w:jc w:val="both"/>
        <w:rPr>
          <w:b/>
          <w:bCs/>
        </w:rPr>
      </w:pPr>
    </w:p>
    <w:p w14:paraId="5C9CBAF6" w14:textId="77777777" w:rsidR="003B7FC5" w:rsidRDefault="003B7FC5" w:rsidP="008566FE">
      <w:pPr>
        <w:spacing w:line="480" w:lineRule="auto"/>
        <w:jc w:val="both"/>
        <w:rPr>
          <w:b/>
          <w:bCs/>
        </w:rPr>
      </w:pPr>
    </w:p>
    <w:p w14:paraId="03BD50B4" w14:textId="77777777" w:rsidR="003B7FC5" w:rsidRDefault="00085A0C" w:rsidP="003B7FC5">
      <w:pPr>
        <w:jc w:val="center"/>
      </w:pPr>
      <w:r w:rsidRPr="001A295E">
        <w:rPr>
          <w:noProof/>
          <w:lang w:val="en-US"/>
        </w:rPr>
        <w:lastRenderedPageBreak/>
        <w:drawing>
          <wp:inline distT="0" distB="0" distL="0" distR="0" wp14:anchorId="4BAF0C3C" wp14:editId="157540D4">
            <wp:extent cx="5943600" cy="3589020"/>
            <wp:effectExtent l="0" t="0" r="0" b="0"/>
            <wp:docPr id="9" name="Picture 4" descr="A picture containing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A picture containing chart&#10;&#10;Description automatically generated"/>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589020"/>
                    </a:xfrm>
                    <a:prstGeom prst="rect">
                      <a:avLst/>
                    </a:prstGeom>
                    <a:noFill/>
                    <a:ln>
                      <a:noFill/>
                    </a:ln>
                  </pic:spPr>
                </pic:pic>
              </a:graphicData>
            </a:graphic>
          </wp:inline>
        </w:drawing>
      </w:r>
    </w:p>
    <w:p w14:paraId="10CDBAFF" w14:textId="77777777" w:rsidR="003B7FC5" w:rsidRPr="00975D5A" w:rsidRDefault="003B7FC5" w:rsidP="003B7FC5">
      <w:pPr>
        <w:ind w:left="720" w:firstLine="720"/>
        <w:rPr>
          <w:b/>
          <w:bCs/>
        </w:rPr>
      </w:pPr>
      <w:r w:rsidRPr="00975D5A">
        <w:rPr>
          <w:b/>
          <w:bCs/>
        </w:rPr>
        <w:t xml:space="preserve">Figure </w:t>
      </w:r>
      <w:r>
        <w:rPr>
          <w:b/>
          <w:bCs/>
        </w:rPr>
        <w:t>4</w:t>
      </w:r>
      <w:r w:rsidRPr="00975D5A">
        <w:rPr>
          <w:b/>
          <w:bCs/>
        </w:rPr>
        <w:t xml:space="preserve">: </w:t>
      </w:r>
      <w:r>
        <w:rPr>
          <w:b/>
          <w:bCs/>
        </w:rPr>
        <w:t>Model Summary and Cluster Quality</w:t>
      </w:r>
    </w:p>
    <w:p w14:paraId="3F8B858E" w14:textId="77777777" w:rsidR="003B7FC5" w:rsidRDefault="003B7FC5" w:rsidP="003B7FC5">
      <w:pPr>
        <w:jc w:val="center"/>
      </w:pPr>
    </w:p>
    <w:p w14:paraId="668F65E9" w14:textId="77777777" w:rsidR="003B7FC5" w:rsidRDefault="00085A0C" w:rsidP="003B7FC5">
      <w:pPr>
        <w:jc w:val="center"/>
      </w:pPr>
      <w:r w:rsidRPr="001A295E">
        <w:rPr>
          <w:noProof/>
          <w:lang w:val="en-US"/>
        </w:rPr>
        <w:drawing>
          <wp:inline distT="0" distB="0" distL="0" distR="0" wp14:anchorId="4E44AF20" wp14:editId="3BFF3B9D">
            <wp:extent cx="4666615" cy="3866515"/>
            <wp:effectExtent l="0" t="0" r="0" b="0"/>
            <wp:docPr id="10" name="Picture 10" descr="Chart, pie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Chart, pie chart&#10;&#10;Description automatically generated"/>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6615" cy="3866515"/>
                    </a:xfrm>
                    <a:prstGeom prst="rect">
                      <a:avLst/>
                    </a:prstGeom>
                    <a:noFill/>
                    <a:ln>
                      <a:noFill/>
                    </a:ln>
                  </pic:spPr>
                </pic:pic>
              </a:graphicData>
            </a:graphic>
          </wp:inline>
        </w:drawing>
      </w:r>
    </w:p>
    <w:p w14:paraId="264586DE" w14:textId="77777777" w:rsidR="00C35022" w:rsidRPr="00C35022" w:rsidRDefault="003B7FC5" w:rsidP="00C35022">
      <w:pPr>
        <w:ind w:left="720" w:firstLine="720"/>
        <w:rPr>
          <w:b/>
          <w:bCs/>
        </w:rPr>
      </w:pPr>
      <w:r w:rsidRPr="00975D5A">
        <w:rPr>
          <w:b/>
          <w:bCs/>
        </w:rPr>
        <w:t xml:space="preserve">Figure </w:t>
      </w:r>
      <w:r>
        <w:rPr>
          <w:b/>
          <w:bCs/>
        </w:rPr>
        <w:t>5</w:t>
      </w:r>
      <w:r w:rsidRPr="00975D5A">
        <w:rPr>
          <w:b/>
          <w:bCs/>
        </w:rPr>
        <w:t xml:space="preserve">: </w:t>
      </w:r>
      <w:r>
        <w:rPr>
          <w:b/>
          <w:bCs/>
        </w:rPr>
        <w:t>Cluster size</w:t>
      </w:r>
    </w:p>
    <w:p w14:paraId="5453C9B7" w14:textId="77777777" w:rsidR="00C35022" w:rsidRPr="00A17135" w:rsidRDefault="00C35022" w:rsidP="00C35022">
      <w:pPr>
        <w:rPr>
          <w:b/>
          <w:bCs/>
        </w:rPr>
      </w:pPr>
      <w:r w:rsidRPr="00A17135">
        <w:rPr>
          <w:b/>
          <w:bCs/>
        </w:rPr>
        <w:lastRenderedPageBreak/>
        <w:t xml:space="preserve">Table 2: </w:t>
      </w:r>
      <w:r>
        <w:rPr>
          <w:b/>
          <w:bCs/>
        </w:rPr>
        <w:t xml:space="preserve">Cluster Profiles (Centroids)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2276"/>
        <w:gridCol w:w="2221"/>
        <w:gridCol w:w="2257"/>
      </w:tblGrid>
      <w:tr w:rsidR="00C35022" w:rsidRPr="00D52B01" w14:paraId="7B5F34A0" w14:textId="77777777" w:rsidTr="000A303F">
        <w:trPr>
          <w:trHeight w:val="85"/>
        </w:trPr>
        <w:tc>
          <w:tcPr>
            <w:tcW w:w="2435" w:type="dxa"/>
            <w:vMerge w:val="restart"/>
          </w:tcPr>
          <w:p w14:paraId="2D6E4DDE" w14:textId="77777777" w:rsidR="00C35022" w:rsidRPr="00D52B01" w:rsidRDefault="00C35022" w:rsidP="000A303F">
            <w:pPr>
              <w:rPr>
                <w:b/>
                <w:bCs/>
              </w:rPr>
            </w:pPr>
          </w:p>
          <w:p w14:paraId="7BAE160F" w14:textId="77777777" w:rsidR="00C35022" w:rsidRPr="00D52B01" w:rsidRDefault="00C35022" w:rsidP="000A303F">
            <w:pPr>
              <w:rPr>
                <w:b/>
                <w:bCs/>
              </w:rPr>
            </w:pPr>
            <w:r w:rsidRPr="00D52B01">
              <w:rPr>
                <w:b/>
                <w:bCs/>
              </w:rPr>
              <w:t xml:space="preserve">Variables </w:t>
            </w:r>
          </w:p>
        </w:tc>
        <w:tc>
          <w:tcPr>
            <w:tcW w:w="2435" w:type="dxa"/>
          </w:tcPr>
          <w:p w14:paraId="60914A8A" w14:textId="77777777" w:rsidR="00C35022" w:rsidRPr="00D52B01" w:rsidRDefault="00C35022" w:rsidP="000A303F">
            <w:pPr>
              <w:jc w:val="center"/>
              <w:rPr>
                <w:b/>
                <w:bCs/>
              </w:rPr>
            </w:pPr>
            <w:r w:rsidRPr="00D52B01">
              <w:rPr>
                <w:b/>
                <w:bCs/>
              </w:rPr>
              <w:t>1</w:t>
            </w:r>
          </w:p>
        </w:tc>
        <w:tc>
          <w:tcPr>
            <w:tcW w:w="2435" w:type="dxa"/>
          </w:tcPr>
          <w:p w14:paraId="40E56B2C" w14:textId="77777777" w:rsidR="00C35022" w:rsidRPr="00D52B01" w:rsidRDefault="00C35022" w:rsidP="000A303F">
            <w:pPr>
              <w:jc w:val="center"/>
              <w:rPr>
                <w:b/>
                <w:bCs/>
              </w:rPr>
            </w:pPr>
            <w:r w:rsidRPr="00D52B01">
              <w:rPr>
                <w:b/>
                <w:bCs/>
              </w:rPr>
              <w:t>2</w:t>
            </w:r>
          </w:p>
        </w:tc>
        <w:tc>
          <w:tcPr>
            <w:tcW w:w="2435" w:type="dxa"/>
          </w:tcPr>
          <w:p w14:paraId="3C4D450F" w14:textId="77777777" w:rsidR="00C35022" w:rsidRPr="00D52B01" w:rsidRDefault="00C35022" w:rsidP="000A303F">
            <w:pPr>
              <w:jc w:val="center"/>
              <w:rPr>
                <w:b/>
                <w:bCs/>
              </w:rPr>
            </w:pPr>
            <w:r w:rsidRPr="00D52B01">
              <w:rPr>
                <w:b/>
                <w:bCs/>
              </w:rPr>
              <w:t>3</w:t>
            </w:r>
          </w:p>
        </w:tc>
      </w:tr>
      <w:tr w:rsidR="00C35022" w:rsidRPr="00D52B01" w14:paraId="06F0849B" w14:textId="77777777" w:rsidTr="000A303F">
        <w:trPr>
          <w:trHeight w:val="85"/>
        </w:trPr>
        <w:tc>
          <w:tcPr>
            <w:tcW w:w="2435" w:type="dxa"/>
            <w:vMerge/>
          </w:tcPr>
          <w:p w14:paraId="0E72D8B6" w14:textId="77777777" w:rsidR="00C35022" w:rsidRPr="00D52B01" w:rsidRDefault="00C35022" w:rsidP="000A303F">
            <w:pPr>
              <w:rPr>
                <w:b/>
                <w:bCs/>
              </w:rPr>
            </w:pPr>
          </w:p>
        </w:tc>
        <w:tc>
          <w:tcPr>
            <w:tcW w:w="2435" w:type="dxa"/>
          </w:tcPr>
          <w:p w14:paraId="66F077E3" w14:textId="77777777" w:rsidR="00C35022" w:rsidRPr="00D52B01" w:rsidRDefault="00C35022" w:rsidP="000A303F">
            <w:pPr>
              <w:jc w:val="center"/>
              <w:rPr>
                <w:b/>
                <w:bCs/>
              </w:rPr>
            </w:pPr>
            <w:r w:rsidRPr="00D52B01">
              <w:rPr>
                <w:b/>
                <w:bCs/>
              </w:rPr>
              <w:t>Wholesale</w:t>
            </w:r>
          </w:p>
        </w:tc>
        <w:tc>
          <w:tcPr>
            <w:tcW w:w="2435" w:type="dxa"/>
          </w:tcPr>
          <w:p w14:paraId="32341B07" w14:textId="77777777" w:rsidR="00C35022" w:rsidRPr="00D52B01" w:rsidRDefault="00C35022" w:rsidP="000A303F">
            <w:pPr>
              <w:jc w:val="center"/>
              <w:rPr>
                <w:b/>
                <w:bCs/>
              </w:rPr>
            </w:pPr>
            <w:r w:rsidRPr="00D52B01">
              <w:rPr>
                <w:b/>
                <w:bCs/>
              </w:rPr>
              <w:t>Retail</w:t>
            </w:r>
          </w:p>
        </w:tc>
        <w:tc>
          <w:tcPr>
            <w:tcW w:w="2435" w:type="dxa"/>
          </w:tcPr>
          <w:p w14:paraId="13FDB409" w14:textId="77777777" w:rsidR="00C35022" w:rsidRPr="00D52B01" w:rsidRDefault="00C35022" w:rsidP="000A303F">
            <w:pPr>
              <w:jc w:val="center"/>
              <w:rPr>
                <w:b/>
                <w:bCs/>
              </w:rPr>
            </w:pPr>
            <w:r w:rsidRPr="00D52B01">
              <w:rPr>
                <w:b/>
                <w:bCs/>
              </w:rPr>
              <w:t>Market-Oriented</w:t>
            </w:r>
          </w:p>
        </w:tc>
      </w:tr>
      <w:tr w:rsidR="00C35022" w:rsidRPr="00D52B01" w14:paraId="6F6DDC08" w14:textId="77777777" w:rsidTr="000A303F">
        <w:tc>
          <w:tcPr>
            <w:tcW w:w="2435" w:type="dxa"/>
          </w:tcPr>
          <w:p w14:paraId="541BDEC9" w14:textId="77777777" w:rsidR="00C35022" w:rsidRPr="00D52B01" w:rsidRDefault="00C35022" w:rsidP="000A303F">
            <w:r w:rsidRPr="00D52B01">
              <w:t>CDAR</w:t>
            </w:r>
          </w:p>
        </w:tc>
        <w:tc>
          <w:tcPr>
            <w:tcW w:w="2435" w:type="dxa"/>
          </w:tcPr>
          <w:p w14:paraId="4C3EB2DD" w14:textId="77777777" w:rsidR="00C35022" w:rsidRPr="00D52B01" w:rsidRDefault="00C35022" w:rsidP="000A303F">
            <w:pPr>
              <w:jc w:val="center"/>
            </w:pPr>
            <w:r w:rsidRPr="00D52B01">
              <w:t>65.38</w:t>
            </w:r>
          </w:p>
        </w:tc>
        <w:tc>
          <w:tcPr>
            <w:tcW w:w="2435" w:type="dxa"/>
          </w:tcPr>
          <w:p w14:paraId="1C60AD11" w14:textId="77777777" w:rsidR="00C35022" w:rsidRPr="00D52B01" w:rsidRDefault="00C35022" w:rsidP="000A303F">
            <w:pPr>
              <w:jc w:val="center"/>
            </w:pPr>
            <w:r w:rsidRPr="00D52B01">
              <w:t>72.95</w:t>
            </w:r>
          </w:p>
        </w:tc>
        <w:tc>
          <w:tcPr>
            <w:tcW w:w="2435" w:type="dxa"/>
          </w:tcPr>
          <w:p w14:paraId="43DC246A" w14:textId="77777777" w:rsidR="00C35022" w:rsidRPr="00D52B01" w:rsidRDefault="00C35022" w:rsidP="000A303F">
            <w:pPr>
              <w:jc w:val="center"/>
            </w:pPr>
            <w:r w:rsidRPr="00D52B01">
              <w:t>64.83</w:t>
            </w:r>
          </w:p>
        </w:tc>
      </w:tr>
      <w:tr w:rsidR="00C35022" w:rsidRPr="00D52B01" w14:paraId="056E9937" w14:textId="77777777" w:rsidTr="000A303F">
        <w:tc>
          <w:tcPr>
            <w:tcW w:w="2435" w:type="dxa"/>
          </w:tcPr>
          <w:p w14:paraId="649F23D4" w14:textId="77777777" w:rsidR="00C35022" w:rsidRPr="00D52B01" w:rsidRDefault="00C35022" w:rsidP="000A303F">
            <w:r w:rsidRPr="00D52B01">
              <w:t>TAAR</w:t>
            </w:r>
          </w:p>
        </w:tc>
        <w:tc>
          <w:tcPr>
            <w:tcW w:w="2435" w:type="dxa"/>
          </w:tcPr>
          <w:p w14:paraId="482E5ED9" w14:textId="77777777" w:rsidR="00C35022" w:rsidRPr="00D52B01" w:rsidRDefault="00C35022" w:rsidP="000A303F">
            <w:pPr>
              <w:jc w:val="center"/>
            </w:pPr>
            <w:r w:rsidRPr="00D52B01">
              <w:t>39.60</w:t>
            </w:r>
          </w:p>
        </w:tc>
        <w:tc>
          <w:tcPr>
            <w:tcW w:w="2435" w:type="dxa"/>
          </w:tcPr>
          <w:p w14:paraId="35F974B6" w14:textId="77777777" w:rsidR="00C35022" w:rsidRPr="00D52B01" w:rsidRDefault="00C35022" w:rsidP="000A303F">
            <w:pPr>
              <w:jc w:val="center"/>
            </w:pPr>
            <w:r w:rsidRPr="00D52B01">
              <w:t>40.80</w:t>
            </w:r>
          </w:p>
        </w:tc>
        <w:tc>
          <w:tcPr>
            <w:tcW w:w="2435" w:type="dxa"/>
          </w:tcPr>
          <w:p w14:paraId="3DFF47B4" w14:textId="77777777" w:rsidR="00C35022" w:rsidRPr="00D52B01" w:rsidRDefault="00C35022" w:rsidP="000A303F">
            <w:pPr>
              <w:jc w:val="center"/>
            </w:pPr>
            <w:r w:rsidRPr="00D52B01">
              <w:t>51.25</w:t>
            </w:r>
          </w:p>
        </w:tc>
      </w:tr>
      <w:tr w:rsidR="00C35022" w:rsidRPr="00D52B01" w14:paraId="11DB16AE" w14:textId="77777777" w:rsidTr="000A303F">
        <w:tc>
          <w:tcPr>
            <w:tcW w:w="2435" w:type="dxa"/>
          </w:tcPr>
          <w:p w14:paraId="7EF877C4" w14:textId="77777777" w:rsidR="00C35022" w:rsidRPr="00D52B01" w:rsidRDefault="00C35022" w:rsidP="000A303F">
            <w:r w:rsidRPr="00D52B01">
              <w:t>BLAR</w:t>
            </w:r>
          </w:p>
        </w:tc>
        <w:tc>
          <w:tcPr>
            <w:tcW w:w="2435" w:type="dxa"/>
          </w:tcPr>
          <w:p w14:paraId="1D17A187" w14:textId="77777777" w:rsidR="00C35022" w:rsidRPr="00D52B01" w:rsidRDefault="00C35022" w:rsidP="000A303F">
            <w:pPr>
              <w:jc w:val="center"/>
            </w:pPr>
            <w:r w:rsidRPr="00D52B01">
              <w:t>8.92</w:t>
            </w:r>
          </w:p>
        </w:tc>
        <w:tc>
          <w:tcPr>
            <w:tcW w:w="2435" w:type="dxa"/>
          </w:tcPr>
          <w:p w14:paraId="2E9C6D52" w14:textId="77777777" w:rsidR="00C35022" w:rsidRPr="00D52B01" w:rsidRDefault="00C35022" w:rsidP="000A303F">
            <w:pPr>
              <w:jc w:val="center"/>
            </w:pPr>
            <w:r w:rsidRPr="00D52B01">
              <w:t>5.04</w:t>
            </w:r>
          </w:p>
        </w:tc>
        <w:tc>
          <w:tcPr>
            <w:tcW w:w="2435" w:type="dxa"/>
          </w:tcPr>
          <w:p w14:paraId="421A9BE2" w14:textId="77777777" w:rsidR="00C35022" w:rsidRPr="00D52B01" w:rsidRDefault="00C35022" w:rsidP="000A303F">
            <w:pPr>
              <w:jc w:val="center"/>
            </w:pPr>
            <w:r w:rsidRPr="00D52B01">
              <w:t>18.19</w:t>
            </w:r>
          </w:p>
        </w:tc>
      </w:tr>
      <w:tr w:rsidR="00C35022" w:rsidRPr="00D52B01" w14:paraId="0AEB4079" w14:textId="77777777" w:rsidTr="000A303F">
        <w:tc>
          <w:tcPr>
            <w:tcW w:w="2435" w:type="dxa"/>
          </w:tcPr>
          <w:p w14:paraId="1D01C211" w14:textId="77777777" w:rsidR="00C35022" w:rsidRPr="00D52B01" w:rsidRDefault="00C35022" w:rsidP="000A303F">
            <w:r w:rsidRPr="00D52B01">
              <w:t>TCER</w:t>
            </w:r>
          </w:p>
        </w:tc>
        <w:tc>
          <w:tcPr>
            <w:tcW w:w="2435" w:type="dxa"/>
          </w:tcPr>
          <w:p w14:paraId="677ECA22" w14:textId="77777777" w:rsidR="00C35022" w:rsidRPr="00D52B01" w:rsidRDefault="00C35022" w:rsidP="000A303F">
            <w:pPr>
              <w:jc w:val="center"/>
            </w:pPr>
            <w:r w:rsidRPr="00D52B01">
              <w:t>16.22</w:t>
            </w:r>
          </w:p>
        </w:tc>
        <w:tc>
          <w:tcPr>
            <w:tcW w:w="2435" w:type="dxa"/>
          </w:tcPr>
          <w:p w14:paraId="061D70E4" w14:textId="77777777" w:rsidR="00C35022" w:rsidRPr="00D52B01" w:rsidRDefault="00C35022" w:rsidP="000A303F">
            <w:pPr>
              <w:jc w:val="center"/>
            </w:pPr>
            <w:r w:rsidRPr="00D52B01">
              <w:t>10.93</w:t>
            </w:r>
          </w:p>
        </w:tc>
        <w:tc>
          <w:tcPr>
            <w:tcW w:w="2435" w:type="dxa"/>
          </w:tcPr>
          <w:p w14:paraId="32809BF1" w14:textId="77777777" w:rsidR="00C35022" w:rsidRPr="00D52B01" w:rsidRDefault="00C35022" w:rsidP="000A303F">
            <w:pPr>
              <w:jc w:val="center"/>
            </w:pPr>
            <w:r w:rsidRPr="00D52B01">
              <w:t>12.89</w:t>
            </w:r>
          </w:p>
        </w:tc>
      </w:tr>
      <w:tr w:rsidR="00C35022" w:rsidRPr="00D52B01" w14:paraId="01D3BDC2" w14:textId="77777777" w:rsidTr="000A303F">
        <w:tc>
          <w:tcPr>
            <w:tcW w:w="2435" w:type="dxa"/>
          </w:tcPr>
          <w:p w14:paraId="7E152637" w14:textId="77777777" w:rsidR="00C35022" w:rsidRPr="00D52B01" w:rsidRDefault="00C35022" w:rsidP="000A303F">
            <w:r w:rsidRPr="00D52B01">
              <w:t>DACTR</w:t>
            </w:r>
          </w:p>
        </w:tc>
        <w:tc>
          <w:tcPr>
            <w:tcW w:w="2435" w:type="dxa"/>
          </w:tcPr>
          <w:p w14:paraId="0C67F808" w14:textId="77777777" w:rsidR="00C35022" w:rsidRPr="00D52B01" w:rsidRDefault="00C35022" w:rsidP="000A303F">
            <w:pPr>
              <w:jc w:val="center"/>
            </w:pPr>
            <w:r w:rsidRPr="00D52B01">
              <w:t>12.26</w:t>
            </w:r>
          </w:p>
        </w:tc>
        <w:tc>
          <w:tcPr>
            <w:tcW w:w="2435" w:type="dxa"/>
          </w:tcPr>
          <w:p w14:paraId="0BA2FBB0" w14:textId="77777777" w:rsidR="00C35022" w:rsidRPr="00D52B01" w:rsidRDefault="00C35022" w:rsidP="000A303F">
            <w:pPr>
              <w:jc w:val="center"/>
            </w:pPr>
            <w:r w:rsidRPr="00D52B01">
              <w:t>19.15</w:t>
            </w:r>
          </w:p>
        </w:tc>
        <w:tc>
          <w:tcPr>
            <w:tcW w:w="2435" w:type="dxa"/>
          </w:tcPr>
          <w:p w14:paraId="069E4BEF" w14:textId="77777777" w:rsidR="00C35022" w:rsidRPr="00D52B01" w:rsidRDefault="00C35022" w:rsidP="000A303F">
            <w:pPr>
              <w:jc w:val="center"/>
            </w:pPr>
            <w:r w:rsidRPr="00D52B01">
              <w:t>23.66</w:t>
            </w:r>
          </w:p>
        </w:tc>
      </w:tr>
    </w:tbl>
    <w:p w14:paraId="33237C37" w14:textId="77777777" w:rsidR="00C35022" w:rsidRDefault="00C35022" w:rsidP="00C35022"/>
    <w:p w14:paraId="7361216C" w14:textId="77777777" w:rsidR="00C35022" w:rsidRPr="00A17135" w:rsidRDefault="00C35022" w:rsidP="00C35022">
      <w:pPr>
        <w:ind w:firstLine="720"/>
        <w:rPr>
          <w:b/>
          <w:bCs/>
        </w:rPr>
      </w:pPr>
      <w:r w:rsidRPr="00A17135">
        <w:rPr>
          <w:b/>
          <w:bCs/>
        </w:rPr>
        <w:t xml:space="preserve">Table </w:t>
      </w:r>
      <w:r>
        <w:rPr>
          <w:b/>
          <w:bCs/>
        </w:rPr>
        <w:t xml:space="preserve">3: Classification of Banks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2280"/>
        <w:gridCol w:w="2229"/>
        <w:gridCol w:w="2262"/>
      </w:tblGrid>
      <w:tr w:rsidR="00C35022" w:rsidRPr="00D52B01" w14:paraId="0700F9CB" w14:textId="77777777" w:rsidTr="000A303F">
        <w:trPr>
          <w:trHeight w:val="85"/>
        </w:trPr>
        <w:tc>
          <w:tcPr>
            <w:tcW w:w="2435" w:type="dxa"/>
          </w:tcPr>
          <w:p w14:paraId="704C1C1A" w14:textId="77777777" w:rsidR="00C35022" w:rsidRPr="00D52B01" w:rsidRDefault="00C35022" w:rsidP="000A303F">
            <w:pPr>
              <w:rPr>
                <w:b/>
                <w:bCs/>
              </w:rPr>
            </w:pPr>
            <w:r w:rsidRPr="00D52B01">
              <w:rPr>
                <w:b/>
                <w:bCs/>
              </w:rPr>
              <w:t>Bank</w:t>
            </w:r>
          </w:p>
        </w:tc>
        <w:tc>
          <w:tcPr>
            <w:tcW w:w="2435" w:type="dxa"/>
          </w:tcPr>
          <w:p w14:paraId="32DEF2A1" w14:textId="77777777" w:rsidR="00C35022" w:rsidRPr="00D52B01" w:rsidRDefault="00C35022" w:rsidP="000A303F">
            <w:pPr>
              <w:jc w:val="center"/>
              <w:rPr>
                <w:b/>
                <w:bCs/>
              </w:rPr>
            </w:pPr>
            <w:r w:rsidRPr="00D52B01">
              <w:rPr>
                <w:b/>
                <w:bCs/>
              </w:rPr>
              <w:t>1</w:t>
            </w:r>
          </w:p>
        </w:tc>
        <w:tc>
          <w:tcPr>
            <w:tcW w:w="2435" w:type="dxa"/>
          </w:tcPr>
          <w:p w14:paraId="2E0ED498" w14:textId="77777777" w:rsidR="00C35022" w:rsidRPr="00D52B01" w:rsidRDefault="00C35022" w:rsidP="000A303F">
            <w:pPr>
              <w:jc w:val="center"/>
              <w:rPr>
                <w:b/>
                <w:bCs/>
              </w:rPr>
            </w:pPr>
            <w:r w:rsidRPr="00D52B01">
              <w:rPr>
                <w:b/>
                <w:bCs/>
              </w:rPr>
              <w:t>2</w:t>
            </w:r>
          </w:p>
        </w:tc>
        <w:tc>
          <w:tcPr>
            <w:tcW w:w="2435" w:type="dxa"/>
          </w:tcPr>
          <w:p w14:paraId="09FE9759" w14:textId="77777777" w:rsidR="00C35022" w:rsidRPr="00D52B01" w:rsidRDefault="00C35022" w:rsidP="000A303F">
            <w:pPr>
              <w:jc w:val="center"/>
              <w:rPr>
                <w:b/>
                <w:bCs/>
              </w:rPr>
            </w:pPr>
            <w:r w:rsidRPr="00D52B01">
              <w:rPr>
                <w:b/>
                <w:bCs/>
              </w:rPr>
              <w:t>3</w:t>
            </w:r>
          </w:p>
        </w:tc>
      </w:tr>
      <w:tr w:rsidR="00C35022" w:rsidRPr="00D52B01" w14:paraId="44C2FA72" w14:textId="77777777" w:rsidTr="000A303F">
        <w:trPr>
          <w:trHeight w:val="85"/>
        </w:trPr>
        <w:tc>
          <w:tcPr>
            <w:tcW w:w="2435" w:type="dxa"/>
          </w:tcPr>
          <w:p w14:paraId="4B7B86A9" w14:textId="77777777" w:rsidR="00C35022" w:rsidRPr="00D52B01" w:rsidRDefault="00C35022" w:rsidP="000A303F">
            <w:pPr>
              <w:rPr>
                <w:b/>
                <w:bCs/>
              </w:rPr>
            </w:pPr>
            <w:r w:rsidRPr="00D52B01">
              <w:rPr>
                <w:b/>
                <w:bCs/>
              </w:rPr>
              <w:t>Bank</w:t>
            </w:r>
          </w:p>
        </w:tc>
        <w:tc>
          <w:tcPr>
            <w:tcW w:w="2435" w:type="dxa"/>
          </w:tcPr>
          <w:p w14:paraId="5CE9D7C9" w14:textId="77777777" w:rsidR="00C35022" w:rsidRPr="00D52B01" w:rsidRDefault="00C35022" w:rsidP="000A303F">
            <w:pPr>
              <w:jc w:val="center"/>
              <w:rPr>
                <w:b/>
                <w:bCs/>
              </w:rPr>
            </w:pPr>
            <w:r w:rsidRPr="00D52B01">
              <w:rPr>
                <w:b/>
                <w:bCs/>
              </w:rPr>
              <w:t>Wholesale</w:t>
            </w:r>
          </w:p>
        </w:tc>
        <w:tc>
          <w:tcPr>
            <w:tcW w:w="2435" w:type="dxa"/>
          </w:tcPr>
          <w:p w14:paraId="1208246C" w14:textId="77777777" w:rsidR="00C35022" w:rsidRPr="00D52B01" w:rsidRDefault="00C35022" w:rsidP="000A303F">
            <w:pPr>
              <w:jc w:val="center"/>
              <w:rPr>
                <w:b/>
                <w:bCs/>
              </w:rPr>
            </w:pPr>
            <w:r w:rsidRPr="00D52B01">
              <w:rPr>
                <w:b/>
                <w:bCs/>
              </w:rPr>
              <w:t>Retail</w:t>
            </w:r>
          </w:p>
        </w:tc>
        <w:tc>
          <w:tcPr>
            <w:tcW w:w="2435" w:type="dxa"/>
          </w:tcPr>
          <w:p w14:paraId="5D69F403" w14:textId="77777777" w:rsidR="00C35022" w:rsidRPr="00D52B01" w:rsidRDefault="00C35022" w:rsidP="000A303F">
            <w:pPr>
              <w:jc w:val="center"/>
              <w:rPr>
                <w:b/>
                <w:bCs/>
              </w:rPr>
            </w:pPr>
            <w:r w:rsidRPr="00D52B01">
              <w:rPr>
                <w:b/>
                <w:bCs/>
              </w:rPr>
              <w:t>Market-Oriented</w:t>
            </w:r>
          </w:p>
        </w:tc>
      </w:tr>
      <w:tr w:rsidR="00C35022" w:rsidRPr="00D52B01" w14:paraId="4942FA75" w14:textId="77777777" w:rsidTr="000A303F">
        <w:tc>
          <w:tcPr>
            <w:tcW w:w="2435" w:type="dxa"/>
          </w:tcPr>
          <w:p w14:paraId="070EBBB6" w14:textId="77777777" w:rsidR="00C35022" w:rsidRPr="00D52B01" w:rsidRDefault="00C35022" w:rsidP="000A303F">
            <w:r w:rsidRPr="00D52B01">
              <w:t>ACCESS</w:t>
            </w:r>
          </w:p>
        </w:tc>
        <w:tc>
          <w:tcPr>
            <w:tcW w:w="2435" w:type="dxa"/>
          </w:tcPr>
          <w:p w14:paraId="5B43F5DB" w14:textId="77777777" w:rsidR="00C35022" w:rsidRPr="00D52B01" w:rsidRDefault="00C35022" w:rsidP="000A303F">
            <w:pPr>
              <w:jc w:val="center"/>
            </w:pPr>
            <w:r w:rsidRPr="00D52B01">
              <w:t>0%</w:t>
            </w:r>
          </w:p>
        </w:tc>
        <w:tc>
          <w:tcPr>
            <w:tcW w:w="2435" w:type="dxa"/>
          </w:tcPr>
          <w:p w14:paraId="593BAA00" w14:textId="77777777" w:rsidR="00C35022" w:rsidRPr="00D52B01" w:rsidRDefault="00C35022" w:rsidP="000A303F">
            <w:pPr>
              <w:jc w:val="center"/>
            </w:pPr>
            <w:r w:rsidRPr="00D52B01">
              <w:t>92.3%</w:t>
            </w:r>
          </w:p>
        </w:tc>
        <w:tc>
          <w:tcPr>
            <w:tcW w:w="2435" w:type="dxa"/>
          </w:tcPr>
          <w:p w14:paraId="60F59ADD" w14:textId="77777777" w:rsidR="00C35022" w:rsidRPr="00D52B01" w:rsidRDefault="00C35022" w:rsidP="000A303F">
            <w:pPr>
              <w:jc w:val="center"/>
            </w:pPr>
            <w:r w:rsidRPr="00D52B01">
              <w:t>7.7%</w:t>
            </w:r>
          </w:p>
        </w:tc>
      </w:tr>
      <w:tr w:rsidR="00C35022" w:rsidRPr="00D52B01" w14:paraId="3D18EDFA" w14:textId="77777777" w:rsidTr="000A303F">
        <w:tc>
          <w:tcPr>
            <w:tcW w:w="2435" w:type="dxa"/>
          </w:tcPr>
          <w:p w14:paraId="298F431B" w14:textId="77777777" w:rsidR="00C35022" w:rsidRPr="00D52B01" w:rsidRDefault="00C35022" w:rsidP="000A303F">
            <w:r w:rsidRPr="00D52B01">
              <w:t>ZENITH</w:t>
            </w:r>
          </w:p>
        </w:tc>
        <w:tc>
          <w:tcPr>
            <w:tcW w:w="2435" w:type="dxa"/>
          </w:tcPr>
          <w:p w14:paraId="780E2C29" w14:textId="77777777" w:rsidR="00C35022" w:rsidRPr="00D52B01" w:rsidRDefault="00C35022" w:rsidP="000A303F">
            <w:pPr>
              <w:jc w:val="center"/>
            </w:pPr>
            <w:r w:rsidRPr="00D52B01">
              <w:t xml:space="preserve">100% </w:t>
            </w:r>
          </w:p>
        </w:tc>
        <w:tc>
          <w:tcPr>
            <w:tcW w:w="2435" w:type="dxa"/>
          </w:tcPr>
          <w:p w14:paraId="52C11A6D" w14:textId="77777777" w:rsidR="00C35022" w:rsidRPr="00D52B01" w:rsidRDefault="00C35022" w:rsidP="000A303F">
            <w:pPr>
              <w:jc w:val="center"/>
            </w:pPr>
            <w:r w:rsidRPr="00D52B01">
              <w:t>0%</w:t>
            </w:r>
          </w:p>
        </w:tc>
        <w:tc>
          <w:tcPr>
            <w:tcW w:w="2435" w:type="dxa"/>
          </w:tcPr>
          <w:p w14:paraId="551FB96A" w14:textId="77777777" w:rsidR="00C35022" w:rsidRPr="00D52B01" w:rsidRDefault="00C35022" w:rsidP="000A303F">
            <w:pPr>
              <w:jc w:val="center"/>
            </w:pPr>
            <w:r w:rsidRPr="00D52B01">
              <w:t>0%</w:t>
            </w:r>
          </w:p>
        </w:tc>
      </w:tr>
      <w:tr w:rsidR="00C35022" w:rsidRPr="00D52B01" w14:paraId="29EE39C2" w14:textId="77777777" w:rsidTr="000A303F">
        <w:tc>
          <w:tcPr>
            <w:tcW w:w="2435" w:type="dxa"/>
          </w:tcPr>
          <w:p w14:paraId="006E5AD4" w14:textId="77777777" w:rsidR="00C35022" w:rsidRPr="00D52B01" w:rsidRDefault="00C35022" w:rsidP="000A303F">
            <w:r w:rsidRPr="00D52B01">
              <w:t>UBA</w:t>
            </w:r>
          </w:p>
        </w:tc>
        <w:tc>
          <w:tcPr>
            <w:tcW w:w="2435" w:type="dxa"/>
          </w:tcPr>
          <w:p w14:paraId="249F23AD" w14:textId="77777777" w:rsidR="00C35022" w:rsidRPr="00D52B01" w:rsidRDefault="00C35022" w:rsidP="000A303F">
            <w:pPr>
              <w:jc w:val="center"/>
            </w:pPr>
            <w:r w:rsidRPr="00D52B01">
              <w:t>0%</w:t>
            </w:r>
          </w:p>
        </w:tc>
        <w:tc>
          <w:tcPr>
            <w:tcW w:w="2435" w:type="dxa"/>
          </w:tcPr>
          <w:p w14:paraId="08286138" w14:textId="77777777" w:rsidR="00C35022" w:rsidRPr="00D52B01" w:rsidRDefault="00C35022" w:rsidP="000A303F">
            <w:pPr>
              <w:jc w:val="center"/>
            </w:pPr>
            <w:r w:rsidRPr="00D52B01">
              <w:t>100%</w:t>
            </w:r>
          </w:p>
        </w:tc>
        <w:tc>
          <w:tcPr>
            <w:tcW w:w="2435" w:type="dxa"/>
          </w:tcPr>
          <w:p w14:paraId="10265742" w14:textId="77777777" w:rsidR="00C35022" w:rsidRPr="00D52B01" w:rsidRDefault="00C35022" w:rsidP="000A303F">
            <w:pPr>
              <w:jc w:val="center"/>
            </w:pPr>
            <w:r w:rsidRPr="00D52B01">
              <w:t>0%</w:t>
            </w:r>
          </w:p>
        </w:tc>
      </w:tr>
      <w:tr w:rsidR="00C35022" w:rsidRPr="00D52B01" w14:paraId="6DB855CF" w14:textId="77777777" w:rsidTr="000A303F">
        <w:tc>
          <w:tcPr>
            <w:tcW w:w="2435" w:type="dxa"/>
          </w:tcPr>
          <w:p w14:paraId="332AA134" w14:textId="77777777" w:rsidR="00C35022" w:rsidRPr="00D52B01" w:rsidRDefault="00C35022" w:rsidP="000A303F">
            <w:r w:rsidRPr="00D52B01">
              <w:t>FBN</w:t>
            </w:r>
          </w:p>
        </w:tc>
        <w:tc>
          <w:tcPr>
            <w:tcW w:w="2435" w:type="dxa"/>
          </w:tcPr>
          <w:p w14:paraId="0577224C" w14:textId="77777777" w:rsidR="00C35022" w:rsidRPr="00D52B01" w:rsidRDefault="00C35022" w:rsidP="000A303F">
            <w:pPr>
              <w:jc w:val="center"/>
            </w:pPr>
            <w:r w:rsidRPr="00D52B01">
              <w:t>0%</w:t>
            </w:r>
          </w:p>
        </w:tc>
        <w:tc>
          <w:tcPr>
            <w:tcW w:w="2435" w:type="dxa"/>
          </w:tcPr>
          <w:p w14:paraId="466B63A3" w14:textId="77777777" w:rsidR="00C35022" w:rsidRPr="00D52B01" w:rsidRDefault="00C35022" w:rsidP="000A303F">
            <w:pPr>
              <w:jc w:val="center"/>
            </w:pPr>
            <w:r w:rsidRPr="00D52B01">
              <w:t>0%</w:t>
            </w:r>
          </w:p>
        </w:tc>
        <w:tc>
          <w:tcPr>
            <w:tcW w:w="2435" w:type="dxa"/>
          </w:tcPr>
          <w:p w14:paraId="20DA31E1" w14:textId="77777777" w:rsidR="00C35022" w:rsidRPr="00D52B01" w:rsidRDefault="00C35022" w:rsidP="000A303F">
            <w:pPr>
              <w:jc w:val="center"/>
            </w:pPr>
            <w:r w:rsidRPr="00D52B01">
              <w:t>100%</w:t>
            </w:r>
          </w:p>
        </w:tc>
      </w:tr>
      <w:tr w:rsidR="00C35022" w:rsidRPr="00D52B01" w14:paraId="1FA7F02C" w14:textId="77777777" w:rsidTr="000A303F">
        <w:tc>
          <w:tcPr>
            <w:tcW w:w="2435" w:type="dxa"/>
          </w:tcPr>
          <w:p w14:paraId="53C0D491" w14:textId="77777777" w:rsidR="00C35022" w:rsidRPr="00D52B01" w:rsidRDefault="00C35022" w:rsidP="000A303F">
            <w:r w:rsidRPr="00D52B01">
              <w:t>GTB</w:t>
            </w:r>
          </w:p>
        </w:tc>
        <w:tc>
          <w:tcPr>
            <w:tcW w:w="2435" w:type="dxa"/>
          </w:tcPr>
          <w:p w14:paraId="27A7ADF2" w14:textId="77777777" w:rsidR="00C35022" w:rsidRPr="00D52B01" w:rsidRDefault="00C35022" w:rsidP="000A303F">
            <w:pPr>
              <w:jc w:val="center"/>
            </w:pPr>
            <w:r w:rsidRPr="00D52B01">
              <w:t>87.5%</w:t>
            </w:r>
          </w:p>
        </w:tc>
        <w:tc>
          <w:tcPr>
            <w:tcW w:w="2435" w:type="dxa"/>
          </w:tcPr>
          <w:p w14:paraId="66C8ECA3" w14:textId="77777777" w:rsidR="00C35022" w:rsidRPr="00D52B01" w:rsidRDefault="00C35022" w:rsidP="000A303F">
            <w:pPr>
              <w:jc w:val="center"/>
            </w:pPr>
            <w:r w:rsidRPr="00D52B01">
              <w:t>0%</w:t>
            </w:r>
          </w:p>
        </w:tc>
        <w:tc>
          <w:tcPr>
            <w:tcW w:w="2435" w:type="dxa"/>
          </w:tcPr>
          <w:p w14:paraId="452B0D3E" w14:textId="77777777" w:rsidR="00C35022" w:rsidRPr="00D52B01" w:rsidRDefault="00C35022" w:rsidP="000A303F">
            <w:pPr>
              <w:jc w:val="center"/>
            </w:pPr>
            <w:r w:rsidRPr="00D52B01">
              <w:t>12.5%</w:t>
            </w:r>
          </w:p>
        </w:tc>
      </w:tr>
    </w:tbl>
    <w:p w14:paraId="08B58A00" w14:textId="77777777" w:rsidR="00C35022" w:rsidRDefault="00C35022" w:rsidP="00C35022"/>
    <w:p w14:paraId="377BD673" w14:textId="77777777" w:rsidR="00C35022" w:rsidRDefault="00C35022" w:rsidP="00C35022">
      <w:pPr>
        <w:ind w:firstLine="720"/>
        <w:rPr>
          <w:b/>
          <w:bCs/>
        </w:rPr>
      </w:pPr>
      <w:r w:rsidRPr="004F63AA">
        <w:rPr>
          <w:b/>
          <w:bCs/>
        </w:rPr>
        <w:t xml:space="preserve">Table </w:t>
      </w:r>
      <w:r>
        <w:rPr>
          <w:b/>
          <w:bCs/>
        </w:rPr>
        <w:t>4</w:t>
      </w:r>
      <w:r w:rsidRPr="004F63AA">
        <w:rPr>
          <w:b/>
          <w:bCs/>
        </w:rPr>
        <w:t xml:space="preserve">: Switching of Banking Model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2281"/>
        <w:gridCol w:w="2227"/>
        <w:gridCol w:w="2263"/>
      </w:tblGrid>
      <w:tr w:rsidR="00C35022" w:rsidRPr="00D52B01" w14:paraId="6BE394BC" w14:textId="77777777" w:rsidTr="000A303F">
        <w:trPr>
          <w:trHeight w:val="85"/>
        </w:trPr>
        <w:tc>
          <w:tcPr>
            <w:tcW w:w="2435" w:type="dxa"/>
          </w:tcPr>
          <w:p w14:paraId="24DED950" w14:textId="77777777" w:rsidR="00C35022" w:rsidRPr="00D52B01" w:rsidRDefault="00C35022" w:rsidP="000A303F">
            <w:pPr>
              <w:rPr>
                <w:b/>
                <w:bCs/>
              </w:rPr>
            </w:pPr>
          </w:p>
        </w:tc>
        <w:tc>
          <w:tcPr>
            <w:tcW w:w="2435" w:type="dxa"/>
          </w:tcPr>
          <w:p w14:paraId="14439C3F" w14:textId="77777777" w:rsidR="00C35022" w:rsidRPr="00D52B01" w:rsidRDefault="00C35022" w:rsidP="000A303F">
            <w:pPr>
              <w:jc w:val="center"/>
              <w:rPr>
                <w:b/>
                <w:bCs/>
              </w:rPr>
            </w:pPr>
            <w:r w:rsidRPr="00D52B01">
              <w:rPr>
                <w:b/>
                <w:bCs/>
              </w:rPr>
              <w:t>1</w:t>
            </w:r>
          </w:p>
        </w:tc>
        <w:tc>
          <w:tcPr>
            <w:tcW w:w="2435" w:type="dxa"/>
          </w:tcPr>
          <w:p w14:paraId="00CDC9A0" w14:textId="77777777" w:rsidR="00C35022" w:rsidRPr="00D52B01" w:rsidRDefault="00C35022" w:rsidP="000A303F">
            <w:pPr>
              <w:jc w:val="center"/>
              <w:rPr>
                <w:b/>
                <w:bCs/>
              </w:rPr>
            </w:pPr>
            <w:r w:rsidRPr="00D52B01">
              <w:rPr>
                <w:b/>
                <w:bCs/>
              </w:rPr>
              <w:t>2</w:t>
            </w:r>
          </w:p>
        </w:tc>
        <w:tc>
          <w:tcPr>
            <w:tcW w:w="2435" w:type="dxa"/>
          </w:tcPr>
          <w:p w14:paraId="71BC9D18" w14:textId="77777777" w:rsidR="00C35022" w:rsidRPr="00D52B01" w:rsidRDefault="00C35022" w:rsidP="000A303F">
            <w:pPr>
              <w:jc w:val="center"/>
              <w:rPr>
                <w:b/>
                <w:bCs/>
              </w:rPr>
            </w:pPr>
            <w:r w:rsidRPr="00D52B01">
              <w:rPr>
                <w:b/>
                <w:bCs/>
              </w:rPr>
              <w:t>3</w:t>
            </w:r>
          </w:p>
        </w:tc>
      </w:tr>
      <w:tr w:rsidR="00C35022" w:rsidRPr="00D52B01" w14:paraId="24CAE35B" w14:textId="77777777" w:rsidTr="000A303F">
        <w:trPr>
          <w:trHeight w:val="85"/>
        </w:trPr>
        <w:tc>
          <w:tcPr>
            <w:tcW w:w="2435" w:type="dxa"/>
          </w:tcPr>
          <w:p w14:paraId="14CDCEC9" w14:textId="77777777" w:rsidR="00C35022" w:rsidRPr="00D52B01" w:rsidRDefault="00C35022" w:rsidP="000A303F">
            <w:pPr>
              <w:rPr>
                <w:b/>
                <w:bCs/>
              </w:rPr>
            </w:pPr>
            <w:r w:rsidRPr="00D52B01">
              <w:rPr>
                <w:b/>
                <w:bCs/>
              </w:rPr>
              <w:t>Bank</w:t>
            </w:r>
          </w:p>
        </w:tc>
        <w:tc>
          <w:tcPr>
            <w:tcW w:w="2435" w:type="dxa"/>
          </w:tcPr>
          <w:p w14:paraId="3682AA72" w14:textId="77777777" w:rsidR="00C35022" w:rsidRPr="00D52B01" w:rsidRDefault="00C35022" w:rsidP="000A303F">
            <w:pPr>
              <w:jc w:val="center"/>
              <w:rPr>
                <w:b/>
                <w:bCs/>
              </w:rPr>
            </w:pPr>
            <w:r w:rsidRPr="00D52B01">
              <w:rPr>
                <w:b/>
                <w:bCs/>
              </w:rPr>
              <w:t>Wholesale</w:t>
            </w:r>
          </w:p>
        </w:tc>
        <w:tc>
          <w:tcPr>
            <w:tcW w:w="2435" w:type="dxa"/>
          </w:tcPr>
          <w:p w14:paraId="4DD19E72" w14:textId="77777777" w:rsidR="00C35022" w:rsidRPr="00D52B01" w:rsidRDefault="00C35022" w:rsidP="000A303F">
            <w:pPr>
              <w:jc w:val="center"/>
              <w:rPr>
                <w:b/>
                <w:bCs/>
              </w:rPr>
            </w:pPr>
            <w:r w:rsidRPr="00D52B01">
              <w:rPr>
                <w:b/>
                <w:bCs/>
              </w:rPr>
              <w:t>Retail</w:t>
            </w:r>
          </w:p>
        </w:tc>
        <w:tc>
          <w:tcPr>
            <w:tcW w:w="2435" w:type="dxa"/>
          </w:tcPr>
          <w:p w14:paraId="7DB85CBE" w14:textId="77777777" w:rsidR="00C35022" w:rsidRPr="00D52B01" w:rsidRDefault="00C35022" w:rsidP="000A303F">
            <w:pPr>
              <w:jc w:val="center"/>
              <w:rPr>
                <w:b/>
                <w:bCs/>
              </w:rPr>
            </w:pPr>
            <w:r w:rsidRPr="00D52B01">
              <w:rPr>
                <w:b/>
                <w:bCs/>
              </w:rPr>
              <w:t>Market-Oriented</w:t>
            </w:r>
          </w:p>
        </w:tc>
      </w:tr>
      <w:tr w:rsidR="00C35022" w:rsidRPr="00D52B01" w14:paraId="7039E9C6" w14:textId="77777777" w:rsidTr="000A303F">
        <w:tc>
          <w:tcPr>
            <w:tcW w:w="2435" w:type="dxa"/>
          </w:tcPr>
          <w:p w14:paraId="1680D721" w14:textId="77777777" w:rsidR="00C35022" w:rsidRPr="00D52B01" w:rsidRDefault="00C35022" w:rsidP="000A303F">
            <w:r w:rsidRPr="00D52B01">
              <w:t>ACCESS</w:t>
            </w:r>
          </w:p>
        </w:tc>
        <w:tc>
          <w:tcPr>
            <w:tcW w:w="2435" w:type="dxa"/>
          </w:tcPr>
          <w:p w14:paraId="67C9C1E3" w14:textId="77777777" w:rsidR="00C35022" w:rsidRPr="00D52B01" w:rsidRDefault="00C35022" w:rsidP="000A303F">
            <w:pPr>
              <w:jc w:val="center"/>
            </w:pPr>
            <w:r w:rsidRPr="00D52B01">
              <w:t>–</w:t>
            </w:r>
          </w:p>
        </w:tc>
        <w:tc>
          <w:tcPr>
            <w:tcW w:w="2435" w:type="dxa"/>
          </w:tcPr>
          <w:p w14:paraId="42200472" w14:textId="77777777" w:rsidR="00C35022" w:rsidRPr="00D52B01" w:rsidRDefault="00C35022" w:rsidP="000A303F">
            <w:pPr>
              <w:jc w:val="center"/>
            </w:pPr>
            <w:r w:rsidRPr="00D52B01">
              <w:t xml:space="preserve">2006 – 2020 </w:t>
            </w:r>
          </w:p>
        </w:tc>
        <w:tc>
          <w:tcPr>
            <w:tcW w:w="2435" w:type="dxa"/>
          </w:tcPr>
          <w:p w14:paraId="6157613A" w14:textId="77777777" w:rsidR="00C35022" w:rsidRPr="00D52B01" w:rsidRDefault="00C35022" w:rsidP="000A303F">
            <w:pPr>
              <w:jc w:val="center"/>
            </w:pPr>
            <w:r w:rsidRPr="00D52B01">
              <w:t>2005</w:t>
            </w:r>
          </w:p>
        </w:tc>
      </w:tr>
      <w:tr w:rsidR="00C35022" w:rsidRPr="00D52B01" w14:paraId="04744FB9" w14:textId="77777777" w:rsidTr="000A303F">
        <w:tc>
          <w:tcPr>
            <w:tcW w:w="2435" w:type="dxa"/>
          </w:tcPr>
          <w:p w14:paraId="78CA4CDC" w14:textId="77777777" w:rsidR="00C35022" w:rsidRPr="00D52B01" w:rsidRDefault="00C35022" w:rsidP="000A303F">
            <w:r w:rsidRPr="00D52B01">
              <w:t>ZENITH</w:t>
            </w:r>
          </w:p>
        </w:tc>
        <w:tc>
          <w:tcPr>
            <w:tcW w:w="2435" w:type="dxa"/>
          </w:tcPr>
          <w:p w14:paraId="03F37E8D" w14:textId="77777777" w:rsidR="00C35022" w:rsidRPr="00D52B01" w:rsidRDefault="00C35022" w:rsidP="000A303F">
            <w:pPr>
              <w:jc w:val="center"/>
            </w:pPr>
            <w:r w:rsidRPr="00D52B01">
              <w:t xml:space="preserve">2005 – 2020  </w:t>
            </w:r>
          </w:p>
        </w:tc>
        <w:tc>
          <w:tcPr>
            <w:tcW w:w="2435" w:type="dxa"/>
          </w:tcPr>
          <w:p w14:paraId="2F4A869E" w14:textId="77777777" w:rsidR="00C35022" w:rsidRPr="00D52B01" w:rsidRDefault="00C35022" w:rsidP="000A303F">
            <w:pPr>
              <w:jc w:val="center"/>
            </w:pPr>
            <w:r w:rsidRPr="00D52B01">
              <w:t xml:space="preserve">– </w:t>
            </w:r>
          </w:p>
        </w:tc>
        <w:tc>
          <w:tcPr>
            <w:tcW w:w="2435" w:type="dxa"/>
          </w:tcPr>
          <w:p w14:paraId="591B395B" w14:textId="77777777" w:rsidR="00C35022" w:rsidRPr="00D52B01" w:rsidRDefault="00C35022" w:rsidP="000A303F">
            <w:pPr>
              <w:jc w:val="center"/>
            </w:pPr>
            <w:r w:rsidRPr="00D52B01">
              <w:t>–</w:t>
            </w:r>
          </w:p>
        </w:tc>
      </w:tr>
      <w:tr w:rsidR="00C35022" w:rsidRPr="00D52B01" w14:paraId="1F297D97" w14:textId="77777777" w:rsidTr="000A303F">
        <w:tc>
          <w:tcPr>
            <w:tcW w:w="2435" w:type="dxa"/>
          </w:tcPr>
          <w:p w14:paraId="7D2322C0" w14:textId="77777777" w:rsidR="00C35022" w:rsidRPr="00D52B01" w:rsidRDefault="00C35022" w:rsidP="000A303F">
            <w:r w:rsidRPr="00D52B01">
              <w:t>UBA</w:t>
            </w:r>
          </w:p>
        </w:tc>
        <w:tc>
          <w:tcPr>
            <w:tcW w:w="2435" w:type="dxa"/>
          </w:tcPr>
          <w:p w14:paraId="47F928F2" w14:textId="77777777" w:rsidR="00C35022" w:rsidRPr="00D52B01" w:rsidRDefault="00C35022" w:rsidP="000A303F">
            <w:pPr>
              <w:jc w:val="center"/>
            </w:pPr>
            <w:r w:rsidRPr="00D52B01">
              <w:t>–</w:t>
            </w:r>
          </w:p>
        </w:tc>
        <w:tc>
          <w:tcPr>
            <w:tcW w:w="2435" w:type="dxa"/>
          </w:tcPr>
          <w:p w14:paraId="3CA495DE" w14:textId="77777777" w:rsidR="00C35022" w:rsidRPr="00D52B01" w:rsidRDefault="00C35022" w:rsidP="000A303F">
            <w:pPr>
              <w:jc w:val="center"/>
            </w:pPr>
            <w:r w:rsidRPr="00D52B01">
              <w:t xml:space="preserve">2005 – 2020 </w:t>
            </w:r>
          </w:p>
        </w:tc>
        <w:tc>
          <w:tcPr>
            <w:tcW w:w="2435" w:type="dxa"/>
          </w:tcPr>
          <w:p w14:paraId="11164A35" w14:textId="77777777" w:rsidR="00C35022" w:rsidRPr="00D52B01" w:rsidRDefault="00C35022" w:rsidP="000A303F">
            <w:pPr>
              <w:jc w:val="center"/>
            </w:pPr>
            <w:r w:rsidRPr="00D52B01">
              <w:t>–</w:t>
            </w:r>
          </w:p>
        </w:tc>
      </w:tr>
      <w:tr w:rsidR="00C35022" w:rsidRPr="00D52B01" w14:paraId="431D218A" w14:textId="77777777" w:rsidTr="000A303F">
        <w:tc>
          <w:tcPr>
            <w:tcW w:w="2435" w:type="dxa"/>
          </w:tcPr>
          <w:p w14:paraId="15C3D563" w14:textId="77777777" w:rsidR="00C35022" w:rsidRPr="00D52B01" w:rsidRDefault="00C35022" w:rsidP="000A303F">
            <w:r w:rsidRPr="00D52B01">
              <w:t>FBN</w:t>
            </w:r>
          </w:p>
        </w:tc>
        <w:tc>
          <w:tcPr>
            <w:tcW w:w="2435" w:type="dxa"/>
          </w:tcPr>
          <w:p w14:paraId="14DDEE0A" w14:textId="77777777" w:rsidR="00C35022" w:rsidRPr="00D52B01" w:rsidRDefault="00C35022" w:rsidP="000A303F">
            <w:pPr>
              <w:jc w:val="center"/>
            </w:pPr>
            <w:r w:rsidRPr="00D52B01">
              <w:t xml:space="preserve">– </w:t>
            </w:r>
          </w:p>
        </w:tc>
        <w:tc>
          <w:tcPr>
            <w:tcW w:w="2435" w:type="dxa"/>
          </w:tcPr>
          <w:p w14:paraId="2101BC84" w14:textId="77777777" w:rsidR="00C35022" w:rsidRPr="00D52B01" w:rsidRDefault="00C35022" w:rsidP="000A303F">
            <w:pPr>
              <w:jc w:val="center"/>
            </w:pPr>
            <w:r w:rsidRPr="00D52B01">
              <w:t xml:space="preserve">– </w:t>
            </w:r>
          </w:p>
        </w:tc>
        <w:tc>
          <w:tcPr>
            <w:tcW w:w="2435" w:type="dxa"/>
          </w:tcPr>
          <w:p w14:paraId="5AA9E759" w14:textId="77777777" w:rsidR="00C35022" w:rsidRPr="00D52B01" w:rsidRDefault="00C35022" w:rsidP="000A303F">
            <w:pPr>
              <w:jc w:val="center"/>
            </w:pPr>
            <w:r w:rsidRPr="00D52B01">
              <w:t xml:space="preserve">2005 – 2020 </w:t>
            </w:r>
          </w:p>
        </w:tc>
      </w:tr>
      <w:tr w:rsidR="00C35022" w:rsidRPr="00D52B01" w14:paraId="0D1EA3CA" w14:textId="77777777" w:rsidTr="000A303F">
        <w:tc>
          <w:tcPr>
            <w:tcW w:w="2435" w:type="dxa"/>
          </w:tcPr>
          <w:p w14:paraId="4F9C8DAA" w14:textId="77777777" w:rsidR="00C35022" w:rsidRPr="00D52B01" w:rsidRDefault="00C35022" w:rsidP="000A303F">
            <w:r w:rsidRPr="00D52B01">
              <w:t>GTB</w:t>
            </w:r>
          </w:p>
        </w:tc>
        <w:tc>
          <w:tcPr>
            <w:tcW w:w="2435" w:type="dxa"/>
          </w:tcPr>
          <w:p w14:paraId="43F38721" w14:textId="77777777" w:rsidR="00C35022" w:rsidRPr="00D52B01" w:rsidRDefault="00C35022" w:rsidP="000A303F">
            <w:pPr>
              <w:jc w:val="center"/>
            </w:pPr>
            <w:r w:rsidRPr="00D52B01">
              <w:t xml:space="preserve">2005, 2008 – 2020  </w:t>
            </w:r>
          </w:p>
        </w:tc>
        <w:tc>
          <w:tcPr>
            <w:tcW w:w="2435" w:type="dxa"/>
          </w:tcPr>
          <w:p w14:paraId="7093C4B1" w14:textId="77777777" w:rsidR="00C35022" w:rsidRPr="00D52B01" w:rsidRDefault="00C35022" w:rsidP="000A303F">
            <w:pPr>
              <w:jc w:val="center"/>
            </w:pPr>
          </w:p>
        </w:tc>
        <w:tc>
          <w:tcPr>
            <w:tcW w:w="2435" w:type="dxa"/>
          </w:tcPr>
          <w:p w14:paraId="6FEDB3FB" w14:textId="77777777" w:rsidR="00C35022" w:rsidRPr="00D52B01" w:rsidRDefault="00C35022" w:rsidP="000A303F">
            <w:pPr>
              <w:jc w:val="center"/>
            </w:pPr>
            <w:r w:rsidRPr="00D52B01">
              <w:t xml:space="preserve">2006 – 2007 </w:t>
            </w:r>
          </w:p>
        </w:tc>
      </w:tr>
    </w:tbl>
    <w:p w14:paraId="6B7E3CBE" w14:textId="77777777" w:rsidR="003B7FC5" w:rsidRDefault="003B7FC5" w:rsidP="008566FE">
      <w:pPr>
        <w:spacing w:line="480" w:lineRule="auto"/>
        <w:jc w:val="both"/>
        <w:rPr>
          <w:rFonts w:ascii="Times New Roman" w:hAnsi="Times New Roman"/>
          <w:sz w:val="24"/>
          <w:szCs w:val="24"/>
        </w:rPr>
      </w:pPr>
    </w:p>
    <w:p w14:paraId="64ED4659" w14:textId="77777777" w:rsidR="00B42BFC" w:rsidRDefault="00B42BFC" w:rsidP="003E01F8">
      <w:pPr>
        <w:pStyle w:val="NormalWeb"/>
        <w:jc w:val="both"/>
      </w:pPr>
      <w:r>
        <w:lastRenderedPageBreak/>
        <w:t>As Figure 3 shows, three main clusters can be identified in the data, although, there are also smaller heterogeneous groups within each cluster. From Figure 4, the two-way cluster analysis also identifies three clusters based on six input variables: bank, CDAR, TRAR, BLAR, TCER, and DACTR. The quality of the analysis is fair. From Figure 5, we can see that the largest cluster contains 40.3% of the data, while the smallest cluster contains about 25% of the data; hence, the ratio of the largest cluster to the smallest cluster is 1.61.</w:t>
      </w:r>
    </w:p>
    <w:p w14:paraId="7DB0B1F3" w14:textId="77777777" w:rsidR="00B42BFC" w:rsidRDefault="00B42BFC" w:rsidP="003E01F8">
      <w:pPr>
        <w:pStyle w:val="NormalWeb"/>
        <w:jc w:val="both"/>
      </w:pPr>
      <w:r>
        <w:t>From the cluster profiles (centroids) in Table 2, we label the clusters as follows:</w:t>
      </w:r>
    </w:p>
    <w:p w14:paraId="7EA7AD83" w14:textId="77777777" w:rsidR="00B42BFC" w:rsidRDefault="00B42BFC" w:rsidP="003E01F8">
      <w:pPr>
        <w:pStyle w:val="NormalWeb"/>
        <w:jc w:val="both"/>
      </w:pPr>
      <w:r>
        <w:t>Cluster 1 records the lowest trading assets, the highest tangible equity, relatively high customer deposit and interbank lending, and the lowest direct activity. We tag this cluster as a wholesale banking model.</w:t>
      </w:r>
    </w:p>
    <w:p w14:paraId="01B86CB6" w14:textId="77777777" w:rsidR="007E3B25" w:rsidRDefault="007E3B25" w:rsidP="003E01F8">
      <w:pPr>
        <w:pStyle w:val="NormalWeb"/>
        <w:jc w:val="both"/>
      </w:pPr>
      <w:r>
        <w:t>Cluster 2 contains banks with the highest customer deposits, relatively low trading assets, and direct activity, as well as the lowest interbank lending and tangible equity. We name this cluster retail banking model as it comprises banks that rely heavily on stable funding through customer deposits and are rarely involved in interbank lending.</w:t>
      </w:r>
    </w:p>
    <w:p w14:paraId="1B2F27CF" w14:textId="77777777" w:rsidR="007E3B25" w:rsidRDefault="007E3B25" w:rsidP="003E01F8">
      <w:pPr>
        <w:pStyle w:val="NormalWeb"/>
        <w:jc w:val="both"/>
      </w:pPr>
      <w:r>
        <w:t>Cluster 3 contains banks with the highest direct activity, the highest interbank liability, the highest trading assets, and the lowest customer deposit ratio. We classify banks in this cluster as having a market-oriented model, as banks that adopt this strategy are deeply involved in trading and market making activities.</w:t>
      </w:r>
    </w:p>
    <w:p w14:paraId="7B16F1B0" w14:textId="77777777" w:rsidR="00B42BFC" w:rsidRDefault="00302D56" w:rsidP="003E01F8">
      <w:pPr>
        <w:spacing w:line="240" w:lineRule="auto"/>
        <w:jc w:val="both"/>
        <w:rPr>
          <w:rFonts w:ascii="Times New Roman" w:hAnsi="Times New Roman"/>
          <w:sz w:val="24"/>
          <w:szCs w:val="24"/>
        </w:rPr>
      </w:pPr>
      <w:r w:rsidRPr="00302D56">
        <w:rPr>
          <w:rFonts w:ascii="Times New Roman" w:hAnsi="Times New Roman"/>
          <w:sz w:val="24"/>
          <w:szCs w:val="24"/>
        </w:rPr>
        <w:t>Table 3, which classifies banks according to their business models, shows those three banks, namely, ZENITH, UBA, and FBN, maintain one banking model over the period under study, whereas two banks, namely, Access and GTB, switch models. For non-switchers, ZENITH maintained wholesale banking, while UBA and FBN pursued retail banking and market-oriented banking, respectively. However, as Table 4 indicates, ACCESS only adopted the market-oriented model in 2005, while it has been implementing the retail banking model since then. On the other hand, GTB started with the wholesale model in 2005 but implemented the market-oriented model between 2006 and 2007. However, the bank also switched back to the wholesale model in 2008.</w:t>
      </w:r>
    </w:p>
    <w:p w14:paraId="3A42D457" w14:textId="77777777" w:rsidR="0013731B" w:rsidRPr="0013731B" w:rsidRDefault="0013731B" w:rsidP="003E01F8">
      <w:pPr>
        <w:spacing w:line="240" w:lineRule="auto"/>
        <w:rPr>
          <w:rFonts w:ascii="Times New Roman" w:hAnsi="Times New Roman"/>
          <w:b/>
          <w:sz w:val="24"/>
          <w:szCs w:val="24"/>
        </w:rPr>
      </w:pPr>
      <w:r w:rsidRPr="0013731B">
        <w:rPr>
          <w:rFonts w:ascii="Times New Roman" w:hAnsi="Times New Roman"/>
          <w:b/>
          <w:sz w:val="24"/>
          <w:szCs w:val="24"/>
        </w:rPr>
        <w:t>4.3 DISCUSSION OF FINDINGS</w:t>
      </w:r>
    </w:p>
    <w:p w14:paraId="30D8DA8F" w14:textId="77777777" w:rsidR="0013731B" w:rsidRPr="0013731B" w:rsidRDefault="0013731B" w:rsidP="003E01F8">
      <w:pPr>
        <w:spacing w:line="240" w:lineRule="auto"/>
        <w:rPr>
          <w:rFonts w:ascii="Times New Roman" w:hAnsi="Times New Roman"/>
          <w:b/>
          <w:sz w:val="24"/>
          <w:szCs w:val="24"/>
        </w:rPr>
      </w:pPr>
      <w:r w:rsidRPr="0013731B">
        <w:rPr>
          <w:rFonts w:ascii="Times New Roman" w:hAnsi="Times New Roman"/>
          <w:b/>
          <w:sz w:val="24"/>
          <w:szCs w:val="24"/>
        </w:rPr>
        <w:t>4.3.1 Business Models and Funding Requirements</w:t>
      </w:r>
    </w:p>
    <w:p w14:paraId="0A456855" w14:textId="77777777" w:rsidR="0013731B" w:rsidRDefault="0013731B" w:rsidP="003E01F8">
      <w:pPr>
        <w:spacing w:line="240" w:lineRule="auto"/>
        <w:jc w:val="both"/>
        <w:rPr>
          <w:rFonts w:ascii="Times New Roman" w:hAnsi="Times New Roman"/>
          <w:sz w:val="24"/>
          <w:szCs w:val="24"/>
        </w:rPr>
      </w:pPr>
      <w:r w:rsidRPr="0013731B">
        <w:rPr>
          <w:rFonts w:ascii="Times New Roman" w:hAnsi="Times New Roman"/>
          <w:sz w:val="24"/>
          <w:szCs w:val="24"/>
        </w:rPr>
        <w:t xml:space="preserve">The studied banks have adopted retail-funded, wholesale-funded, and market-oriented business models in the period under study. Six critical variables were used in analysing and determining the different models. These are statements of financial position ratios. See </w:t>
      </w:r>
      <w:r>
        <w:rPr>
          <w:rFonts w:ascii="Times New Roman" w:hAnsi="Times New Roman"/>
          <w:sz w:val="24"/>
          <w:szCs w:val="24"/>
        </w:rPr>
        <w:t>Ayadi</w:t>
      </w:r>
      <w:r w:rsidRPr="0013731B">
        <w:rPr>
          <w:rFonts w:ascii="Times New Roman" w:hAnsi="Times New Roman"/>
          <w:sz w:val="24"/>
          <w:szCs w:val="24"/>
        </w:rPr>
        <w:t xml:space="preserve"> et al. (2011), </w:t>
      </w:r>
      <w:proofErr w:type="spellStart"/>
      <w:r w:rsidRPr="0013731B">
        <w:rPr>
          <w:rFonts w:ascii="Times New Roman" w:hAnsi="Times New Roman"/>
          <w:sz w:val="24"/>
          <w:szCs w:val="24"/>
        </w:rPr>
        <w:t>Roengpitya</w:t>
      </w:r>
      <w:proofErr w:type="spellEnd"/>
      <w:r w:rsidRPr="0013731B">
        <w:rPr>
          <w:rFonts w:ascii="Times New Roman" w:hAnsi="Times New Roman"/>
          <w:sz w:val="24"/>
          <w:szCs w:val="24"/>
        </w:rPr>
        <w:t xml:space="preserve">, </w:t>
      </w:r>
      <w:proofErr w:type="spellStart"/>
      <w:r w:rsidRPr="0013731B">
        <w:rPr>
          <w:rFonts w:ascii="Times New Roman" w:hAnsi="Times New Roman"/>
          <w:sz w:val="24"/>
          <w:szCs w:val="24"/>
        </w:rPr>
        <w:t>Tarashev</w:t>
      </w:r>
      <w:proofErr w:type="spellEnd"/>
      <w:r w:rsidRPr="0013731B">
        <w:rPr>
          <w:rFonts w:ascii="Times New Roman" w:hAnsi="Times New Roman"/>
          <w:sz w:val="24"/>
          <w:szCs w:val="24"/>
        </w:rPr>
        <w:t xml:space="preserve">, and </w:t>
      </w:r>
      <w:proofErr w:type="spellStart"/>
      <w:r w:rsidRPr="0013731B">
        <w:rPr>
          <w:rFonts w:ascii="Times New Roman" w:hAnsi="Times New Roman"/>
          <w:sz w:val="24"/>
          <w:szCs w:val="24"/>
        </w:rPr>
        <w:t>Tsatsaronis</w:t>
      </w:r>
      <w:proofErr w:type="spellEnd"/>
      <w:r w:rsidRPr="0013731B">
        <w:rPr>
          <w:rFonts w:ascii="Times New Roman" w:hAnsi="Times New Roman"/>
          <w:sz w:val="24"/>
          <w:szCs w:val="24"/>
        </w:rPr>
        <w:t xml:space="preserve"> (2017), and </w:t>
      </w:r>
      <w:proofErr w:type="spellStart"/>
      <w:r w:rsidRPr="0013731B">
        <w:rPr>
          <w:rFonts w:ascii="Times New Roman" w:hAnsi="Times New Roman"/>
          <w:sz w:val="24"/>
          <w:szCs w:val="24"/>
        </w:rPr>
        <w:t>Mergaerts</w:t>
      </w:r>
      <w:proofErr w:type="spellEnd"/>
      <w:r w:rsidRPr="0013731B">
        <w:rPr>
          <w:rFonts w:ascii="Times New Roman" w:hAnsi="Times New Roman"/>
          <w:sz w:val="24"/>
          <w:szCs w:val="24"/>
        </w:rPr>
        <w:t xml:space="preserve"> and Vander </w:t>
      </w:r>
      <w:proofErr w:type="spellStart"/>
      <w:r w:rsidRPr="0013731B">
        <w:rPr>
          <w:rFonts w:ascii="Times New Roman" w:hAnsi="Times New Roman"/>
          <w:sz w:val="24"/>
          <w:szCs w:val="24"/>
        </w:rPr>
        <w:t>Vennet</w:t>
      </w:r>
      <w:proofErr w:type="spellEnd"/>
      <w:r w:rsidRPr="0013731B">
        <w:rPr>
          <w:rFonts w:ascii="Times New Roman" w:hAnsi="Times New Roman"/>
          <w:sz w:val="24"/>
          <w:szCs w:val="24"/>
        </w:rPr>
        <w:t xml:space="preserve"> (2016). It shows the funding requirements and the various activities the banks and various models engage in. Banks with a wholesale strategy had the lowest trading assets, low interbank lending, and low domestic activities. However, it has the highest equity absorbing capacity. Retail-funding banks have moderately low trading assets, domestic activities, loss absorbing capacity, and the lowest interbank lending. The market-oriented are more diversified in assets.</w:t>
      </w:r>
    </w:p>
    <w:p w14:paraId="23C04A31" w14:textId="77777777" w:rsidR="009718CA" w:rsidRDefault="009718CA" w:rsidP="003E01F8">
      <w:pPr>
        <w:pStyle w:val="NormalWeb"/>
        <w:jc w:val="both"/>
      </w:pPr>
      <w:r>
        <w:t>Zenith Bank maintained a wholesale-funded model all through the study period. GT Bank adopted both wholesale and market-oriented models. UBA employed only a retail-funded model, with Access Bank adopting both retail-funded and market-oriented models. FBN Holdings pursues a market-oriented banking model.</w:t>
      </w:r>
    </w:p>
    <w:p w14:paraId="22EAEDF4" w14:textId="77777777" w:rsidR="009718CA" w:rsidRDefault="009718CA" w:rsidP="003E01F8">
      <w:pPr>
        <w:pStyle w:val="NormalWeb"/>
        <w:jc w:val="both"/>
      </w:pPr>
      <w:r>
        <w:lastRenderedPageBreak/>
        <w:t>The central characteristic across the three models is that the respective activities engaged by the banks were mainly funded by customers’ deposits. The wholesale funded business model has 65.38% of its assets funded by customer deposits. Retail-funded and market-oriented had 72.95% and 64.83% of assets funded by customers’ deposits, respectively. (See Table: 2).</w:t>
      </w:r>
    </w:p>
    <w:p w14:paraId="29B76D4D" w14:textId="77777777" w:rsidR="00B6122F" w:rsidRPr="00B6122F" w:rsidRDefault="00B6122F" w:rsidP="003E01F8">
      <w:pPr>
        <w:spacing w:line="240" w:lineRule="auto"/>
        <w:rPr>
          <w:rFonts w:ascii="Times New Roman" w:hAnsi="Times New Roman"/>
          <w:b/>
          <w:sz w:val="24"/>
          <w:szCs w:val="24"/>
        </w:rPr>
      </w:pPr>
      <w:r w:rsidRPr="00B6122F">
        <w:rPr>
          <w:rFonts w:ascii="Times New Roman" w:hAnsi="Times New Roman"/>
          <w:b/>
          <w:sz w:val="24"/>
          <w:szCs w:val="24"/>
        </w:rPr>
        <w:t>4.3.2 Deposit Characteristics and Mix</w:t>
      </w:r>
    </w:p>
    <w:p w14:paraId="7CE8FDA2" w14:textId="77777777" w:rsidR="00B6122F" w:rsidRDefault="00E214C9" w:rsidP="003E01F8">
      <w:pPr>
        <w:pStyle w:val="NormalWeb"/>
        <w:jc w:val="both"/>
      </w:pPr>
      <w:r>
        <w:t xml:space="preserve">Table 5 contains the deposit mix of the five banks studied. Access Bank has an average deposit mix of 53:47; Zenith Bank, 82:18; UBA, 74:26; FBN Holdings, 74:26; and GT Bank, 70:30. All these are skewed towards the current account and savings bank account. It means that out of the total deposit liabilities at Access Bank, 53% are demand deposits, while 47% are term deposits. The same explanations go for Zenith, UBA, FBN Holdings, and GT Bank. This indicates that for the studied bank deposit structure, current deposit accounts and savings bank account balances, otherwise known as demand deposits, play dominant roles. It underscores the importance and role of a deposit plan for any business model to achieve its desired objectives of profitability, efficiency, and effectiveness. This is in line with earlier studies by </w:t>
      </w:r>
      <w:proofErr w:type="spellStart"/>
      <w:r>
        <w:t>Shrivaslava</w:t>
      </w:r>
      <w:proofErr w:type="spellEnd"/>
      <w:r>
        <w:t xml:space="preserve"> (1980), </w:t>
      </w:r>
      <w:proofErr w:type="spellStart"/>
      <w:r>
        <w:t>Bodla</w:t>
      </w:r>
      <w:proofErr w:type="spellEnd"/>
      <w:r>
        <w:t xml:space="preserve"> and </w:t>
      </w:r>
      <w:proofErr w:type="spellStart"/>
      <w:r>
        <w:t>Vrma</w:t>
      </w:r>
      <w:proofErr w:type="spellEnd"/>
      <w:r>
        <w:t xml:space="preserve"> (2006), and </w:t>
      </w:r>
      <w:proofErr w:type="spellStart"/>
      <w:r>
        <w:t>Shollapur</w:t>
      </w:r>
      <w:proofErr w:type="spellEnd"/>
      <w:r>
        <w:t xml:space="preserve"> and </w:t>
      </w:r>
      <w:proofErr w:type="spellStart"/>
      <w:r>
        <w:t>Bangati</w:t>
      </w:r>
      <w:proofErr w:type="spellEnd"/>
      <w:r>
        <w:t xml:space="preserve"> (2010).</w:t>
      </w:r>
    </w:p>
    <w:tbl>
      <w:tblPr>
        <w:tblW w:w="5000" w:type="pct"/>
        <w:jc w:val="center"/>
        <w:tblLook w:val="04A0" w:firstRow="1" w:lastRow="0" w:firstColumn="1" w:lastColumn="0" w:noHBand="0" w:noVBand="1"/>
      </w:tblPr>
      <w:tblGrid>
        <w:gridCol w:w="500"/>
        <w:gridCol w:w="677"/>
        <w:gridCol w:w="790"/>
        <w:gridCol w:w="921"/>
        <w:gridCol w:w="790"/>
        <w:gridCol w:w="565"/>
        <w:gridCol w:w="216"/>
        <w:gridCol w:w="789"/>
        <w:gridCol w:w="222"/>
        <w:gridCol w:w="222"/>
        <w:gridCol w:w="440"/>
        <w:gridCol w:w="790"/>
        <w:gridCol w:w="550"/>
        <w:gridCol w:w="764"/>
        <w:gridCol w:w="790"/>
      </w:tblGrid>
      <w:tr w:rsidR="004F55B6" w:rsidRPr="00D52B01" w14:paraId="2AE9AF8B" w14:textId="77777777" w:rsidTr="004F55B6">
        <w:trPr>
          <w:trHeight w:val="468"/>
          <w:jc w:val="center"/>
        </w:trPr>
        <w:tc>
          <w:tcPr>
            <w:tcW w:w="273" w:type="pct"/>
            <w:tcBorders>
              <w:top w:val="nil"/>
              <w:left w:val="nil"/>
              <w:bottom w:val="nil"/>
              <w:right w:val="nil"/>
            </w:tcBorders>
            <w:shd w:val="clear" w:color="auto" w:fill="auto"/>
            <w:noWrap/>
            <w:vAlign w:val="bottom"/>
            <w:hideMark/>
          </w:tcPr>
          <w:p w14:paraId="7309DCB6" w14:textId="77777777" w:rsidR="004F55B6" w:rsidRPr="00D52B01" w:rsidRDefault="004F55B6" w:rsidP="004F55B6">
            <w:pPr>
              <w:spacing w:line="240" w:lineRule="auto"/>
              <w:rPr>
                <w:rFonts w:eastAsia="Times New Roman"/>
                <w:b/>
                <w:color w:val="000000"/>
                <w:sz w:val="16"/>
                <w:szCs w:val="16"/>
                <w:lang w:eastAsia="en-GB"/>
              </w:rPr>
            </w:pPr>
            <w:r w:rsidRPr="00D52B01">
              <w:rPr>
                <w:rFonts w:eastAsia="Times New Roman"/>
                <w:b/>
                <w:color w:val="000000"/>
                <w:sz w:val="16"/>
                <w:szCs w:val="16"/>
                <w:lang w:eastAsia="en-GB"/>
              </w:rPr>
              <w:t>Table 5:</w:t>
            </w:r>
          </w:p>
        </w:tc>
        <w:tc>
          <w:tcPr>
            <w:tcW w:w="325" w:type="pct"/>
            <w:tcBorders>
              <w:top w:val="nil"/>
              <w:left w:val="nil"/>
              <w:bottom w:val="nil"/>
              <w:right w:val="nil"/>
            </w:tcBorders>
            <w:shd w:val="clear" w:color="auto" w:fill="auto"/>
            <w:noWrap/>
            <w:vAlign w:val="bottom"/>
            <w:hideMark/>
          </w:tcPr>
          <w:p w14:paraId="5C6520C9" w14:textId="77777777" w:rsidR="004F55B6" w:rsidRPr="00D52B01" w:rsidRDefault="004F55B6" w:rsidP="004F55B6">
            <w:pPr>
              <w:spacing w:line="240" w:lineRule="auto"/>
              <w:rPr>
                <w:rFonts w:eastAsia="Times New Roman"/>
                <w:b/>
                <w:color w:val="000000"/>
                <w:sz w:val="16"/>
                <w:szCs w:val="16"/>
                <w:lang w:eastAsia="en-GB"/>
              </w:rPr>
            </w:pPr>
          </w:p>
        </w:tc>
        <w:tc>
          <w:tcPr>
            <w:tcW w:w="721" w:type="pct"/>
            <w:gridSpan w:val="2"/>
            <w:tcBorders>
              <w:top w:val="nil"/>
              <w:left w:val="nil"/>
              <w:bottom w:val="nil"/>
              <w:right w:val="nil"/>
            </w:tcBorders>
            <w:shd w:val="clear" w:color="auto" w:fill="auto"/>
            <w:noWrap/>
            <w:vAlign w:val="bottom"/>
            <w:hideMark/>
          </w:tcPr>
          <w:p w14:paraId="2EA7A3CD" w14:textId="77777777" w:rsidR="004F55B6" w:rsidRPr="00D52B01" w:rsidRDefault="004F55B6" w:rsidP="004F55B6">
            <w:pPr>
              <w:spacing w:line="240" w:lineRule="auto"/>
              <w:rPr>
                <w:rFonts w:eastAsia="Times New Roman"/>
                <w:b/>
                <w:color w:val="000000"/>
                <w:sz w:val="16"/>
                <w:szCs w:val="16"/>
                <w:lang w:eastAsia="en-GB"/>
              </w:rPr>
            </w:pPr>
            <w:r w:rsidRPr="00D52B01">
              <w:rPr>
                <w:rFonts w:eastAsia="Times New Roman"/>
                <w:b/>
                <w:color w:val="000000"/>
                <w:sz w:val="16"/>
                <w:szCs w:val="16"/>
                <w:lang w:eastAsia="en-GB"/>
              </w:rPr>
              <w:t>BANKS BY DEPOSIT MIX       in  N Billion</w:t>
            </w:r>
          </w:p>
        </w:tc>
        <w:tc>
          <w:tcPr>
            <w:tcW w:w="406" w:type="pct"/>
            <w:tcBorders>
              <w:top w:val="nil"/>
              <w:left w:val="nil"/>
              <w:bottom w:val="nil"/>
              <w:right w:val="nil"/>
            </w:tcBorders>
            <w:shd w:val="clear" w:color="auto" w:fill="auto"/>
            <w:noWrap/>
            <w:vAlign w:val="bottom"/>
            <w:hideMark/>
          </w:tcPr>
          <w:p w14:paraId="7043AEB6" w14:textId="77777777" w:rsidR="004F55B6" w:rsidRPr="00D52B01" w:rsidRDefault="004F55B6" w:rsidP="004F55B6">
            <w:pPr>
              <w:spacing w:line="240" w:lineRule="auto"/>
              <w:rPr>
                <w:rFonts w:eastAsia="Times New Roman"/>
                <w:color w:val="000000"/>
                <w:sz w:val="16"/>
                <w:szCs w:val="16"/>
                <w:lang w:eastAsia="en-GB"/>
              </w:rPr>
            </w:pPr>
          </w:p>
        </w:tc>
        <w:tc>
          <w:tcPr>
            <w:tcW w:w="406" w:type="pct"/>
            <w:gridSpan w:val="2"/>
            <w:tcBorders>
              <w:top w:val="nil"/>
              <w:left w:val="nil"/>
              <w:bottom w:val="nil"/>
              <w:right w:val="nil"/>
            </w:tcBorders>
            <w:shd w:val="clear" w:color="auto" w:fill="auto"/>
            <w:noWrap/>
            <w:vAlign w:val="bottom"/>
            <w:hideMark/>
          </w:tcPr>
          <w:p w14:paraId="6F9261A4" w14:textId="77777777" w:rsidR="004F55B6" w:rsidRPr="00D52B01" w:rsidRDefault="004F55B6" w:rsidP="004F55B6">
            <w:pPr>
              <w:spacing w:line="240" w:lineRule="auto"/>
              <w:rPr>
                <w:rFonts w:eastAsia="Times New Roman"/>
                <w:color w:val="000000"/>
                <w:sz w:val="16"/>
                <w:szCs w:val="16"/>
                <w:lang w:eastAsia="en-GB"/>
              </w:rPr>
            </w:pPr>
          </w:p>
        </w:tc>
        <w:tc>
          <w:tcPr>
            <w:tcW w:w="352" w:type="pct"/>
            <w:tcBorders>
              <w:top w:val="nil"/>
              <w:left w:val="nil"/>
              <w:bottom w:val="nil"/>
              <w:right w:val="nil"/>
            </w:tcBorders>
            <w:shd w:val="clear" w:color="auto" w:fill="auto"/>
            <w:noWrap/>
            <w:vAlign w:val="bottom"/>
            <w:hideMark/>
          </w:tcPr>
          <w:p w14:paraId="5DB8D593" w14:textId="77777777" w:rsidR="004F55B6" w:rsidRPr="00D52B01" w:rsidRDefault="004F55B6" w:rsidP="004F55B6">
            <w:pPr>
              <w:spacing w:line="240" w:lineRule="auto"/>
              <w:rPr>
                <w:rFonts w:eastAsia="Times New Roman"/>
                <w:color w:val="000000"/>
                <w:sz w:val="16"/>
                <w:szCs w:val="16"/>
                <w:lang w:eastAsia="en-GB"/>
              </w:rPr>
            </w:pPr>
          </w:p>
        </w:tc>
        <w:tc>
          <w:tcPr>
            <w:tcW w:w="763" w:type="pct"/>
            <w:gridSpan w:val="4"/>
            <w:tcBorders>
              <w:top w:val="nil"/>
              <w:left w:val="nil"/>
              <w:bottom w:val="nil"/>
              <w:right w:val="nil"/>
            </w:tcBorders>
            <w:shd w:val="clear" w:color="auto" w:fill="auto"/>
            <w:noWrap/>
            <w:vAlign w:val="bottom"/>
            <w:hideMark/>
          </w:tcPr>
          <w:p w14:paraId="16E65221" w14:textId="77777777" w:rsidR="004F55B6" w:rsidRPr="00D52B01" w:rsidRDefault="004F55B6" w:rsidP="004F55B6">
            <w:pPr>
              <w:spacing w:line="240" w:lineRule="auto"/>
              <w:rPr>
                <w:rFonts w:eastAsia="Times New Roman"/>
                <w:color w:val="000000"/>
                <w:sz w:val="16"/>
                <w:szCs w:val="16"/>
                <w:lang w:eastAsia="en-GB"/>
              </w:rPr>
            </w:pPr>
          </w:p>
        </w:tc>
        <w:tc>
          <w:tcPr>
            <w:tcW w:w="523" w:type="pct"/>
            <w:tcBorders>
              <w:top w:val="nil"/>
              <w:left w:val="nil"/>
              <w:bottom w:val="nil"/>
              <w:right w:val="nil"/>
            </w:tcBorders>
            <w:shd w:val="clear" w:color="auto" w:fill="auto"/>
            <w:noWrap/>
            <w:vAlign w:val="bottom"/>
            <w:hideMark/>
          </w:tcPr>
          <w:p w14:paraId="1CE97AC8" w14:textId="77777777" w:rsidR="004F55B6" w:rsidRPr="00D52B01" w:rsidRDefault="004F55B6" w:rsidP="004F55B6">
            <w:pPr>
              <w:spacing w:line="240" w:lineRule="auto"/>
              <w:rPr>
                <w:rFonts w:eastAsia="Times New Roman"/>
                <w:color w:val="000000"/>
                <w:sz w:val="16"/>
                <w:szCs w:val="16"/>
                <w:lang w:eastAsia="en-GB"/>
              </w:rPr>
            </w:pPr>
          </w:p>
        </w:tc>
        <w:tc>
          <w:tcPr>
            <w:tcW w:w="774" w:type="pct"/>
            <w:tcBorders>
              <w:top w:val="nil"/>
              <w:left w:val="nil"/>
              <w:bottom w:val="nil"/>
              <w:right w:val="nil"/>
            </w:tcBorders>
            <w:shd w:val="clear" w:color="auto" w:fill="auto"/>
            <w:noWrap/>
            <w:vAlign w:val="bottom"/>
            <w:hideMark/>
          </w:tcPr>
          <w:p w14:paraId="44180660" w14:textId="77777777" w:rsidR="004F55B6" w:rsidRPr="00D52B01" w:rsidRDefault="004F55B6" w:rsidP="004F55B6">
            <w:pPr>
              <w:spacing w:line="240" w:lineRule="auto"/>
              <w:rPr>
                <w:rFonts w:eastAsia="Times New Roman"/>
                <w:color w:val="000000"/>
                <w:sz w:val="16"/>
                <w:szCs w:val="16"/>
                <w:lang w:eastAsia="en-GB"/>
              </w:rPr>
            </w:pPr>
          </w:p>
        </w:tc>
        <w:tc>
          <w:tcPr>
            <w:tcW w:w="458" w:type="pct"/>
            <w:tcBorders>
              <w:top w:val="nil"/>
              <w:left w:val="nil"/>
              <w:bottom w:val="nil"/>
              <w:right w:val="nil"/>
            </w:tcBorders>
            <w:shd w:val="clear" w:color="auto" w:fill="auto"/>
            <w:noWrap/>
            <w:vAlign w:val="bottom"/>
            <w:hideMark/>
          </w:tcPr>
          <w:p w14:paraId="68B961CC" w14:textId="77777777" w:rsidR="004F55B6" w:rsidRPr="00D52B01" w:rsidRDefault="004F55B6" w:rsidP="004F55B6">
            <w:pPr>
              <w:spacing w:line="240" w:lineRule="auto"/>
              <w:rPr>
                <w:rFonts w:eastAsia="Times New Roman"/>
                <w:color w:val="000000"/>
                <w:sz w:val="16"/>
                <w:szCs w:val="16"/>
                <w:lang w:eastAsia="en-GB"/>
              </w:rPr>
            </w:pPr>
          </w:p>
        </w:tc>
      </w:tr>
      <w:tr w:rsidR="004F55B6" w:rsidRPr="00D52B01" w14:paraId="25BC1BC0" w14:textId="77777777" w:rsidTr="004F55B6">
        <w:trPr>
          <w:trHeight w:val="421"/>
          <w:jc w:val="center"/>
        </w:trPr>
        <w:tc>
          <w:tcPr>
            <w:tcW w:w="273" w:type="pct"/>
            <w:tcBorders>
              <w:top w:val="single" w:sz="4" w:space="0" w:color="auto"/>
              <w:left w:val="single" w:sz="4" w:space="0" w:color="auto"/>
              <w:bottom w:val="nil"/>
              <w:right w:val="single" w:sz="4" w:space="0" w:color="auto"/>
            </w:tcBorders>
            <w:shd w:val="clear" w:color="auto" w:fill="auto"/>
            <w:noWrap/>
            <w:vAlign w:val="bottom"/>
            <w:hideMark/>
          </w:tcPr>
          <w:p w14:paraId="62003891"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 </w:t>
            </w:r>
          </w:p>
        </w:tc>
        <w:tc>
          <w:tcPr>
            <w:tcW w:w="325" w:type="pct"/>
            <w:tcBorders>
              <w:top w:val="single" w:sz="4" w:space="0" w:color="auto"/>
              <w:left w:val="nil"/>
              <w:bottom w:val="nil"/>
              <w:right w:val="nil"/>
            </w:tcBorders>
            <w:shd w:val="clear" w:color="auto" w:fill="auto"/>
            <w:noWrap/>
            <w:vAlign w:val="bottom"/>
            <w:hideMark/>
          </w:tcPr>
          <w:p w14:paraId="3D87010C"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Access</w:t>
            </w:r>
          </w:p>
        </w:tc>
        <w:tc>
          <w:tcPr>
            <w:tcW w:w="316" w:type="pct"/>
            <w:tcBorders>
              <w:top w:val="single" w:sz="4" w:space="0" w:color="auto"/>
              <w:left w:val="nil"/>
              <w:bottom w:val="nil"/>
              <w:right w:val="single" w:sz="4" w:space="0" w:color="auto"/>
            </w:tcBorders>
            <w:shd w:val="clear" w:color="auto" w:fill="auto"/>
            <w:noWrap/>
            <w:vAlign w:val="bottom"/>
            <w:hideMark/>
          </w:tcPr>
          <w:p w14:paraId="7F3FF230"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 </w:t>
            </w:r>
          </w:p>
        </w:tc>
        <w:tc>
          <w:tcPr>
            <w:tcW w:w="406" w:type="pct"/>
            <w:tcBorders>
              <w:top w:val="single" w:sz="4" w:space="0" w:color="auto"/>
              <w:left w:val="nil"/>
              <w:bottom w:val="nil"/>
              <w:right w:val="nil"/>
            </w:tcBorders>
            <w:shd w:val="clear" w:color="auto" w:fill="auto"/>
            <w:noWrap/>
            <w:vAlign w:val="bottom"/>
            <w:hideMark/>
          </w:tcPr>
          <w:p w14:paraId="533B0A8E"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Zenith</w:t>
            </w:r>
          </w:p>
        </w:tc>
        <w:tc>
          <w:tcPr>
            <w:tcW w:w="406" w:type="pct"/>
            <w:tcBorders>
              <w:top w:val="single" w:sz="4" w:space="0" w:color="auto"/>
              <w:left w:val="nil"/>
              <w:bottom w:val="nil"/>
              <w:right w:val="single" w:sz="4" w:space="0" w:color="auto"/>
            </w:tcBorders>
            <w:shd w:val="clear" w:color="auto" w:fill="auto"/>
            <w:noWrap/>
            <w:vAlign w:val="bottom"/>
            <w:hideMark/>
          </w:tcPr>
          <w:p w14:paraId="1B10D1D0"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 </w:t>
            </w:r>
          </w:p>
        </w:tc>
        <w:tc>
          <w:tcPr>
            <w:tcW w:w="406" w:type="pct"/>
            <w:gridSpan w:val="2"/>
            <w:tcBorders>
              <w:top w:val="single" w:sz="4" w:space="0" w:color="auto"/>
              <w:left w:val="nil"/>
              <w:bottom w:val="nil"/>
              <w:right w:val="nil"/>
            </w:tcBorders>
            <w:shd w:val="clear" w:color="auto" w:fill="auto"/>
            <w:noWrap/>
            <w:vAlign w:val="bottom"/>
            <w:hideMark/>
          </w:tcPr>
          <w:p w14:paraId="6F4DE570"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UBA</w:t>
            </w:r>
          </w:p>
        </w:tc>
        <w:tc>
          <w:tcPr>
            <w:tcW w:w="352" w:type="pct"/>
            <w:tcBorders>
              <w:top w:val="single" w:sz="4" w:space="0" w:color="auto"/>
              <w:left w:val="nil"/>
              <w:bottom w:val="nil"/>
              <w:right w:val="single" w:sz="4" w:space="0" w:color="auto"/>
            </w:tcBorders>
            <w:shd w:val="clear" w:color="auto" w:fill="auto"/>
            <w:noWrap/>
            <w:vAlign w:val="bottom"/>
            <w:hideMark/>
          </w:tcPr>
          <w:p w14:paraId="1A67E177"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 </w:t>
            </w:r>
          </w:p>
        </w:tc>
        <w:tc>
          <w:tcPr>
            <w:tcW w:w="763" w:type="pct"/>
            <w:gridSpan w:val="4"/>
            <w:tcBorders>
              <w:top w:val="single" w:sz="4" w:space="0" w:color="auto"/>
              <w:left w:val="nil"/>
              <w:bottom w:val="nil"/>
              <w:right w:val="single" w:sz="4" w:space="0" w:color="000000"/>
            </w:tcBorders>
            <w:shd w:val="clear" w:color="auto" w:fill="auto"/>
            <w:noWrap/>
            <w:vAlign w:val="bottom"/>
            <w:hideMark/>
          </w:tcPr>
          <w:p w14:paraId="1E415BBD"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 xml:space="preserve">FBN HOLDINGS </w:t>
            </w:r>
          </w:p>
        </w:tc>
        <w:tc>
          <w:tcPr>
            <w:tcW w:w="1297" w:type="pct"/>
            <w:gridSpan w:val="2"/>
            <w:tcBorders>
              <w:top w:val="single" w:sz="4" w:space="0" w:color="auto"/>
              <w:left w:val="nil"/>
              <w:bottom w:val="nil"/>
              <w:right w:val="nil"/>
            </w:tcBorders>
            <w:shd w:val="clear" w:color="auto" w:fill="auto"/>
            <w:noWrap/>
            <w:vAlign w:val="bottom"/>
            <w:hideMark/>
          </w:tcPr>
          <w:p w14:paraId="4C691C67"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GT Bank           CASA/ Deposit</w:t>
            </w:r>
          </w:p>
        </w:tc>
        <w:tc>
          <w:tcPr>
            <w:tcW w:w="458" w:type="pct"/>
            <w:tcBorders>
              <w:top w:val="single" w:sz="4" w:space="0" w:color="auto"/>
              <w:left w:val="nil"/>
              <w:bottom w:val="nil"/>
              <w:right w:val="single" w:sz="4" w:space="0" w:color="auto"/>
            </w:tcBorders>
            <w:shd w:val="clear" w:color="auto" w:fill="auto"/>
            <w:noWrap/>
            <w:vAlign w:val="bottom"/>
            <w:hideMark/>
          </w:tcPr>
          <w:p w14:paraId="777384D7"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 </w:t>
            </w:r>
          </w:p>
        </w:tc>
      </w:tr>
      <w:tr w:rsidR="004F55B6" w:rsidRPr="00D52B01" w14:paraId="73F5D0F4" w14:textId="77777777" w:rsidTr="004F55B6">
        <w:trPr>
          <w:trHeight w:val="300"/>
          <w:jc w:val="center"/>
        </w:trPr>
        <w:tc>
          <w:tcPr>
            <w:tcW w:w="273" w:type="pct"/>
            <w:tcBorders>
              <w:top w:val="nil"/>
              <w:left w:val="single" w:sz="4" w:space="0" w:color="auto"/>
              <w:bottom w:val="single" w:sz="4" w:space="0" w:color="auto"/>
              <w:right w:val="single" w:sz="4" w:space="0" w:color="auto"/>
            </w:tcBorders>
            <w:shd w:val="clear" w:color="auto" w:fill="auto"/>
            <w:noWrap/>
            <w:vAlign w:val="bottom"/>
            <w:hideMark/>
          </w:tcPr>
          <w:p w14:paraId="3C81611A"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Year</w:t>
            </w:r>
          </w:p>
        </w:tc>
        <w:tc>
          <w:tcPr>
            <w:tcW w:w="325" w:type="pct"/>
            <w:tcBorders>
              <w:top w:val="nil"/>
              <w:left w:val="nil"/>
              <w:bottom w:val="single" w:sz="4" w:space="0" w:color="auto"/>
              <w:right w:val="nil"/>
            </w:tcBorders>
            <w:shd w:val="clear" w:color="auto" w:fill="auto"/>
            <w:noWrap/>
            <w:vAlign w:val="bottom"/>
            <w:hideMark/>
          </w:tcPr>
          <w:p w14:paraId="4A76FFCE"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Total Deposit</w:t>
            </w:r>
          </w:p>
        </w:tc>
        <w:tc>
          <w:tcPr>
            <w:tcW w:w="316" w:type="pct"/>
            <w:tcBorders>
              <w:top w:val="nil"/>
              <w:left w:val="single" w:sz="4" w:space="0" w:color="auto"/>
              <w:bottom w:val="single" w:sz="4" w:space="0" w:color="auto"/>
              <w:right w:val="single" w:sz="4" w:space="0" w:color="auto"/>
            </w:tcBorders>
            <w:shd w:val="clear" w:color="auto" w:fill="auto"/>
            <w:noWrap/>
            <w:vAlign w:val="bottom"/>
            <w:hideMark/>
          </w:tcPr>
          <w:p w14:paraId="5240681D"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CASA/ dep. ratio</w:t>
            </w:r>
          </w:p>
        </w:tc>
        <w:tc>
          <w:tcPr>
            <w:tcW w:w="406" w:type="pct"/>
            <w:tcBorders>
              <w:top w:val="nil"/>
              <w:left w:val="nil"/>
              <w:bottom w:val="single" w:sz="4" w:space="0" w:color="auto"/>
              <w:right w:val="nil"/>
            </w:tcBorders>
            <w:shd w:val="clear" w:color="auto" w:fill="auto"/>
            <w:noWrap/>
            <w:vAlign w:val="bottom"/>
            <w:hideMark/>
          </w:tcPr>
          <w:p w14:paraId="0BE6F80E"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Total Deposit</w:t>
            </w:r>
          </w:p>
        </w:tc>
        <w:tc>
          <w:tcPr>
            <w:tcW w:w="406" w:type="pct"/>
            <w:tcBorders>
              <w:top w:val="nil"/>
              <w:left w:val="single" w:sz="4" w:space="0" w:color="auto"/>
              <w:bottom w:val="single" w:sz="4" w:space="0" w:color="auto"/>
              <w:right w:val="single" w:sz="4" w:space="0" w:color="auto"/>
            </w:tcBorders>
            <w:shd w:val="clear" w:color="auto" w:fill="auto"/>
            <w:noWrap/>
            <w:vAlign w:val="bottom"/>
            <w:hideMark/>
          </w:tcPr>
          <w:p w14:paraId="36C6EA8F"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CASA/ dep. ratio</w:t>
            </w:r>
          </w:p>
        </w:tc>
        <w:tc>
          <w:tcPr>
            <w:tcW w:w="406" w:type="pct"/>
            <w:gridSpan w:val="2"/>
            <w:tcBorders>
              <w:top w:val="nil"/>
              <w:left w:val="nil"/>
              <w:bottom w:val="single" w:sz="4" w:space="0" w:color="auto"/>
              <w:right w:val="nil"/>
            </w:tcBorders>
            <w:shd w:val="clear" w:color="auto" w:fill="auto"/>
            <w:noWrap/>
            <w:vAlign w:val="bottom"/>
            <w:hideMark/>
          </w:tcPr>
          <w:p w14:paraId="08212FA4"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Total Deposit</w:t>
            </w:r>
          </w:p>
        </w:tc>
        <w:tc>
          <w:tcPr>
            <w:tcW w:w="352" w:type="pct"/>
            <w:tcBorders>
              <w:top w:val="nil"/>
              <w:left w:val="single" w:sz="4" w:space="0" w:color="auto"/>
              <w:bottom w:val="single" w:sz="4" w:space="0" w:color="auto"/>
              <w:right w:val="single" w:sz="4" w:space="0" w:color="auto"/>
            </w:tcBorders>
            <w:shd w:val="clear" w:color="auto" w:fill="auto"/>
            <w:noWrap/>
            <w:vAlign w:val="bottom"/>
            <w:hideMark/>
          </w:tcPr>
          <w:p w14:paraId="7C2D6930"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CASA/ dep. ratio</w:t>
            </w:r>
          </w:p>
        </w:tc>
        <w:tc>
          <w:tcPr>
            <w:tcW w:w="408" w:type="pct"/>
            <w:gridSpan w:val="3"/>
            <w:tcBorders>
              <w:top w:val="nil"/>
              <w:left w:val="nil"/>
              <w:bottom w:val="single" w:sz="4" w:space="0" w:color="auto"/>
              <w:right w:val="nil"/>
            </w:tcBorders>
            <w:shd w:val="clear" w:color="auto" w:fill="auto"/>
            <w:noWrap/>
            <w:vAlign w:val="bottom"/>
            <w:hideMark/>
          </w:tcPr>
          <w:p w14:paraId="752942A2"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Total Deposit</w:t>
            </w:r>
          </w:p>
        </w:tc>
        <w:tc>
          <w:tcPr>
            <w:tcW w:w="355" w:type="pct"/>
            <w:tcBorders>
              <w:top w:val="nil"/>
              <w:left w:val="single" w:sz="4" w:space="0" w:color="auto"/>
              <w:bottom w:val="single" w:sz="4" w:space="0" w:color="auto"/>
              <w:right w:val="single" w:sz="4" w:space="0" w:color="auto"/>
            </w:tcBorders>
            <w:shd w:val="clear" w:color="auto" w:fill="auto"/>
            <w:noWrap/>
            <w:vAlign w:val="bottom"/>
            <w:hideMark/>
          </w:tcPr>
          <w:p w14:paraId="4AEE25C8"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CASA/ dep. ratio</w:t>
            </w:r>
          </w:p>
        </w:tc>
        <w:tc>
          <w:tcPr>
            <w:tcW w:w="1297" w:type="pct"/>
            <w:gridSpan w:val="2"/>
            <w:tcBorders>
              <w:top w:val="nil"/>
              <w:left w:val="nil"/>
              <w:bottom w:val="single" w:sz="4" w:space="0" w:color="auto"/>
              <w:right w:val="nil"/>
            </w:tcBorders>
            <w:shd w:val="clear" w:color="auto" w:fill="auto"/>
            <w:noWrap/>
            <w:vAlign w:val="bottom"/>
            <w:hideMark/>
          </w:tcPr>
          <w:p w14:paraId="2D2C36E9"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Total Deposit     ratio</w:t>
            </w:r>
          </w:p>
        </w:tc>
        <w:tc>
          <w:tcPr>
            <w:tcW w:w="458" w:type="pct"/>
            <w:tcBorders>
              <w:top w:val="nil"/>
              <w:left w:val="single" w:sz="4" w:space="0" w:color="auto"/>
              <w:bottom w:val="single" w:sz="4" w:space="0" w:color="auto"/>
              <w:right w:val="single" w:sz="4" w:space="0" w:color="auto"/>
            </w:tcBorders>
            <w:shd w:val="clear" w:color="auto" w:fill="auto"/>
            <w:noWrap/>
            <w:vAlign w:val="bottom"/>
            <w:hideMark/>
          </w:tcPr>
          <w:p w14:paraId="1443468A"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CASA/ dep. ratio</w:t>
            </w:r>
          </w:p>
        </w:tc>
      </w:tr>
      <w:tr w:rsidR="004F55B6" w:rsidRPr="00D52B01" w14:paraId="2AC190C6" w14:textId="77777777" w:rsidTr="004F55B6">
        <w:trPr>
          <w:trHeight w:val="447"/>
          <w:jc w:val="center"/>
        </w:trPr>
        <w:tc>
          <w:tcPr>
            <w:tcW w:w="273" w:type="pct"/>
            <w:tcBorders>
              <w:top w:val="nil"/>
              <w:left w:val="single" w:sz="4" w:space="0" w:color="auto"/>
              <w:bottom w:val="nil"/>
              <w:right w:val="single" w:sz="4" w:space="0" w:color="auto"/>
            </w:tcBorders>
            <w:shd w:val="clear" w:color="auto" w:fill="auto"/>
            <w:noWrap/>
            <w:vAlign w:val="bottom"/>
            <w:hideMark/>
          </w:tcPr>
          <w:p w14:paraId="385E2304"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2005</w:t>
            </w:r>
          </w:p>
        </w:tc>
        <w:tc>
          <w:tcPr>
            <w:tcW w:w="325" w:type="pct"/>
            <w:tcBorders>
              <w:top w:val="nil"/>
              <w:left w:val="nil"/>
              <w:bottom w:val="nil"/>
              <w:right w:val="nil"/>
            </w:tcBorders>
            <w:shd w:val="clear" w:color="auto" w:fill="auto"/>
            <w:noWrap/>
            <w:vAlign w:val="bottom"/>
            <w:hideMark/>
          </w:tcPr>
          <w:p w14:paraId="0E722C65"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34</w:t>
            </w:r>
          </w:p>
        </w:tc>
        <w:tc>
          <w:tcPr>
            <w:tcW w:w="316" w:type="pct"/>
            <w:tcBorders>
              <w:top w:val="nil"/>
              <w:left w:val="single" w:sz="4" w:space="0" w:color="auto"/>
              <w:bottom w:val="nil"/>
              <w:right w:val="single" w:sz="4" w:space="0" w:color="auto"/>
            </w:tcBorders>
            <w:shd w:val="clear" w:color="auto" w:fill="auto"/>
            <w:noWrap/>
            <w:vAlign w:val="bottom"/>
            <w:hideMark/>
          </w:tcPr>
          <w:p w14:paraId="4D1DCD4C"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0.56</w:t>
            </w:r>
          </w:p>
        </w:tc>
        <w:tc>
          <w:tcPr>
            <w:tcW w:w="406" w:type="pct"/>
            <w:tcBorders>
              <w:top w:val="nil"/>
              <w:left w:val="nil"/>
              <w:bottom w:val="nil"/>
              <w:right w:val="nil"/>
            </w:tcBorders>
            <w:shd w:val="clear" w:color="auto" w:fill="auto"/>
            <w:noWrap/>
            <w:vAlign w:val="bottom"/>
            <w:hideMark/>
          </w:tcPr>
          <w:p w14:paraId="0B59B5B4"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233</w:t>
            </w:r>
          </w:p>
        </w:tc>
        <w:tc>
          <w:tcPr>
            <w:tcW w:w="406" w:type="pct"/>
            <w:tcBorders>
              <w:top w:val="nil"/>
              <w:left w:val="single" w:sz="4" w:space="0" w:color="auto"/>
              <w:bottom w:val="nil"/>
              <w:right w:val="single" w:sz="4" w:space="0" w:color="auto"/>
            </w:tcBorders>
            <w:shd w:val="clear" w:color="auto" w:fill="auto"/>
            <w:noWrap/>
            <w:vAlign w:val="bottom"/>
            <w:hideMark/>
          </w:tcPr>
          <w:p w14:paraId="0B9C6CB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0.78</w:t>
            </w:r>
          </w:p>
        </w:tc>
        <w:tc>
          <w:tcPr>
            <w:tcW w:w="406" w:type="pct"/>
            <w:gridSpan w:val="2"/>
            <w:tcBorders>
              <w:top w:val="nil"/>
              <w:left w:val="nil"/>
              <w:bottom w:val="nil"/>
              <w:right w:val="nil"/>
            </w:tcBorders>
            <w:shd w:val="clear" w:color="auto" w:fill="auto"/>
            <w:noWrap/>
            <w:vAlign w:val="bottom"/>
            <w:hideMark/>
          </w:tcPr>
          <w:p w14:paraId="0B049144"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205</w:t>
            </w:r>
          </w:p>
        </w:tc>
        <w:tc>
          <w:tcPr>
            <w:tcW w:w="352" w:type="pct"/>
            <w:tcBorders>
              <w:top w:val="nil"/>
              <w:left w:val="single" w:sz="4" w:space="0" w:color="auto"/>
              <w:bottom w:val="nil"/>
              <w:right w:val="single" w:sz="4" w:space="0" w:color="auto"/>
            </w:tcBorders>
            <w:shd w:val="clear" w:color="auto" w:fill="auto"/>
            <w:noWrap/>
            <w:vAlign w:val="bottom"/>
            <w:hideMark/>
          </w:tcPr>
          <w:p w14:paraId="494581D1"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0.63</w:t>
            </w:r>
          </w:p>
        </w:tc>
        <w:tc>
          <w:tcPr>
            <w:tcW w:w="408" w:type="pct"/>
            <w:gridSpan w:val="3"/>
            <w:tcBorders>
              <w:top w:val="nil"/>
              <w:left w:val="nil"/>
              <w:bottom w:val="nil"/>
              <w:right w:val="nil"/>
            </w:tcBorders>
            <w:shd w:val="clear" w:color="auto" w:fill="auto"/>
            <w:noWrap/>
            <w:vAlign w:val="bottom"/>
            <w:hideMark/>
          </w:tcPr>
          <w:p w14:paraId="0A921DE6"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332</w:t>
            </w:r>
          </w:p>
        </w:tc>
        <w:tc>
          <w:tcPr>
            <w:tcW w:w="355" w:type="pct"/>
            <w:tcBorders>
              <w:top w:val="nil"/>
              <w:left w:val="single" w:sz="4" w:space="0" w:color="auto"/>
              <w:bottom w:val="nil"/>
              <w:right w:val="single" w:sz="4" w:space="0" w:color="auto"/>
            </w:tcBorders>
            <w:shd w:val="clear" w:color="auto" w:fill="auto"/>
            <w:noWrap/>
            <w:vAlign w:val="bottom"/>
            <w:hideMark/>
          </w:tcPr>
          <w:p w14:paraId="2291B468"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0.67</w:t>
            </w:r>
          </w:p>
        </w:tc>
        <w:tc>
          <w:tcPr>
            <w:tcW w:w="1297" w:type="pct"/>
            <w:gridSpan w:val="2"/>
            <w:tcBorders>
              <w:top w:val="nil"/>
              <w:left w:val="nil"/>
              <w:bottom w:val="nil"/>
              <w:right w:val="nil"/>
            </w:tcBorders>
            <w:shd w:val="clear" w:color="auto" w:fill="auto"/>
            <w:noWrap/>
            <w:vAlign w:val="bottom"/>
            <w:hideMark/>
          </w:tcPr>
          <w:p w14:paraId="4AC2C7EE"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 xml:space="preserve">97                     0.59                  </w:t>
            </w:r>
          </w:p>
        </w:tc>
        <w:tc>
          <w:tcPr>
            <w:tcW w:w="458" w:type="pct"/>
            <w:tcBorders>
              <w:top w:val="nil"/>
              <w:left w:val="single" w:sz="4" w:space="0" w:color="auto"/>
              <w:bottom w:val="nil"/>
              <w:right w:val="single" w:sz="4" w:space="0" w:color="auto"/>
            </w:tcBorders>
            <w:shd w:val="clear" w:color="auto" w:fill="auto"/>
            <w:noWrap/>
            <w:vAlign w:val="bottom"/>
            <w:hideMark/>
          </w:tcPr>
          <w:p w14:paraId="2D7CE09C"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0.59</w:t>
            </w:r>
          </w:p>
        </w:tc>
      </w:tr>
      <w:tr w:rsidR="004F55B6" w:rsidRPr="00D52B01" w14:paraId="77A3CA7D"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5EDBB613"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2006</w:t>
            </w:r>
          </w:p>
        </w:tc>
        <w:tc>
          <w:tcPr>
            <w:tcW w:w="325" w:type="pct"/>
            <w:tcBorders>
              <w:top w:val="nil"/>
              <w:left w:val="nil"/>
              <w:bottom w:val="nil"/>
              <w:right w:val="nil"/>
            </w:tcBorders>
            <w:shd w:val="clear" w:color="auto" w:fill="auto"/>
            <w:noWrap/>
            <w:vAlign w:val="bottom"/>
            <w:hideMark/>
          </w:tcPr>
          <w:p w14:paraId="2DE4CEF2"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117</w:t>
            </w:r>
          </w:p>
        </w:tc>
        <w:tc>
          <w:tcPr>
            <w:tcW w:w="316" w:type="pct"/>
            <w:tcBorders>
              <w:top w:val="nil"/>
              <w:left w:val="single" w:sz="4" w:space="0" w:color="auto"/>
              <w:bottom w:val="nil"/>
              <w:right w:val="single" w:sz="4" w:space="0" w:color="auto"/>
            </w:tcBorders>
            <w:shd w:val="clear" w:color="auto" w:fill="auto"/>
            <w:noWrap/>
            <w:vAlign w:val="bottom"/>
            <w:hideMark/>
          </w:tcPr>
          <w:p w14:paraId="3DE3DDCD"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0.56</w:t>
            </w:r>
          </w:p>
        </w:tc>
        <w:tc>
          <w:tcPr>
            <w:tcW w:w="406" w:type="pct"/>
            <w:tcBorders>
              <w:top w:val="nil"/>
              <w:left w:val="nil"/>
              <w:bottom w:val="nil"/>
              <w:right w:val="nil"/>
            </w:tcBorders>
            <w:shd w:val="clear" w:color="auto" w:fill="auto"/>
            <w:noWrap/>
            <w:vAlign w:val="bottom"/>
            <w:hideMark/>
          </w:tcPr>
          <w:p w14:paraId="69C0CAAD"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393</w:t>
            </w:r>
          </w:p>
        </w:tc>
        <w:tc>
          <w:tcPr>
            <w:tcW w:w="406" w:type="pct"/>
            <w:tcBorders>
              <w:top w:val="nil"/>
              <w:left w:val="single" w:sz="4" w:space="0" w:color="auto"/>
              <w:bottom w:val="nil"/>
              <w:right w:val="single" w:sz="4" w:space="0" w:color="auto"/>
            </w:tcBorders>
            <w:shd w:val="clear" w:color="auto" w:fill="auto"/>
            <w:noWrap/>
            <w:vAlign w:val="bottom"/>
            <w:hideMark/>
          </w:tcPr>
          <w:p w14:paraId="242C3A72"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0.76</w:t>
            </w:r>
          </w:p>
        </w:tc>
        <w:tc>
          <w:tcPr>
            <w:tcW w:w="406" w:type="pct"/>
            <w:gridSpan w:val="2"/>
            <w:tcBorders>
              <w:top w:val="nil"/>
              <w:left w:val="nil"/>
              <w:bottom w:val="nil"/>
              <w:right w:val="nil"/>
            </w:tcBorders>
            <w:shd w:val="clear" w:color="auto" w:fill="auto"/>
            <w:noWrap/>
            <w:vAlign w:val="bottom"/>
            <w:hideMark/>
          </w:tcPr>
          <w:p w14:paraId="4FCAFAF5"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776</w:t>
            </w:r>
          </w:p>
        </w:tc>
        <w:tc>
          <w:tcPr>
            <w:tcW w:w="352" w:type="pct"/>
            <w:tcBorders>
              <w:top w:val="nil"/>
              <w:left w:val="single" w:sz="4" w:space="0" w:color="auto"/>
              <w:bottom w:val="nil"/>
              <w:right w:val="single" w:sz="4" w:space="0" w:color="auto"/>
            </w:tcBorders>
            <w:shd w:val="clear" w:color="auto" w:fill="auto"/>
            <w:noWrap/>
            <w:vAlign w:val="bottom"/>
            <w:hideMark/>
          </w:tcPr>
          <w:p w14:paraId="390A7726"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0.72</w:t>
            </w:r>
          </w:p>
        </w:tc>
        <w:tc>
          <w:tcPr>
            <w:tcW w:w="408" w:type="pct"/>
            <w:gridSpan w:val="3"/>
            <w:tcBorders>
              <w:top w:val="nil"/>
              <w:left w:val="nil"/>
              <w:bottom w:val="nil"/>
              <w:right w:val="nil"/>
            </w:tcBorders>
            <w:shd w:val="clear" w:color="auto" w:fill="auto"/>
            <w:noWrap/>
            <w:vAlign w:val="bottom"/>
            <w:hideMark/>
          </w:tcPr>
          <w:p w14:paraId="6189C71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448</w:t>
            </w:r>
          </w:p>
        </w:tc>
        <w:tc>
          <w:tcPr>
            <w:tcW w:w="355" w:type="pct"/>
            <w:tcBorders>
              <w:top w:val="nil"/>
              <w:left w:val="single" w:sz="4" w:space="0" w:color="auto"/>
              <w:bottom w:val="nil"/>
              <w:right w:val="single" w:sz="4" w:space="0" w:color="auto"/>
            </w:tcBorders>
            <w:shd w:val="clear" w:color="auto" w:fill="auto"/>
            <w:noWrap/>
            <w:vAlign w:val="bottom"/>
            <w:hideMark/>
          </w:tcPr>
          <w:p w14:paraId="7DA7B8D5"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0.73</w:t>
            </w:r>
          </w:p>
        </w:tc>
        <w:tc>
          <w:tcPr>
            <w:tcW w:w="1297" w:type="pct"/>
            <w:gridSpan w:val="2"/>
            <w:tcBorders>
              <w:top w:val="nil"/>
              <w:left w:val="nil"/>
              <w:bottom w:val="nil"/>
              <w:right w:val="nil"/>
            </w:tcBorders>
            <w:shd w:val="clear" w:color="auto" w:fill="auto"/>
            <w:noWrap/>
            <w:vAlign w:val="bottom"/>
            <w:hideMark/>
          </w:tcPr>
          <w:p w14:paraId="266AD0C5"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215                   0.49</w:t>
            </w:r>
          </w:p>
        </w:tc>
        <w:tc>
          <w:tcPr>
            <w:tcW w:w="458" w:type="pct"/>
            <w:tcBorders>
              <w:top w:val="nil"/>
              <w:left w:val="single" w:sz="4" w:space="0" w:color="auto"/>
              <w:bottom w:val="nil"/>
              <w:right w:val="single" w:sz="4" w:space="0" w:color="auto"/>
            </w:tcBorders>
            <w:shd w:val="clear" w:color="auto" w:fill="auto"/>
            <w:noWrap/>
            <w:vAlign w:val="bottom"/>
            <w:hideMark/>
          </w:tcPr>
          <w:p w14:paraId="6AD7E61D"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0.49</w:t>
            </w:r>
          </w:p>
        </w:tc>
      </w:tr>
      <w:tr w:rsidR="004F55B6" w:rsidRPr="00D52B01" w14:paraId="0B197B60"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619C033C"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2007</w:t>
            </w:r>
          </w:p>
        </w:tc>
        <w:tc>
          <w:tcPr>
            <w:tcW w:w="325" w:type="pct"/>
            <w:tcBorders>
              <w:top w:val="nil"/>
              <w:left w:val="nil"/>
              <w:bottom w:val="nil"/>
              <w:right w:val="nil"/>
            </w:tcBorders>
            <w:shd w:val="clear" w:color="auto" w:fill="auto"/>
            <w:noWrap/>
            <w:vAlign w:val="bottom"/>
            <w:hideMark/>
          </w:tcPr>
          <w:p w14:paraId="39350F4E"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211</w:t>
            </w:r>
          </w:p>
        </w:tc>
        <w:tc>
          <w:tcPr>
            <w:tcW w:w="316" w:type="pct"/>
            <w:tcBorders>
              <w:top w:val="nil"/>
              <w:left w:val="single" w:sz="4" w:space="0" w:color="auto"/>
              <w:bottom w:val="nil"/>
              <w:right w:val="single" w:sz="4" w:space="0" w:color="auto"/>
            </w:tcBorders>
            <w:shd w:val="clear" w:color="auto" w:fill="auto"/>
            <w:noWrap/>
            <w:vAlign w:val="bottom"/>
            <w:hideMark/>
          </w:tcPr>
          <w:p w14:paraId="4398FC80"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0.52</w:t>
            </w:r>
          </w:p>
        </w:tc>
        <w:tc>
          <w:tcPr>
            <w:tcW w:w="406" w:type="pct"/>
            <w:tcBorders>
              <w:top w:val="nil"/>
              <w:left w:val="nil"/>
              <w:bottom w:val="nil"/>
              <w:right w:val="nil"/>
            </w:tcBorders>
            <w:shd w:val="clear" w:color="auto" w:fill="auto"/>
            <w:noWrap/>
            <w:vAlign w:val="bottom"/>
            <w:hideMark/>
          </w:tcPr>
          <w:p w14:paraId="5F1B9A2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634</w:t>
            </w:r>
          </w:p>
        </w:tc>
        <w:tc>
          <w:tcPr>
            <w:tcW w:w="406" w:type="pct"/>
            <w:tcBorders>
              <w:top w:val="nil"/>
              <w:left w:val="single" w:sz="4" w:space="0" w:color="auto"/>
              <w:bottom w:val="nil"/>
              <w:right w:val="single" w:sz="4" w:space="0" w:color="auto"/>
            </w:tcBorders>
            <w:shd w:val="clear" w:color="auto" w:fill="auto"/>
            <w:noWrap/>
            <w:vAlign w:val="bottom"/>
            <w:hideMark/>
          </w:tcPr>
          <w:p w14:paraId="40F6D531"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w:t>
            </w:r>
          </w:p>
        </w:tc>
        <w:tc>
          <w:tcPr>
            <w:tcW w:w="406" w:type="pct"/>
            <w:gridSpan w:val="2"/>
            <w:tcBorders>
              <w:top w:val="nil"/>
              <w:left w:val="nil"/>
              <w:bottom w:val="nil"/>
              <w:right w:val="nil"/>
            </w:tcBorders>
            <w:shd w:val="clear" w:color="auto" w:fill="auto"/>
            <w:noWrap/>
            <w:vAlign w:val="bottom"/>
            <w:hideMark/>
          </w:tcPr>
          <w:p w14:paraId="585D83A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905</w:t>
            </w:r>
          </w:p>
        </w:tc>
        <w:tc>
          <w:tcPr>
            <w:tcW w:w="352" w:type="pct"/>
            <w:tcBorders>
              <w:top w:val="nil"/>
              <w:left w:val="single" w:sz="4" w:space="0" w:color="auto"/>
              <w:bottom w:val="nil"/>
              <w:right w:val="single" w:sz="4" w:space="0" w:color="auto"/>
            </w:tcBorders>
            <w:shd w:val="clear" w:color="auto" w:fill="auto"/>
            <w:noWrap/>
            <w:vAlign w:val="bottom"/>
            <w:hideMark/>
          </w:tcPr>
          <w:p w14:paraId="1690891E"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0.66</w:t>
            </w:r>
          </w:p>
        </w:tc>
        <w:tc>
          <w:tcPr>
            <w:tcW w:w="408" w:type="pct"/>
            <w:gridSpan w:val="3"/>
            <w:tcBorders>
              <w:top w:val="nil"/>
              <w:left w:val="nil"/>
              <w:bottom w:val="nil"/>
              <w:right w:val="nil"/>
            </w:tcBorders>
            <w:shd w:val="clear" w:color="auto" w:fill="auto"/>
            <w:noWrap/>
            <w:vAlign w:val="bottom"/>
            <w:hideMark/>
          </w:tcPr>
          <w:p w14:paraId="41E90982"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599</w:t>
            </w:r>
          </w:p>
        </w:tc>
        <w:tc>
          <w:tcPr>
            <w:tcW w:w="355" w:type="pct"/>
            <w:tcBorders>
              <w:top w:val="nil"/>
              <w:left w:val="single" w:sz="4" w:space="0" w:color="auto"/>
              <w:bottom w:val="nil"/>
              <w:right w:val="single" w:sz="4" w:space="0" w:color="auto"/>
            </w:tcBorders>
            <w:shd w:val="clear" w:color="auto" w:fill="auto"/>
            <w:noWrap/>
            <w:vAlign w:val="bottom"/>
            <w:hideMark/>
          </w:tcPr>
          <w:p w14:paraId="241E9041"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0.75</w:t>
            </w:r>
          </w:p>
        </w:tc>
        <w:tc>
          <w:tcPr>
            <w:tcW w:w="1297" w:type="pct"/>
            <w:gridSpan w:val="2"/>
            <w:tcBorders>
              <w:top w:val="nil"/>
              <w:left w:val="nil"/>
              <w:bottom w:val="nil"/>
              <w:right w:val="nil"/>
            </w:tcBorders>
            <w:shd w:val="clear" w:color="auto" w:fill="auto"/>
            <w:noWrap/>
            <w:vAlign w:val="bottom"/>
            <w:hideMark/>
          </w:tcPr>
          <w:p w14:paraId="4390C0CA"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294                   0.59</w:t>
            </w:r>
          </w:p>
        </w:tc>
        <w:tc>
          <w:tcPr>
            <w:tcW w:w="458" w:type="pct"/>
            <w:tcBorders>
              <w:top w:val="nil"/>
              <w:left w:val="single" w:sz="4" w:space="0" w:color="auto"/>
              <w:bottom w:val="nil"/>
              <w:right w:val="single" w:sz="4" w:space="0" w:color="auto"/>
            </w:tcBorders>
            <w:shd w:val="clear" w:color="auto" w:fill="auto"/>
            <w:noWrap/>
            <w:vAlign w:val="bottom"/>
            <w:hideMark/>
          </w:tcPr>
          <w:p w14:paraId="2340E18C"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0.59</w:t>
            </w:r>
          </w:p>
        </w:tc>
      </w:tr>
      <w:tr w:rsidR="004F55B6" w:rsidRPr="00D52B01" w14:paraId="26B6DD50"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6B9EB83C"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2008</w:t>
            </w:r>
          </w:p>
        </w:tc>
        <w:tc>
          <w:tcPr>
            <w:tcW w:w="325" w:type="pct"/>
            <w:tcBorders>
              <w:top w:val="nil"/>
              <w:left w:val="nil"/>
              <w:bottom w:val="nil"/>
              <w:right w:val="nil"/>
            </w:tcBorders>
            <w:shd w:val="clear" w:color="auto" w:fill="auto"/>
            <w:noWrap/>
            <w:vAlign w:val="bottom"/>
            <w:hideMark/>
          </w:tcPr>
          <w:p w14:paraId="430ED600"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430</w:t>
            </w:r>
          </w:p>
        </w:tc>
        <w:tc>
          <w:tcPr>
            <w:tcW w:w="316" w:type="pct"/>
            <w:tcBorders>
              <w:top w:val="nil"/>
              <w:left w:val="single" w:sz="4" w:space="0" w:color="auto"/>
              <w:bottom w:val="nil"/>
              <w:right w:val="single" w:sz="4" w:space="0" w:color="auto"/>
            </w:tcBorders>
            <w:shd w:val="clear" w:color="auto" w:fill="auto"/>
            <w:noWrap/>
            <w:vAlign w:val="bottom"/>
            <w:hideMark/>
          </w:tcPr>
          <w:p w14:paraId="2B348FC0"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0.45</w:t>
            </w:r>
          </w:p>
        </w:tc>
        <w:tc>
          <w:tcPr>
            <w:tcW w:w="406" w:type="pct"/>
            <w:tcBorders>
              <w:top w:val="nil"/>
              <w:left w:val="nil"/>
              <w:bottom w:val="nil"/>
              <w:right w:val="nil"/>
            </w:tcBorders>
            <w:shd w:val="clear" w:color="auto" w:fill="auto"/>
            <w:noWrap/>
            <w:vAlign w:val="bottom"/>
            <w:hideMark/>
          </w:tcPr>
          <w:p w14:paraId="1A7B72B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1,188</w:t>
            </w:r>
          </w:p>
        </w:tc>
        <w:tc>
          <w:tcPr>
            <w:tcW w:w="406" w:type="pct"/>
            <w:tcBorders>
              <w:top w:val="nil"/>
              <w:left w:val="single" w:sz="4" w:space="0" w:color="auto"/>
              <w:bottom w:val="nil"/>
              <w:right w:val="single" w:sz="4" w:space="0" w:color="auto"/>
            </w:tcBorders>
            <w:shd w:val="clear" w:color="auto" w:fill="auto"/>
            <w:noWrap/>
            <w:vAlign w:val="bottom"/>
            <w:hideMark/>
          </w:tcPr>
          <w:p w14:paraId="0CEDD37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0.88</w:t>
            </w:r>
          </w:p>
        </w:tc>
        <w:tc>
          <w:tcPr>
            <w:tcW w:w="406" w:type="pct"/>
            <w:gridSpan w:val="2"/>
            <w:tcBorders>
              <w:top w:val="nil"/>
              <w:left w:val="nil"/>
              <w:bottom w:val="nil"/>
              <w:right w:val="nil"/>
            </w:tcBorders>
            <w:shd w:val="clear" w:color="auto" w:fill="auto"/>
            <w:noWrap/>
            <w:vAlign w:val="bottom"/>
            <w:hideMark/>
          </w:tcPr>
          <w:p w14:paraId="1AD754E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1333</w:t>
            </w:r>
          </w:p>
        </w:tc>
        <w:tc>
          <w:tcPr>
            <w:tcW w:w="352" w:type="pct"/>
            <w:tcBorders>
              <w:top w:val="nil"/>
              <w:left w:val="single" w:sz="4" w:space="0" w:color="auto"/>
              <w:bottom w:val="nil"/>
              <w:right w:val="single" w:sz="4" w:space="0" w:color="auto"/>
            </w:tcBorders>
            <w:shd w:val="clear" w:color="auto" w:fill="auto"/>
            <w:noWrap/>
            <w:vAlign w:val="bottom"/>
            <w:hideMark/>
          </w:tcPr>
          <w:p w14:paraId="51E0EA5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0.73</w:t>
            </w:r>
          </w:p>
        </w:tc>
        <w:tc>
          <w:tcPr>
            <w:tcW w:w="408" w:type="pct"/>
            <w:gridSpan w:val="3"/>
            <w:tcBorders>
              <w:top w:val="nil"/>
              <w:left w:val="nil"/>
              <w:bottom w:val="nil"/>
              <w:right w:val="nil"/>
            </w:tcBorders>
            <w:shd w:val="clear" w:color="auto" w:fill="auto"/>
            <w:noWrap/>
            <w:vAlign w:val="bottom"/>
            <w:hideMark/>
          </w:tcPr>
          <w:p w14:paraId="3C8C312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700</w:t>
            </w:r>
          </w:p>
        </w:tc>
        <w:tc>
          <w:tcPr>
            <w:tcW w:w="355" w:type="pct"/>
            <w:tcBorders>
              <w:top w:val="nil"/>
              <w:left w:val="single" w:sz="4" w:space="0" w:color="auto"/>
              <w:bottom w:val="nil"/>
              <w:right w:val="single" w:sz="4" w:space="0" w:color="auto"/>
            </w:tcBorders>
            <w:shd w:val="clear" w:color="auto" w:fill="auto"/>
            <w:noWrap/>
            <w:vAlign w:val="bottom"/>
            <w:hideMark/>
          </w:tcPr>
          <w:p w14:paraId="69467B8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0.79</w:t>
            </w:r>
          </w:p>
        </w:tc>
        <w:tc>
          <w:tcPr>
            <w:tcW w:w="1297" w:type="pct"/>
            <w:gridSpan w:val="2"/>
            <w:tcBorders>
              <w:top w:val="nil"/>
              <w:left w:val="nil"/>
              <w:bottom w:val="nil"/>
              <w:right w:val="nil"/>
            </w:tcBorders>
            <w:shd w:val="clear" w:color="auto" w:fill="auto"/>
            <w:noWrap/>
            <w:vAlign w:val="bottom"/>
            <w:hideMark/>
          </w:tcPr>
          <w:p w14:paraId="4FFF0759"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470                   0.67</w:t>
            </w:r>
          </w:p>
        </w:tc>
        <w:tc>
          <w:tcPr>
            <w:tcW w:w="458" w:type="pct"/>
            <w:tcBorders>
              <w:top w:val="nil"/>
              <w:left w:val="single" w:sz="4" w:space="0" w:color="auto"/>
              <w:bottom w:val="nil"/>
              <w:right w:val="single" w:sz="4" w:space="0" w:color="auto"/>
            </w:tcBorders>
            <w:shd w:val="clear" w:color="auto" w:fill="auto"/>
            <w:noWrap/>
            <w:vAlign w:val="bottom"/>
            <w:hideMark/>
          </w:tcPr>
          <w:p w14:paraId="05C9B87A"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0.67</w:t>
            </w:r>
          </w:p>
        </w:tc>
      </w:tr>
      <w:tr w:rsidR="004F55B6" w:rsidRPr="00D52B01" w14:paraId="70A3DCD6"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50551A5B"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2009</w:t>
            </w:r>
          </w:p>
        </w:tc>
        <w:tc>
          <w:tcPr>
            <w:tcW w:w="325" w:type="pct"/>
            <w:tcBorders>
              <w:top w:val="nil"/>
              <w:left w:val="nil"/>
              <w:bottom w:val="nil"/>
              <w:right w:val="nil"/>
            </w:tcBorders>
            <w:shd w:val="clear" w:color="auto" w:fill="auto"/>
            <w:noWrap/>
            <w:vAlign w:val="bottom"/>
            <w:hideMark/>
          </w:tcPr>
          <w:p w14:paraId="6BE0FC28"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438</w:t>
            </w:r>
          </w:p>
        </w:tc>
        <w:tc>
          <w:tcPr>
            <w:tcW w:w="316" w:type="pct"/>
            <w:tcBorders>
              <w:top w:val="nil"/>
              <w:left w:val="single" w:sz="4" w:space="0" w:color="auto"/>
              <w:bottom w:val="nil"/>
              <w:right w:val="single" w:sz="4" w:space="0" w:color="auto"/>
            </w:tcBorders>
            <w:shd w:val="clear" w:color="auto" w:fill="auto"/>
            <w:noWrap/>
            <w:vAlign w:val="bottom"/>
            <w:hideMark/>
          </w:tcPr>
          <w:p w14:paraId="31368856"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0.15</w:t>
            </w:r>
          </w:p>
        </w:tc>
        <w:tc>
          <w:tcPr>
            <w:tcW w:w="406" w:type="pct"/>
            <w:tcBorders>
              <w:top w:val="nil"/>
              <w:left w:val="nil"/>
              <w:bottom w:val="nil"/>
              <w:right w:val="nil"/>
            </w:tcBorders>
            <w:shd w:val="clear" w:color="auto" w:fill="auto"/>
            <w:noWrap/>
            <w:vAlign w:val="bottom"/>
            <w:hideMark/>
          </w:tcPr>
          <w:p w14:paraId="1419242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1,173</w:t>
            </w:r>
          </w:p>
        </w:tc>
        <w:tc>
          <w:tcPr>
            <w:tcW w:w="406" w:type="pct"/>
            <w:tcBorders>
              <w:top w:val="nil"/>
              <w:left w:val="single" w:sz="4" w:space="0" w:color="auto"/>
              <w:bottom w:val="nil"/>
              <w:right w:val="single" w:sz="4" w:space="0" w:color="auto"/>
            </w:tcBorders>
            <w:shd w:val="clear" w:color="auto" w:fill="auto"/>
            <w:noWrap/>
            <w:vAlign w:val="bottom"/>
            <w:hideMark/>
          </w:tcPr>
          <w:p w14:paraId="238DE9DB"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0.88</w:t>
            </w:r>
          </w:p>
        </w:tc>
        <w:tc>
          <w:tcPr>
            <w:tcW w:w="406" w:type="pct"/>
            <w:gridSpan w:val="2"/>
            <w:tcBorders>
              <w:top w:val="nil"/>
              <w:left w:val="nil"/>
              <w:bottom w:val="nil"/>
              <w:right w:val="nil"/>
            </w:tcBorders>
            <w:shd w:val="clear" w:color="auto" w:fill="auto"/>
            <w:noWrap/>
            <w:vAlign w:val="bottom"/>
            <w:hideMark/>
          </w:tcPr>
          <w:p w14:paraId="165134AD"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1245</w:t>
            </w:r>
          </w:p>
        </w:tc>
        <w:tc>
          <w:tcPr>
            <w:tcW w:w="352" w:type="pct"/>
            <w:tcBorders>
              <w:top w:val="nil"/>
              <w:left w:val="single" w:sz="4" w:space="0" w:color="auto"/>
              <w:bottom w:val="nil"/>
              <w:right w:val="single" w:sz="4" w:space="0" w:color="auto"/>
            </w:tcBorders>
            <w:shd w:val="clear" w:color="auto" w:fill="auto"/>
            <w:noWrap/>
            <w:vAlign w:val="bottom"/>
            <w:hideMark/>
          </w:tcPr>
          <w:p w14:paraId="445E9A94"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0.73</w:t>
            </w:r>
          </w:p>
        </w:tc>
        <w:tc>
          <w:tcPr>
            <w:tcW w:w="408" w:type="pct"/>
            <w:gridSpan w:val="3"/>
            <w:tcBorders>
              <w:top w:val="nil"/>
              <w:left w:val="nil"/>
              <w:bottom w:val="nil"/>
              <w:right w:val="nil"/>
            </w:tcBorders>
            <w:shd w:val="clear" w:color="auto" w:fill="auto"/>
            <w:noWrap/>
            <w:vAlign w:val="bottom"/>
            <w:hideMark/>
          </w:tcPr>
          <w:p w14:paraId="7C5CEF69"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1,339</w:t>
            </w:r>
          </w:p>
        </w:tc>
        <w:tc>
          <w:tcPr>
            <w:tcW w:w="355" w:type="pct"/>
            <w:tcBorders>
              <w:top w:val="nil"/>
              <w:left w:val="single" w:sz="4" w:space="0" w:color="auto"/>
              <w:bottom w:val="nil"/>
              <w:right w:val="single" w:sz="4" w:space="0" w:color="auto"/>
            </w:tcBorders>
            <w:shd w:val="clear" w:color="auto" w:fill="auto"/>
            <w:noWrap/>
            <w:vAlign w:val="bottom"/>
            <w:hideMark/>
          </w:tcPr>
          <w:p w14:paraId="14599292"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0.69</w:t>
            </w:r>
          </w:p>
        </w:tc>
        <w:tc>
          <w:tcPr>
            <w:tcW w:w="1297" w:type="pct"/>
            <w:gridSpan w:val="2"/>
            <w:tcBorders>
              <w:top w:val="nil"/>
              <w:left w:val="nil"/>
              <w:bottom w:val="nil"/>
              <w:right w:val="nil"/>
            </w:tcBorders>
            <w:shd w:val="clear" w:color="auto" w:fill="auto"/>
            <w:noWrap/>
            <w:vAlign w:val="bottom"/>
            <w:hideMark/>
          </w:tcPr>
          <w:p w14:paraId="4B58B598"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683                   0.51</w:t>
            </w:r>
          </w:p>
        </w:tc>
        <w:tc>
          <w:tcPr>
            <w:tcW w:w="458" w:type="pct"/>
            <w:tcBorders>
              <w:top w:val="nil"/>
              <w:left w:val="single" w:sz="4" w:space="0" w:color="auto"/>
              <w:bottom w:val="nil"/>
              <w:right w:val="single" w:sz="4" w:space="0" w:color="auto"/>
            </w:tcBorders>
            <w:shd w:val="clear" w:color="auto" w:fill="auto"/>
            <w:noWrap/>
            <w:vAlign w:val="bottom"/>
            <w:hideMark/>
          </w:tcPr>
          <w:p w14:paraId="253B57CB"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0.51</w:t>
            </w:r>
          </w:p>
        </w:tc>
      </w:tr>
      <w:tr w:rsidR="004F55B6" w:rsidRPr="00D52B01" w14:paraId="42983507"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595BF2A1"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2010</w:t>
            </w:r>
          </w:p>
        </w:tc>
        <w:tc>
          <w:tcPr>
            <w:tcW w:w="325" w:type="pct"/>
            <w:tcBorders>
              <w:top w:val="nil"/>
              <w:left w:val="nil"/>
              <w:bottom w:val="nil"/>
              <w:right w:val="nil"/>
            </w:tcBorders>
            <w:shd w:val="clear" w:color="auto" w:fill="auto"/>
            <w:noWrap/>
            <w:vAlign w:val="bottom"/>
            <w:hideMark/>
          </w:tcPr>
          <w:p w14:paraId="3777F21D"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486</w:t>
            </w:r>
          </w:p>
        </w:tc>
        <w:tc>
          <w:tcPr>
            <w:tcW w:w="316" w:type="pct"/>
            <w:tcBorders>
              <w:top w:val="nil"/>
              <w:left w:val="single" w:sz="4" w:space="0" w:color="auto"/>
              <w:bottom w:val="nil"/>
              <w:right w:val="single" w:sz="4" w:space="0" w:color="auto"/>
            </w:tcBorders>
            <w:shd w:val="clear" w:color="auto" w:fill="auto"/>
            <w:noWrap/>
            <w:vAlign w:val="bottom"/>
            <w:hideMark/>
          </w:tcPr>
          <w:p w14:paraId="0F902465"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0.5</w:t>
            </w:r>
          </w:p>
        </w:tc>
        <w:tc>
          <w:tcPr>
            <w:tcW w:w="406" w:type="pct"/>
            <w:tcBorders>
              <w:top w:val="nil"/>
              <w:left w:val="nil"/>
              <w:bottom w:val="nil"/>
              <w:right w:val="nil"/>
            </w:tcBorders>
            <w:shd w:val="clear" w:color="auto" w:fill="auto"/>
            <w:noWrap/>
            <w:vAlign w:val="bottom"/>
            <w:hideMark/>
          </w:tcPr>
          <w:p w14:paraId="27D0F2B6"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1,318</w:t>
            </w:r>
          </w:p>
        </w:tc>
        <w:tc>
          <w:tcPr>
            <w:tcW w:w="406" w:type="pct"/>
            <w:tcBorders>
              <w:top w:val="nil"/>
              <w:left w:val="single" w:sz="4" w:space="0" w:color="auto"/>
              <w:bottom w:val="nil"/>
              <w:right w:val="single" w:sz="4" w:space="0" w:color="auto"/>
            </w:tcBorders>
            <w:shd w:val="clear" w:color="auto" w:fill="auto"/>
            <w:noWrap/>
            <w:vAlign w:val="bottom"/>
            <w:hideMark/>
          </w:tcPr>
          <w:p w14:paraId="15FBF68D"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0.82</w:t>
            </w:r>
          </w:p>
        </w:tc>
        <w:tc>
          <w:tcPr>
            <w:tcW w:w="406" w:type="pct"/>
            <w:gridSpan w:val="2"/>
            <w:tcBorders>
              <w:top w:val="nil"/>
              <w:left w:val="nil"/>
              <w:bottom w:val="nil"/>
              <w:right w:val="nil"/>
            </w:tcBorders>
            <w:shd w:val="clear" w:color="auto" w:fill="auto"/>
            <w:noWrap/>
            <w:vAlign w:val="bottom"/>
            <w:hideMark/>
          </w:tcPr>
          <w:p w14:paraId="7E2E4F2B"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1267</w:t>
            </w:r>
          </w:p>
        </w:tc>
        <w:tc>
          <w:tcPr>
            <w:tcW w:w="352" w:type="pct"/>
            <w:tcBorders>
              <w:top w:val="nil"/>
              <w:left w:val="single" w:sz="4" w:space="0" w:color="auto"/>
              <w:bottom w:val="nil"/>
              <w:right w:val="single" w:sz="4" w:space="0" w:color="auto"/>
            </w:tcBorders>
            <w:shd w:val="clear" w:color="auto" w:fill="auto"/>
            <w:noWrap/>
            <w:vAlign w:val="bottom"/>
            <w:hideMark/>
          </w:tcPr>
          <w:p w14:paraId="51A01D8E"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0.77</w:t>
            </w:r>
          </w:p>
        </w:tc>
        <w:tc>
          <w:tcPr>
            <w:tcW w:w="408" w:type="pct"/>
            <w:gridSpan w:val="3"/>
            <w:tcBorders>
              <w:top w:val="nil"/>
              <w:left w:val="nil"/>
              <w:bottom w:val="nil"/>
              <w:right w:val="nil"/>
            </w:tcBorders>
            <w:shd w:val="clear" w:color="auto" w:fill="auto"/>
            <w:noWrap/>
            <w:vAlign w:val="bottom"/>
            <w:hideMark/>
          </w:tcPr>
          <w:p w14:paraId="069AB106"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1,450</w:t>
            </w:r>
          </w:p>
        </w:tc>
        <w:tc>
          <w:tcPr>
            <w:tcW w:w="355" w:type="pct"/>
            <w:tcBorders>
              <w:top w:val="nil"/>
              <w:left w:val="single" w:sz="4" w:space="0" w:color="auto"/>
              <w:bottom w:val="nil"/>
              <w:right w:val="single" w:sz="4" w:space="0" w:color="auto"/>
            </w:tcBorders>
            <w:shd w:val="clear" w:color="auto" w:fill="auto"/>
            <w:noWrap/>
            <w:vAlign w:val="bottom"/>
            <w:hideMark/>
          </w:tcPr>
          <w:p w14:paraId="7785DDE3"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0.81</w:t>
            </w:r>
          </w:p>
        </w:tc>
        <w:tc>
          <w:tcPr>
            <w:tcW w:w="1297" w:type="pct"/>
            <w:gridSpan w:val="2"/>
            <w:tcBorders>
              <w:top w:val="nil"/>
              <w:left w:val="nil"/>
              <w:bottom w:val="nil"/>
              <w:right w:val="nil"/>
            </w:tcBorders>
            <w:shd w:val="clear" w:color="auto" w:fill="auto"/>
            <w:noWrap/>
            <w:vAlign w:val="bottom"/>
            <w:hideMark/>
          </w:tcPr>
          <w:p w14:paraId="659E3BD5"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761                   0.67</w:t>
            </w:r>
          </w:p>
        </w:tc>
        <w:tc>
          <w:tcPr>
            <w:tcW w:w="458" w:type="pct"/>
            <w:tcBorders>
              <w:top w:val="nil"/>
              <w:left w:val="single" w:sz="4" w:space="0" w:color="auto"/>
              <w:bottom w:val="nil"/>
              <w:right w:val="single" w:sz="4" w:space="0" w:color="auto"/>
            </w:tcBorders>
            <w:shd w:val="clear" w:color="auto" w:fill="auto"/>
            <w:noWrap/>
            <w:vAlign w:val="bottom"/>
            <w:hideMark/>
          </w:tcPr>
          <w:p w14:paraId="026A49A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0.67</w:t>
            </w:r>
          </w:p>
        </w:tc>
      </w:tr>
      <w:tr w:rsidR="004F55B6" w:rsidRPr="00D52B01" w14:paraId="5D801ADB"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64373193"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2011</w:t>
            </w:r>
          </w:p>
        </w:tc>
        <w:tc>
          <w:tcPr>
            <w:tcW w:w="325" w:type="pct"/>
            <w:tcBorders>
              <w:top w:val="nil"/>
              <w:left w:val="nil"/>
              <w:bottom w:val="nil"/>
              <w:right w:val="nil"/>
            </w:tcBorders>
            <w:shd w:val="clear" w:color="auto" w:fill="auto"/>
            <w:noWrap/>
            <w:vAlign w:val="bottom"/>
            <w:hideMark/>
          </w:tcPr>
          <w:p w14:paraId="3475B1B0"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1,236</w:t>
            </w:r>
          </w:p>
        </w:tc>
        <w:tc>
          <w:tcPr>
            <w:tcW w:w="316" w:type="pct"/>
            <w:tcBorders>
              <w:top w:val="nil"/>
              <w:left w:val="single" w:sz="4" w:space="0" w:color="auto"/>
              <w:bottom w:val="nil"/>
              <w:right w:val="single" w:sz="4" w:space="0" w:color="auto"/>
            </w:tcBorders>
            <w:shd w:val="clear" w:color="auto" w:fill="auto"/>
            <w:noWrap/>
            <w:vAlign w:val="bottom"/>
            <w:hideMark/>
          </w:tcPr>
          <w:p w14:paraId="222E8C40"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0.61</w:t>
            </w:r>
          </w:p>
        </w:tc>
        <w:tc>
          <w:tcPr>
            <w:tcW w:w="406" w:type="pct"/>
            <w:tcBorders>
              <w:top w:val="nil"/>
              <w:left w:val="nil"/>
              <w:bottom w:val="nil"/>
              <w:right w:val="nil"/>
            </w:tcBorders>
            <w:shd w:val="clear" w:color="auto" w:fill="auto"/>
            <w:noWrap/>
            <w:vAlign w:val="bottom"/>
            <w:hideMark/>
          </w:tcPr>
          <w:p w14:paraId="6EC72886"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1,655</w:t>
            </w:r>
          </w:p>
        </w:tc>
        <w:tc>
          <w:tcPr>
            <w:tcW w:w="406" w:type="pct"/>
            <w:tcBorders>
              <w:top w:val="nil"/>
              <w:left w:val="single" w:sz="4" w:space="0" w:color="auto"/>
              <w:bottom w:val="nil"/>
              <w:right w:val="single" w:sz="4" w:space="0" w:color="auto"/>
            </w:tcBorders>
            <w:shd w:val="clear" w:color="auto" w:fill="auto"/>
            <w:noWrap/>
            <w:vAlign w:val="bottom"/>
            <w:hideMark/>
          </w:tcPr>
          <w:p w14:paraId="696A7C23"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0.83</w:t>
            </w:r>
          </w:p>
        </w:tc>
        <w:tc>
          <w:tcPr>
            <w:tcW w:w="406" w:type="pct"/>
            <w:gridSpan w:val="2"/>
            <w:tcBorders>
              <w:top w:val="nil"/>
              <w:left w:val="nil"/>
              <w:bottom w:val="nil"/>
              <w:right w:val="nil"/>
            </w:tcBorders>
            <w:shd w:val="clear" w:color="auto" w:fill="auto"/>
            <w:noWrap/>
            <w:vAlign w:val="bottom"/>
            <w:hideMark/>
          </w:tcPr>
          <w:p w14:paraId="35293471"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1,445</w:t>
            </w:r>
          </w:p>
        </w:tc>
        <w:tc>
          <w:tcPr>
            <w:tcW w:w="352" w:type="pct"/>
            <w:tcBorders>
              <w:top w:val="nil"/>
              <w:left w:val="single" w:sz="4" w:space="0" w:color="auto"/>
              <w:bottom w:val="nil"/>
              <w:right w:val="single" w:sz="4" w:space="0" w:color="auto"/>
            </w:tcBorders>
            <w:shd w:val="clear" w:color="auto" w:fill="auto"/>
            <w:noWrap/>
            <w:vAlign w:val="bottom"/>
            <w:hideMark/>
          </w:tcPr>
          <w:p w14:paraId="08CD91D8"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0.78</w:t>
            </w:r>
          </w:p>
        </w:tc>
        <w:tc>
          <w:tcPr>
            <w:tcW w:w="408" w:type="pct"/>
            <w:gridSpan w:val="3"/>
            <w:tcBorders>
              <w:top w:val="nil"/>
              <w:left w:val="nil"/>
              <w:bottom w:val="nil"/>
              <w:right w:val="nil"/>
            </w:tcBorders>
            <w:shd w:val="clear" w:color="auto" w:fill="auto"/>
            <w:noWrap/>
            <w:vAlign w:val="bottom"/>
            <w:hideMark/>
          </w:tcPr>
          <w:p w14:paraId="5160C730"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1,951</w:t>
            </w:r>
          </w:p>
        </w:tc>
        <w:tc>
          <w:tcPr>
            <w:tcW w:w="355" w:type="pct"/>
            <w:tcBorders>
              <w:top w:val="nil"/>
              <w:left w:val="single" w:sz="4" w:space="0" w:color="auto"/>
              <w:bottom w:val="nil"/>
              <w:right w:val="single" w:sz="4" w:space="0" w:color="auto"/>
            </w:tcBorders>
            <w:shd w:val="clear" w:color="auto" w:fill="auto"/>
            <w:noWrap/>
            <w:vAlign w:val="bottom"/>
            <w:hideMark/>
          </w:tcPr>
          <w:p w14:paraId="08C64D5D"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0.85</w:t>
            </w:r>
          </w:p>
        </w:tc>
        <w:tc>
          <w:tcPr>
            <w:tcW w:w="1297" w:type="pct"/>
            <w:gridSpan w:val="2"/>
            <w:tcBorders>
              <w:top w:val="nil"/>
              <w:left w:val="nil"/>
              <w:bottom w:val="nil"/>
              <w:right w:val="nil"/>
            </w:tcBorders>
            <w:shd w:val="clear" w:color="auto" w:fill="auto"/>
            <w:noWrap/>
            <w:vAlign w:val="bottom"/>
            <w:hideMark/>
          </w:tcPr>
          <w:p w14:paraId="3A92A2DB"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1,026                0.74</w:t>
            </w:r>
          </w:p>
        </w:tc>
        <w:tc>
          <w:tcPr>
            <w:tcW w:w="458" w:type="pct"/>
            <w:tcBorders>
              <w:top w:val="nil"/>
              <w:left w:val="single" w:sz="4" w:space="0" w:color="auto"/>
              <w:bottom w:val="nil"/>
              <w:right w:val="single" w:sz="4" w:space="0" w:color="auto"/>
            </w:tcBorders>
            <w:shd w:val="clear" w:color="auto" w:fill="auto"/>
            <w:noWrap/>
            <w:vAlign w:val="bottom"/>
            <w:hideMark/>
          </w:tcPr>
          <w:p w14:paraId="267E7CA2"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0.74</w:t>
            </w:r>
          </w:p>
        </w:tc>
      </w:tr>
      <w:tr w:rsidR="004F55B6" w:rsidRPr="00D52B01" w14:paraId="76F95CCA"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169332C1"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2012</w:t>
            </w:r>
          </w:p>
        </w:tc>
        <w:tc>
          <w:tcPr>
            <w:tcW w:w="325" w:type="pct"/>
            <w:tcBorders>
              <w:top w:val="nil"/>
              <w:left w:val="nil"/>
              <w:bottom w:val="nil"/>
              <w:right w:val="nil"/>
            </w:tcBorders>
            <w:shd w:val="clear" w:color="auto" w:fill="auto"/>
            <w:noWrap/>
            <w:vAlign w:val="bottom"/>
            <w:hideMark/>
          </w:tcPr>
          <w:p w14:paraId="280EDED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1,298</w:t>
            </w:r>
          </w:p>
        </w:tc>
        <w:tc>
          <w:tcPr>
            <w:tcW w:w="316" w:type="pct"/>
            <w:tcBorders>
              <w:top w:val="nil"/>
              <w:left w:val="single" w:sz="4" w:space="0" w:color="auto"/>
              <w:bottom w:val="nil"/>
              <w:right w:val="single" w:sz="4" w:space="0" w:color="auto"/>
            </w:tcBorders>
            <w:shd w:val="clear" w:color="auto" w:fill="auto"/>
            <w:noWrap/>
            <w:vAlign w:val="bottom"/>
            <w:hideMark/>
          </w:tcPr>
          <w:p w14:paraId="5D88D2CC"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0.62</w:t>
            </w:r>
          </w:p>
        </w:tc>
        <w:tc>
          <w:tcPr>
            <w:tcW w:w="406" w:type="pct"/>
            <w:tcBorders>
              <w:top w:val="nil"/>
              <w:left w:val="nil"/>
              <w:bottom w:val="nil"/>
              <w:right w:val="nil"/>
            </w:tcBorders>
            <w:shd w:val="clear" w:color="auto" w:fill="auto"/>
            <w:noWrap/>
            <w:vAlign w:val="bottom"/>
            <w:hideMark/>
          </w:tcPr>
          <w:p w14:paraId="650BC861"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1,929</w:t>
            </w:r>
          </w:p>
        </w:tc>
        <w:tc>
          <w:tcPr>
            <w:tcW w:w="406" w:type="pct"/>
            <w:tcBorders>
              <w:top w:val="nil"/>
              <w:left w:val="single" w:sz="4" w:space="0" w:color="auto"/>
              <w:bottom w:val="nil"/>
              <w:right w:val="single" w:sz="4" w:space="0" w:color="auto"/>
            </w:tcBorders>
            <w:shd w:val="clear" w:color="auto" w:fill="auto"/>
            <w:noWrap/>
            <w:vAlign w:val="bottom"/>
            <w:hideMark/>
          </w:tcPr>
          <w:p w14:paraId="10131D23"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w:t>
            </w:r>
          </w:p>
        </w:tc>
        <w:tc>
          <w:tcPr>
            <w:tcW w:w="406" w:type="pct"/>
            <w:gridSpan w:val="2"/>
            <w:tcBorders>
              <w:top w:val="nil"/>
              <w:left w:val="nil"/>
              <w:bottom w:val="nil"/>
              <w:right w:val="nil"/>
            </w:tcBorders>
            <w:shd w:val="clear" w:color="auto" w:fill="auto"/>
            <w:noWrap/>
            <w:vAlign w:val="bottom"/>
            <w:hideMark/>
          </w:tcPr>
          <w:p w14:paraId="485190C5"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1,720</w:t>
            </w:r>
          </w:p>
        </w:tc>
        <w:tc>
          <w:tcPr>
            <w:tcW w:w="352" w:type="pct"/>
            <w:tcBorders>
              <w:top w:val="nil"/>
              <w:left w:val="single" w:sz="4" w:space="0" w:color="auto"/>
              <w:bottom w:val="nil"/>
              <w:right w:val="single" w:sz="4" w:space="0" w:color="auto"/>
            </w:tcBorders>
            <w:shd w:val="clear" w:color="auto" w:fill="auto"/>
            <w:noWrap/>
            <w:vAlign w:val="bottom"/>
            <w:hideMark/>
          </w:tcPr>
          <w:p w14:paraId="7C2BB339"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w:t>
            </w:r>
          </w:p>
        </w:tc>
        <w:tc>
          <w:tcPr>
            <w:tcW w:w="408" w:type="pct"/>
            <w:gridSpan w:val="3"/>
            <w:tcBorders>
              <w:top w:val="nil"/>
              <w:left w:val="nil"/>
              <w:bottom w:val="nil"/>
              <w:right w:val="nil"/>
            </w:tcBorders>
            <w:shd w:val="clear" w:color="auto" w:fill="auto"/>
            <w:noWrap/>
            <w:vAlign w:val="bottom"/>
            <w:hideMark/>
          </w:tcPr>
          <w:p w14:paraId="338793DC"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2,395</w:t>
            </w:r>
          </w:p>
        </w:tc>
        <w:tc>
          <w:tcPr>
            <w:tcW w:w="355" w:type="pct"/>
            <w:tcBorders>
              <w:top w:val="nil"/>
              <w:left w:val="single" w:sz="4" w:space="0" w:color="auto"/>
              <w:bottom w:val="nil"/>
              <w:right w:val="single" w:sz="4" w:space="0" w:color="auto"/>
            </w:tcBorders>
            <w:shd w:val="clear" w:color="auto" w:fill="auto"/>
            <w:noWrap/>
            <w:vAlign w:val="bottom"/>
            <w:hideMark/>
          </w:tcPr>
          <w:p w14:paraId="7340260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0.79</w:t>
            </w:r>
          </w:p>
        </w:tc>
        <w:tc>
          <w:tcPr>
            <w:tcW w:w="1297" w:type="pct"/>
            <w:gridSpan w:val="2"/>
            <w:tcBorders>
              <w:top w:val="nil"/>
              <w:left w:val="nil"/>
              <w:bottom w:val="nil"/>
              <w:right w:val="nil"/>
            </w:tcBorders>
            <w:shd w:val="clear" w:color="auto" w:fill="auto"/>
            <w:noWrap/>
            <w:vAlign w:val="bottom"/>
            <w:hideMark/>
          </w:tcPr>
          <w:p w14:paraId="7EFFC2D7"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1,148                0.68</w:t>
            </w:r>
          </w:p>
        </w:tc>
        <w:tc>
          <w:tcPr>
            <w:tcW w:w="458" w:type="pct"/>
            <w:tcBorders>
              <w:top w:val="nil"/>
              <w:left w:val="single" w:sz="4" w:space="0" w:color="auto"/>
              <w:bottom w:val="nil"/>
              <w:right w:val="single" w:sz="4" w:space="0" w:color="auto"/>
            </w:tcBorders>
            <w:shd w:val="clear" w:color="auto" w:fill="auto"/>
            <w:noWrap/>
            <w:vAlign w:val="bottom"/>
            <w:hideMark/>
          </w:tcPr>
          <w:p w14:paraId="34E2AC51"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0.68</w:t>
            </w:r>
          </w:p>
        </w:tc>
      </w:tr>
      <w:tr w:rsidR="004F55B6" w:rsidRPr="00D52B01" w14:paraId="3D7ECF52"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5769A885"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2013</w:t>
            </w:r>
          </w:p>
        </w:tc>
        <w:tc>
          <w:tcPr>
            <w:tcW w:w="325" w:type="pct"/>
            <w:tcBorders>
              <w:top w:val="nil"/>
              <w:left w:val="nil"/>
              <w:bottom w:val="nil"/>
              <w:right w:val="nil"/>
            </w:tcBorders>
            <w:shd w:val="clear" w:color="auto" w:fill="auto"/>
            <w:noWrap/>
            <w:vAlign w:val="bottom"/>
            <w:hideMark/>
          </w:tcPr>
          <w:p w14:paraId="0B72C8F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1,403</w:t>
            </w:r>
          </w:p>
        </w:tc>
        <w:tc>
          <w:tcPr>
            <w:tcW w:w="316" w:type="pct"/>
            <w:tcBorders>
              <w:top w:val="nil"/>
              <w:left w:val="single" w:sz="4" w:space="0" w:color="auto"/>
              <w:bottom w:val="nil"/>
              <w:right w:val="single" w:sz="4" w:space="0" w:color="auto"/>
            </w:tcBorders>
            <w:shd w:val="clear" w:color="auto" w:fill="auto"/>
            <w:noWrap/>
            <w:vAlign w:val="bottom"/>
            <w:hideMark/>
          </w:tcPr>
          <w:p w14:paraId="4D946C9E"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0.62</w:t>
            </w:r>
          </w:p>
        </w:tc>
        <w:tc>
          <w:tcPr>
            <w:tcW w:w="406" w:type="pct"/>
            <w:tcBorders>
              <w:top w:val="nil"/>
              <w:left w:val="nil"/>
              <w:bottom w:val="nil"/>
              <w:right w:val="nil"/>
            </w:tcBorders>
            <w:shd w:val="clear" w:color="auto" w:fill="auto"/>
            <w:noWrap/>
            <w:vAlign w:val="bottom"/>
            <w:hideMark/>
          </w:tcPr>
          <w:p w14:paraId="5217CEC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2,276</w:t>
            </w:r>
          </w:p>
        </w:tc>
        <w:tc>
          <w:tcPr>
            <w:tcW w:w="406" w:type="pct"/>
            <w:tcBorders>
              <w:top w:val="nil"/>
              <w:left w:val="single" w:sz="4" w:space="0" w:color="auto"/>
              <w:bottom w:val="nil"/>
              <w:right w:val="single" w:sz="4" w:space="0" w:color="auto"/>
            </w:tcBorders>
            <w:shd w:val="clear" w:color="auto" w:fill="auto"/>
            <w:noWrap/>
            <w:vAlign w:val="bottom"/>
            <w:hideMark/>
          </w:tcPr>
          <w:p w14:paraId="766478EA"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0.78</w:t>
            </w:r>
          </w:p>
        </w:tc>
        <w:tc>
          <w:tcPr>
            <w:tcW w:w="406" w:type="pct"/>
            <w:gridSpan w:val="2"/>
            <w:tcBorders>
              <w:top w:val="nil"/>
              <w:left w:val="nil"/>
              <w:bottom w:val="nil"/>
              <w:right w:val="nil"/>
            </w:tcBorders>
            <w:shd w:val="clear" w:color="auto" w:fill="auto"/>
            <w:noWrap/>
            <w:vAlign w:val="bottom"/>
            <w:hideMark/>
          </w:tcPr>
          <w:p w14:paraId="077F93E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2,161</w:t>
            </w:r>
          </w:p>
        </w:tc>
        <w:tc>
          <w:tcPr>
            <w:tcW w:w="352" w:type="pct"/>
            <w:tcBorders>
              <w:top w:val="nil"/>
              <w:left w:val="single" w:sz="4" w:space="0" w:color="auto"/>
              <w:bottom w:val="nil"/>
              <w:right w:val="single" w:sz="4" w:space="0" w:color="auto"/>
            </w:tcBorders>
            <w:shd w:val="clear" w:color="auto" w:fill="auto"/>
            <w:noWrap/>
            <w:vAlign w:val="bottom"/>
            <w:hideMark/>
          </w:tcPr>
          <w:p w14:paraId="445AF318"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0.78</w:t>
            </w:r>
          </w:p>
        </w:tc>
        <w:tc>
          <w:tcPr>
            <w:tcW w:w="408" w:type="pct"/>
            <w:gridSpan w:val="3"/>
            <w:tcBorders>
              <w:top w:val="nil"/>
              <w:left w:val="nil"/>
              <w:bottom w:val="nil"/>
              <w:right w:val="nil"/>
            </w:tcBorders>
            <w:shd w:val="clear" w:color="auto" w:fill="auto"/>
            <w:noWrap/>
            <w:vAlign w:val="bottom"/>
            <w:hideMark/>
          </w:tcPr>
          <w:p w14:paraId="702CAD31"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2,929</w:t>
            </w:r>
          </w:p>
        </w:tc>
        <w:tc>
          <w:tcPr>
            <w:tcW w:w="355" w:type="pct"/>
            <w:tcBorders>
              <w:top w:val="nil"/>
              <w:left w:val="single" w:sz="4" w:space="0" w:color="auto"/>
              <w:bottom w:val="nil"/>
              <w:right w:val="single" w:sz="4" w:space="0" w:color="auto"/>
            </w:tcBorders>
            <w:shd w:val="clear" w:color="auto" w:fill="auto"/>
            <w:noWrap/>
            <w:vAlign w:val="bottom"/>
            <w:hideMark/>
          </w:tcPr>
          <w:p w14:paraId="7CFD29F5"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0.76</w:t>
            </w:r>
          </w:p>
        </w:tc>
        <w:tc>
          <w:tcPr>
            <w:tcW w:w="1297" w:type="pct"/>
            <w:gridSpan w:val="2"/>
            <w:tcBorders>
              <w:top w:val="nil"/>
              <w:left w:val="nil"/>
              <w:bottom w:val="nil"/>
              <w:right w:val="nil"/>
            </w:tcBorders>
            <w:shd w:val="clear" w:color="auto" w:fill="auto"/>
            <w:noWrap/>
            <w:vAlign w:val="bottom"/>
            <w:hideMark/>
          </w:tcPr>
          <w:p w14:paraId="173F9145"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1,427                0.75</w:t>
            </w:r>
          </w:p>
        </w:tc>
        <w:tc>
          <w:tcPr>
            <w:tcW w:w="458" w:type="pct"/>
            <w:tcBorders>
              <w:top w:val="nil"/>
              <w:left w:val="single" w:sz="4" w:space="0" w:color="auto"/>
              <w:bottom w:val="nil"/>
              <w:right w:val="single" w:sz="4" w:space="0" w:color="auto"/>
            </w:tcBorders>
            <w:shd w:val="clear" w:color="auto" w:fill="auto"/>
            <w:noWrap/>
            <w:vAlign w:val="bottom"/>
            <w:hideMark/>
          </w:tcPr>
          <w:p w14:paraId="7CB4C1E1"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0.75</w:t>
            </w:r>
          </w:p>
        </w:tc>
      </w:tr>
      <w:tr w:rsidR="004F55B6" w:rsidRPr="00D52B01" w14:paraId="7C24EA44"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44E45CEC"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2014</w:t>
            </w:r>
          </w:p>
        </w:tc>
        <w:tc>
          <w:tcPr>
            <w:tcW w:w="325" w:type="pct"/>
            <w:tcBorders>
              <w:top w:val="nil"/>
              <w:left w:val="nil"/>
              <w:bottom w:val="nil"/>
              <w:right w:val="nil"/>
            </w:tcBorders>
            <w:shd w:val="clear" w:color="auto" w:fill="auto"/>
            <w:noWrap/>
            <w:vAlign w:val="bottom"/>
            <w:hideMark/>
          </w:tcPr>
          <w:p w14:paraId="07CDA54D"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1,573</w:t>
            </w:r>
          </w:p>
        </w:tc>
        <w:tc>
          <w:tcPr>
            <w:tcW w:w="316" w:type="pct"/>
            <w:tcBorders>
              <w:top w:val="nil"/>
              <w:left w:val="single" w:sz="4" w:space="0" w:color="auto"/>
              <w:bottom w:val="nil"/>
              <w:right w:val="single" w:sz="4" w:space="0" w:color="auto"/>
            </w:tcBorders>
            <w:shd w:val="clear" w:color="auto" w:fill="auto"/>
            <w:noWrap/>
            <w:vAlign w:val="bottom"/>
            <w:hideMark/>
          </w:tcPr>
          <w:p w14:paraId="774B2D19"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0.57</w:t>
            </w:r>
          </w:p>
        </w:tc>
        <w:tc>
          <w:tcPr>
            <w:tcW w:w="406" w:type="pct"/>
            <w:tcBorders>
              <w:top w:val="nil"/>
              <w:left w:val="nil"/>
              <w:bottom w:val="nil"/>
              <w:right w:val="nil"/>
            </w:tcBorders>
            <w:shd w:val="clear" w:color="auto" w:fill="auto"/>
            <w:noWrap/>
            <w:vAlign w:val="bottom"/>
            <w:hideMark/>
          </w:tcPr>
          <w:p w14:paraId="1A0E05C8"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2,537</w:t>
            </w:r>
          </w:p>
        </w:tc>
        <w:tc>
          <w:tcPr>
            <w:tcW w:w="406" w:type="pct"/>
            <w:tcBorders>
              <w:top w:val="nil"/>
              <w:left w:val="single" w:sz="4" w:space="0" w:color="auto"/>
              <w:bottom w:val="nil"/>
              <w:right w:val="single" w:sz="4" w:space="0" w:color="auto"/>
            </w:tcBorders>
            <w:shd w:val="clear" w:color="auto" w:fill="auto"/>
            <w:noWrap/>
            <w:vAlign w:val="bottom"/>
            <w:hideMark/>
          </w:tcPr>
          <w:p w14:paraId="27007A23"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0.82</w:t>
            </w:r>
          </w:p>
        </w:tc>
        <w:tc>
          <w:tcPr>
            <w:tcW w:w="406" w:type="pct"/>
            <w:gridSpan w:val="2"/>
            <w:tcBorders>
              <w:top w:val="nil"/>
              <w:left w:val="nil"/>
              <w:bottom w:val="nil"/>
              <w:right w:val="nil"/>
            </w:tcBorders>
            <w:shd w:val="clear" w:color="auto" w:fill="auto"/>
            <w:noWrap/>
            <w:vAlign w:val="bottom"/>
            <w:hideMark/>
          </w:tcPr>
          <w:p w14:paraId="585A5832"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2,169</w:t>
            </w:r>
          </w:p>
        </w:tc>
        <w:tc>
          <w:tcPr>
            <w:tcW w:w="352" w:type="pct"/>
            <w:tcBorders>
              <w:top w:val="nil"/>
              <w:left w:val="single" w:sz="4" w:space="0" w:color="auto"/>
              <w:bottom w:val="nil"/>
              <w:right w:val="single" w:sz="4" w:space="0" w:color="auto"/>
            </w:tcBorders>
            <w:shd w:val="clear" w:color="auto" w:fill="auto"/>
            <w:noWrap/>
            <w:vAlign w:val="bottom"/>
            <w:hideMark/>
          </w:tcPr>
          <w:p w14:paraId="1CF65AF2"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0.74</w:t>
            </w:r>
          </w:p>
        </w:tc>
        <w:tc>
          <w:tcPr>
            <w:tcW w:w="408" w:type="pct"/>
            <w:gridSpan w:val="3"/>
            <w:tcBorders>
              <w:top w:val="nil"/>
              <w:left w:val="nil"/>
              <w:bottom w:val="nil"/>
              <w:right w:val="nil"/>
            </w:tcBorders>
            <w:shd w:val="clear" w:color="auto" w:fill="auto"/>
            <w:noWrap/>
            <w:vAlign w:val="bottom"/>
            <w:hideMark/>
          </w:tcPr>
          <w:p w14:paraId="320BB528"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3,050</w:t>
            </w:r>
          </w:p>
        </w:tc>
        <w:tc>
          <w:tcPr>
            <w:tcW w:w="355" w:type="pct"/>
            <w:tcBorders>
              <w:top w:val="nil"/>
              <w:left w:val="single" w:sz="4" w:space="0" w:color="auto"/>
              <w:bottom w:val="nil"/>
              <w:right w:val="single" w:sz="4" w:space="0" w:color="auto"/>
            </w:tcBorders>
            <w:shd w:val="clear" w:color="auto" w:fill="auto"/>
            <w:noWrap/>
            <w:vAlign w:val="bottom"/>
            <w:hideMark/>
          </w:tcPr>
          <w:p w14:paraId="06317EB3"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0.66</w:t>
            </w:r>
          </w:p>
        </w:tc>
        <w:tc>
          <w:tcPr>
            <w:tcW w:w="1297" w:type="pct"/>
            <w:gridSpan w:val="2"/>
            <w:tcBorders>
              <w:top w:val="nil"/>
              <w:left w:val="nil"/>
              <w:bottom w:val="nil"/>
              <w:right w:val="nil"/>
            </w:tcBorders>
            <w:shd w:val="clear" w:color="auto" w:fill="auto"/>
            <w:noWrap/>
            <w:vAlign w:val="bottom"/>
            <w:hideMark/>
          </w:tcPr>
          <w:p w14:paraId="33D6513A"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1,618                0.73</w:t>
            </w:r>
          </w:p>
        </w:tc>
        <w:tc>
          <w:tcPr>
            <w:tcW w:w="458" w:type="pct"/>
            <w:tcBorders>
              <w:top w:val="nil"/>
              <w:left w:val="single" w:sz="4" w:space="0" w:color="auto"/>
              <w:bottom w:val="nil"/>
              <w:right w:val="single" w:sz="4" w:space="0" w:color="auto"/>
            </w:tcBorders>
            <w:shd w:val="clear" w:color="auto" w:fill="auto"/>
            <w:noWrap/>
            <w:vAlign w:val="bottom"/>
            <w:hideMark/>
          </w:tcPr>
          <w:p w14:paraId="3FF6DA63"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0.73</w:t>
            </w:r>
          </w:p>
        </w:tc>
      </w:tr>
      <w:tr w:rsidR="004F55B6" w:rsidRPr="00D52B01" w14:paraId="0EC512A8"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2F3C3EE5"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2015</w:t>
            </w:r>
          </w:p>
        </w:tc>
        <w:tc>
          <w:tcPr>
            <w:tcW w:w="325" w:type="pct"/>
            <w:tcBorders>
              <w:top w:val="nil"/>
              <w:left w:val="nil"/>
              <w:bottom w:val="nil"/>
              <w:right w:val="nil"/>
            </w:tcBorders>
            <w:shd w:val="clear" w:color="auto" w:fill="auto"/>
            <w:noWrap/>
            <w:vAlign w:val="bottom"/>
            <w:hideMark/>
          </w:tcPr>
          <w:p w14:paraId="3545AB56"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1,756</w:t>
            </w:r>
          </w:p>
        </w:tc>
        <w:tc>
          <w:tcPr>
            <w:tcW w:w="316" w:type="pct"/>
            <w:tcBorders>
              <w:top w:val="nil"/>
              <w:left w:val="single" w:sz="4" w:space="0" w:color="auto"/>
              <w:bottom w:val="nil"/>
              <w:right w:val="single" w:sz="4" w:space="0" w:color="auto"/>
            </w:tcBorders>
            <w:shd w:val="clear" w:color="auto" w:fill="auto"/>
            <w:noWrap/>
            <w:vAlign w:val="bottom"/>
            <w:hideMark/>
          </w:tcPr>
          <w:p w14:paraId="4CCADB68"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0.58</w:t>
            </w:r>
          </w:p>
        </w:tc>
        <w:tc>
          <w:tcPr>
            <w:tcW w:w="406" w:type="pct"/>
            <w:tcBorders>
              <w:top w:val="nil"/>
              <w:left w:val="nil"/>
              <w:bottom w:val="nil"/>
              <w:right w:val="nil"/>
            </w:tcBorders>
            <w:shd w:val="clear" w:color="auto" w:fill="auto"/>
            <w:noWrap/>
            <w:vAlign w:val="bottom"/>
            <w:hideMark/>
          </w:tcPr>
          <w:p w14:paraId="1D500478"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2,557</w:t>
            </w:r>
          </w:p>
        </w:tc>
        <w:tc>
          <w:tcPr>
            <w:tcW w:w="406" w:type="pct"/>
            <w:tcBorders>
              <w:top w:val="nil"/>
              <w:left w:val="single" w:sz="4" w:space="0" w:color="auto"/>
              <w:bottom w:val="nil"/>
              <w:right w:val="single" w:sz="4" w:space="0" w:color="auto"/>
            </w:tcBorders>
            <w:shd w:val="clear" w:color="auto" w:fill="auto"/>
            <w:noWrap/>
            <w:vAlign w:val="bottom"/>
            <w:hideMark/>
          </w:tcPr>
          <w:p w14:paraId="21C82159"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0.78</w:t>
            </w:r>
          </w:p>
        </w:tc>
        <w:tc>
          <w:tcPr>
            <w:tcW w:w="406" w:type="pct"/>
            <w:gridSpan w:val="2"/>
            <w:tcBorders>
              <w:top w:val="nil"/>
              <w:left w:val="nil"/>
              <w:bottom w:val="nil"/>
              <w:right w:val="nil"/>
            </w:tcBorders>
            <w:shd w:val="clear" w:color="auto" w:fill="auto"/>
            <w:noWrap/>
            <w:vAlign w:val="bottom"/>
            <w:hideMark/>
          </w:tcPr>
          <w:p w14:paraId="15B41E30"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2,081</w:t>
            </w:r>
          </w:p>
        </w:tc>
        <w:tc>
          <w:tcPr>
            <w:tcW w:w="352" w:type="pct"/>
            <w:tcBorders>
              <w:top w:val="nil"/>
              <w:left w:val="single" w:sz="4" w:space="0" w:color="auto"/>
              <w:bottom w:val="nil"/>
              <w:right w:val="single" w:sz="4" w:space="0" w:color="auto"/>
            </w:tcBorders>
            <w:shd w:val="clear" w:color="auto" w:fill="auto"/>
            <w:noWrap/>
            <w:vAlign w:val="bottom"/>
            <w:hideMark/>
          </w:tcPr>
          <w:p w14:paraId="39F6DC86"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0.74</w:t>
            </w:r>
          </w:p>
        </w:tc>
        <w:tc>
          <w:tcPr>
            <w:tcW w:w="408" w:type="pct"/>
            <w:gridSpan w:val="3"/>
            <w:tcBorders>
              <w:top w:val="nil"/>
              <w:left w:val="nil"/>
              <w:bottom w:val="nil"/>
              <w:right w:val="nil"/>
            </w:tcBorders>
            <w:shd w:val="clear" w:color="auto" w:fill="auto"/>
            <w:noWrap/>
            <w:vAlign w:val="bottom"/>
            <w:hideMark/>
          </w:tcPr>
          <w:p w14:paraId="4E76C64A"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2,970</w:t>
            </w:r>
          </w:p>
        </w:tc>
        <w:tc>
          <w:tcPr>
            <w:tcW w:w="355" w:type="pct"/>
            <w:tcBorders>
              <w:top w:val="nil"/>
              <w:left w:val="single" w:sz="4" w:space="0" w:color="auto"/>
              <w:bottom w:val="nil"/>
              <w:right w:val="single" w:sz="4" w:space="0" w:color="auto"/>
            </w:tcBorders>
            <w:shd w:val="clear" w:color="auto" w:fill="auto"/>
            <w:noWrap/>
            <w:vAlign w:val="bottom"/>
            <w:hideMark/>
          </w:tcPr>
          <w:p w14:paraId="3DA1D4E8"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0.67</w:t>
            </w:r>
          </w:p>
        </w:tc>
        <w:tc>
          <w:tcPr>
            <w:tcW w:w="1297" w:type="pct"/>
            <w:gridSpan w:val="2"/>
            <w:tcBorders>
              <w:top w:val="nil"/>
              <w:left w:val="nil"/>
              <w:bottom w:val="nil"/>
              <w:right w:val="nil"/>
            </w:tcBorders>
            <w:shd w:val="clear" w:color="auto" w:fill="auto"/>
            <w:noWrap/>
            <w:vAlign w:val="bottom"/>
            <w:hideMark/>
          </w:tcPr>
          <w:p w14:paraId="0471A1D3"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1,610                0.72</w:t>
            </w:r>
          </w:p>
        </w:tc>
        <w:tc>
          <w:tcPr>
            <w:tcW w:w="458" w:type="pct"/>
            <w:tcBorders>
              <w:top w:val="nil"/>
              <w:left w:val="single" w:sz="4" w:space="0" w:color="auto"/>
              <w:bottom w:val="nil"/>
              <w:right w:val="single" w:sz="4" w:space="0" w:color="auto"/>
            </w:tcBorders>
            <w:shd w:val="clear" w:color="auto" w:fill="auto"/>
            <w:noWrap/>
            <w:vAlign w:val="bottom"/>
            <w:hideMark/>
          </w:tcPr>
          <w:p w14:paraId="1659D174"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0.72</w:t>
            </w:r>
          </w:p>
        </w:tc>
      </w:tr>
      <w:tr w:rsidR="004F55B6" w:rsidRPr="00D52B01" w14:paraId="66E4679E"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39695D65"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lastRenderedPageBreak/>
              <w:t>2016</w:t>
            </w:r>
          </w:p>
        </w:tc>
        <w:tc>
          <w:tcPr>
            <w:tcW w:w="325" w:type="pct"/>
            <w:tcBorders>
              <w:top w:val="nil"/>
              <w:left w:val="nil"/>
              <w:bottom w:val="nil"/>
              <w:right w:val="nil"/>
            </w:tcBorders>
            <w:shd w:val="clear" w:color="auto" w:fill="auto"/>
            <w:noWrap/>
            <w:vAlign w:val="bottom"/>
            <w:hideMark/>
          </w:tcPr>
          <w:p w14:paraId="1A30C588"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2256</w:t>
            </w:r>
          </w:p>
        </w:tc>
        <w:tc>
          <w:tcPr>
            <w:tcW w:w="316" w:type="pct"/>
            <w:tcBorders>
              <w:top w:val="nil"/>
              <w:left w:val="single" w:sz="4" w:space="0" w:color="auto"/>
              <w:bottom w:val="nil"/>
              <w:right w:val="single" w:sz="4" w:space="0" w:color="auto"/>
            </w:tcBorders>
            <w:shd w:val="clear" w:color="auto" w:fill="auto"/>
            <w:noWrap/>
            <w:vAlign w:val="bottom"/>
            <w:hideMark/>
          </w:tcPr>
          <w:p w14:paraId="5C16C414"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0.56</w:t>
            </w:r>
          </w:p>
        </w:tc>
        <w:tc>
          <w:tcPr>
            <w:tcW w:w="406" w:type="pct"/>
            <w:tcBorders>
              <w:top w:val="nil"/>
              <w:left w:val="nil"/>
              <w:bottom w:val="nil"/>
              <w:right w:val="nil"/>
            </w:tcBorders>
            <w:shd w:val="clear" w:color="auto" w:fill="auto"/>
            <w:noWrap/>
            <w:vAlign w:val="bottom"/>
            <w:hideMark/>
          </w:tcPr>
          <w:p w14:paraId="706D0CA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2,983</w:t>
            </w:r>
          </w:p>
        </w:tc>
        <w:tc>
          <w:tcPr>
            <w:tcW w:w="406" w:type="pct"/>
            <w:tcBorders>
              <w:top w:val="nil"/>
              <w:left w:val="single" w:sz="4" w:space="0" w:color="auto"/>
              <w:bottom w:val="nil"/>
              <w:right w:val="single" w:sz="4" w:space="0" w:color="auto"/>
            </w:tcBorders>
            <w:shd w:val="clear" w:color="auto" w:fill="auto"/>
            <w:noWrap/>
            <w:vAlign w:val="bottom"/>
            <w:hideMark/>
          </w:tcPr>
          <w:p w14:paraId="228B5742"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0.81</w:t>
            </w:r>
          </w:p>
        </w:tc>
        <w:tc>
          <w:tcPr>
            <w:tcW w:w="406" w:type="pct"/>
            <w:gridSpan w:val="2"/>
            <w:tcBorders>
              <w:top w:val="nil"/>
              <w:left w:val="nil"/>
              <w:bottom w:val="nil"/>
              <w:right w:val="nil"/>
            </w:tcBorders>
            <w:shd w:val="clear" w:color="auto" w:fill="auto"/>
            <w:noWrap/>
            <w:vAlign w:val="bottom"/>
            <w:hideMark/>
          </w:tcPr>
          <w:p w14:paraId="569F4ABA"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2485</w:t>
            </w:r>
          </w:p>
        </w:tc>
        <w:tc>
          <w:tcPr>
            <w:tcW w:w="352" w:type="pct"/>
            <w:tcBorders>
              <w:top w:val="nil"/>
              <w:left w:val="single" w:sz="4" w:space="0" w:color="auto"/>
              <w:bottom w:val="nil"/>
              <w:right w:val="single" w:sz="4" w:space="0" w:color="auto"/>
            </w:tcBorders>
            <w:shd w:val="clear" w:color="auto" w:fill="auto"/>
            <w:noWrap/>
            <w:vAlign w:val="bottom"/>
            <w:hideMark/>
          </w:tcPr>
          <w:p w14:paraId="3802B3E9"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0.79</w:t>
            </w:r>
          </w:p>
        </w:tc>
        <w:tc>
          <w:tcPr>
            <w:tcW w:w="408" w:type="pct"/>
            <w:gridSpan w:val="3"/>
            <w:tcBorders>
              <w:top w:val="nil"/>
              <w:left w:val="nil"/>
              <w:bottom w:val="nil"/>
              <w:right w:val="nil"/>
            </w:tcBorders>
            <w:shd w:val="clear" w:color="auto" w:fill="auto"/>
            <w:noWrap/>
            <w:vAlign w:val="bottom"/>
            <w:hideMark/>
          </w:tcPr>
          <w:p w14:paraId="5ABCD28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3,104</w:t>
            </w:r>
          </w:p>
        </w:tc>
        <w:tc>
          <w:tcPr>
            <w:tcW w:w="355" w:type="pct"/>
            <w:tcBorders>
              <w:top w:val="nil"/>
              <w:left w:val="single" w:sz="4" w:space="0" w:color="auto"/>
              <w:bottom w:val="nil"/>
              <w:right w:val="single" w:sz="4" w:space="0" w:color="auto"/>
            </w:tcBorders>
            <w:shd w:val="clear" w:color="auto" w:fill="auto"/>
            <w:noWrap/>
            <w:vAlign w:val="bottom"/>
            <w:hideMark/>
          </w:tcPr>
          <w:p w14:paraId="18E55991"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0.73</w:t>
            </w:r>
          </w:p>
        </w:tc>
        <w:tc>
          <w:tcPr>
            <w:tcW w:w="1297" w:type="pct"/>
            <w:gridSpan w:val="2"/>
            <w:tcBorders>
              <w:top w:val="nil"/>
              <w:left w:val="nil"/>
              <w:bottom w:val="nil"/>
              <w:right w:val="nil"/>
            </w:tcBorders>
            <w:shd w:val="clear" w:color="auto" w:fill="auto"/>
            <w:noWrap/>
            <w:vAlign w:val="bottom"/>
            <w:hideMark/>
          </w:tcPr>
          <w:p w14:paraId="31A9BEF5"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1,986                0.79</w:t>
            </w:r>
          </w:p>
        </w:tc>
        <w:tc>
          <w:tcPr>
            <w:tcW w:w="458" w:type="pct"/>
            <w:tcBorders>
              <w:top w:val="nil"/>
              <w:left w:val="single" w:sz="4" w:space="0" w:color="auto"/>
              <w:bottom w:val="nil"/>
              <w:right w:val="single" w:sz="4" w:space="0" w:color="auto"/>
            </w:tcBorders>
            <w:shd w:val="clear" w:color="auto" w:fill="auto"/>
            <w:noWrap/>
            <w:vAlign w:val="bottom"/>
            <w:hideMark/>
          </w:tcPr>
          <w:p w14:paraId="580F8815"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0.79</w:t>
            </w:r>
          </w:p>
        </w:tc>
      </w:tr>
      <w:tr w:rsidR="004F55B6" w:rsidRPr="00D52B01" w14:paraId="40664299"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6367F801"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2017</w:t>
            </w:r>
          </w:p>
        </w:tc>
        <w:tc>
          <w:tcPr>
            <w:tcW w:w="325" w:type="pct"/>
            <w:tcBorders>
              <w:top w:val="nil"/>
              <w:left w:val="nil"/>
              <w:bottom w:val="nil"/>
              <w:right w:val="nil"/>
            </w:tcBorders>
            <w:shd w:val="clear" w:color="auto" w:fill="auto"/>
            <w:noWrap/>
            <w:vAlign w:val="bottom"/>
            <w:hideMark/>
          </w:tcPr>
          <w:p w14:paraId="26A235E0"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2695</w:t>
            </w:r>
          </w:p>
        </w:tc>
        <w:tc>
          <w:tcPr>
            <w:tcW w:w="316" w:type="pct"/>
            <w:tcBorders>
              <w:top w:val="nil"/>
              <w:left w:val="single" w:sz="4" w:space="0" w:color="auto"/>
              <w:bottom w:val="nil"/>
              <w:right w:val="single" w:sz="4" w:space="0" w:color="auto"/>
            </w:tcBorders>
            <w:shd w:val="clear" w:color="auto" w:fill="auto"/>
            <w:noWrap/>
            <w:vAlign w:val="bottom"/>
            <w:hideMark/>
          </w:tcPr>
          <w:p w14:paraId="37F9A15A"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0.47</w:t>
            </w:r>
          </w:p>
        </w:tc>
        <w:tc>
          <w:tcPr>
            <w:tcW w:w="406" w:type="pct"/>
            <w:tcBorders>
              <w:top w:val="nil"/>
              <w:left w:val="nil"/>
              <w:bottom w:val="nil"/>
              <w:right w:val="nil"/>
            </w:tcBorders>
            <w:shd w:val="clear" w:color="auto" w:fill="auto"/>
            <w:noWrap/>
            <w:vAlign w:val="bottom"/>
            <w:hideMark/>
          </w:tcPr>
          <w:p w14:paraId="7EAFBE6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3,457</w:t>
            </w:r>
          </w:p>
        </w:tc>
        <w:tc>
          <w:tcPr>
            <w:tcW w:w="406" w:type="pct"/>
            <w:tcBorders>
              <w:top w:val="nil"/>
              <w:left w:val="single" w:sz="4" w:space="0" w:color="auto"/>
              <w:bottom w:val="nil"/>
              <w:right w:val="single" w:sz="4" w:space="0" w:color="auto"/>
            </w:tcBorders>
            <w:shd w:val="clear" w:color="auto" w:fill="auto"/>
            <w:noWrap/>
            <w:vAlign w:val="bottom"/>
            <w:hideMark/>
          </w:tcPr>
          <w:p w14:paraId="372864EA"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0.83</w:t>
            </w:r>
          </w:p>
        </w:tc>
        <w:tc>
          <w:tcPr>
            <w:tcW w:w="406" w:type="pct"/>
            <w:gridSpan w:val="2"/>
            <w:tcBorders>
              <w:top w:val="nil"/>
              <w:left w:val="nil"/>
              <w:bottom w:val="nil"/>
              <w:right w:val="nil"/>
            </w:tcBorders>
            <w:shd w:val="clear" w:color="auto" w:fill="auto"/>
            <w:noWrap/>
            <w:vAlign w:val="bottom"/>
            <w:hideMark/>
          </w:tcPr>
          <w:p w14:paraId="23B42346"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2733</w:t>
            </w:r>
          </w:p>
        </w:tc>
        <w:tc>
          <w:tcPr>
            <w:tcW w:w="352" w:type="pct"/>
            <w:tcBorders>
              <w:top w:val="nil"/>
              <w:left w:val="single" w:sz="4" w:space="0" w:color="auto"/>
              <w:bottom w:val="nil"/>
              <w:right w:val="single" w:sz="4" w:space="0" w:color="auto"/>
            </w:tcBorders>
            <w:shd w:val="clear" w:color="auto" w:fill="auto"/>
            <w:noWrap/>
            <w:vAlign w:val="bottom"/>
            <w:hideMark/>
          </w:tcPr>
          <w:p w14:paraId="50BA0C18"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0.75</w:t>
            </w:r>
          </w:p>
        </w:tc>
        <w:tc>
          <w:tcPr>
            <w:tcW w:w="408" w:type="pct"/>
            <w:gridSpan w:val="3"/>
            <w:tcBorders>
              <w:top w:val="nil"/>
              <w:left w:val="nil"/>
              <w:bottom w:val="nil"/>
              <w:right w:val="nil"/>
            </w:tcBorders>
            <w:shd w:val="clear" w:color="auto" w:fill="auto"/>
            <w:noWrap/>
            <w:vAlign w:val="bottom"/>
            <w:hideMark/>
          </w:tcPr>
          <w:p w14:paraId="0C6EE27E"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3,143</w:t>
            </w:r>
          </w:p>
        </w:tc>
        <w:tc>
          <w:tcPr>
            <w:tcW w:w="355" w:type="pct"/>
            <w:tcBorders>
              <w:top w:val="nil"/>
              <w:left w:val="single" w:sz="4" w:space="0" w:color="auto"/>
              <w:bottom w:val="nil"/>
              <w:right w:val="single" w:sz="4" w:space="0" w:color="auto"/>
            </w:tcBorders>
            <w:shd w:val="clear" w:color="auto" w:fill="auto"/>
            <w:noWrap/>
            <w:vAlign w:val="bottom"/>
            <w:hideMark/>
          </w:tcPr>
          <w:p w14:paraId="14F3B339"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0.72</w:t>
            </w:r>
          </w:p>
        </w:tc>
        <w:tc>
          <w:tcPr>
            <w:tcW w:w="1297" w:type="pct"/>
            <w:gridSpan w:val="2"/>
            <w:tcBorders>
              <w:top w:val="nil"/>
              <w:left w:val="nil"/>
              <w:bottom w:val="nil"/>
              <w:right w:val="nil"/>
            </w:tcBorders>
            <w:shd w:val="clear" w:color="auto" w:fill="auto"/>
            <w:noWrap/>
            <w:vAlign w:val="bottom"/>
            <w:hideMark/>
          </w:tcPr>
          <w:p w14:paraId="642F5511"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2,062                0.82</w:t>
            </w:r>
          </w:p>
        </w:tc>
        <w:tc>
          <w:tcPr>
            <w:tcW w:w="458" w:type="pct"/>
            <w:tcBorders>
              <w:top w:val="nil"/>
              <w:left w:val="single" w:sz="4" w:space="0" w:color="auto"/>
              <w:bottom w:val="nil"/>
              <w:right w:val="single" w:sz="4" w:space="0" w:color="auto"/>
            </w:tcBorders>
            <w:shd w:val="clear" w:color="auto" w:fill="auto"/>
            <w:noWrap/>
            <w:vAlign w:val="bottom"/>
            <w:hideMark/>
          </w:tcPr>
          <w:p w14:paraId="06DF5255"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0.82</w:t>
            </w:r>
          </w:p>
        </w:tc>
      </w:tr>
      <w:tr w:rsidR="004F55B6" w:rsidRPr="00D52B01" w14:paraId="7AAA2C00"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2E15B882"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2018</w:t>
            </w:r>
          </w:p>
        </w:tc>
        <w:tc>
          <w:tcPr>
            <w:tcW w:w="325" w:type="pct"/>
            <w:tcBorders>
              <w:top w:val="nil"/>
              <w:left w:val="nil"/>
              <w:bottom w:val="nil"/>
              <w:right w:val="nil"/>
            </w:tcBorders>
            <w:shd w:val="clear" w:color="auto" w:fill="auto"/>
            <w:noWrap/>
            <w:vAlign w:val="bottom"/>
            <w:hideMark/>
          </w:tcPr>
          <w:p w14:paraId="12540D4D"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3559</w:t>
            </w:r>
          </w:p>
        </w:tc>
        <w:tc>
          <w:tcPr>
            <w:tcW w:w="316" w:type="pct"/>
            <w:tcBorders>
              <w:top w:val="nil"/>
              <w:left w:val="single" w:sz="4" w:space="0" w:color="auto"/>
              <w:bottom w:val="nil"/>
              <w:right w:val="single" w:sz="4" w:space="0" w:color="auto"/>
            </w:tcBorders>
            <w:shd w:val="clear" w:color="auto" w:fill="auto"/>
            <w:noWrap/>
            <w:vAlign w:val="bottom"/>
            <w:hideMark/>
          </w:tcPr>
          <w:p w14:paraId="3D8EEDA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0.49</w:t>
            </w:r>
          </w:p>
        </w:tc>
        <w:tc>
          <w:tcPr>
            <w:tcW w:w="406" w:type="pct"/>
            <w:tcBorders>
              <w:top w:val="nil"/>
              <w:left w:val="nil"/>
              <w:bottom w:val="nil"/>
              <w:right w:val="nil"/>
            </w:tcBorders>
            <w:shd w:val="clear" w:color="auto" w:fill="auto"/>
            <w:noWrap/>
            <w:vAlign w:val="bottom"/>
            <w:hideMark/>
          </w:tcPr>
          <w:p w14:paraId="2F411A95"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3,690</w:t>
            </w:r>
          </w:p>
        </w:tc>
        <w:tc>
          <w:tcPr>
            <w:tcW w:w="406" w:type="pct"/>
            <w:tcBorders>
              <w:top w:val="nil"/>
              <w:left w:val="single" w:sz="4" w:space="0" w:color="auto"/>
              <w:bottom w:val="nil"/>
              <w:right w:val="single" w:sz="4" w:space="0" w:color="auto"/>
            </w:tcBorders>
            <w:shd w:val="clear" w:color="auto" w:fill="auto"/>
            <w:noWrap/>
            <w:vAlign w:val="bottom"/>
            <w:hideMark/>
          </w:tcPr>
          <w:p w14:paraId="6FA58EF5"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0.87</w:t>
            </w:r>
          </w:p>
        </w:tc>
        <w:tc>
          <w:tcPr>
            <w:tcW w:w="406" w:type="pct"/>
            <w:gridSpan w:val="2"/>
            <w:tcBorders>
              <w:top w:val="nil"/>
              <w:left w:val="nil"/>
              <w:bottom w:val="nil"/>
              <w:right w:val="nil"/>
            </w:tcBorders>
            <w:shd w:val="clear" w:color="auto" w:fill="auto"/>
            <w:noWrap/>
            <w:vAlign w:val="bottom"/>
            <w:hideMark/>
          </w:tcPr>
          <w:p w14:paraId="3D6A3C20"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3349</w:t>
            </w:r>
          </w:p>
        </w:tc>
        <w:tc>
          <w:tcPr>
            <w:tcW w:w="352" w:type="pct"/>
            <w:tcBorders>
              <w:top w:val="nil"/>
              <w:left w:val="single" w:sz="4" w:space="0" w:color="auto"/>
              <w:bottom w:val="nil"/>
              <w:right w:val="single" w:sz="4" w:space="0" w:color="auto"/>
            </w:tcBorders>
            <w:shd w:val="clear" w:color="auto" w:fill="auto"/>
            <w:noWrap/>
            <w:vAlign w:val="bottom"/>
            <w:hideMark/>
          </w:tcPr>
          <w:p w14:paraId="2F91597D"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0.77</w:t>
            </w:r>
          </w:p>
        </w:tc>
        <w:tc>
          <w:tcPr>
            <w:tcW w:w="408" w:type="pct"/>
            <w:gridSpan w:val="3"/>
            <w:tcBorders>
              <w:top w:val="nil"/>
              <w:left w:val="nil"/>
              <w:bottom w:val="nil"/>
              <w:right w:val="nil"/>
            </w:tcBorders>
            <w:shd w:val="clear" w:color="auto" w:fill="auto"/>
            <w:noWrap/>
            <w:vAlign w:val="bottom"/>
            <w:hideMark/>
          </w:tcPr>
          <w:p w14:paraId="7622DD49"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3,486</w:t>
            </w:r>
          </w:p>
        </w:tc>
        <w:tc>
          <w:tcPr>
            <w:tcW w:w="355" w:type="pct"/>
            <w:tcBorders>
              <w:top w:val="nil"/>
              <w:left w:val="single" w:sz="4" w:space="0" w:color="auto"/>
              <w:bottom w:val="nil"/>
              <w:right w:val="single" w:sz="4" w:space="0" w:color="auto"/>
            </w:tcBorders>
            <w:shd w:val="clear" w:color="auto" w:fill="auto"/>
            <w:noWrap/>
            <w:vAlign w:val="bottom"/>
            <w:hideMark/>
          </w:tcPr>
          <w:p w14:paraId="3290214C"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0.77</w:t>
            </w:r>
          </w:p>
        </w:tc>
        <w:tc>
          <w:tcPr>
            <w:tcW w:w="1297" w:type="pct"/>
            <w:gridSpan w:val="2"/>
            <w:tcBorders>
              <w:top w:val="nil"/>
              <w:left w:val="nil"/>
              <w:bottom w:val="nil"/>
              <w:right w:val="nil"/>
            </w:tcBorders>
            <w:shd w:val="clear" w:color="auto" w:fill="auto"/>
            <w:noWrap/>
            <w:vAlign w:val="bottom"/>
            <w:hideMark/>
          </w:tcPr>
          <w:p w14:paraId="5E5A2A1D"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2,273                0.84</w:t>
            </w:r>
          </w:p>
        </w:tc>
        <w:tc>
          <w:tcPr>
            <w:tcW w:w="458" w:type="pct"/>
            <w:tcBorders>
              <w:top w:val="nil"/>
              <w:left w:val="single" w:sz="4" w:space="0" w:color="auto"/>
              <w:bottom w:val="nil"/>
              <w:right w:val="single" w:sz="4" w:space="0" w:color="auto"/>
            </w:tcBorders>
            <w:shd w:val="clear" w:color="auto" w:fill="auto"/>
            <w:noWrap/>
            <w:vAlign w:val="bottom"/>
            <w:hideMark/>
          </w:tcPr>
          <w:p w14:paraId="440E7BA4"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0.84</w:t>
            </w:r>
          </w:p>
        </w:tc>
      </w:tr>
      <w:tr w:rsidR="004F55B6" w:rsidRPr="00D52B01" w14:paraId="42A39963" w14:textId="77777777" w:rsidTr="004F55B6">
        <w:trPr>
          <w:trHeight w:val="300"/>
          <w:jc w:val="center"/>
        </w:trPr>
        <w:tc>
          <w:tcPr>
            <w:tcW w:w="273" w:type="pct"/>
            <w:tcBorders>
              <w:top w:val="nil"/>
              <w:left w:val="single" w:sz="4" w:space="0" w:color="auto"/>
              <w:bottom w:val="nil"/>
              <w:right w:val="single" w:sz="4" w:space="0" w:color="auto"/>
            </w:tcBorders>
            <w:shd w:val="clear" w:color="auto" w:fill="auto"/>
            <w:noWrap/>
            <w:vAlign w:val="bottom"/>
            <w:hideMark/>
          </w:tcPr>
          <w:p w14:paraId="6D66EBA4"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2019</w:t>
            </w:r>
          </w:p>
        </w:tc>
        <w:tc>
          <w:tcPr>
            <w:tcW w:w="325" w:type="pct"/>
            <w:tcBorders>
              <w:top w:val="nil"/>
              <w:left w:val="nil"/>
              <w:bottom w:val="nil"/>
              <w:right w:val="nil"/>
            </w:tcBorders>
            <w:shd w:val="clear" w:color="auto" w:fill="auto"/>
            <w:noWrap/>
            <w:vAlign w:val="bottom"/>
            <w:hideMark/>
          </w:tcPr>
          <w:p w14:paraId="206AE54C"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5442</w:t>
            </w:r>
          </w:p>
        </w:tc>
        <w:tc>
          <w:tcPr>
            <w:tcW w:w="316" w:type="pct"/>
            <w:tcBorders>
              <w:top w:val="nil"/>
              <w:left w:val="single" w:sz="4" w:space="0" w:color="auto"/>
              <w:bottom w:val="nil"/>
              <w:right w:val="single" w:sz="4" w:space="0" w:color="auto"/>
            </w:tcBorders>
            <w:shd w:val="clear" w:color="auto" w:fill="auto"/>
            <w:noWrap/>
            <w:vAlign w:val="bottom"/>
            <w:hideMark/>
          </w:tcPr>
          <w:p w14:paraId="3FEB4BA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0.58</w:t>
            </w:r>
          </w:p>
        </w:tc>
        <w:tc>
          <w:tcPr>
            <w:tcW w:w="406" w:type="pct"/>
            <w:tcBorders>
              <w:top w:val="nil"/>
              <w:left w:val="nil"/>
              <w:bottom w:val="nil"/>
              <w:right w:val="nil"/>
            </w:tcBorders>
            <w:shd w:val="clear" w:color="auto" w:fill="auto"/>
            <w:noWrap/>
            <w:vAlign w:val="bottom"/>
            <w:hideMark/>
          </w:tcPr>
          <w:p w14:paraId="40C33F75"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4,262</w:t>
            </w:r>
          </w:p>
        </w:tc>
        <w:tc>
          <w:tcPr>
            <w:tcW w:w="406" w:type="pct"/>
            <w:tcBorders>
              <w:top w:val="nil"/>
              <w:left w:val="single" w:sz="4" w:space="0" w:color="auto"/>
              <w:bottom w:val="nil"/>
              <w:right w:val="single" w:sz="4" w:space="0" w:color="auto"/>
            </w:tcBorders>
            <w:shd w:val="clear" w:color="auto" w:fill="auto"/>
            <w:noWrap/>
            <w:vAlign w:val="bottom"/>
            <w:hideMark/>
          </w:tcPr>
          <w:p w14:paraId="1D663EE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0.88</w:t>
            </w:r>
          </w:p>
        </w:tc>
        <w:tc>
          <w:tcPr>
            <w:tcW w:w="406" w:type="pct"/>
            <w:gridSpan w:val="2"/>
            <w:tcBorders>
              <w:top w:val="nil"/>
              <w:left w:val="nil"/>
              <w:bottom w:val="nil"/>
              <w:right w:val="nil"/>
            </w:tcBorders>
            <w:shd w:val="clear" w:color="auto" w:fill="auto"/>
            <w:noWrap/>
            <w:vAlign w:val="bottom"/>
            <w:hideMark/>
          </w:tcPr>
          <w:p w14:paraId="7687DDC2"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3832</w:t>
            </w:r>
          </w:p>
        </w:tc>
        <w:tc>
          <w:tcPr>
            <w:tcW w:w="352" w:type="pct"/>
            <w:tcBorders>
              <w:top w:val="nil"/>
              <w:left w:val="single" w:sz="4" w:space="0" w:color="auto"/>
              <w:bottom w:val="nil"/>
              <w:right w:val="single" w:sz="4" w:space="0" w:color="auto"/>
            </w:tcBorders>
            <w:shd w:val="clear" w:color="auto" w:fill="auto"/>
            <w:noWrap/>
            <w:vAlign w:val="bottom"/>
            <w:hideMark/>
          </w:tcPr>
          <w:p w14:paraId="5553645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0.73</w:t>
            </w:r>
          </w:p>
        </w:tc>
        <w:tc>
          <w:tcPr>
            <w:tcW w:w="408" w:type="pct"/>
            <w:gridSpan w:val="3"/>
            <w:tcBorders>
              <w:top w:val="nil"/>
              <w:left w:val="nil"/>
              <w:bottom w:val="nil"/>
              <w:right w:val="nil"/>
            </w:tcBorders>
            <w:shd w:val="clear" w:color="auto" w:fill="auto"/>
            <w:noWrap/>
            <w:vAlign w:val="bottom"/>
            <w:hideMark/>
          </w:tcPr>
          <w:p w14:paraId="7B3E64F4"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4,019</w:t>
            </w:r>
          </w:p>
        </w:tc>
        <w:tc>
          <w:tcPr>
            <w:tcW w:w="355" w:type="pct"/>
            <w:tcBorders>
              <w:top w:val="nil"/>
              <w:left w:val="single" w:sz="4" w:space="0" w:color="auto"/>
              <w:bottom w:val="nil"/>
              <w:right w:val="single" w:sz="4" w:space="0" w:color="auto"/>
            </w:tcBorders>
            <w:shd w:val="clear" w:color="auto" w:fill="auto"/>
            <w:noWrap/>
            <w:vAlign w:val="bottom"/>
            <w:hideMark/>
          </w:tcPr>
          <w:p w14:paraId="23B3D9AE"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0.78</w:t>
            </w:r>
          </w:p>
        </w:tc>
        <w:tc>
          <w:tcPr>
            <w:tcW w:w="1297" w:type="pct"/>
            <w:gridSpan w:val="2"/>
            <w:tcBorders>
              <w:top w:val="nil"/>
              <w:left w:val="nil"/>
              <w:bottom w:val="nil"/>
              <w:right w:val="nil"/>
            </w:tcBorders>
            <w:shd w:val="clear" w:color="auto" w:fill="auto"/>
            <w:noWrap/>
            <w:vAlign w:val="bottom"/>
            <w:hideMark/>
          </w:tcPr>
          <w:p w14:paraId="45B2B78F"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2,532                0.85</w:t>
            </w:r>
          </w:p>
        </w:tc>
        <w:tc>
          <w:tcPr>
            <w:tcW w:w="458" w:type="pct"/>
            <w:tcBorders>
              <w:top w:val="nil"/>
              <w:left w:val="single" w:sz="4" w:space="0" w:color="auto"/>
              <w:bottom w:val="nil"/>
              <w:right w:val="single" w:sz="4" w:space="0" w:color="auto"/>
            </w:tcBorders>
            <w:shd w:val="clear" w:color="auto" w:fill="auto"/>
            <w:noWrap/>
            <w:vAlign w:val="bottom"/>
            <w:hideMark/>
          </w:tcPr>
          <w:p w14:paraId="7438D07F"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0.85</w:t>
            </w:r>
          </w:p>
        </w:tc>
      </w:tr>
      <w:tr w:rsidR="004F55B6" w:rsidRPr="00D52B01" w14:paraId="71D0B95A" w14:textId="77777777" w:rsidTr="004F55B6">
        <w:trPr>
          <w:trHeight w:val="300"/>
          <w:jc w:val="center"/>
        </w:trPr>
        <w:tc>
          <w:tcPr>
            <w:tcW w:w="273" w:type="pct"/>
            <w:tcBorders>
              <w:top w:val="nil"/>
              <w:left w:val="single" w:sz="4" w:space="0" w:color="auto"/>
              <w:bottom w:val="single" w:sz="4" w:space="0" w:color="auto"/>
              <w:right w:val="single" w:sz="4" w:space="0" w:color="auto"/>
            </w:tcBorders>
            <w:shd w:val="clear" w:color="auto" w:fill="auto"/>
            <w:noWrap/>
            <w:vAlign w:val="bottom"/>
            <w:hideMark/>
          </w:tcPr>
          <w:p w14:paraId="1940518B"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2020</w:t>
            </w:r>
          </w:p>
        </w:tc>
        <w:tc>
          <w:tcPr>
            <w:tcW w:w="325" w:type="pct"/>
            <w:tcBorders>
              <w:top w:val="nil"/>
              <w:left w:val="nil"/>
              <w:bottom w:val="single" w:sz="4" w:space="0" w:color="auto"/>
              <w:right w:val="nil"/>
            </w:tcBorders>
            <w:shd w:val="clear" w:color="auto" w:fill="auto"/>
            <w:noWrap/>
            <w:vAlign w:val="bottom"/>
            <w:hideMark/>
          </w:tcPr>
          <w:p w14:paraId="53850E86"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6545</w:t>
            </w:r>
          </w:p>
        </w:tc>
        <w:tc>
          <w:tcPr>
            <w:tcW w:w="316" w:type="pct"/>
            <w:tcBorders>
              <w:top w:val="nil"/>
              <w:left w:val="single" w:sz="4" w:space="0" w:color="auto"/>
              <w:bottom w:val="single" w:sz="4" w:space="0" w:color="auto"/>
              <w:right w:val="single" w:sz="4" w:space="0" w:color="auto"/>
            </w:tcBorders>
            <w:shd w:val="clear" w:color="auto" w:fill="auto"/>
            <w:noWrap/>
            <w:vAlign w:val="bottom"/>
            <w:hideMark/>
          </w:tcPr>
          <w:p w14:paraId="328AFA08"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0.65</w:t>
            </w:r>
          </w:p>
        </w:tc>
        <w:tc>
          <w:tcPr>
            <w:tcW w:w="406" w:type="pct"/>
            <w:tcBorders>
              <w:top w:val="nil"/>
              <w:left w:val="nil"/>
              <w:bottom w:val="single" w:sz="4" w:space="0" w:color="auto"/>
              <w:right w:val="nil"/>
            </w:tcBorders>
            <w:shd w:val="clear" w:color="auto" w:fill="auto"/>
            <w:noWrap/>
            <w:vAlign w:val="bottom"/>
            <w:hideMark/>
          </w:tcPr>
          <w:p w14:paraId="18A6C619"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5,339</w:t>
            </w:r>
          </w:p>
        </w:tc>
        <w:tc>
          <w:tcPr>
            <w:tcW w:w="406" w:type="pct"/>
            <w:tcBorders>
              <w:top w:val="nil"/>
              <w:left w:val="single" w:sz="4" w:space="0" w:color="auto"/>
              <w:bottom w:val="single" w:sz="4" w:space="0" w:color="auto"/>
              <w:right w:val="single" w:sz="4" w:space="0" w:color="auto"/>
            </w:tcBorders>
            <w:shd w:val="clear" w:color="auto" w:fill="auto"/>
            <w:noWrap/>
            <w:vAlign w:val="bottom"/>
            <w:hideMark/>
          </w:tcPr>
          <w:p w14:paraId="510A619B"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0.94</w:t>
            </w:r>
          </w:p>
        </w:tc>
        <w:tc>
          <w:tcPr>
            <w:tcW w:w="406" w:type="pct"/>
            <w:gridSpan w:val="2"/>
            <w:tcBorders>
              <w:top w:val="nil"/>
              <w:left w:val="nil"/>
              <w:bottom w:val="single" w:sz="4" w:space="0" w:color="auto"/>
              <w:right w:val="nil"/>
            </w:tcBorders>
            <w:shd w:val="clear" w:color="auto" w:fill="auto"/>
            <w:noWrap/>
            <w:vAlign w:val="bottom"/>
            <w:hideMark/>
          </w:tcPr>
          <w:p w14:paraId="164F5DD0"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5676</w:t>
            </w:r>
          </w:p>
        </w:tc>
        <w:tc>
          <w:tcPr>
            <w:tcW w:w="352" w:type="pct"/>
            <w:tcBorders>
              <w:top w:val="nil"/>
              <w:left w:val="single" w:sz="4" w:space="0" w:color="auto"/>
              <w:bottom w:val="single" w:sz="4" w:space="0" w:color="auto"/>
              <w:right w:val="single" w:sz="4" w:space="0" w:color="auto"/>
            </w:tcBorders>
            <w:shd w:val="clear" w:color="auto" w:fill="auto"/>
            <w:noWrap/>
            <w:vAlign w:val="bottom"/>
            <w:hideMark/>
          </w:tcPr>
          <w:p w14:paraId="7DCEBA9E"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0.82</w:t>
            </w:r>
          </w:p>
        </w:tc>
        <w:tc>
          <w:tcPr>
            <w:tcW w:w="408" w:type="pct"/>
            <w:gridSpan w:val="3"/>
            <w:tcBorders>
              <w:top w:val="nil"/>
              <w:left w:val="nil"/>
              <w:bottom w:val="single" w:sz="4" w:space="0" w:color="auto"/>
              <w:right w:val="nil"/>
            </w:tcBorders>
            <w:shd w:val="clear" w:color="auto" w:fill="auto"/>
            <w:noWrap/>
            <w:vAlign w:val="bottom"/>
            <w:hideMark/>
          </w:tcPr>
          <w:p w14:paraId="7EDA393A"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4,894</w:t>
            </w:r>
          </w:p>
        </w:tc>
        <w:tc>
          <w:tcPr>
            <w:tcW w:w="355" w:type="pct"/>
            <w:tcBorders>
              <w:top w:val="nil"/>
              <w:left w:val="single" w:sz="4" w:space="0" w:color="auto"/>
              <w:bottom w:val="single" w:sz="4" w:space="0" w:color="auto"/>
              <w:right w:val="single" w:sz="4" w:space="0" w:color="auto"/>
            </w:tcBorders>
            <w:shd w:val="clear" w:color="auto" w:fill="auto"/>
            <w:noWrap/>
            <w:vAlign w:val="bottom"/>
            <w:hideMark/>
          </w:tcPr>
          <w:p w14:paraId="14D273C3"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0.81</w:t>
            </w:r>
          </w:p>
        </w:tc>
        <w:tc>
          <w:tcPr>
            <w:tcW w:w="1297" w:type="pct"/>
            <w:gridSpan w:val="2"/>
            <w:tcBorders>
              <w:top w:val="nil"/>
              <w:left w:val="nil"/>
              <w:bottom w:val="single" w:sz="4" w:space="0" w:color="auto"/>
              <w:right w:val="nil"/>
            </w:tcBorders>
            <w:shd w:val="clear" w:color="auto" w:fill="auto"/>
            <w:noWrap/>
            <w:vAlign w:val="bottom"/>
            <w:hideMark/>
          </w:tcPr>
          <w:p w14:paraId="68AFC5E5"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3,509                0.89</w:t>
            </w:r>
          </w:p>
        </w:tc>
        <w:tc>
          <w:tcPr>
            <w:tcW w:w="458" w:type="pct"/>
            <w:tcBorders>
              <w:top w:val="nil"/>
              <w:left w:val="single" w:sz="4" w:space="0" w:color="auto"/>
              <w:bottom w:val="single" w:sz="4" w:space="0" w:color="auto"/>
              <w:right w:val="single" w:sz="4" w:space="0" w:color="auto"/>
            </w:tcBorders>
            <w:shd w:val="clear" w:color="auto" w:fill="auto"/>
            <w:noWrap/>
            <w:vAlign w:val="bottom"/>
            <w:hideMark/>
          </w:tcPr>
          <w:p w14:paraId="3A47DC07" w14:textId="77777777" w:rsidR="004F55B6" w:rsidRPr="00D52B01" w:rsidRDefault="004F55B6" w:rsidP="004F55B6">
            <w:pPr>
              <w:spacing w:line="240" w:lineRule="auto"/>
              <w:jc w:val="right"/>
              <w:rPr>
                <w:rFonts w:eastAsia="Times New Roman"/>
                <w:color w:val="000000"/>
                <w:sz w:val="16"/>
                <w:szCs w:val="16"/>
                <w:lang w:eastAsia="en-GB"/>
              </w:rPr>
            </w:pPr>
            <w:r w:rsidRPr="00D52B01">
              <w:rPr>
                <w:rFonts w:eastAsia="Times New Roman"/>
                <w:color w:val="000000"/>
                <w:sz w:val="16"/>
                <w:szCs w:val="16"/>
                <w:lang w:eastAsia="en-GB"/>
              </w:rPr>
              <w:t>0.89</w:t>
            </w:r>
          </w:p>
        </w:tc>
      </w:tr>
      <w:tr w:rsidR="004F55B6" w:rsidRPr="00D52B01" w14:paraId="5E8CA86C" w14:textId="77777777" w:rsidTr="004F55B6">
        <w:trPr>
          <w:trHeight w:val="300"/>
          <w:jc w:val="center"/>
        </w:trPr>
        <w:tc>
          <w:tcPr>
            <w:tcW w:w="273" w:type="pct"/>
            <w:tcBorders>
              <w:top w:val="nil"/>
              <w:left w:val="nil"/>
              <w:bottom w:val="nil"/>
              <w:right w:val="single" w:sz="4" w:space="0" w:color="auto"/>
            </w:tcBorders>
            <w:shd w:val="clear" w:color="auto" w:fill="auto"/>
            <w:noWrap/>
            <w:vAlign w:val="bottom"/>
            <w:hideMark/>
          </w:tcPr>
          <w:p w14:paraId="6F63B677"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Average</w:t>
            </w:r>
          </w:p>
        </w:tc>
        <w:tc>
          <w:tcPr>
            <w:tcW w:w="325" w:type="pct"/>
            <w:tcBorders>
              <w:top w:val="nil"/>
              <w:left w:val="nil"/>
              <w:bottom w:val="single" w:sz="4" w:space="0" w:color="auto"/>
              <w:right w:val="nil"/>
            </w:tcBorders>
            <w:shd w:val="clear" w:color="auto" w:fill="auto"/>
            <w:noWrap/>
            <w:vAlign w:val="bottom"/>
            <w:hideMark/>
          </w:tcPr>
          <w:p w14:paraId="5F5BEE56"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1842.4375</w:t>
            </w:r>
          </w:p>
        </w:tc>
        <w:tc>
          <w:tcPr>
            <w:tcW w:w="316" w:type="pct"/>
            <w:tcBorders>
              <w:top w:val="nil"/>
              <w:left w:val="nil"/>
              <w:bottom w:val="single" w:sz="4" w:space="0" w:color="auto"/>
              <w:right w:val="single" w:sz="4" w:space="0" w:color="auto"/>
            </w:tcBorders>
            <w:shd w:val="clear" w:color="auto" w:fill="auto"/>
            <w:noWrap/>
            <w:vAlign w:val="bottom"/>
            <w:hideMark/>
          </w:tcPr>
          <w:p w14:paraId="64D343DD"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0.530625</w:t>
            </w:r>
          </w:p>
        </w:tc>
        <w:tc>
          <w:tcPr>
            <w:tcW w:w="406" w:type="pct"/>
            <w:tcBorders>
              <w:top w:val="nil"/>
              <w:left w:val="nil"/>
              <w:bottom w:val="single" w:sz="4" w:space="0" w:color="auto"/>
              <w:right w:val="nil"/>
            </w:tcBorders>
            <w:shd w:val="clear" w:color="auto" w:fill="auto"/>
            <w:noWrap/>
            <w:vAlign w:val="bottom"/>
            <w:hideMark/>
          </w:tcPr>
          <w:p w14:paraId="17DF6156"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2226.5</w:t>
            </w:r>
          </w:p>
        </w:tc>
        <w:tc>
          <w:tcPr>
            <w:tcW w:w="406" w:type="pct"/>
            <w:tcBorders>
              <w:top w:val="nil"/>
              <w:left w:val="single" w:sz="4" w:space="0" w:color="auto"/>
              <w:bottom w:val="single" w:sz="4" w:space="0" w:color="auto"/>
              <w:right w:val="single" w:sz="4" w:space="0" w:color="auto"/>
            </w:tcBorders>
            <w:shd w:val="clear" w:color="auto" w:fill="auto"/>
            <w:noWrap/>
            <w:vAlign w:val="bottom"/>
            <w:hideMark/>
          </w:tcPr>
          <w:p w14:paraId="6FA5D0DE"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0.82875</w:t>
            </w:r>
          </w:p>
        </w:tc>
        <w:tc>
          <w:tcPr>
            <w:tcW w:w="406" w:type="pct"/>
            <w:gridSpan w:val="2"/>
            <w:tcBorders>
              <w:top w:val="nil"/>
              <w:left w:val="nil"/>
              <w:bottom w:val="single" w:sz="4" w:space="0" w:color="auto"/>
              <w:right w:val="nil"/>
            </w:tcBorders>
            <w:shd w:val="clear" w:color="auto" w:fill="auto"/>
            <w:noWrap/>
            <w:vAlign w:val="bottom"/>
            <w:hideMark/>
          </w:tcPr>
          <w:p w14:paraId="474AD06E"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2086.375</w:t>
            </w:r>
          </w:p>
        </w:tc>
        <w:tc>
          <w:tcPr>
            <w:tcW w:w="352" w:type="pct"/>
            <w:tcBorders>
              <w:top w:val="nil"/>
              <w:left w:val="single" w:sz="4" w:space="0" w:color="auto"/>
              <w:bottom w:val="single" w:sz="4" w:space="0" w:color="auto"/>
              <w:right w:val="single" w:sz="4" w:space="0" w:color="auto"/>
            </w:tcBorders>
            <w:shd w:val="clear" w:color="auto" w:fill="auto"/>
            <w:noWrap/>
            <w:vAlign w:val="bottom"/>
            <w:hideMark/>
          </w:tcPr>
          <w:p w14:paraId="1C2AE880"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0.74625</w:t>
            </w:r>
          </w:p>
        </w:tc>
        <w:tc>
          <w:tcPr>
            <w:tcW w:w="408" w:type="pct"/>
            <w:gridSpan w:val="3"/>
            <w:tcBorders>
              <w:top w:val="nil"/>
              <w:left w:val="nil"/>
              <w:bottom w:val="single" w:sz="4" w:space="0" w:color="auto"/>
              <w:right w:val="nil"/>
            </w:tcBorders>
            <w:shd w:val="clear" w:color="auto" w:fill="auto"/>
            <w:noWrap/>
            <w:vAlign w:val="bottom"/>
            <w:hideMark/>
          </w:tcPr>
          <w:p w14:paraId="3526367D"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2300.5625</w:t>
            </w:r>
          </w:p>
        </w:tc>
        <w:tc>
          <w:tcPr>
            <w:tcW w:w="355" w:type="pct"/>
            <w:tcBorders>
              <w:top w:val="nil"/>
              <w:left w:val="single" w:sz="4" w:space="0" w:color="auto"/>
              <w:bottom w:val="single" w:sz="4" w:space="0" w:color="auto"/>
              <w:right w:val="single" w:sz="4" w:space="0" w:color="auto"/>
            </w:tcBorders>
            <w:shd w:val="clear" w:color="auto" w:fill="auto"/>
            <w:noWrap/>
            <w:vAlign w:val="bottom"/>
            <w:hideMark/>
          </w:tcPr>
          <w:p w14:paraId="160537E6"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0.74875</w:t>
            </w:r>
          </w:p>
        </w:tc>
        <w:tc>
          <w:tcPr>
            <w:tcW w:w="1297" w:type="pct"/>
            <w:gridSpan w:val="2"/>
            <w:tcBorders>
              <w:top w:val="nil"/>
              <w:left w:val="nil"/>
              <w:bottom w:val="single" w:sz="4" w:space="0" w:color="auto"/>
              <w:right w:val="nil"/>
            </w:tcBorders>
            <w:shd w:val="clear" w:color="auto" w:fill="auto"/>
            <w:noWrap/>
            <w:vAlign w:val="bottom"/>
            <w:hideMark/>
          </w:tcPr>
          <w:p w14:paraId="613E27E7" w14:textId="77777777" w:rsidR="004F55B6" w:rsidRPr="00D52B01" w:rsidRDefault="004F55B6" w:rsidP="004F55B6">
            <w:pPr>
              <w:spacing w:line="240" w:lineRule="auto"/>
              <w:rPr>
                <w:rFonts w:eastAsia="Times New Roman"/>
                <w:b/>
                <w:bCs/>
                <w:color w:val="000000"/>
                <w:sz w:val="16"/>
                <w:szCs w:val="16"/>
                <w:lang w:eastAsia="en-GB"/>
              </w:rPr>
            </w:pPr>
            <w:r w:rsidRPr="00D52B01">
              <w:rPr>
                <w:rFonts w:eastAsia="Times New Roman"/>
                <w:b/>
                <w:bCs/>
                <w:color w:val="000000"/>
                <w:sz w:val="16"/>
                <w:szCs w:val="16"/>
                <w:lang w:eastAsia="en-GB"/>
              </w:rPr>
              <w:t>1356.9375       0.70815</w:t>
            </w:r>
          </w:p>
        </w:tc>
        <w:tc>
          <w:tcPr>
            <w:tcW w:w="458" w:type="pct"/>
            <w:tcBorders>
              <w:top w:val="nil"/>
              <w:left w:val="single" w:sz="4" w:space="0" w:color="auto"/>
              <w:bottom w:val="single" w:sz="4" w:space="0" w:color="auto"/>
              <w:right w:val="single" w:sz="4" w:space="0" w:color="auto"/>
            </w:tcBorders>
            <w:shd w:val="clear" w:color="auto" w:fill="auto"/>
            <w:noWrap/>
            <w:vAlign w:val="bottom"/>
            <w:hideMark/>
          </w:tcPr>
          <w:p w14:paraId="288DAF59" w14:textId="77777777" w:rsidR="004F55B6" w:rsidRPr="00D52B01" w:rsidRDefault="004F55B6" w:rsidP="004F55B6">
            <w:pPr>
              <w:spacing w:line="240" w:lineRule="auto"/>
              <w:jc w:val="right"/>
              <w:rPr>
                <w:rFonts w:eastAsia="Times New Roman"/>
                <w:b/>
                <w:bCs/>
                <w:color w:val="000000"/>
                <w:sz w:val="16"/>
                <w:szCs w:val="16"/>
                <w:lang w:eastAsia="en-GB"/>
              </w:rPr>
            </w:pPr>
            <w:r w:rsidRPr="00D52B01">
              <w:rPr>
                <w:rFonts w:eastAsia="Times New Roman"/>
                <w:b/>
                <w:bCs/>
                <w:color w:val="000000"/>
                <w:sz w:val="16"/>
                <w:szCs w:val="16"/>
                <w:lang w:eastAsia="en-GB"/>
              </w:rPr>
              <w:t>0.708125</w:t>
            </w:r>
          </w:p>
        </w:tc>
      </w:tr>
      <w:tr w:rsidR="004F55B6" w:rsidRPr="00D52B01" w14:paraId="658CD67F" w14:textId="77777777" w:rsidTr="004F55B6">
        <w:trPr>
          <w:trHeight w:val="300"/>
          <w:jc w:val="center"/>
        </w:trPr>
        <w:tc>
          <w:tcPr>
            <w:tcW w:w="273" w:type="pct"/>
            <w:tcBorders>
              <w:top w:val="nil"/>
              <w:left w:val="nil"/>
              <w:bottom w:val="nil"/>
              <w:right w:val="nil"/>
            </w:tcBorders>
            <w:shd w:val="clear" w:color="auto" w:fill="auto"/>
            <w:noWrap/>
            <w:vAlign w:val="bottom"/>
            <w:hideMark/>
          </w:tcPr>
          <w:p w14:paraId="55260ED3" w14:textId="77777777" w:rsidR="004F55B6" w:rsidRPr="00D52B01" w:rsidRDefault="004F55B6" w:rsidP="004F55B6">
            <w:pPr>
              <w:spacing w:line="240" w:lineRule="auto"/>
              <w:rPr>
                <w:rFonts w:eastAsia="Times New Roman"/>
                <w:color w:val="000000"/>
                <w:sz w:val="16"/>
                <w:szCs w:val="16"/>
                <w:lang w:eastAsia="en-GB"/>
              </w:rPr>
            </w:pPr>
          </w:p>
        </w:tc>
        <w:tc>
          <w:tcPr>
            <w:tcW w:w="325" w:type="pct"/>
            <w:tcBorders>
              <w:top w:val="nil"/>
              <w:left w:val="nil"/>
              <w:bottom w:val="nil"/>
              <w:right w:val="nil"/>
            </w:tcBorders>
            <w:shd w:val="clear" w:color="auto" w:fill="auto"/>
            <w:noWrap/>
            <w:vAlign w:val="bottom"/>
            <w:hideMark/>
          </w:tcPr>
          <w:p w14:paraId="30139B75" w14:textId="77777777" w:rsidR="004F55B6" w:rsidRPr="00D52B01" w:rsidRDefault="004F55B6" w:rsidP="004F55B6">
            <w:pPr>
              <w:spacing w:line="240" w:lineRule="auto"/>
              <w:rPr>
                <w:rFonts w:eastAsia="Times New Roman"/>
                <w:color w:val="000000"/>
                <w:sz w:val="16"/>
                <w:szCs w:val="16"/>
                <w:lang w:eastAsia="en-GB"/>
              </w:rPr>
            </w:pPr>
          </w:p>
        </w:tc>
        <w:tc>
          <w:tcPr>
            <w:tcW w:w="316" w:type="pct"/>
            <w:tcBorders>
              <w:top w:val="nil"/>
              <w:left w:val="nil"/>
              <w:bottom w:val="nil"/>
              <w:right w:val="nil"/>
            </w:tcBorders>
            <w:shd w:val="clear" w:color="auto" w:fill="auto"/>
            <w:noWrap/>
            <w:vAlign w:val="bottom"/>
            <w:hideMark/>
          </w:tcPr>
          <w:p w14:paraId="7B3F9312" w14:textId="77777777" w:rsidR="004F55B6" w:rsidRPr="00D52B01" w:rsidRDefault="004F55B6" w:rsidP="004F55B6">
            <w:pPr>
              <w:spacing w:line="240" w:lineRule="auto"/>
              <w:rPr>
                <w:rFonts w:eastAsia="Times New Roman"/>
                <w:color w:val="000000"/>
                <w:sz w:val="16"/>
                <w:szCs w:val="16"/>
                <w:lang w:eastAsia="en-GB"/>
              </w:rPr>
            </w:pPr>
          </w:p>
        </w:tc>
        <w:tc>
          <w:tcPr>
            <w:tcW w:w="406" w:type="pct"/>
            <w:tcBorders>
              <w:top w:val="nil"/>
              <w:left w:val="nil"/>
              <w:bottom w:val="nil"/>
              <w:right w:val="nil"/>
            </w:tcBorders>
            <w:shd w:val="clear" w:color="auto" w:fill="auto"/>
            <w:noWrap/>
            <w:vAlign w:val="bottom"/>
            <w:hideMark/>
          </w:tcPr>
          <w:p w14:paraId="50FA02E3" w14:textId="77777777" w:rsidR="004F55B6" w:rsidRPr="00D52B01" w:rsidRDefault="004F55B6" w:rsidP="004F55B6">
            <w:pPr>
              <w:spacing w:line="240" w:lineRule="auto"/>
              <w:rPr>
                <w:rFonts w:eastAsia="Times New Roman"/>
                <w:color w:val="000000"/>
                <w:sz w:val="16"/>
                <w:szCs w:val="16"/>
                <w:lang w:eastAsia="en-GB"/>
              </w:rPr>
            </w:pPr>
          </w:p>
        </w:tc>
        <w:tc>
          <w:tcPr>
            <w:tcW w:w="406" w:type="pct"/>
            <w:tcBorders>
              <w:top w:val="nil"/>
              <w:left w:val="nil"/>
              <w:bottom w:val="nil"/>
              <w:right w:val="nil"/>
            </w:tcBorders>
            <w:shd w:val="clear" w:color="auto" w:fill="auto"/>
            <w:noWrap/>
            <w:vAlign w:val="bottom"/>
            <w:hideMark/>
          </w:tcPr>
          <w:p w14:paraId="224DA74B" w14:textId="77777777" w:rsidR="004F55B6" w:rsidRPr="00D52B01" w:rsidRDefault="004F55B6" w:rsidP="004F55B6">
            <w:pPr>
              <w:spacing w:line="240" w:lineRule="auto"/>
              <w:rPr>
                <w:rFonts w:eastAsia="Times New Roman"/>
                <w:color w:val="000000"/>
                <w:sz w:val="16"/>
                <w:szCs w:val="16"/>
                <w:lang w:eastAsia="en-GB"/>
              </w:rPr>
            </w:pPr>
          </w:p>
        </w:tc>
        <w:tc>
          <w:tcPr>
            <w:tcW w:w="406" w:type="pct"/>
            <w:gridSpan w:val="2"/>
            <w:tcBorders>
              <w:top w:val="nil"/>
              <w:left w:val="nil"/>
              <w:bottom w:val="nil"/>
              <w:right w:val="nil"/>
            </w:tcBorders>
            <w:shd w:val="clear" w:color="auto" w:fill="auto"/>
            <w:noWrap/>
            <w:vAlign w:val="bottom"/>
            <w:hideMark/>
          </w:tcPr>
          <w:p w14:paraId="1817A025" w14:textId="77777777" w:rsidR="004F55B6" w:rsidRPr="00D52B01" w:rsidRDefault="004F55B6" w:rsidP="004F55B6">
            <w:pPr>
              <w:spacing w:line="240" w:lineRule="auto"/>
              <w:rPr>
                <w:rFonts w:eastAsia="Times New Roman"/>
                <w:color w:val="000000"/>
                <w:sz w:val="16"/>
                <w:szCs w:val="16"/>
                <w:lang w:eastAsia="en-GB"/>
              </w:rPr>
            </w:pPr>
          </w:p>
        </w:tc>
        <w:tc>
          <w:tcPr>
            <w:tcW w:w="352" w:type="pct"/>
            <w:tcBorders>
              <w:top w:val="nil"/>
              <w:left w:val="nil"/>
              <w:bottom w:val="nil"/>
              <w:right w:val="nil"/>
            </w:tcBorders>
            <w:shd w:val="clear" w:color="auto" w:fill="auto"/>
            <w:noWrap/>
            <w:vAlign w:val="bottom"/>
            <w:hideMark/>
          </w:tcPr>
          <w:p w14:paraId="5D67723F" w14:textId="77777777" w:rsidR="004F55B6" w:rsidRPr="00D52B01" w:rsidRDefault="004F55B6" w:rsidP="004F55B6">
            <w:pPr>
              <w:spacing w:line="240" w:lineRule="auto"/>
              <w:rPr>
                <w:rFonts w:eastAsia="Times New Roman"/>
                <w:color w:val="000000"/>
                <w:sz w:val="16"/>
                <w:szCs w:val="16"/>
                <w:lang w:eastAsia="en-GB"/>
              </w:rPr>
            </w:pPr>
          </w:p>
        </w:tc>
        <w:tc>
          <w:tcPr>
            <w:tcW w:w="408" w:type="pct"/>
            <w:gridSpan w:val="3"/>
            <w:tcBorders>
              <w:top w:val="nil"/>
              <w:left w:val="nil"/>
              <w:bottom w:val="nil"/>
              <w:right w:val="nil"/>
            </w:tcBorders>
            <w:shd w:val="clear" w:color="auto" w:fill="auto"/>
            <w:noWrap/>
            <w:vAlign w:val="bottom"/>
            <w:hideMark/>
          </w:tcPr>
          <w:p w14:paraId="6496CDAD" w14:textId="77777777" w:rsidR="004F55B6" w:rsidRPr="00D52B01" w:rsidRDefault="004F55B6" w:rsidP="004F55B6">
            <w:pPr>
              <w:spacing w:line="240" w:lineRule="auto"/>
              <w:rPr>
                <w:rFonts w:eastAsia="Times New Roman"/>
                <w:color w:val="000000"/>
                <w:sz w:val="16"/>
                <w:szCs w:val="16"/>
                <w:lang w:eastAsia="en-GB"/>
              </w:rPr>
            </w:pPr>
          </w:p>
        </w:tc>
        <w:tc>
          <w:tcPr>
            <w:tcW w:w="355" w:type="pct"/>
            <w:tcBorders>
              <w:top w:val="nil"/>
              <w:left w:val="nil"/>
              <w:bottom w:val="nil"/>
              <w:right w:val="nil"/>
            </w:tcBorders>
            <w:shd w:val="clear" w:color="auto" w:fill="auto"/>
            <w:noWrap/>
            <w:vAlign w:val="bottom"/>
            <w:hideMark/>
          </w:tcPr>
          <w:p w14:paraId="085D4A2E" w14:textId="77777777" w:rsidR="004F55B6" w:rsidRPr="00D52B01" w:rsidRDefault="004F55B6" w:rsidP="004F55B6">
            <w:pPr>
              <w:spacing w:line="240" w:lineRule="auto"/>
              <w:rPr>
                <w:rFonts w:eastAsia="Times New Roman"/>
                <w:color w:val="000000"/>
                <w:sz w:val="16"/>
                <w:szCs w:val="16"/>
                <w:lang w:eastAsia="en-GB"/>
              </w:rPr>
            </w:pPr>
          </w:p>
        </w:tc>
        <w:tc>
          <w:tcPr>
            <w:tcW w:w="1297" w:type="pct"/>
            <w:gridSpan w:val="2"/>
            <w:tcBorders>
              <w:top w:val="nil"/>
              <w:left w:val="nil"/>
              <w:bottom w:val="nil"/>
              <w:right w:val="nil"/>
            </w:tcBorders>
            <w:shd w:val="clear" w:color="auto" w:fill="auto"/>
            <w:noWrap/>
            <w:vAlign w:val="bottom"/>
            <w:hideMark/>
          </w:tcPr>
          <w:p w14:paraId="7DF38280" w14:textId="77777777" w:rsidR="004F55B6" w:rsidRPr="00D52B01" w:rsidRDefault="004F55B6" w:rsidP="004F55B6">
            <w:pPr>
              <w:spacing w:line="240" w:lineRule="auto"/>
              <w:rPr>
                <w:rFonts w:eastAsia="Times New Roman"/>
                <w:color w:val="000000"/>
                <w:sz w:val="16"/>
                <w:szCs w:val="16"/>
                <w:lang w:eastAsia="en-GB"/>
              </w:rPr>
            </w:pPr>
          </w:p>
        </w:tc>
        <w:tc>
          <w:tcPr>
            <w:tcW w:w="458" w:type="pct"/>
            <w:tcBorders>
              <w:top w:val="nil"/>
              <w:left w:val="nil"/>
              <w:bottom w:val="nil"/>
              <w:right w:val="nil"/>
            </w:tcBorders>
            <w:shd w:val="clear" w:color="auto" w:fill="auto"/>
            <w:noWrap/>
            <w:vAlign w:val="bottom"/>
            <w:hideMark/>
          </w:tcPr>
          <w:p w14:paraId="01E266C2" w14:textId="77777777" w:rsidR="004F55B6" w:rsidRPr="00D52B01" w:rsidRDefault="004F55B6" w:rsidP="004F55B6">
            <w:pPr>
              <w:spacing w:line="240" w:lineRule="auto"/>
              <w:rPr>
                <w:rFonts w:eastAsia="Times New Roman"/>
                <w:color w:val="000000"/>
                <w:sz w:val="16"/>
                <w:szCs w:val="16"/>
                <w:lang w:eastAsia="en-GB"/>
              </w:rPr>
            </w:pPr>
          </w:p>
        </w:tc>
      </w:tr>
      <w:tr w:rsidR="004F55B6" w:rsidRPr="00D52B01" w14:paraId="0F343A60" w14:textId="77777777" w:rsidTr="004F55B6">
        <w:trPr>
          <w:trHeight w:val="300"/>
          <w:jc w:val="center"/>
        </w:trPr>
        <w:tc>
          <w:tcPr>
            <w:tcW w:w="273" w:type="pct"/>
            <w:tcBorders>
              <w:top w:val="nil"/>
              <w:left w:val="nil"/>
              <w:bottom w:val="nil"/>
              <w:right w:val="nil"/>
            </w:tcBorders>
            <w:shd w:val="clear" w:color="auto" w:fill="auto"/>
            <w:noWrap/>
            <w:vAlign w:val="bottom"/>
            <w:hideMark/>
          </w:tcPr>
          <w:p w14:paraId="670DC4EA" w14:textId="77777777" w:rsidR="004F55B6" w:rsidRPr="00D52B01" w:rsidRDefault="004F55B6" w:rsidP="004F55B6">
            <w:pPr>
              <w:spacing w:line="240" w:lineRule="auto"/>
              <w:rPr>
                <w:rFonts w:eastAsia="Times New Roman"/>
                <w:color w:val="000000"/>
                <w:sz w:val="16"/>
                <w:szCs w:val="16"/>
                <w:lang w:eastAsia="en-GB"/>
              </w:rPr>
            </w:pPr>
          </w:p>
        </w:tc>
        <w:tc>
          <w:tcPr>
            <w:tcW w:w="325" w:type="pct"/>
            <w:tcBorders>
              <w:top w:val="nil"/>
              <w:left w:val="nil"/>
              <w:bottom w:val="nil"/>
              <w:right w:val="nil"/>
            </w:tcBorders>
            <w:shd w:val="clear" w:color="auto" w:fill="auto"/>
            <w:noWrap/>
            <w:vAlign w:val="bottom"/>
            <w:hideMark/>
          </w:tcPr>
          <w:p w14:paraId="164842BE" w14:textId="77777777" w:rsidR="004F55B6" w:rsidRPr="00D52B01" w:rsidRDefault="004F55B6" w:rsidP="004F55B6">
            <w:pPr>
              <w:spacing w:line="240" w:lineRule="auto"/>
              <w:rPr>
                <w:rFonts w:eastAsia="Times New Roman"/>
                <w:color w:val="000000"/>
                <w:sz w:val="16"/>
                <w:szCs w:val="16"/>
                <w:lang w:eastAsia="en-GB"/>
              </w:rPr>
            </w:pPr>
          </w:p>
        </w:tc>
        <w:tc>
          <w:tcPr>
            <w:tcW w:w="1533" w:type="pct"/>
            <w:gridSpan w:val="5"/>
            <w:tcBorders>
              <w:top w:val="nil"/>
              <w:left w:val="nil"/>
              <w:bottom w:val="nil"/>
              <w:right w:val="nil"/>
            </w:tcBorders>
            <w:shd w:val="clear" w:color="auto" w:fill="auto"/>
            <w:noWrap/>
            <w:vAlign w:val="bottom"/>
            <w:hideMark/>
          </w:tcPr>
          <w:p w14:paraId="6D351E8E" w14:textId="77777777" w:rsidR="004F55B6" w:rsidRPr="00D52B01" w:rsidRDefault="004F55B6" w:rsidP="004F55B6">
            <w:pPr>
              <w:spacing w:line="240" w:lineRule="auto"/>
              <w:rPr>
                <w:rFonts w:eastAsia="Times New Roman"/>
                <w:color w:val="000000"/>
                <w:sz w:val="16"/>
                <w:szCs w:val="16"/>
                <w:lang w:eastAsia="en-GB"/>
              </w:rPr>
            </w:pPr>
            <w:r w:rsidRPr="00D52B01">
              <w:rPr>
                <w:rFonts w:eastAsia="Times New Roman"/>
                <w:color w:val="000000"/>
                <w:sz w:val="16"/>
                <w:szCs w:val="16"/>
                <w:lang w:eastAsia="en-GB"/>
              </w:rPr>
              <w:t>Ratio of current and savings account to total deposit</w:t>
            </w:r>
          </w:p>
        </w:tc>
        <w:tc>
          <w:tcPr>
            <w:tcW w:w="352" w:type="pct"/>
            <w:tcBorders>
              <w:top w:val="nil"/>
              <w:left w:val="nil"/>
              <w:bottom w:val="nil"/>
              <w:right w:val="nil"/>
            </w:tcBorders>
            <w:shd w:val="clear" w:color="auto" w:fill="auto"/>
            <w:noWrap/>
            <w:vAlign w:val="bottom"/>
            <w:hideMark/>
          </w:tcPr>
          <w:p w14:paraId="29E21BE2" w14:textId="77777777" w:rsidR="004F55B6" w:rsidRPr="00D52B01" w:rsidRDefault="004F55B6" w:rsidP="004F55B6">
            <w:pPr>
              <w:spacing w:line="240" w:lineRule="auto"/>
              <w:rPr>
                <w:rFonts w:eastAsia="Times New Roman"/>
                <w:color w:val="000000"/>
                <w:sz w:val="16"/>
                <w:szCs w:val="16"/>
                <w:lang w:eastAsia="en-GB"/>
              </w:rPr>
            </w:pPr>
          </w:p>
        </w:tc>
        <w:tc>
          <w:tcPr>
            <w:tcW w:w="408" w:type="pct"/>
            <w:gridSpan w:val="3"/>
            <w:tcBorders>
              <w:top w:val="nil"/>
              <w:left w:val="nil"/>
              <w:bottom w:val="nil"/>
              <w:right w:val="nil"/>
            </w:tcBorders>
            <w:shd w:val="clear" w:color="auto" w:fill="auto"/>
            <w:noWrap/>
            <w:vAlign w:val="bottom"/>
            <w:hideMark/>
          </w:tcPr>
          <w:p w14:paraId="62546EF6" w14:textId="77777777" w:rsidR="004F55B6" w:rsidRPr="00D52B01" w:rsidRDefault="004F55B6" w:rsidP="004F55B6">
            <w:pPr>
              <w:spacing w:line="240" w:lineRule="auto"/>
              <w:rPr>
                <w:rFonts w:eastAsia="Times New Roman"/>
                <w:color w:val="000000"/>
                <w:sz w:val="16"/>
                <w:szCs w:val="16"/>
                <w:lang w:eastAsia="en-GB"/>
              </w:rPr>
            </w:pPr>
          </w:p>
        </w:tc>
        <w:tc>
          <w:tcPr>
            <w:tcW w:w="355" w:type="pct"/>
            <w:tcBorders>
              <w:top w:val="nil"/>
              <w:left w:val="nil"/>
              <w:bottom w:val="nil"/>
              <w:right w:val="nil"/>
            </w:tcBorders>
            <w:shd w:val="clear" w:color="auto" w:fill="auto"/>
            <w:noWrap/>
            <w:vAlign w:val="bottom"/>
            <w:hideMark/>
          </w:tcPr>
          <w:p w14:paraId="5C31C69B" w14:textId="77777777" w:rsidR="004F55B6" w:rsidRPr="00D52B01" w:rsidRDefault="004F55B6" w:rsidP="004F55B6">
            <w:pPr>
              <w:spacing w:line="240" w:lineRule="auto"/>
              <w:rPr>
                <w:rFonts w:eastAsia="Times New Roman"/>
                <w:color w:val="000000"/>
                <w:sz w:val="16"/>
                <w:szCs w:val="16"/>
                <w:lang w:eastAsia="en-GB"/>
              </w:rPr>
            </w:pPr>
          </w:p>
        </w:tc>
        <w:tc>
          <w:tcPr>
            <w:tcW w:w="1297" w:type="pct"/>
            <w:gridSpan w:val="2"/>
            <w:tcBorders>
              <w:top w:val="nil"/>
              <w:left w:val="nil"/>
              <w:bottom w:val="nil"/>
              <w:right w:val="nil"/>
            </w:tcBorders>
            <w:shd w:val="clear" w:color="auto" w:fill="auto"/>
            <w:noWrap/>
            <w:vAlign w:val="bottom"/>
            <w:hideMark/>
          </w:tcPr>
          <w:p w14:paraId="7C9D1015" w14:textId="77777777" w:rsidR="004F55B6" w:rsidRPr="00D52B01" w:rsidRDefault="004F55B6" w:rsidP="004F55B6">
            <w:pPr>
              <w:spacing w:line="240" w:lineRule="auto"/>
              <w:rPr>
                <w:rFonts w:eastAsia="Times New Roman"/>
                <w:color w:val="000000"/>
                <w:sz w:val="16"/>
                <w:szCs w:val="16"/>
                <w:lang w:eastAsia="en-GB"/>
              </w:rPr>
            </w:pPr>
          </w:p>
        </w:tc>
        <w:tc>
          <w:tcPr>
            <w:tcW w:w="458" w:type="pct"/>
            <w:tcBorders>
              <w:top w:val="nil"/>
              <w:left w:val="nil"/>
              <w:bottom w:val="nil"/>
              <w:right w:val="nil"/>
            </w:tcBorders>
            <w:shd w:val="clear" w:color="auto" w:fill="auto"/>
            <w:noWrap/>
            <w:vAlign w:val="bottom"/>
            <w:hideMark/>
          </w:tcPr>
          <w:p w14:paraId="307EE56C" w14:textId="77777777" w:rsidR="004F55B6" w:rsidRPr="00D52B01" w:rsidRDefault="004F55B6" w:rsidP="004F55B6">
            <w:pPr>
              <w:spacing w:line="240" w:lineRule="auto"/>
              <w:rPr>
                <w:rFonts w:eastAsia="Times New Roman"/>
                <w:color w:val="000000"/>
                <w:sz w:val="16"/>
                <w:szCs w:val="16"/>
                <w:lang w:eastAsia="en-GB"/>
              </w:rPr>
            </w:pPr>
          </w:p>
        </w:tc>
      </w:tr>
      <w:tr w:rsidR="004F55B6" w:rsidRPr="00D52B01" w14:paraId="23AB0034" w14:textId="77777777" w:rsidTr="004F55B6">
        <w:trPr>
          <w:trHeight w:val="300"/>
          <w:jc w:val="center"/>
        </w:trPr>
        <w:tc>
          <w:tcPr>
            <w:tcW w:w="2053" w:type="pct"/>
            <w:gridSpan w:val="6"/>
            <w:tcBorders>
              <w:top w:val="nil"/>
              <w:left w:val="nil"/>
              <w:bottom w:val="nil"/>
              <w:right w:val="nil"/>
            </w:tcBorders>
            <w:shd w:val="clear" w:color="auto" w:fill="auto"/>
            <w:noWrap/>
            <w:vAlign w:val="bottom"/>
            <w:hideMark/>
          </w:tcPr>
          <w:p w14:paraId="61B03C0E" w14:textId="77777777" w:rsidR="004F55B6" w:rsidRPr="00D52B01" w:rsidRDefault="004F55B6" w:rsidP="004F55B6">
            <w:pPr>
              <w:spacing w:line="240" w:lineRule="auto"/>
              <w:rPr>
                <w:rFonts w:eastAsia="Times New Roman"/>
                <w:color w:val="000000"/>
                <w:sz w:val="16"/>
                <w:szCs w:val="16"/>
                <w:lang w:eastAsia="en-GB"/>
              </w:rPr>
            </w:pPr>
          </w:p>
          <w:p w14:paraId="40FCD45B" w14:textId="77777777" w:rsidR="004F55B6" w:rsidRPr="00D52B01" w:rsidRDefault="004F55B6" w:rsidP="004F55B6">
            <w:pPr>
              <w:spacing w:line="240" w:lineRule="auto"/>
              <w:rPr>
                <w:rFonts w:eastAsia="Times New Roman"/>
                <w:b/>
                <w:color w:val="000000"/>
                <w:sz w:val="16"/>
                <w:szCs w:val="16"/>
                <w:lang w:eastAsia="en-GB"/>
              </w:rPr>
            </w:pPr>
            <w:r w:rsidRPr="00D52B01">
              <w:rPr>
                <w:rFonts w:eastAsia="Times New Roman"/>
                <w:b/>
                <w:color w:val="000000"/>
                <w:sz w:val="16"/>
                <w:szCs w:val="16"/>
                <w:lang w:eastAsia="en-GB"/>
              </w:rPr>
              <w:t>Note:    CASA   is current deposit and savings bank account balances</w:t>
            </w:r>
          </w:p>
          <w:p w14:paraId="3E6B76C8" w14:textId="77777777" w:rsidR="004F55B6" w:rsidRPr="00D52B01" w:rsidRDefault="004F55B6" w:rsidP="004F55B6">
            <w:pPr>
              <w:spacing w:line="240" w:lineRule="auto"/>
              <w:rPr>
                <w:rFonts w:eastAsia="Times New Roman"/>
                <w:b/>
                <w:color w:val="000000"/>
                <w:sz w:val="16"/>
                <w:szCs w:val="16"/>
                <w:lang w:eastAsia="en-GB"/>
              </w:rPr>
            </w:pPr>
            <w:r w:rsidRPr="00D52B01">
              <w:rPr>
                <w:rFonts w:eastAsia="Times New Roman"/>
                <w:b/>
                <w:color w:val="000000"/>
                <w:sz w:val="16"/>
                <w:szCs w:val="16"/>
                <w:lang w:eastAsia="en-GB"/>
              </w:rPr>
              <w:t>Source:           Various Annual Accounts of Banks</w:t>
            </w:r>
          </w:p>
        </w:tc>
        <w:tc>
          <w:tcPr>
            <w:tcW w:w="429" w:type="pct"/>
            <w:gridSpan w:val="2"/>
            <w:tcBorders>
              <w:top w:val="nil"/>
              <w:left w:val="nil"/>
              <w:bottom w:val="nil"/>
              <w:right w:val="nil"/>
            </w:tcBorders>
            <w:shd w:val="clear" w:color="auto" w:fill="auto"/>
            <w:noWrap/>
            <w:vAlign w:val="bottom"/>
            <w:hideMark/>
          </w:tcPr>
          <w:p w14:paraId="3BB8BAB0" w14:textId="77777777" w:rsidR="004F55B6" w:rsidRPr="00D52B01" w:rsidRDefault="004F55B6" w:rsidP="004F55B6">
            <w:pPr>
              <w:spacing w:line="240" w:lineRule="auto"/>
              <w:rPr>
                <w:rFonts w:eastAsia="Times New Roman"/>
                <w:color w:val="000000"/>
                <w:sz w:val="16"/>
                <w:szCs w:val="16"/>
                <w:lang w:eastAsia="en-GB"/>
              </w:rPr>
            </w:pPr>
          </w:p>
        </w:tc>
        <w:tc>
          <w:tcPr>
            <w:tcW w:w="84" w:type="pct"/>
            <w:tcBorders>
              <w:top w:val="nil"/>
              <w:left w:val="nil"/>
              <w:bottom w:val="nil"/>
              <w:right w:val="nil"/>
            </w:tcBorders>
            <w:shd w:val="clear" w:color="auto" w:fill="auto"/>
            <w:noWrap/>
            <w:vAlign w:val="bottom"/>
            <w:hideMark/>
          </w:tcPr>
          <w:p w14:paraId="38DEB839" w14:textId="77777777" w:rsidR="004F55B6" w:rsidRPr="00D52B01" w:rsidRDefault="004F55B6" w:rsidP="004F55B6">
            <w:pPr>
              <w:spacing w:line="240" w:lineRule="auto"/>
              <w:rPr>
                <w:rFonts w:eastAsia="Times New Roman"/>
                <w:color w:val="000000"/>
                <w:sz w:val="16"/>
                <w:szCs w:val="16"/>
                <w:lang w:eastAsia="en-GB"/>
              </w:rPr>
            </w:pPr>
          </w:p>
        </w:tc>
        <w:tc>
          <w:tcPr>
            <w:tcW w:w="84" w:type="pct"/>
            <w:tcBorders>
              <w:top w:val="nil"/>
              <w:left w:val="nil"/>
              <w:bottom w:val="nil"/>
              <w:right w:val="nil"/>
            </w:tcBorders>
            <w:shd w:val="clear" w:color="auto" w:fill="auto"/>
            <w:noWrap/>
            <w:vAlign w:val="bottom"/>
            <w:hideMark/>
          </w:tcPr>
          <w:p w14:paraId="534E24B8" w14:textId="77777777" w:rsidR="004F55B6" w:rsidRPr="00D52B01" w:rsidRDefault="004F55B6" w:rsidP="004F55B6">
            <w:pPr>
              <w:spacing w:line="240" w:lineRule="auto"/>
              <w:rPr>
                <w:rFonts w:eastAsia="Times New Roman"/>
                <w:color w:val="000000"/>
                <w:sz w:val="16"/>
                <w:szCs w:val="16"/>
                <w:lang w:eastAsia="en-GB"/>
              </w:rPr>
            </w:pPr>
          </w:p>
        </w:tc>
        <w:tc>
          <w:tcPr>
            <w:tcW w:w="240" w:type="pct"/>
            <w:tcBorders>
              <w:top w:val="nil"/>
              <w:left w:val="nil"/>
              <w:bottom w:val="nil"/>
              <w:right w:val="nil"/>
            </w:tcBorders>
            <w:shd w:val="clear" w:color="auto" w:fill="auto"/>
            <w:noWrap/>
            <w:vAlign w:val="bottom"/>
            <w:hideMark/>
          </w:tcPr>
          <w:p w14:paraId="77E381A7" w14:textId="77777777" w:rsidR="004F55B6" w:rsidRPr="00D52B01" w:rsidRDefault="004F55B6" w:rsidP="004F55B6">
            <w:pPr>
              <w:spacing w:line="240" w:lineRule="auto"/>
              <w:rPr>
                <w:rFonts w:eastAsia="Times New Roman"/>
                <w:color w:val="000000"/>
                <w:sz w:val="16"/>
                <w:szCs w:val="16"/>
                <w:lang w:eastAsia="en-GB"/>
              </w:rPr>
            </w:pPr>
          </w:p>
        </w:tc>
        <w:tc>
          <w:tcPr>
            <w:tcW w:w="355" w:type="pct"/>
            <w:tcBorders>
              <w:top w:val="nil"/>
              <w:left w:val="nil"/>
              <w:bottom w:val="nil"/>
              <w:right w:val="nil"/>
            </w:tcBorders>
            <w:shd w:val="clear" w:color="auto" w:fill="auto"/>
            <w:noWrap/>
            <w:vAlign w:val="bottom"/>
            <w:hideMark/>
          </w:tcPr>
          <w:p w14:paraId="6DF1E990" w14:textId="77777777" w:rsidR="004F55B6" w:rsidRPr="00D52B01" w:rsidRDefault="004F55B6" w:rsidP="004F55B6">
            <w:pPr>
              <w:spacing w:line="240" w:lineRule="auto"/>
              <w:rPr>
                <w:rFonts w:eastAsia="Times New Roman"/>
                <w:color w:val="000000"/>
                <w:sz w:val="16"/>
                <w:szCs w:val="16"/>
                <w:lang w:eastAsia="en-GB"/>
              </w:rPr>
            </w:pPr>
          </w:p>
        </w:tc>
        <w:tc>
          <w:tcPr>
            <w:tcW w:w="1297" w:type="pct"/>
            <w:gridSpan w:val="2"/>
            <w:tcBorders>
              <w:top w:val="nil"/>
              <w:left w:val="nil"/>
              <w:bottom w:val="nil"/>
              <w:right w:val="nil"/>
            </w:tcBorders>
            <w:shd w:val="clear" w:color="auto" w:fill="auto"/>
            <w:noWrap/>
            <w:vAlign w:val="bottom"/>
            <w:hideMark/>
          </w:tcPr>
          <w:p w14:paraId="749A29ED" w14:textId="77777777" w:rsidR="004F55B6" w:rsidRPr="00D52B01" w:rsidRDefault="004F55B6" w:rsidP="004F55B6">
            <w:pPr>
              <w:spacing w:line="240" w:lineRule="auto"/>
              <w:rPr>
                <w:rFonts w:eastAsia="Times New Roman"/>
                <w:color w:val="000000"/>
                <w:sz w:val="16"/>
                <w:szCs w:val="16"/>
                <w:lang w:eastAsia="en-GB"/>
              </w:rPr>
            </w:pPr>
          </w:p>
        </w:tc>
        <w:tc>
          <w:tcPr>
            <w:tcW w:w="458" w:type="pct"/>
            <w:tcBorders>
              <w:top w:val="nil"/>
              <w:left w:val="nil"/>
              <w:bottom w:val="nil"/>
              <w:right w:val="nil"/>
            </w:tcBorders>
            <w:shd w:val="clear" w:color="auto" w:fill="auto"/>
            <w:noWrap/>
            <w:vAlign w:val="bottom"/>
            <w:hideMark/>
          </w:tcPr>
          <w:p w14:paraId="59476999" w14:textId="77777777" w:rsidR="004F55B6" w:rsidRPr="00D52B01" w:rsidRDefault="004F55B6" w:rsidP="004F55B6">
            <w:pPr>
              <w:spacing w:line="240" w:lineRule="auto"/>
              <w:rPr>
                <w:rFonts w:eastAsia="Times New Roman"/>
                <w:color w:val="000000"/>
                <w:sz w:val="16"/>
                <w:szCs w:val="16"/>
                <w:lang w:eastAsia="en-GB"/>
              </w:rPr>
            </w:pPr>
          </w:p>
        </w:tc>
      </w:tr>
    </w:tbl>
    <w:p w14:paraId="115727D1" w14:textId="77777777" w:rsidR="00560179" w:rsidRDefault="00560179" w:rsidP="00560179"/>
    <w:p w14:paraId="579F290F" w14:textId="77777777" w:rsidR="00560179" w:rsidRDefault="00560179" w:rsidP="00560179"/>
    <w:p w14:paraId="0FF6FDC4" w14:textId="77777777" w:rsidR="00560179" w:rsidRDefault="00560179" w:rsidP="00560179"/>
    <w:p w14:paraId="11720F77" w14:textId="77777777" w:rsidR="00560179" w:rsidRDefault="00560179" w:rsidP="00560179"/>
    <w:p w14:paraId="5FC7F1BD" w14:textId="77777777" w:rsidR="00560179" w:rsidRDefault="00560179" w:rsidP="00560179"/>
    <w:p w14:paraId="1491D1A1" w14:textId="77777777" w:rsidR="00560179" w:rsidRDefault="00560179" w:rsidP="00560179"/>
    <w:p w14:paraId="3923CB88" w14:textId="77777777" w:rsidR="00560179" w:rsidRDefault="00560179" w:rsidP="00560179"/>
    <w:p w14:paraId="2D43E32B" w14:textId="77777777" w:rsidR="00560179" w:rsidRDefault="00560179" w:rsidP="00560179"/>
    <w:p w14:paraId="206EBC65" w14:textId="77777777" w:rsidR="00560179" w:rsidRDefault="00560179" w:rsidP="00560179"/>
    <w:p w14:paraId="533E2503" w14:textId="77777777" w:rsidR="00560179" w:rsidRDefault="00560179" w:rsidP="00560179"/>
    <w:p w14:paraId="121ED862" w14:textId="77777777" w:rsidR="00560179" w:rsidRDefault="00560179" w:rsidP="00560179"/>
    <w:p w14:paraId="445FD77B" w14:textId="77777777" w:rsidR="00560179" w:rsidRDefault="00560179" w:rsidP="00560179"/>
    <w:p w14:paraId="2BDA6626" w14:textId="77777777" w:rsidR="00560179" w:rsidRDefault="00560179" w:rsidP="00560179"/>
    <w:p w14:paraId="748D78D2" w14:textId="77777777" w:rsidR="00560179" w:rsidRDefault="00560179" w:rsidP="00560179"/>
    <w:p w14:paraId="00397A9F" w14:textId="77777777" w:rsidR="00821892" w:rsidRDefault="00821892" w:rsidP="008566FE">
      <w:pPr>
        <w:spacing w:line="480" w:lineRule="auto"/>
        <w:jc w:val="both"/>
        <w:rPr>
          <w:rFonts w:ascii="Times New Roman" w:hAnsi="Times New Roman"/>
          <w:sz w:val="24"/>
          <w:szCs w:val="24"/>
        </w:rPr>
      </w:pPr>
    </w:p>
    <w:p w14:paraId="3821E3BA" w14:textId="77777777" w:rsidR="00560179" w:rsidRPr="00560179" w:rsidRDefault="00560179" w:rsidP="00560179">
      <w:pPr>
        <w:rPr>
          <w:rFonts w:ascii="Times New Roman" w:hAnsi="Times New Roman"/>
          <w:b/>
          <w:sz w:val="24"/>
          <w:szCs w:val="24"/>
        </w:rPr>
      </w:pPr>
      <w:r w:rsidRPr="00560179">
        <w:rPr>
          <w:rFonts w:ascii="Times New Roman" w:hAnsi="Times New Roman"/>
          <w:b/>
          <w:sz w:val="24"/>
          <w:szCs w:val="24"/>
        </w:rPr>
        <w:lastRenderedPageBreak/>
        <w:t>4.3.3 Model Switching</w:t>
      </w:r>
    </w:p>
    <w:p w14:paraId="072A38BB" w14:textId="77777777" w:rsidR="00560179" w:rsidRDefault="00BA0400" w:rsidP="003E01F8">
      <w:pPr>
        <w:spacing w:line="240" w:lineRule="auto"/>
        <w:jc w:val="both"/>
        <w:rPr>
          <w:rFonts w:ascii="Times New Roman" w:hAnsi="Times New Roman"/>
          <w:sz w:val="24"/>
          <w:szCs w:val="24"/>
        </w:rPr>
      </w:pPr>
      <w:r w:rsidRPr="00BA0400">
        <w:rPr>
          <w:rFonts w:ascii="Times New Roman" w:hAnsi="Times New Roman"/>
          <w:sz w:val="24"/>
          <w:szCs w:val="24"/>
        </w:rPr>
        <w:t>Zenith Bank, UBA, and FBN Holdings maintained one banking model over the period under study. Access and GT Bank switched models. Access adopted a market-oriented model only in 2005, and since then it has been a retail banking model. GT Bank started with a wholesale model in 2005 and adopted a market-oriented model in 2006 and 2007. However, it switched back to a wholesale model in 2008. The question is: why did Access Bank change from a market-oriented model to a retail-funded in 2006? Why did GT Bank change from a wholesale model to a market-oriented in 2006 and 2007? Why did it go back to wholesale again in 2008? We offer some explanations below:</w:t>
      </w:r>
    </w:p>
    <w:p w14:paraId="79CF1DD8" w14:textId="77777777" w:rsidR="003671BF" w:rsidRPr="003671BF" w:rsidRDefault="003671BF" w:rsidP="003E01F8">
      <w:pPr>
        <w:spacing w:line="240" w:lineRule="auto"/>
        <w:rPr>
          <w:rFonts w:ascii="Times New Roman" w:hAnsi="Times New Roman"/>
          <w:b/>
          <w:sz w:val="24"/>
          <w:szCs w:val="24"/>
        </w:rPr>
      </w:pPr>
      <w:r w:rsidRPr="003671BF">
        <w:rPr>
          <w:rFonts w:ascii="Times New Roman" w:hAnsi="Times New Roman"/>
          <w:b/>
          <w:sz w:val="24"/>
          <w:szCs w:val="24"/>
        </w:rPr>
        <w:t>ACCESS BANK</w:t>
      </w:r>
    </w:p>
    <w:p w14:paraId="19B8E55A" w14:textId="77777777" w:rsidR="003671BF" w:rsidRDefault="003671BF" w:rsidP="003E01F8">
      <w:pPr>
        <w:pStyle w:val="NormalWeb"/>
        <w:jc w:val="both"/>
      </w:pPr>
      <w:r>
        <w:t>Access Bank was a small commercial bank founded in 1989 that ranked 65</w:t>
      </w:r>
      <w:r>
        <w:rPr>
          <w:vertAlign w:val="superscript"/>
        </w:rPr>
        <w:t>th</w:t>
      </w:r>
      <w:r>
        <w:t xml:space="preserve"> in size out of 89 banks in the country when Herbert </w:t>
      </w:r>
      <w:proofErr w:type="spellStart"/>
      <w:r>
        <w:t>Wigwe</w:t>
      </w:r>
      <w:proofErr w:type="spellEnd"/>
      <w:r>
        <w:t xml:space="preserve"> and his business partner, </w:t>
      </w:r>
      <w:proofErr w:type="spellStart"/>
      <w:r>
        <w:t>Aigboje</w:t>
      </w:r>
      <w:proofErr w:type="spellEnd"/>
      <w:r>
        <w:t xml:space="preserve"> </w:t>
      </w:r>
      <w:proofErr w:type="spellStart"/>
      <w:r>
        <w:t>Aig-Imoukhuede</w:t>
      </w:r>
      <w:proofErr w:type="spellEnd"/>
      <w:r>
        <w:t>, acquired it in 2002. It was scaled up through a series of strategic mergers and acquisitions over the years, and in 2020, it will be not only Nigeria’s biggest bank but also rapidly becoming one of the top financial institutions in Africa.</w:t>
      </w:r>
    </w:p>
    <w:p w14:paraId="6543672A" w14:textId="77777777" w:rsidR="003671BF" w:rsidRDefault="003671BF" w:rsidP="003E01F8">
      <w:pPr>
        <w:pStyle w:val="NormalWeb"/>
        <w:jc w:val="both"/>
      </w:pPr>
      <w:r>
        <w:t xml:space="preserve">In the 2005 annual report of the bank, the Group Managing Director, </w:t>
      </w:r>
      <w:proofErr w:type="spellStart"/>
      <w:r>
        <w:t>Aigboje</w:t>
      </w:r>
      <w:proofErr w:type="spellEnd"/>
      <w:r>
        <w:t xml:space="preserve"> </w:t>
      </w:r>
      <w:proofErr w:type="spellStart"/>
      <w:r>
        <w:t>Aig-Imoukhuede</w:t>
      </w:r>
      <w:proofErr w:type="spellEnd"/>
      <w:r>
        <w:t xml:space="preserve">, said that “the bank recorded setbacks in 2004 largely attributable to uncertainties, turbulence, and administrative delays that followed the wake of new regulations introduced to govern the recapitalization efforts of the Nigerian banking industry. We therefore will take the necessary steps to ensure that we restore our profit to a level commensurate with our industry position." This sounds like the bank had an intention to evolve a new strategic model that would confront the outcomes of the regulatory and environmental challenges facing the bank. This led to their acquisition of Capital Bank International (formerly Commercial Bank Credit Lyonnaise Ltd.) and Marina International Bank. This strategic move gave them a quantum leap in their asset base. It moved from N66 billion to N174 billion, which translates to 163% growth. </w:t>
      </w:r>
      <w:r w:rsidR="00046A9A">
        <w:t>Customers’</w:t>
      </w:r>
      <w:r>
        <w:t xml:space="preserve"> deposits also moved from N34 billion in 2005 to N117 billion in 2006, an increase of 244%</w:t>
      </w:r>
    </w:p>
    <w:p w14:paraId="65D99C4F" w14:textId="77777777" w:rsidR="00EF199C" w:rsidRDefault="00EF199C" w:rsidP="003E01F8">
      <w:pPr>
        <w:pStyle w:val="NormalWeb"/>
        <w:jc w:val="both"/>
      </w:pPr>
    </w:p>
    <w:p w14:paraId="684E6BAC" w14:textId="77777777" w:rsidR="00EF199C" w:rsidRPr="00EF199C" w:rsidRDefault="00EF199C" w:rsidP="003E01F8">
      <w:pPr>
        <w:spacing w:line="240" w:lineRule="auto"/>
        <w:rPr>
          <w:rFonts w:ascii="Times New Roman" w:hAnsi="Times New Roman"/>
          <w:b/>
          <w:sz w:val="24"/>
          <w:szCs w:val="24"/>
        </w:rPr>
      </w:pPr>
      <w:r w:rsidRPr="00EF199C">
        <w:rPr>
          <w:rFonts w:ascii="Times New Roman" w:hAnsi="Times New Roman"/>
          <w:b/>
          <w:sz w:val="24"/>
          <w:szCs w:val="24"/>
        </w:rPr>
        <w:t>GT BANK</w:t>
      </w:r>
    </w:p>
    <w:p w14:paraId="238591AF" w14:textId="77777777" w:rsidR="00EF199C" w:rsidRDefault="00EF199C" w:rsidP="003E01F8">
      <w:pPr>
        <w:pStyle w:val="NormalWeb"/>
        <w:jc w:val="both"/>
      </w:pPr>
      <w:r>
        <w:t>Guaranty Trust Bank plc was incorporated as a limited liability company licensed to provide commercial and other banking services to the Nigerian public in 1990. The bank commenced operations in February 1991 and has since grown to become one of the most respected and service-focused banks in Nigeria. In September 1996, Guaranty Trust Bank plc became a publicly quoted company and won the Nigerian Stock Exchange President's Merit Award that same year and subsequently in the years 2000, 2003, 2005, 2006, 2007, 2008, and 2009. In February 2002, the Bank was granted a universal banking license and later appointed a settlement bank by the Central Bank of Nigeria (CBN) in 2003.</w:t>
      </w:r>
    </w:p>
    <w:p w14:paraId="5632A523" w14:textId="77777777" w:rsidR="00EF199C" w:rsidRDefault="00EF199C" w:rsidP="003E01F8">
      <w:pPr>
        <w:pStyle w:val="NormalWeb"/>
        <w:jc w:val="both"/>
      </w:pPr>
      <w:r>
        <w:t xml:space="preserve">The Managing Director was quoted in his statement in the 2005 annual report as saying that “the result of GT Bank performance clearly shows the growing strength of the Guaranty Trust Brand and points to the fact that, with your continued support, we will continue to innovate, lead, and help to transform the financial service industry in the foreseeable future." This affirmative statement suggests a bank on its growth trajectory, which would have switched </w:t>
      </w:r>
      <w:r>
        <w:lastRenderedPageBreak/>
        <w:t>models intuitively. This is corroborated by the fact that the model lasted for only two years and reverted to the earlier wholesale funded model</w:t>
      </w:r>
    </w:p>
    <w:p w14:paraId="6FF62340" w14:textId="77777777" w:rsidR="001A2234" w:rsidRDefault="001A2234" w:rsidP="003E01F8">
      <w:pPr>
        <w:pStyle w:val="NormalWeb"/>
        <w:shd w:val="clear" w:color="auto" w:fill="FFFFFF"/>
        <w:spacing w:before="0" w:beforeAutospacing="0" w:after="405" w:afterAutospacing="0"/>
        <w:jc w:val="both"/>
        <w:rPr>
          <w:b/>
        </w:rPr>
      </w:pPr>
      <w:r w:rsidRPr="00955331">
        <w:rPr>
          <w:b/>
        </w:rPr>
        <w:t>5.0 SUMMARY AND CONCLUSION</w:t>
      </w:r>
    </w:p>
    <w:p w14:paraId="50B351E6" w14:textId="77777777" w:rsidR="001A2234" w:rsidRDefault="001A2234" w:rsidP="003E01F8">
      <w:pPr>
        <w:pStyle w:val="NormalWeb"/>
        <w:shd w:val="clear" w:color="auto" w:fill="FFFFFF"/>
        <w:spacing w:before="0" w:beforeAutospacing="0" w:after="405" w:afterAutospacing="0"/>
        <w:jc w:val="both"/>
        <w:rPr>
          <w:b/>
        </w:rPr>
      </w:pPr>
      <w:r w:rsidRPr="00955331">
        <w:rPr>
          <w:b/>
        </w:rPr>
        <w:t>5.1 Summary</w:t>
      </w:r>
    </w:p>
    <w:p w14:paraId="0A59C3F1" w14:textId="77777777" w:rsidR="003618DC" w:rsidRDefault="003618DC" w:rsidP="003E01F8">
      <w:pPr>
        <w:pStyle w:val="NormalWeb"/>
        <w:shd w:val="clear" w:color="auto" w:fill="FFFFFF"/>
        <w:spacing w:before="0" w:beforeAutospacing="0" w:after="405" w:afterAutospacing="0"/>
        <w:jc w:val="both"/>
      </w:pPr>
      <w:r>
        <w:t xml:space="preserve">The objective of this paper was to examine the empirical evidence of the different business models that Nigerian deposit money banks operate using the five top Nigerian banks by asset base from 2005 to 2020. This was </w:t>
      </w:r>
      <w:r>
        <w:rPr>
          <w:spacing w:val="6"/>
        </w:rPr>
        <w:t xml:space="preserve">with a view to establishing the deposit funding requirements of the business models for each of the banks studied. </w:t>
      </w:r>
      <w:r>
        <w:t>Further review of the bank’s primary deposit characteristics was carried out to establish the prevailing deposit mix.</w:t>
      </w:r>
      <w:r>
        <w:rPr>
          <w:spacing w:val="6"/>
        </w:rPr>
        <w:t xml:space="preserve"> This was to interrogate the traditional view that time deposit accounts provide stability to the bank’s balance sheet and are most preferred in the deposit structure of deposit money banks.</w:t>
      </w:r>
      <w:r>
        <w:t xml:space="preserve"> Again, an inquiry into why banks switch models.</w:t>
      </w:r>
    </w:p>
    <w:p w14:paraId="30BEB0CB" w14:textId="77777777" w:rsidR="00A86BF2" w:rsidRDefault="00A86BF2" w:rsidP="003E01F8">
      <w:pPr>
        <w:pStyle w:val="NormalWeb"/>
        <w:shd w:val="clear" w:color="auto" w:fill="FFFFFF"/>
        <w:spacing w:before="0" w:beforeAutospacing="0" w:after="405" w:afterAutospacing="0"/>
        <w:jc w:val="both"/>
      </w:pPr>
      <w:r>
        <w:t>In doing so, selected balance sheet ratios were used as input variables to analyse the funding requirements and activities of the studied banks using cluster analysis. They are customer deposit asset ratio, trading asset ratio, bank lending asset ratio, tangible equity asset ratio, and domestic activity asset ratio. Cluster analysis was used to identify various business models.</w:t>
      </w:r>
    </w:p>
    <w:p w14:paraId="1E913716" w14:textId="77777777" w:rsidR="00A86BF2" w:rsidRDefault="00A86BF2" w:rsidP="003E01F8">
      <w:pPr>
        <w:pStyle w:val="NormalWeb"/>
        <w:shd w:val="clear" w:color="auto" w:fill="FFFFFF"/>
        <w:spacing w:before="0" w:beforeAutospacing="0" w:after="405" w:afterAutospacing="0"/>
        <w:jc w:val="both"/>
      </w:pPr>
      <w:r>
        <w:t>The studied banks—Access, Zenith, FBN Holdings, UBA, and GT Bank—were classified according to the respective business models they adopted using the data characteristics. The models were retail-funded, wholesale-funded, and market-oriented. Zenith, UBA, and FBN Holdings adopted wholesale, retail, and market-oriented models, respectively. Access and GT Bank switched models at various times.</w:t>
      </w:r>
    </w:p>
    <w:p w14:paraId="43FB0A94" w14:textId="77777777" w:rsidR="00A86BF2" w:rsidRDefault="00A86BF2" w:rsidP="003E01F8">
      <w:pPr>
        <w:pStyle w:val="NormalWeb"/>
        <w:shd w:val="clear" w:color="auto" w:fill="FFFFFF"/>
        <w:spacing w:before="0" w:beforeAutospacing="0" w:after="405" w:afterAutospacing="0"/>
        <w:jc w:val="both"/>
      </w:pPr>
      <w:r>
        <w:t>The central feature that runs across the three models is that the respective activities engaged by the banks were funded mainly by customers’ deposits. And the bank deposit mixes were all positively skewed towards demand deposits.</w:t>
      </w:r>
    </w:p>
    <w:p w14:paraId="10D1A377" w14:textId="77777777" w:rsidR="009D6924" w:rsidRPr="00955331" w:rsidRDefault="009D6924" w:rsidP="003E01F8">
      <w:pPr>
        <w:pStyle w:val="NormalWeb"/>
        <w:shd w:val="clear" w:color="auto" w:fill="FFFFFF"/>
        <w:spacing w:before="0" w:beforeAutospacing="0" w:after="405" w:afterAutospacing="0"/>
        <w:jc w:val="both"/>
        <w:rPr>
          <w:b/>
        </w:rPr>
      </w:pPr>
      <w:r w:rsidRPr="00955331">
        <w:rPr>
          <w:b/>
        </w:rPr>
        <w:t>5.2 Conclusion</w:t>
      </w:r>
    </w:p>
    <w:p w14:paraId="5578BB96" w14:textId="77777777" w:rsidR="00C91CE2" w:rsidRDefault="00C91CE2" w:rsidP="003E01F8">
      <w:pPr>
        <w:pStyle w:val="NormalWeb"/>
        <w:shd w:val="clear" w:color="auto" w:fill="FFFFFF"/>
        <w:spacing w:before="0" w:beforeAutospacing="0" w:after="405" w:afterAutospacing="0"/>
        <w:jc w:val="both"/>
      </w:pPr>
      <w:r>
        <w:t xml:space="preserve">We conclude that demand deposits are critical and the most vital and dominant components of banking institutions deposit structures. This provides an alternative argument to the traditional view that time deposits bring stability to the bank's balance sheet and therefore should be accorded priority in mobilisation. Further research will be needed to investigate how the </w:t>
      </w:r>
      <w:r w:rsidR="004A6443">
        <w:t>studied models</w:t>
      </w:r>
      <w:r>
        <w:t xml:space="preserve"> impact the various banks’ profitability.</w:t>
      </w:r>
    </w:p>
    <w:p w14:paraId="13C13B8B" w14:textId="77777777" w:rsidR="009D6924" w:rsidRDefault="009D6924" w:rsidP="003E01F8">
      <w:pPr>
        <w:pStyle w:val="NormalWeb"/>
        <w:shd w:val="clear" w:color="auto" w:fill="FFFFFF"/>
        <w:spacing w:before="0" w:beforeAutospacing="0" w:after="405" w:afterAutospacing="0"/>
        <w:jc w:val="both"/>
      </w:pPr>
      <w:r>
        <w:t xml:space="preserve">Access Bank seems to have reacted to regulatory and environmental factors and their desire to rise and sustain their projected industry position. GT Bank’s switch was a flow. Zenith, FBN Holdings, and UBA never switched. They are all affected by regulatory, legal, and environmental factors. We can therefore conclude that the reason for model switching in Nigeria flows more from the strategic decisions of the management of the banks than environmental and legal factors. This is in line with Ayadi et al. (2011), Ayadi and de Green (2014), and </w:t>
      </w:r>
      <w:proofErr w:type="spellStart"/>
      <w:r>
        <w:t>Farne</w:t>
      </w:r>
      <w:proofErr w:type="spellEnd"/>
      <w:r>
        <w:t xml:space="preserve"> and </w:t>
      </w:r>
      <w:proofErr w:type="spellStart"/>
      <w:r>
        <w:t>Vouldis</w:t>
      </w:r>
      <w:proofErr w:type="spellEnd"/>
      <w:r>
        <w:t xml:space="preserve"> (2017).</w:t>
      </w:r>
    </w:p>
    <w:p w14:paraId="5A6EEBAF" w14:textId="77777777" w:rsidR="008D30FA" w:rsidRPr="00505C1E" w:rsidRDefault="008D30FA" w:rsidP="008D30FA">
      <w:pPr>
        <w:pStyle w:val="NormalWeb"/>
        <w:shd w:val="clear" w:color="auto" w:fill="FFFFFF"/>
        <w:spacing w:before="0" w:beforeAutospacing="0" w:after="405" w:afterAutospacing="0"/>
        <w:jc w:val="center"/>
        <w:rPr>
          <w:b/>
        </w:rPr>
      </w:pPr>
      <w:r w:rsidRPr="00505C1E">
        <w:rPr>
          <w:b/>
        </w:rPr>
        <w:lastRenderedPageBreak/>
        <w:t>References</w:t>
      </w:r>
    </w:p>
    <w:p w14:paraId="6C5485E4" w14:textId="77777777" w:rsidR="008D30FA" w:rsidRDefault="008D30FA" w:rsidP="003E01F8">
      <w:pPr>
        <w:pStyle w:val="NormalWeb"/>
        <w:shd w:val="clear" w:color="auto" w:fill="FFFFFF"/>
        <w:spacing w:before="0" w:beforeAutospacing="0" w:after="405" w:afterAutospacing="0"/>
        <w:jc w:val="both"/>
      </w:pPr>
      <w:r>
        <w:t xml:space="preserve">Access </w:t>
      </w:r>
      <w:proofErr w:type="gramStart"/>
      <w:r>
        <w:t>Bank  Various</w:t>
      </w:r>
      <w:proofErr w:type="gramEnd"/>
      <w:r>
        <w:t xml:space="preserve"> Annual Reports from 2005 to 2020</w:t>
      </w:r>
    </w:p>
    <w:p w14:paraId="01A17C8F" w14:textId="77777777" w:rsidR="008D30FA" w:rsidRDefault="008D30FA" w:rsidP="003E01F8">
      <w:pPr>
        <w:pStyle w:val="NormalWeb"/>
        <w:shd w:val="clear" w:color="auto" w:fill="FFFFFF"/>
        <w:spacing w:before="0" w:beforeAutospacing="0" w:after="405" w:afterAutospacing="0"/>
        <w:jc w:val="both"/>
      </w:pPr>
      <w:r>
        <w:t>Amel, D F, S A Rhoades (1988) Strategic Groups in Banking.</w:t>
      </w:r>
      <w:r w:rsidRPr="0040568F">
        <w:t xml:space="preserve"> </w:t>
      </w:r>
      <w:r w:rsidRPr="0040568F">
        <w:rPr>
          <w:i/>
        </w:rPr>
        <w:t xml:space="preserve">Review of Economics and </w:t>
      </w:r>
      <w:r>
        <w:rPr>
          <w:i/>
        </w:rPr>
        <w:tab/>
      </w:r>
      <w:r w:rsidRPr="0040568F">
        <w:rPr>
          <w:i/>
        </w:rPr>
        <w:t>Statistics</w:t>
      </w:r>
      <w:r>
        <w:rPr>
          <w:i/>
        </w:rPr>
        <w:t>,</w:t>
      </w:r>
      <w:r w:rsidRPr="0040568F">
        <w:rPr>
          <w:i/>
        </w:rPr>
        <w:t xml:space="preserve"> </w:t>
      </w:r>
      <w:r>
        <w:t xml:space="preserve">70 (4), </w:t>
      </w:r>
      <w:r w:rsidRPr="0040568F">
        <w:t>685–689.</w:t>
      </w:r>
    </w:p>
    <w:p w14:paraId="2B342FD3" w14:textId="77777777" w:rsidR="008D30FA" w:rsidRDefault="008D30FA" w:rsidP="003E01F8">
      <w:pPr>
        <w:spacing w:line="240" w:lineRule="auto"/>
        <w:jc w:val="both"/>
      </w:pPr>
      <w:proofErr w:type="gramStart"/>
      <w:r>
        <w:t xml:space="preserve">Aneta  </w:t>
      </w:r>
      <w:proofErr w:type="spellStart"/>
      <w:r>
        <w:t>Hryckiewicz</w:t>
      </w:r>
      <w:proofErr w:type="spellEnd"/>
      <w:proofErr w:type="gramEnd"/>
      <w:r>
        <w:t xml:space="preserve">  &amp; Łukasz Kozłowski (2017).</w:t>
      </w:r>
      <w:r w:rsidRPr="0085366F">
        <w:t xml:space="preserve"> </w:t>
      </w:r>
      <w:r>
        <w:t>Banking business models and the nature of financial crisis,</w:t>
      </w:r>
      <w:r w:rsidRPr="0085366F">
        <w:rPr>
          <w:i/>
        </w:rPr>
        <w:t xml:space="preserve"> Journal of international Money and </w:t>
      </w:r>
      <w:proofErr w:type="gramStart"/>
      <w:r w:rsidRPr="0085366F">
        <w:rPr>
          <w:i/>
        </w:rPr>
        <w:t>Finance</w:t>
      </w:r>
      <w:r>
        <w:t xml:space="preserve"> ,</w:t>
      </w:r>
      <w:proofErr w:type="gramEnd"/>
      <w:r>
        <w:t xml:space="preserve"> 71, 1-24 </w:t>
      </w:r>
    </w:p>
    <w:p w14:paraId="0C1B7C23" w14:textId="77777777" w:rsidR="008D30FA" w:rsidRDefault="008D30FA" w:rsidP="003E01F8">
      <w:pPr>
        <w:pStyle w:val="NormalWeb"/>
        <w:shd w:val="clear" w:color="auto" w:fill="FFFFFF"/>
        <w:spacing w:before="0" w:beforeAutospacing="0" w:after="405" w:afterAutospacing="0"/>
        <w:jc w:val="both"/>
      </w:pPr>
      <w:r>
        <w:t xml:space="preserve">Ayadi, R, E </w:t>
      </w:r>
      <w:proofErr w:type="spellStart"/>
      <w:r>
        <w:t>Arbak</w:t>
      </w:r>
      <w:proofErr w:type="spellEnd"/>
      <w:r>
        <w:t xml:space="preserve"> and W P de Groen (2011): Business Models in European Banking: A pre-</w:t>
      </w:r>
      <w:r>
        <w:tab/>
        <w:t xml:space="preserve">and post-crisis screening, </w:t>
      </w:r>
      <w:r w:rsidRPr="00CC1763">
        <w:rPr>
          <w:i/>
        </w:rPr>
        <w:t>Centre for European Policy Studies (CEPS), Brussels</w:t>
      </w:r>
      <w:r>
        <w:t>.</w:t>
      </w:r>
    </w:p>
    <w:p w14:paraId="1575F876" w14:textId="77777777" w:rsidR="008D30FA" w:rsidRDefault="008D30FA" w:rsidP="003E01F8">
      <w:pPr>
        <w:pStyle w:val="NormalWeb"/>
        <w:shd w:val="clear" w:color="auto" w:fill="FFFFFF"/>
        <w:spacing w:before="0" w:beforeAutospacing="0" w:after="405" w:afterAutospacing="0"/>
        <w:jc w:val="both"/>
      </w:pPr>
      <w:r>
        <w:t>Ayadi, R and W de Groen (2014): Banking business models monitor 2014 – Europe,</w:t>
      </w:r>
      <w:r w:rsidRPr="00CC1763">
        <w:rPr>
          <w:i/>
        </w:rPr>
        <w:t xml:space="preserve"> Centre </w:t>
      </w:r>
      <w:r w:rsidRPr="00CC1763">
        <w:rPr>
          <w:i/>
        </w:rPr>
        <w:tab/>
        <w:t xml:space="preserve">for European Policy Studies and International Observatory on Financial Services </w:t>
      </w:r>
      <w:r w:rsidRPr="00CC1763">
        <w:rPr>
          <w:i/>
        </w:rPr>
        <w:tab/>
        <w:t>Cooperatives.</w:t>
      </w:r>
    </w:p>
    <w:p w14:paraId="69C9895D" w14:textId="77777777" w:rsidR="008D30FA" w:rsidRPr="004804CC" w:rsidRDefault="008D30FA" w:rsidP="003E01F8">
      <w:pPr>
        <w:pStyle w:val="NormalWeb"/>
        <w:shd w:val="clear" w:color="auto" w:fill="FFFFFF"/>
        <w:spacing w:before="0" w:beforeAutospacing="0" w:after="405" w:afterAutospacing="0"/>
        <w:jc w:val="both"/>
      </w:pPr>
      <w:r w:rsidRPr="0042492D">
        <w:rPr>
          <w:color w:val="000000"/>
          <w:lang w:val="de-DE"/>
        </w:rPr>
        <w:t xml:space="preserve">Bodla, B.S. &amp; Verma, R. (2006). </w:t>
      </w:r>
      <w:r w:rsidRPr="00DA61D2">
        <w:rPr>
          <w:color w:val="000000"/>
        </w:rPr>
        <w:t xml:space="preserve">Determinants of Profitability of Banks in India: A </w:t>
      </w:r>
      <w:r>
        <w:rPr>
          <w:color w:val="000000"/>
        </w:rPr>
        <w:tab/>
      </w:r>
      <w:r w:rsidRPr="00DA61D2">
        <w:rPr>
          <w:color w:val="000000"/>
        </w:rPr>
        <w:t>Multivariate Analysis. </w:t>
      </w:r>
      <w:r w:rsidRPr="00DA61D2">
        <w:rPr>
          <w:i/>
          <w:iCs/>
          <w:color w:val="000000"/>
        </w:rPr>
        <w:t>Journal of Services Research, </w:t>
      </w:r>
      <w:r>
        <w:rPr>
          <w:color w:val="000000"/>
        </w:rPr>
        <w:t>6(2),</w:t>
      </w:r>
      <w:r w:rsidRPr="00DA61D2">
        <w:rPr>
          <w:color w:val="000000"/>
        </w:rPr>
        <w:t xml:space="preserve"> 75-89.</w:t>
      </w:r>
    </w:p>
    <w:p w14:paraId="73A7A9B5" w14:textId="77777777" w:rsidR="008D30FA" w:rsidRDefault="008D30FA" w:rsidP="003E01F8">
      <w:pPr>
        <w:spacing w:line="240" w:lineRule="auto"/>
        <w:jc w:val="both"/>
      </w:pPr>
      <w:proofErr w:type="spellStart"/>
      <w:r>
        <w:t>Calinski</w:t>
      </w:r>
      <w:proofErr w:type="spellEnd"/>
      <w:r>
        <w:t xml:space="preserve">, R.B. and J. </w:t>
      </w:r>
      <w:proofErr w:type="spellStart"/>
      <w:r>
        <w:t>Harabasz</w:t>
      </w:r>
      <w:proofErr w:type="spellEnd"/>
      <w:r>
        <w:t xml:space="preserve"> (1974). A dendrite method for cluster analysis, </w:t>
      </w:r>
      <w:r>
        <w:tab/>
      </w:r>
      <w:r w:rsidRPr="00D80330">
        <w:rPr>
          <w:i/>
        </w:rPr>
        <w:t>Communications in Statistics,</w:t>
      </w:r>
      <w:r>
        <w:t xml:space="preserve"> 3(1), 1-27.</w:t>
      </w:r>
    </w:p>
    <w:p w14:paraId="02268316" w14:textId="77777777" w:rsidR="008D30FA" w:rsidRPr="00355D19" w:rsidRDefault="008D30FA" w:rsidP="003E01F8">
      <w:pPr>
        <w:spacing w:line="240" w:lineRule="auto"/>
        <w:jc w:val="both"/>
      </w:pPr>
      <w:r>
        <w:t xml:space="preserve">Central Bank of Nigeria (2012). </w:t>
      </w:r>
      <w:proofErr w:type="gramStart"/>
      <w:r>
        <w:t>Monetary ,</w:t>
      </w:r>
      <w:proofErr w:type="gramEnd"/>
      <w:r>
        <w:t xml:space="preserve"> credit , foreign trade and exchange policy </w:t>
      </w:r>
      <w:r>
        <w:tab/>
        <w:t>guidelines</w:t>
      </w:r>
    </w:p>
    <w:p w14:paraId="1A7FA010" w14:textId="77777777" w:rsidR="008D30FA" w:rsidRDefault="008D30FA" w:rsidP="003E01F8">
      <w:pPr>
        <w:pStyle w:val="NormalWeb"/>
        <w:spacing w:before="0" w:beforeAutospacing="0" w:after="0" w:afterAutospacing="0"/>
        <w:jc w:val="both"/>
        <w:rPr>
          <w:color w:val="000000"/>
        </w:rPr>
      </w:pPr>
    </w:p>
    <w:p w14:paraId="2D2C3AB7" w14:textId="77777777" w:rsidR="008D30FA" w:rsidRDefault="008D30FA" w:rsidP="003E01F8">
      <w:pPr>
        <w:pStyle w:val="NormalWeb"/>
        <w:spacing w:before="0" w:beforeAutospacing="0" w:after="0" w:afterAutospacing="0"/>
        <w:jc w:val="both"/>
        <w:rPr>
          <w:color w:val="000000"/>
        </w:rPr>
      </w:pPr>
      <w:r>
        <w:rPr>
          <w:color w:val="000000"/>
        </w:rPr>
        <w:t>Drury, Colin (2000).</w:t>
      </w:r>
      <w:r w:rsidRPr="002A4B8E">
        <w:rPr>
          <w:color w:val="000000"/>
        </w:rPr>
        <w:t>Management and Cost Accounting; Van Nostrand Reinhard (UK).</w:t>
      </w:r>
    </w:p>
    <w:p w14:paraId="14D5521A" w14:textId="77777777" w:rsidR="008D30FA" w:rsidRPr="001577AA" w:rsidRDefault="008D30FA" w:rsidP="003E01F8">
      <w:pPr>
        <w:pStyle w:val="s16"/>
        <w:spacing w:before="0" w:beforeAutospacing="0" w:after="0" w:afterAutospacing="0"/>
        <w:jc w:val="both"/>
        <w:rPr>
          <w:color w:val="050505"/>
        </w:rPr>
      </w:pPr>
      <w:bookmarkStart w:id="0" w:name="bookmark2"/>
      <w:bookmarkEnd w:id="0"/>
    </w:p>
    <w:p w14:paraId="56BB7E32" w14:textId="77777777" w:rsidR="008D30FA" w:rsidRDefault="008D30FA" w:rsidP="003E01F8">
      <w:pPr>
        <w:spacing w:line="240" w:lineRule="auto"/>
        <w:jc w:val="both"/>
      </w:pPr>
      <w:r>
        <w:t xml:space="preserve">Everitt, B S, S Landau, M Leese and D. Stahl (2011): Cluster analysis, fifth edition, John </w:t>
      </w:r>
      <w:r>
        <w:tab/>
        <w:t>Wiley.</w:t>
      </w:r>
    </w:p>
    <w:p w14:paraId="71E51A54" w14:textId="77777777" w:rsidR="008D30FA" w:rsidRDefault="008D30FA" w:rsidP="003E01F8">
      <w:pPr>
        <w:spacing w:line="240" w:lineRule="auto"/>
        <w:jc w:val="both"/>
      </w:pPr>
      <w:proofErr w:type="spellStart"/>
      <w:r>
        <w:t>Farnè</w:t>
      </w:r>
      <w:proofErr w:type="spellEnd"/>
      <w:r>
        <w:t xml:space="preserve">, M and A </w:t>
      </w:r>
      <w:proofErr w:type="spellStart"/>
      <w:r>
        <w:t>Vouldis</w:t>
      </w:r>
      <w:proofErr w:type="spellEnd"/>
      <w:r>
        <w:t xml:space="preserve"> (2017): Business models of the banks in the euro area, </w:t>
      </w:r>
      <w:r w:rsidRPr="00B4632D">
        <w:rPr>
          <w:i/>
        </w:rPr>
        <w:t xml:space="preserve">ECB </w:t>
      </w:r>
      <w:r w:rsidRPr="00B4632D">
        <w:rPr>
          <w:i/>
        </w:rPr>
        <w:tab/>
        <w:t>Working Paper No 2070</w:t>
      </w:r>
      <w:r>
        <w:t>.</w:t>
      </w:r>
    </w:p>
    <w:p w14:paraId="7D30045E" w14:textId="77777777" w:rsidR="008D30FA" w:rsidRDefault="008D30FA" w:rsidP="003E01F8">
      <w:pPr>
        <w:spacing w:line="240" w:lineRule="auto"/>
        <w:jc w:val="both"/>
      </w:pPr>
      <w:r>
        <w:t>First Bank of Nigeria Holdings Plc various annual reports from 2005 to 2020</w:t>
      </w:r>
    </w:p>
    <w:p w14:paraId="36249418" w14:textId="77777777" w:rsidR="008D30FA" w:rsidRDefault="008D30FA" w:rsidP="003E01F8">
      <w:pPr>
        <w:spacing w:line="240" w:lineRule="auto"/>
        <w:jc w:val="both"/>
      </w:pPr>
      <w:r>
        <w:t>GT Bank various annual reports from 2005 to 2020</w:t>
      </w:r>
    </w:p>
    <w:p w14:paraId="34521FA1" w14:textId="77777777" w:rsidR="008D30FA" w:rsidRDefault="008D30FA" w:rsidP="003E01F8">
      <w:pPr>
        <w:spacing w:line="240" w:lineRule="auto"/>
        <w:jc w:val="both"/>
      </w:pPr>
      <w:r>
        <w:t xml:space="preserve">Köhler, M (2015) Which banks are </w:t>
      </w:r>
      <w:proofErr w:type="gramStart"/>
      <w:r>
        <w:t>more risky</w:t>
      </w:r>
      <w:proofErr w:type="gramEnd"/>
      <w:r>
        <w:t xml:space="preserve">? The impact of business models on bank </w:t>
      </w:r>
      <w:r>
        <w:tab/>
        <w:t>stability,</w:t>
      </w:r>
      <w:r w:rsidRPr="00DC0A94">
        <w:rPr>
          <w:i/>
        </w:rPr>
        <w:t xml:space="preserve"> Journal of Financial Stability</w:t>
      </w:r>
      <w:r>
        <w:t xml:space="preserve"> 16, 195–212.</w:t>
      </w:r>
    </w:p>
    <w:p w14:paraId="4D944532" w14:textId="77777777" w:rsidR="008D30FA" w:rsidRDefault="008D30FA" w:rsidP="003E01F8">
      <w:pPr>
        <w:spacing w:line="240" w:lineRule="auto"/>
        <w:jc w:val="both"/>
      </w:pPr>
      <w:r>
        <w:t xml:space="preserve">Mehra, A (1996) Resource and Market Based Determinants of Performance in the U.S. </w:t>
      </w:r>
      <w:r>
        <w:tab/>
        <w:t>Banking Industry,</w:t>
      </w:r>
      <w:r w:rsidRPr="00FB7D5F">
        <w:rPr>
          <w:i/>
        </w:rPr>
        <w:t xml:space="preserve"> Strategic Management Journal</w:t>
      </w:r>
      <w:r>
        <w:t>, 17 (4), 307-322.</w:t>
      </w:r>
    </w:p>
    <w:p w14:paraId="4C2F639C" w14:textId="77777777" w:rsidR="008D30FA" w:rsidRDefault="008D30FA" w:rsidP="003E01F8">
      <w:pPr>
        <w:spacing w:line="240" w:lineRule="auto"/>
        <w:jc w:val="both"/>
      </w:pPr>
      <w:proofErr w:type="spellStart"/>
      <w:r>
        <w:t>Mergaerts</w:t>
      </w:r>
      <w:proofErr w:type="spellEnd"/>
      <w:r>
        <w:t xml:space="preserve">, F and R Vander </w:t>
      </w:r>
      <w:proofErr w:type="spellStart"/>
      <w:r>
        <w:t>Vennet</w:t>
      </w:r>
      <w:proofErr w:type="spellEnd"/>
      <w:r>
        <w:t xml:space="preserve"> (2016): Business models and bank performance: A long-</w:t>
      </w:r>
      <w:r>
        <w:tab/>
        <w:t>term perspective,</w:t>
      </w:r>
      <w:r w:rsidRPr="00B662AF">
        <w:rPr>
          <w:i/>
        </w:rPr>
        <w:t xml:space="preserve"> Journal of Financial Stability</w:t>
      </w:r>
      <w:r>
        <w:t xml:space="preserve"> 22, 57–75.</w:t>
      </w:r>
    </w:p>
    <w:p w14:paraId="510D2659" w14:textId="77777777" w:rsidR="008D30FA" w:rsidRDefault="008D30FA" w:rsidP="003E01F8">
      <w:pPr>
        <w:pStyle w:val="NormalWeb"/>
        <w:spacing w:before="0" w:beforeAutospacing="0" w:after="0" w:afterAutospacing="0"/>
        <w:jc w:val="both"/>
        <w:rPr>
          <w:i/>
          <w:color w:val="000000"/>
        </w:rPr>
      </w:pPr>
      <w:r>
        <w:rPr>
          <w:color w:val="000000"/>
        </w:rPr>
        <w:t>Mouck, Tom (1997).</w:t>
      </w:r>
      <w:proofErr w:type="spellStart"/>
      <w:r w:rsidRPr="002A4B8E">
        <w:rPr>
          <w:color w:val="000000"/>
        </w:rPr>
        <w:t>Pan</w:t>
      </w:r>
      <w:r>
        <w:rPr>
          <w:color w:val="000000"/>
        </w:rPr>
        <w:t>glosian</w:t>
      </w:r>
      <w:proofErr w:type="spellEnd"/>
      <w:r>
        <w:rPr>
          <w:color w:val="000000"/>
        </w:rPr>
        <w:t xml:space="preserve"> Capital Budgeting Theory in a Complex Adaptive World</w:t>
      </w:r>
      <w:r w:rsidRPr="002A4B8E">
        <w:rPr>
          <w:color w:val="000000"/>
        </w:rPr>
        <w:t xml:space="preserve">, </w:t>
      </w:r>
      <w:r>
        <w:rPr>
          <w:color w:val="000000"/>
        </w:rPr>
        <w:tab/>
      </w:r>
      <w:r w:rsidRPr="004236B5">
        <w:rPr>
          <w:i/>
          <w:color w:val="000000"/>
        </w:rPr>
        <w:t>The University of New Mexico, USA., Working Paper</w:t>
      </w:r>
    </w:p>
    <w:p w14:paraId="0084F389" w14:textId="77777777" w:rsidR="008D30FA" w:rsidRDefault="008D30FA" w:rsidP="003E01F8">
      <w:pPr>
        <w:pStyle w:val="NormalWeb"/>
        <w:spacing w:before="0" w:beforeAutospacing="0" w:after="0" w:afterAutospacing="0"/>
        <w:jc w:val="both"/>
        <w:rPr>
          <w:i/>
          <w:color w:val="000000"/>
        </w:rPr>
      </w:pPr>
    </w:p>
    <w:p w14:paraId="077F8206" w14:textId="77777777" w:rsidR="008D30FA" w:rsidRPr="00D31B33" w:rsidRDefault="008D30FA" w:rsidP="003E01F8">
      <w:pPr>
        <w:spacing w:line="240" w:lineRule="auto"/>
        <w:jc w:val="both"/>
      </w:pPr>
      <w:r>
        <w:t xml:space="preserve">Nicolae Baltes and Maria-Daciana </w:t>
      </w:r>
      <w:proofErr w:type="spellStart"/>
      <w:r>
        <w:t>Rodean</w:t>
      </w:r>
      <w:proofErr w:type="spellEnd"/>
      <w:r>
        <w:t xml:space="preserve"> Cozma (2017). Efficiency of operational Activity of Commercial banks in Romania,</w:t>
      </w:r>
      <w:r w:rsidRPr="008911C1">
        <w:rPr>
          <w:i/>
        </w:rPr>
        <w:t xml:space="preserve"> Expert Journal of Finance</w:t>
      </w:r>
      <w:r>
        <w:t>, (5), 86-93</w:t>
      </w:r>
    </w:p>
    <w:p w14:paraId="41ABDCF3" w14:textId="77777777" w:rsidR="008D30FA" w:rsidRDefault="008D30FA" w:rsidP="003E01F8">
      <w:pPr>
        <w:pStyle w:val="NormalWeb"/>
        <w:spacing w:before="0" w:beforeAutospacing="0" w:after="0" w:afterAutospacing="0"/>
        <w:jc w:val="both"/>
        <w:rPr>
          <w:color w:val="000000"/>
        </w:rPr>
      </w:pPr>
    </w:p>
    <w:p w14:paraId="7948212A" w14:textId="77777777" w:rsidR="008D30FA" w:rsidRPr="00DA61D2" w:rsidRDefault="008D30FA" w:rsidP="003E01F8">
      <w:pPr>
        <w:pStyle w:val="NormalWeb"/>
        <w:spacing w:before="0" w:beforeAutospacing="0" w:after="0" w:afterAutospacing="0"/>
        <w:jc w:val="both"/>
        <w:rPr>
          <w:color w:val="000000"/>
        </w:rPr>
      </w:pPr>
      <w:proofErr w:type="spellStart"/>
      <w:r w:rsidRPr="001F55FC">
        <w:rPr>
          <w:color w:val="000000"/>
        </w:rPr>
        <w:t>Roengpitya</w:t>
      </w:r>
      <w:proofErr w:type="spellEnd"/>
      <w:r w:rsidRPr="001F55FC">
        <w:rPr>
          <w:color w:val="000000"/>
        </w:rPr>
        <w:t xml:space="preserve">, R. </w:t>
      </w:r>
      <w:proofErr w:type="spellStart"/>
      <w:r w:rsidRPr="001F55FC">
        <w:rPr>
          <w:color w:val="000000"/>
        </w:rPr>
        <w:t>Tarashev</w:t>
      </w:r>
      <w:proofErr w:type="spellEnd"/>
      <w:r w:rsidRPr="001F55FC">
        <w:rPr>
          <w:color w:val="000000"/>
        </w:rPr>
        <w:t xml:space="preserve">, N. </w:t>
      </w:r>
      <w:proofErr w:type="spellStart"/>
      <w:r w:rsidRPr="001F55FC">
        <w:rPr>
          <w:color w:val="000000"/>
        </w:rPr>
        <w:t>Tsatsaronis</w:t>
      </w:r>
      <w:proofErr w:type="spellEnd"/>
      <w:r w:rsidRPr="001F55FC">
        <w:rPr>
          <w:color w:val="000000"/>
        </w:rPr>
        <w:t xml:space="preserve">, </w:t>
      </w:r>
      <w:proofErr w:type="gramStart"/>
      <w:r w:rsidRPr="001F55FC">
        <w:rPr>
          <w:color w:val="000000"/>
        </w:rPr>
        <w:t>K.</w:t>
      </w:r>
      <w:r>
        <w:rPr>
          <w:color w:val="000000"/>
        </w:rPr>
        <w:t>(</w:t>
      </w:r>
      <w:proofErr w:type="gramEnd"/>
      <w:r>
        <w:rPr>
          <w:color w:val="000000"/>
        </w:rPr>
        <w:t>2014).</w:t>
      </w:r>
      <w:r w:rsidRPr="001F55FC">
        <w:rPr>
          <w:color w:val="000000"/>
        </w:rPr>
        <w:t xml:space="preserve"> Bank Business Models,</w:t>
      </w:r>
      <w:r w:rsidRPr="000A0A10">
        <w:rPr>
          <w:i/>
          <w:color w:val="000000"/>
        </w:rPr>
        <w:t xml:space="preserve"> BIS Quarterly </w:t>
      </w:r>
      <w:r w:rsidRPr="000A0A10">
        <w:rPr>
          <w:i/>
          <w:color w:val="000000"/>
        </w:rPr>
        <w:tab/>
        <w:t>Review (2014),</w:t>
      </w:r>
      <w:r>
        <w:rPr>
          <w:color w:val="000000"/>
        </w:rPr>
        <w:t xml:space="preserve"> </w:t>
      </w:r>
      <w:r w:rsidRPr="001F55FC">
        <w:rPr>
          <w:color w:val="000000"/>
        </w:rPr>
        <w:t>55</w:t>
      </w:r>
    </w:p>
    <w:p w14:paraId="5F2D4A55" w14:textId="77777777" w:rsidR="008D30FA" w:rsidRPr="00DA61D2" w:rsidRDefault="008D30FA" w:rsidP="003E01F8">
      <w:pPr>
        <w:pStyle w:val="NormalWeb"/>
        <w:spacing w:before="0" w:beforeAutospacing="0" w:after="0" w:afterAutospacing="0"/>
        <w:jc w:val="both"/>
        <w:rPr>
          <w:color w:val="000000"/>
        </w:rPr>
      </w:pPr>
    </w:p>
    <w:p w14:paraId="6789854E" w14:textId="77777777" w:rsidR="008D30FA" w:rsidRDefault="008D30FA" w:rsidP="003E01F8">
      <w:pPr>
        <w:spacing w:line="240" w:lineRule="auto"/>
        <w:jc w:val="both"/>
      </w:pPr>
      <w:proofErr w:type="spellStart"/>
      <w:r>
        <w:t>Roengpitya</w:t>
      </w:r>
      <w:proofErr w:type="spellEnd"/>
      <w:r>
        <w:t>,</w:t>
      </w:r>
      <w:r w:rsidRPr="001F55FC">
        <w:t xml:space="preserve"> </w:t>
      </w:r>
      <w:proofErr w:type="spellStart"/>
      <w:r>
        <w:t>Rungporn</w:t>
      </w:r>
      <w:proofErr w:type="spellEnd"/>
      <w:r>
        <w:t xml:space="preserve">, Nikola </w:t>
      </w:r>
      <w:proofErr w:type="spellStart"/>
      <w:r>
        <w:t>Tarashev</w:t>
      </w:r>
      <w:proofErr w:type="spellEnd"/>
      <w:r>
        <w:t xml:space="preserve">, Kostas </w:t>
      </w:r>
      <w:proofErr w:type="spellStart"/>
      <w:r>
        <w:t>Tsatsaronis</w:t>
      </w:r>
      <w:proofErr w:type="spellEnd"/>
      <w:r>
        <w:t xml:space="preserve"> and Alan Villegas (2017). Bank </w:t>
      </w:r>
      <w:r>
        <w:tab/>
        <w:t xml:space="preserve">business models: popularity and performance. </w:t>
      </w:r>
      <w:r>
        <w:rPr>
          <w:i/>
        </w:rPr>
        <w:t xml:space="preserve"> Bank of International Settlement </w:t>
      </w:r>
      <w:r>
        <w:rPr>
          <w:i/>
        </w:rPr>
        <w:tab/>
        <w:t>Working Papers</w:t>
      </w:r>
      <w:r>
        <w:t xml:space="preserve"> No: 682.</w:t>
      </w:r>
    </w:p>
    <w:p w14:paraId="21CBE6CA" w14:textId="77777777" w:rsidR="008D30FA" w:rsidRPr="004804CC" w:rsidRDefault="008D30FA" w:rsidP="003E01F8">
      <w:pPr>
        <w:pStyle w:val="NormalWeb"/>
        <w:spacing w:before="0" w:beforeAutospacing="0" w:after="0" w:afterAutospacing="0"/>
        <w:jc w:val="both"/>
        <w:rPr>
          <w:color w:val="000000"/>
        </w:rPr>
      </w:pPr>
      <w:proofErr w:type="spellStart"/>
      <w:r w:rsidRPr="00DA61D2">
        <w:rPr>
          <w:color w:val="000000"/>
        </w:rPr>
        <w:t>Shollapur</w:t>
      </w:r>
      <w:proofErr w:type="spellEnd"/>
      <w:r w:rsidRPr="00DA61D2">
        <w:rPr>
          <w:color w:val="000000"/>
        </w:rPr>
        <w:t xml:space="preserve"> M.R &amp; </w:t>
      </w:r>
      <w:proofErr w:type="spellStart"/>
      <w:r w:rsidRPr="00DA61D2">
        <w:rPr>
          <w:color w:val="000000"/>
        </w:rPr>
        <w:t>Baligatti</w:t>
      </w:r>
      <w:proofErr w:type="spellEnd"/>
      <w:r w:rsidRPr="00DA61D2">
        <w:rPr>
          <w:color w:val="000000"/>
        </w:rPr>
        <w:t xml:space="preserve"> Y.G (2010). Funds Management in Banks: A Cost-Benefit </w:t>
      </w:r>
      <w:r>
        <w:rPr>
          <w:color w:val="000000"/>
        </w:rPr>
        <w:tab/>
      </w:r>
      <w:r w:rsidRPr="00DA61D2">
        <w:rPr>
          <w:color w:val="000000"/>
        </w:rPr>
        <w:t>Perspective. </w:t>
      </w:r>
      <w:r w:rsidRPr="00DA61D2">
        <w:rPr>
          <w:i/>
          <w:iCs/>
          <w:color w:val="000000"/>
        </w:rPr>
        <w:t>International Business &amp; Economics Research Journal</w:t>
      </w:r>
      <w:r>
        <w:rPr>
          <w:color w:val="000000"/>
        </w:rPr>
        <w:t>, 9(11),</w:t>
      </w:r>
      <w:r w:rsidRPr="00DA61D2">
        <w:rPr>
          <w:color w:val="000000"/>
        </w:rPr>
        <w:t xml:space="preserve"> 21-3</w:t>
      </w:r>
    </w:p>
    <w:p w14:paraId="2661AAFA" w14:textId="77777777" w:rsidR="008D30FA" w:rsidRDefault="008D30FA" w:rsidP="003E01F8">
      <w:pPr>
        <w:spacing w:line="240" w:lineRule="auto"/>
        <w:jc w:val="both"/>
      </w:pPr>
      <w:proofErr w:type="spellStart"/>
      <w:r>
        <w:t>Stiroh</w:t>
      </w:r>
      <w:proofErr w:type="spellEnd"/>
      <w:r>
        <w:t>, K J, A Rumble (2006) The dark side of diversifica</w:t>
      </w:r>
      <w:r w:rsidR="0098311F">
        <w:t xml:space="preserve">tion: the case of US financial </w:t>
      </w:r>
      <w:r>
        <w:t xml:space="preserve">holding </w:t>
      </w:r>
      <w:r w:rsidR="0098311F">
        <w:t xml:space="preserve">          </w:t>
      </w:r>
      <w:r>
        <w:t>companies,</w:t>
      </w:r>
      <w:r w:rsidRPr="003F6E6A">
        <w:rPr>
          <w:i/>
        </w:rPr>
        <w:t xml:space="preserve"> Journal of Banking and Finance</w:t>
      </w:r>
      <w:r>
        <w:t xml:space="preserve"> 30 (8), 2131–2161.</w:t>
      </w:r>
    </w:p>
    <w:p w14:paraId="0BE8F943" w14:textId="77777777" w:rsidR="008D30FA" w:rsidRDefault="008D30FA" w:rsidP="003E01F8">
      <w:pPr>
        <w:spacing w:line="240" w:lineRule="auto"/>
        <w:jc w:val="both"/>
      </w:pPr>
      <w:r>
        <w:t>United bank for Africa various annual reports from 2005 to 2020</w:t>
      </w:r>
    </w:p>
    <w:p w14:paraId="03AF3AE9" w14:textId="77777777" w:rsidR="008D30FA" w:rsidRPr="004804CC" w:rsidRDefault="008D30FA" w:rsidP="003E01F8">
      <w:pPr>
        <w:pStyle w:val="NormalWeb"/>
        <w:spacing w:before="0" w:beforeAutospacing="0" w:after="0" w:afterAutospacing="0"/>
        <w:jc w:val="both"/>
        <w:rPr>
          <w:color w:val="000000"/>
        </w:rPr>
      </w:pPr>
      <w:r w:rsidRPr="00DA61D2">
        <w:rPr>
          <w:color w:val="000000"/>
        </w:rPr>
        <w:t>Venkatesan S. (2012).</w:t>
      </w:r>
      <w:r w:rsidRPr="003B43B3">
        <w:rPr>
          <w:color w:val="000000"/>
        </w:rPr>
        <w:t> </w:t>
      </w:r>
      <w:r w:rsidRPr="003B43B3">
        <w:rPr>
          <w:iCs/>
          <w:color w:val="000000"/>
        </w:rPr>
        <w:t xml:space="preserve">An Empirical Approach to Deposit Mobilization of Commercial Banks </w:t>
      </w:r>
      <w:r w:rsidRPr="003B43B3">
        <w:rPr>
          <w:iCs/>
          <w:color w:val="000000"/>
        </w:rPr>
        <w:tab/>
        <w:t xml:space="preserve">in </w:t>
      </w:r>
      <w:proofErr w:type="spellStart"/>
      <w:r w:rsidRPr="003B43B3">
        <w:rPr>
          <w:iCs/>
          <w:color w:val="000000"/>
        </w:rPr>
        <w:t>Tamilnadu</w:t>
      </w:r>
      <w:proofErr w:type="spellEnd"/>
      <w:r w:rsidRPr="003B43B3">
        <w:rPr>
          <w:iCs/>
          <w:color w:val="000000"/>
        </w:rPr>
        <w:t>.</w:t>
      </w:r>
      <w:r w:rsidRPr="003B43B3">
        <w:rPr>
          <w:i/>
          <w:iCs/>
          <w:color w:val="000000"/>
        </w:rPr>
        <w:t> </w:t>
      </w:r>
      <w:r w:rsidRPr="003B43B3">
        <w:rPr>
          <w:i/>
          <w:color w:val="000000"/>
        </w:rPr>
        <w:t>IOSR Journal of Business and Management</w:t>
      </w:r>
      <w:r>
        <w:rPr>
          <w:color w:val="000000"/>
        </w:rPr>
        <w:t>, 4(2),</w:t>
      </w:r>
      <w:r w:rsidRPr="00DA61D2">
        <w:rPr>
          <w:color w:val="000000"/>
        </w:rPr>
        <w:t xml:space="preserve"> 41-45.</w:t>
      </w:r>
    </w:p>
    <w:p w14:paraId="7473BFA1" w14:textId="77777777" w:rsidR="008D30FA" w:rsidRDefault="008D30FA" w:rsidP="003E01F8">
      <w:pPr>
        <w:spacing w:line="240" w:lineRule="auto"/>
        <w:jc w:val="both"/>
      </w:pPr>
      <w:r>
        <w:t xml:space="preserve">Wilkinson, L, L Engelman, J Corter and M Coward (2007).Cluster Analysis in SYSTAT </w:t>
      </w:r>
      <w:r>
        <w:tab/>
        <w:t xml:space="preserve">12 </w:t>
      </w:r>
      <w:r>
        <w:tab/>
        <w:t>Statistics I, I- 66–122.</w:t>
      </w:r>
    </w:p>
    <w:p w14:paraId="178B6C2A" w14:textId="77777777" w:rsidR="008D30FA" w:rsidRDefault="008D30FA" w:rsidP="003E01F8">
      <w:pPr>
        <w:spacing w:line="240" w:lineRule="auto"/>
        <w:jc w:val="both"/>
      </w:pPr>
      <w:r>
        <w:t>Zenith Bank Nigeria Plc various annual reports from 2005 to 2020</w:t>
      </w:r>
    </w:p>
    <w:p w14:paraId="5AC157A8" w14:textId="77777777" w:rsidR="008D30FA" w:rsidRDefault="008D30FA" w:rsidP="003E01F8">
      <w:pPr>
        <w:spacing w:line="240" w:lineRule="auto"/>
        <w:jc w:val="both"/>
      </w:pPr>
      <w:r>
        <w:t xml:space="preserve">Zott, C and R Amit (2011). The business model: Recent developments, and future research, </w:t>
      </w:r>
      <w:r>
        <w:tab/>
      </w:r>
      <w:r w:rsidRPr="00F8171A">
        <w:rPr>
          <w:i/>
        </w:rPr>
        <w:t>Journal of Management</w:t>
      </w:r>
      <w:r>
        <w:t>, 37(4), 1019-1042.</w:t>
      </w:r>
    </w:p>
    <w:p w14:paraId="464C9E0D" w14:textId="77777777" w:rsidR="008D30FA" w:rsidRDefault="008D30FA" w:rsidP="008D30FA">
      <w:pPr>
        <w:spacing w:line="240" w:lineRule="auto"/>
      </w:pPr>
    </w:p>
    <w:p w14:paraId="04582048" w14:textId="77777777" w:rsidR="008D30FA" w:rsidRDefault="008D30FA" w:rsidP="008D30FA">
      <w:pPr>
        <w:pStyle w:val="NormalWeb"/>
        <w:shd w:val="clear" w:color="auto" w:fill="FFFFFF"/>
        <w:spacing w:before="0" w:beforeAutospacing="0" w:after="405" w:afterAutospacing="0" w:line="480" w:lineRule="auto"/>
        <w:jc w:val="both"/>
        <w:rPr>
          <w:b/>
        </w:rPr>
      </w:pPr>
    </w:p>
    <w:p w14:paraId="43DB2F8A" w14:textId="77777777" w:rsidR="008D30FA" w:rsidRDefault="008D30FA" w:rsidP="008D30FA">
      <w:pPr>
        <w:pStyle w:val="NormalWeb"/>
        <w:shd w:val="clear" w:color="auto" w:fill="FFFFFF"/>
        <w:spacing w:before="0" w:beforeAutospacing="0" w:after="405" w:afterAutospacing="0" w:line="480" w:lineRule="auto"/>
        <w:jc w:val="both"/>
        <w:rPr>
          <w:b/>
        </w:rPr>
      </w:pPr>
    </w:p>
    <w:p w14:paraId="4ABBA29D" w14:textId="77777777" w:rsidR="008D30FA" w:rsidRDefault="008D30FA" w:rsidP="008D30FA">
      <w:pPr>
        <w:pStyle w:val="NormalWeb"/>
        <w:shd w:val="clear" w:color="auto" w:fill="FFFFFF"/>
        <w:spacing w:before="0" w:beforeAutospacing="0" w:after="405" w:afterAutospacing="0" w:line="480" w:lineRule="auto"/>
        <w:jc w:val="both"/>
        <w:rPr>
          <w:b/>
        </w:rPr>
      </w:pPr>
    </w:p>
    <w:p w14:paraId="1B5A46F1" w14:textId="77777777" w:rsidR="008D30FA" w:rsidRDefault="008D30FA" w:rsidP="008D30FA">
      <w:pPr>
        <w:pStyle w:val="NormalWeb"/>
        <w:shd w:val="clear" w:color="auto" w:fill="FFFFFF"/>
        <w:spacing w:before="0" w:beforeAutospacing="0" w:after="405" w:afterAutospacing="0" w:line="480" w:lineRule="auto"/>
        <w:jc w:val="both"/>
        <w:rPr>
          <w:b/>
        </w:rPr>
      </w:pPr>
    </w:p>
    <w:sectPr w:rsidR="008D30FA" w:rsidSect="00191FA3">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510589" w14:textId="77777777" w:rsidR="00191FA3" w:rsidRDefault="00191FA3" w:rsidP="004B4FDF">
      <w:pPr>
        <w:spacing w:after="0" w:line="240" w:lineRule="auto"/>
      </w:pPr>
      <w:r>
        <w:separator/>
      </w:r>
    </w:p>
  </w:endnote>
  <w:endnote w:type="continuationSeparator" w:id="0">
    <w:p w14:paraId="188E2CA4" w14:textId="77777777" w:rsidR="00191FA3" w:rsidRDefault="00191FA3" w:rsidP="004B4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7E2F2" w14:textId="77777777" w:rsidR="0042492D" w:rsidRDefault="004249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F02E7" w14:textId="77777777" w:rsidR="004B4FDF" w:rsidRDefault="003D1D2D">
    <w:pPr>
      <w:pStyle w:val="Footer"/>
      <w:jc w:val="center"/>
    </w:pPr>
    <w:r>
      <w:fldChar w:fldCharType="begin"/>
    </w:r>
    <w:r>
      <w:instrText xml:space="preserve"> PAGE   \* MERGEFORMAT </w:instrText>
    </w:r>
    <w:r>
      <w:fldChar w:fldCharType="separate"/>
    </w:r>
    <w:r w:rsidR="003E01F8">
      <w:rPr>
        <w:noProof/>
      </w:rPr>
      <w:t>19</w:t>
    </w:r>
    <w:r>
      <w:fldChar w:fldCharType="end"/>
    </w:r>
  </w:p>
  <w:p w14:paraId="121F38E1" w14:textId="77777777" w:rsidR="004B4FDF" w:rsidRDefault="004B4F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D007E" w14:textId="77777777" w:rsidR="0042492D" w:rsidRDefault="00424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5896D1" w14:textId="77777777" w:rsidR="00191FA3" w:rsidRDefault="00191FA3" w:rsidP="004B4FDF">
      <w:pPr>
        <w:spacing w:after="0" w:line="240" w:lineRule="auto"/>
      </w:pPr>
      <w:r>
        <w:separator/>
      </w:r>
    </w:p>
  </w:footnote>
  <w:footnote w:type="continuationSeparator" w:id="0">
    <w:p w14:paraId="5B81DA45" w14:textId="77777777" w:rsidR="00191FA3" w:rsidRDefault="00191FA3" w:rsidP="004B4F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2139B5" w14:textId="56FE4762" w:rsidR="0042492D" w:rsidRDefault="0042492D">
    <w:pPr>
      <w:pStyle w:val="Header"/>
    </w:pPr>
    <w:r>
      <w:rPr>
        <w:noProof/>
      </w:rPr>
      <w:pict w14:anchorId="3F2A5B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8725688" o:spid="_x0000_s1026"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B2CFED" w14:textId="65371F86" w:rsidR="0042492D" w:rsidRDefault="0042492D">
    <w:pPr>
      <w:pStyle w:val="Header"/>
    </w:pPr>
    <w:r>
      <w:rPr>
        <w:noProof/>
      </w:rPr>
      <w:pict w14:anchorId="2B833FE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8725689" o:spid="_x0000_s1027"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62079" w14:textId="68375B09" w:rsidR="0042492D" w:rsidRDefault="0042492D">
    <w:pPr>
      <w:pStyle w:val="Header"/>
    </w:pPr>
    <w:r>
      <w:rPr>
        <w:noProof/>
      </w:rPr>
      <w:pict w14:anchorId="780162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8725687" o:spid="_x0000_s1025"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B33B33"/>
    <w:multiLevelType w:val="multilevel"/>
    <w:tmpl w:val="BF9C72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F9491C"/>
    <w:multiLevelType w:val="multilevel"/>
    <w:tmpl w:val="D71E5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DB6CBD"/>
    <w:multiLevelType w:val="multilevel"/>
    <w:tmpl w:val="D71E5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8965F0"/>
    <w:multiLevelType w:val="hybridMultilevel"/>
    <w:tmpl w:val="99525EB4"/>
    <w:lvl w:ilvl="0" w:tplc="ED6E20B8">
      <w:start w:val="200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A8715B"/>
    <w:multiLevelType w:val="hybridMultilevel"/>
    <w:tmpl w:val="E13C63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956792"/>
    <w:multiLevelType w:val="hybridMultilevel"/>
    <w:tmpl w:val="99D408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1B656A"/>
    <w:multiLevelType w:val="hybridMultilevel"/>
    <w:tmpl w:val="6B10D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806FF8"/>
    <w:multiLevelType w:val="multilevel"/>
    <w:tmpl w:val="A0849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7155731">
    <w:abstractNumId w:val="7"/>
  </w:num>
  <w:num w:numId="2" w16cid:durableId="1807042123">
    <w:abstractNumId w:val="0"/>
  </w:num>
  <w:num w:numId="3" w16cid:durableId="1532768933">
    <w:abstractNumId w:val="3"/>
  </w:num>
  <w:num w:numId="4" w16cid:durableId="1993751400">
    <w:abstractNumId w:val="4"/>
  </w:num>
  <w:num w:numId="5" w16cid:durableId="858928363">
    <w:abstractNumId w:val="5"/>
  </w:num>
  <w:num w:numId="6" w16cid:durableId="1153520752">
    <w:abstractNumId w:val="2"/>
  </w:num>
  <w:num w:numId="7" w16cid:durableId="216867545">
    <w:abstractNumId w:val="1"/>
  </w:num>
  <w:num w:numId="8" w16cid:durableId="9549408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268"/>
    <w:rsid w:val="00000477"/>
    <w:rsid w:val="000206E8"/>
    <w:rsid w:val="000210DF"/>
    <w:rsid w:val="0004243D"/>
    <w:rsid w:val="0004543F"/>
    <w:rsid w:val="00046A9A"/>
    <w:rsid w:val="00052F82"/>
    <w:rsid w:val="00065201"/>
    <w:rsid w:val="00085A0C"/>
    <w:rsid w:val="0009499D"/>
    <w:rsid w:val="000A303F"/>
    <w:rsid w:val="000F74DC"/>
    <w:rsid w:val="0013731B"/>
    <w:rsid w:val="001457D9"/>
    <w:rsid w:val="00151F2D"/>
    <w:rsid w:val="00154DC8"/>
    <w:rsid w:val="00191FA3"/>
    <w:rsid w:val="001A1ECC"/>
    <w:rsid w:val="001A2234"/>
    <w:rsid w:val="001A235B"/>
    <w:rsid w:val="001A6AC8"/>
    <w:rsid w:val="001B4163"/>
    <w:rsid w:val="001C0874"/>
    <w:rsid w:val="001F7EDC"/>
    <w:rsid w:val="002101A6"/>
    <w:rsid w:val="00280B83"/>
    <w:rsid w:val="00283B7E"/>
    <w:rsid w:val="002846AF"/>
    <w:rsid w:val="00291137"/>
    <w:rsid w:val="002977B4"/>
    <w:rsid w:val="002A0824"/>
    <w:rsid w:val="002B022A"/>
    <w:rsid w:val="00302D56"/>
    <w:rsid w:val="003217ED"/>
    <w:rsid w:val="00335B7C"/>
    <w:rsid w:val="00341673"/>
    <w:rsid w:val="00345142"/>
    <w:rsid w:val="00357362"/>
    <w:rsid w:val="003618DC"/>
    <w:rsid w:val="00365BDE"/>
    <w:rsid w:val="003671BF"/>
    <w:rsid w:val="003703B4"/>
    <w:rsid w:val="003874D3"/>
    <w:rsid w:val="003A0F8E"/>
    <w:rsid w:val="003A2AA3"/>
    <w:rsid w:val="003A596B"/>
    <w:rsid w:val="003B7FC5"/>
    <w:rsid w:val="003D1D2D"/>
    <w:rsid w:val="003E01F8"/>
    <w:rsid w:val="003E5ABD"/>
    <w:rsid w:val="003E5ECA"/>
    <w:rsid w:val="00402D30"/>
    <w:rsid w:val="00413632"/>
    <w:rsid w:val="0042492D"/>
    <w:rsid w:val="004526FF"/>
    <w:rsid w:val="004A6443"/>
    <w:rsid w:val="004A7FCF"/>
    <w:rsid w:val="004B4FDF"/>
    <w:rsid w:val="004D6299"/>
    <w:rsid w:val="004F55B6"/>
    <w:rsid w:val="00535DDB"/>
    <w:rsid w:val="00540A57"/>
    <w:rsid w:val="005567A2"/>
    <w:rsid w:val="00560179"/>
    <w:rsid w:val="005D37AA"/>
    <w:rsid w:val="005F630F"/>
    <w:rsid w:val="00602696"/>
    <w:rsid w:val="00620C5A"/>
    <w:rsid w:val="0062263A"/>
    <w:rsid w:val="00645FAD"/>
    <w:rsid w:val="00671F73"/>
    <w:rsid w:val="00680563"/>
    <w:rsid w:val="006808AF"/>
    <w:rsid w:val="006E5EA8"/>
    <w:rsid w:val="006F36EB"/>
    <w:rsid w:val="00721F9B"/>
    <w:rsid w:val="007223F8"/>
    <w:rsid w:val="00722EAF"/>
    <w:rsid w:val="00722FBF"/>
    <w:rsid w:val="0075510D"/>
    <w:rsid w:val="007931DE"/>
    <w:rsid w:val="007B205A"/>
    <w:rsid w:val="007D02A1"/>
    <w:rsid w:val="007E3B25"/>
    <w:rsid w:val="007F31F4"/>
    <w:rsid w:val="00821892"/>
    <w:rsid w:val="00823546"/>
    <w:rsid w:val="00825471"/>
    <w:rsid w:val="00834D76"/>
    <w:rsid w:val="00846096"/>
    <w:rsid w:val="008566FE"/>
    <w:rsid w:val="008833AE"/>
    <w:rsid w:val="008A6D74"/>
    <w:rsid w:val="008D30FA"/>
    <w:rsid w:val="0090114D"/>
    <w:rsid w:val="009718CA"/>
    <w:rsid w:val="0098311F"/>
    <w:rsid w:val="009C35C7"/>
    <w:rsid w:val="009D6924"/>
    <w:rsid w:val="00A1223B"/>
    <w:rsid w:val="00A33172"/>
    <w:rsid w:val="00A45ACE"/>
    <w:rsid w:val="00A504CC"/>
    <w:rsid w:val="00A86BF2"/>
    <w:rsid w:val="00B35140"/>
    <w:rsid w:val="00B42BFC"/>
    <w:rsid w:val="00B6122F"/>
    <w:rsid w:val="00B64AD6"/>
    <w:rsid w:val="00BA0400"/>
    <w:rsid w:val="00BB4644"/>
    <w:rsid w:val="00C35022"/>
    <w:rsid w:val="00C91CE2"/>
    <w:rsid w:val="00CB0245"/>
    <w:rsid w:val="00CB2268"/>
    <w:rsid w:val="00CB4304"/>
    <w:rsid w:val="00D1083A"/>
    <w:rsid w:val="00D130FD"/>
    <w:rsid w:val="00D24426"/>
    <w:rsid w:val="00D51EDE"/>
    <w:rsid w:val="00D52B01"/>
    <w:rsid w:val="00D63911"/>
    <w:rsid w:val="00D64CA8"/>
    <w:rsid w:val="00D731F9"/>
    <w:rsid w:val="00DB43DE"/>
    <w:rsid w:val="00DB7EAF"/>
    <w:rsid w:val="00DF1414"/>
    <w:rsid w:val="00E0584E"/>
    <w:rsid w:val="00E214C9"/>
    <w:rsid w:val="00EC60DF"/>
    <w:rsid w:val="00EE02C4"/>
    <w:rsid w:val="00EF199C"/>
    <w:rsid w:val="00EF3C12"/>
    <w:rsid w:val="00F1725E"/>
    <w:rsid w:val="00F238C1"/>
    <w:rsid w:val="00F97B55"/>
    <w:rsid w:val="00FA028D"/>
    <w:rsid w:val="00FA5986"/>
    <w:rsid w:val="00FC71A1"/>
    <w:rsid w:val="00FD0FB7"/>
    <w:rsid w:val="00FD1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0E836"/>
  <w15:chartTrackingRefBased/>
  <w15:docId w15:val="{1390B816-E5DD-DD47-A80B-6E01B3D0C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6FF"/>
    <w:pPr>
      <w:spacing w:after="200" w:line="276" w:lineRule="auto"/>
    </w:pPr>
    <w:rPr>
      <w:sz w:val="22"/>
      <w:szCs w:val="22"/>
      <w:lang w:eastAsia="en-US"/>
    </w:rPr>
  </w:style>
  <w:style w:type="paragraph" w:styleId="Heading1">
    <w:name w:val="heading 1"/>
    <w:basedOn w:val="Normal"/>
    <w:link w:val="Heading1Char"/>
    <w:uiPriority w:val="9"/>
    <w:qFormat/>
    <w:rsid w:val="00825471"/>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next w:val="Normal"/>
    <w:link w:val="Heading2Char"/>
    <w:uiPriority w:val="9"/>
    <w:unhideWhenUsed/>
    <w:qFormat/>
    <w:rsid w:val="007931DE"/>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4FDF"/>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4B4F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FDF"/>
  </w:style>
  <w:style w:type="paragraph" w:styleId="Footer">
    <w:name w:val="footer"/>
    <w:basedOn w:val="Normal"/>
    <w:link w:val="FooterChar"/>
    <w:uiPriority w:val="99"/>
    <w:unhideWhenUsed/>
    <w:rsid w:val="004B4F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FDF"/>
  </w:style>
  <w:style w:type="character" w:styleId="Strong">
    <w:name w:val="Strong"/>
    <w:basedOn w:val="DefaultParagraphFont"/>
    <w:uiPriority w:val="22"/>
    <w:qFormat/>
    <w:rsid w:val="0075510D"/>
    <w:rPr>
      <w:b/>
      <w:bCs/>
    </w:rPr>
  </w:style>
  <w:style w:type="character" w:customStyle="1" w:styleId="Heading1Char">
    <w:name w:val="Heading 1 Char"/>
    <w:basedOn w:val="DefaultParagraphFont"/>
    <w:link w:val="Heading1"/>
    <w:uiPriority w:val="9"/>
    <w:rsid w:val="0082547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931DE"/>
    <w:rPr>
      <w:rFonts w:ascii="Cambria" w:eastAsia="Times New Roman" w:hAnsi="Cambria" w:cs="Times New Roman"/>
      <w:b/>
      <w:bCs/>
      <w:color w:val="4F81BD"/>
      <w:sz w:val="26"/>
      <w:szCs w:val="26"/>
    </w:rPr>
  </w:style>
  <w:style w:type="paragraph" w:styleId="BalloonText">
    <w:name w:val="Balloon Text"/>
    <w:basedOn w:val="Normal"/>
    <w:link w:val="BalloonTextChar"/>
    <w:uiPriority w:val="99"/>
    <w:semiHidden/>
    <w:unhideWhenUsed/>
    <w:rsid w:val="007931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1DE"/>
    <w:rPr>
      <w:rFonts w:ascii="Tahoma" w:hAnsi="Tahoma" w:cs="Tahoma"/>
      <w:sz w:val="16"/>
      <w:szCs w:val="16"/>
    </w:rPr>
  </w:style>
  <w:style w:type="paragraph" w:styleId="ListParagraph">
    <w:name w:val="List Paragraph"/>
    <w:basedOn w:val="Normal"/>
    <w:uiPriority w:val="34"/>
    <w:qFormat/>
    <w:rsid w:val="008D30FA"/>
    <w:pPr>
      <w:autoSpaceDE w:val="0"/>
      <w:autoSpaceDN w:val="0"/>
      <w:adjustRightInd w:val="0"/>
      <w:spacing w:before="120" w:after="0" w:line="360" w:lineRule="auto"/>
      <w:ind w:left="720"/>
      <w:contextualSpacing/>
      <w:jc w:val="both"/>
    </w:pPr>
    <w:rPr>
      <w:rFonts w:ascii="Times New Roman" w:hAnsi="Times New Roman"/>
      <w:sz w:val="24"/>
      <w:szCs w:val="24"/>
      <w:lang w:val="en-US"/>
    </w:rPr>
  </w:style>
  <w:style w:type="paragraph" w:customStyle="1" w:styleId="p2">
    <w:name w:val="p2"/>
    <w:basedOn w:val="Normal"/>
    <w:rsid w:val="008D30F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s2">
    <w:name w:val="s2"/>
    <w:basedOn w:val="DefaultParagraphFont"/>
    <w:rsid w:val="008D30FA"/>
  </w:style>
  <w:style w:type="paragraph" w:customStyle="1" w:styleId="p3">
    <w:name w:val="p3"/>
    <w:basedOn w:val="Normal"/>
    <w:rsid w:val="008D30FA"/>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s16">
    <w:name w:val="s16"/>
    <w:basedOn w:val="Normal"/>
    <w:rsid w:val="008D30FA"/>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59"/>
    <w:rsid w:val="00CB4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B4304"/>
    <w:rPr>
      <w:color w:val="0563C1" w:themeColor="hyperlink"/>
      <w:u w:val="single"/>
    </w:rPr>
  </w:style>
  <w:style w:type="character" w:styleId="UnresolvedMention">
    <w:name w:val="Unresolved Mention"/>
    <w:basedOn w:val="DefaultParagraphFont"/>
    <w:uiPriority w:val="99"/>
    <w:semiHidden/>
    <w:unhideWhenUsed/>
    <w:rsid w:val="00CB43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5316">
      <w:bodyDiv w:val="1"/>
      <w:marLeft w:val="0"/>
      <w:marRight w:val="0"/>
      <w:marTop w:val="0"/>
      <w:marBottom w:val="0"/>
      <w:divBdr>
        <w:top w:val="none" w:sz="0" w:space="0" w:color="auto"/>
        <w:left w:val="none" w:sz="0" w:space="0" w:color="auto"/>
        <w:bottom w:val="none" w:sz="0" w:space="0" w:color="auto"/>
        <w:right w:val="none" w:sz="0" w:space="0" w:color="auto"/>
      </w:divBdr>
    </w:div>
    <w:div w:id="112022188">
      <w:bodyDiv w:val="1"/>
      <w:marLeft w:val="0"/>
      <w:marRight w:val="0"/>
      <w:marTop w:val="0"/>
      <w:marBottom w:val="0"/>
      <w:divBdr>
        <w:top w:val="none" w:sz="0" w:space="0" w:color="auto"/>
        <w:left w:val="none" w:sz="0" w:space="0" w:color="auto"/>
        <w:bottom w:val="none" w:sz="0" w:space="0" w:color="auto"/>
        <w:right w:val="none" w:sz="0" w:space="0" w:color="auto"/>
      </w:divBdr>
    </w:div>
    <w:div w:id="229463500">
      <w:bodyDiv w:val="1"/>
      <w:marLeft w:val="0"/>
      <w:marRight w:val="0"/>
      <w:marTop w:val="0"/>
      <w:marBottom w:val="0"/>
      <w:divBdr>
        <w:top w:val="none" w:sz="0" w:space="0" w:color="auto"/>
        <w:left w:val="none" w:sz="0" w:space="0" w:color="auto"/>
        <w:bottom w:val="none" w:sz="0" w:space="0" w:color="auto"/>
        <w:right w:val="none" w:sz="0" w:space="0" w:color="auto"/>
      </w:divBdr>
    </w:div>
    <w:div w:id="367880887">
      <w:bodyDiv w:val="1"/>
      <w:marLeft w:val="0"/>
      <w:marRight w:val="0"/>
      <w:marTop w:val="0"/>
      <w:marBottom w:val="0"/>
      <w:divBdr>
        <w:top w:val="none" w:sz="0" w:space="0" w:color="auto"/>
        <w:left w:val="none" w:sz="0" w:space="0" w:color="auto"/>
        <w:bottom w:val="none" w:sz="0" w:space="0" w:color="auto"/>
        <w:right w:val="none" w:sz="0" w:space="0" w:color="auto"/>
      </w:divBdr>
    </w:div>
    <w:div w:id="380636798">
      <w:bodyDiv w:val="1"/>
      <w:marLeft w:val="0"/>
      <w:marRight w:val="0"/>
      <w:marTop w:val="0"/>
      <w:marBottom w:val="0"/>
      <w:divBdr>
        <w:top w:val="none" w:sz="0" w:space="0" w:color="auto"/>
        <w:left w:val="none" w:sz="0" w:space="0" w:color="auto"/>
        <w:bottom w:val="none" w:sz="0" w:space="0" w:color="auto"/>
        <w:right w:val="none" w:sz="0" w:space="0" w:color="auto"/>
      </w:divBdr>
    </w:div>
    <w:div w:id="515921080">
      <w:bodyDiv w:val="1"/>
      <w:marLeft w:val="0"/>
      <w:marRight w:val="0"/>
      <w:marTop w:val="0"/>
      <w:marBottom w:val="0"/>
      <w:divBdr>
        <w:top w:val="none" w:sz="0" w:space="0" w:color="auto"/>
        <w:left w:val="none" w:sz="0" w:space="0" w:color="auto"/>
        <w:bottom w:val="none" w:sz="0" w:space="0" w:color="auto"/>
        <w:right w:val="none" w:sz="0" w:space="0" w:color="auto"/>
      </w:divBdr>
    </w:div>
    <w:div w:id="671564926">
      <w:bodyDiv w:val="1"/>
      <w:marLeft w:val="0"/>
      <w:marRight w:val="0"/>
      <w:marTop w:val="0"/>
      <w:marBottom w:val="0"/>
      <w:divBdr>
        <w:top w:val="none" w:sz="0" w:space="0" w:color="auto"/>
        <w:left w:val="none" w:sz="0" w:space="0" w:color="auto"/>
        <w:bottom w:val="none" w:sz="0" w:space="0" w:color="auto"/>
        <w:right w:val="none" w:sz="0" w:space="0" w:color="auto"/>
      </w:divBdr>
    </w:div>
    <w:div w:id="681780639">
      <w:bodyDiv w:val="1"/>
      <w:marLeft w:val="0"/>
      <w:marRight w:val="0"/>
      <w:marTop w:val="0"/>
      <w:marBottom w:val="0"/>
      <w:divBdr>
        <w:top w:val="none" w:sz="0" w:space="0" w:color="auto"/>
        <w:left w:val="none" w:sz="0" w:space="0" w:color="auto"/>
        <w:bottom w:val="none" w:sz="0" w:space="0" w:color="auto"/>
        <w:right w:val="none" w:sz="0" w:space="0" w:color="auto"/>
      </w:divBdr>
    </w:div>
    <w:div w:id="758327415">
      <w:bodyDiv w:val="1"/>
      <w:marLeft w:val="0"/>
      <w:marRight w:val="0"/>
      <w:marTop w:val="0"/>
      <w:marBottom w:val="0"/>
      <w:divBdr>
        <w:top w:val="none" w:sz="0" w:space="0" w:color="auto"/>
        <w:left w:val="none" w:sz="0" w:space="0" w:color="auto"/>
        <w:bottom w:val="none" w:sz="0" w:space="0" w:color="auto"/>
        <w:right w:val="none" w:sz="0" w:space="0" w:color="auto"/>
      </w:divBdr>
    </w:div>
    <w:div w:id="919024728">
      <w:bodyDiv w:val="1"/>
      <w:marLeft w:val="0"/>
      <w:marRight w:val="0"/>
      <w:marTop w:val="0"/>
      <w:marBottom w:val="0"/>
      <w:divBdr>
        <w:top w:val="none" w:sz="0" w:space="0" w:color="auto"/>
        <w:left w:val="none" w:sz="0" w:space="0" w:color="auto"/>
        <w:bottom w:val="none" w:sz="0" w:space="0" w:color="auto"/>
        <w:right w:val="none" w:sz="0" w:space="0" w:color="auto"/>
      </w:divBdr>
    </w:div>
    <w:div w:id="933902007">
      <w:bodyDiv w:val="1"/>
      <w:marLeft w:val="0"/>
      <w:marRight w:val="0"/>
      <w:marTop w:val="0"/>
      <w:marBottom w:val="0"/>
      <w:divBdr>
        <w:top w:val="none" w:sz="0" w:space="0" w:color="auto"/>
        <w:left w:val="none" w:sz="0" w:space="0" w:color="auto"/>
        <w:bottom w:val="none" w:sz="0" w:space="0" w:color="auto"/>
        <w:right w:val="none" w:sz="0" w:space="0" w:color="auto"/>
      </w:divBdr>
    </w:div>
    <w:div w:id="1015768409">
      <w:bodyDiv w:val="1"/>
      <w:marLeft w:val="0"/>
      <w:marRight w:val="0"/>
      <w:marTop w:val="0"/>
      <w:marBottom w:val="0"/>
      <w:divBdr>
        <w:top w:val="none" w:sz="0" w:space="0" w:color="auto"/>
        <w:left w:val="none" w:sz="0" w:space="0" w:color="auto"/>
        <w:bottom w:val="none" w:sz="0" w:space="0" w:color="auto"/>
        <w:right w:val="none" w:sz="0" w:space="0" w:color="auto"/>
      </w:divBdr>
    </w:div>
    <w:div w:id="1036155925">
      <w:bodyDiv w:val="1"/>
      <w:marLeft w:val="0"/>
      <w:marRight w:val="0"/>
      <w:marTop w:val="0"/>
      <w:marBottom w:val="0"/>
      <w:divBdr>
        <w:top w:val="none" w:sz="0" w:space="0" w:color="auto"/>
        <w:left w:val="none" w:sz="0" w:space="0" w:color="auto"/>
        <w:bottom w:val="none" w:sz="0" w:space="0" w:color="auto"/>
        <w:right w:val="none" w:sz="0" w:space="0" w:color="auto"/>
      </w:divBdr>
    </w:div>
    <w:div w:id="1084455198">
      <w:bodyDiv w:val="1"/>
      <w:marLeft w:val="0"/>
      <w:marRight w:val="0"/>
      <w:marTop w:val="0"/>
      <w:marBottom w:val="0"/>
      <w:divBdr>
        <w:top w:val="none" w:sz="0" w:space="0" w:color="auto"/>
        <w:left w:val="none" w:sz="0" w:space="0" w:color="auto"/>
        <w:bottom w:val="none" w:sz="0" w:space="0" w:color="auto"/>
        <w:right w:val="none" w:sz="0" w:space="0" w:color="auto"/>
      </w:divBdr>
    </w:div>
    <w:div w:id="1146778475">
      <w:bodyDiv w:val="1"/>
      <w:marLeft w:val="0"/>
      <w:marRight w:val="0"/>
      <w:marTop w:val="0"/>
      <w:marBottom w:val="0"/>
      <w:divBdr>
        <w:top w:val="none" w:sz="0" w:space="0" w:color="auto"/>
        <w:left w:val="none" w:sz="0" w:space="0" w:color="auto"/>
        <w:bottom w:val="none" w:sz="0" w:space="0" w:color="auto"/>
        <w:right w:val="none" w:sz="0" w:space="0" w:color="auto"/>
      </w:divBdr>
    </w:div>
    <w:div w:id="1327785147">
      <w:bodyDiv w:val="1"/>
      <w:marLeft w:val="0"/>
      <w:marRight w:val="0"/>
      <w:marTop w:val="0"/>
      <w:marBottom w:val="0"/>
      <w:divBdr>
        <w:top w:val="none" w:sz="0" w:space="0" w:color="auto"/>
        <w:left w:val="none" w:sz="0" w:space="0" w:color="auto"/>
        <w:bottom w:val="none" w:sz="0" w:space="0" w:color="auto"/>
        <w:right w:val="none" w:sz="0" w:space="0" w:color="auto"/>
      </w:divBdr>
    </w:div>
    <w:div w:id="1420559934">
      <w:bodyDiv w:val="1"/>
      <w:marLeft w:val="0"/>
      <w:marRight w:val="0"/>
      <w:marTop w:val="0"/>
      <w:marBottom w:val="0"/>
      <w:divBdr>
        <w:top w:val="none" w:sz="0" w:space="0" w:color="auto"/>
        <w:left w:val="none" w:sz="0" w:space="0" w:color="auto"/>
        <w:bottom w:val="none" w:sz="0" w:space="0" w:color="auto"/>
        <w:right w:val="none" w:sz="0" w:space="0" w:color="auto"/>
      </w:divBdr>
    </w:div>
    <w:div w:id="1445231928">
      <w:bodyDiv w:val="1"/>
      <w:marLeft w:val="0"/>
      <w:marRight w:val="0"/>
      <w:marTop w:val="0"/>
      <w:marBottom w:val="0"/>
      <w:divBdr>
        <w:top w:val="none" w:sz="0" w:space="0" w:color="auto"/>
        <w:left w:val="none" w:sz="0" w:space="0" w:color="auto"/>
        <w:bottom w:val="none" w:sz="0" w:space="0" w:color="auto"/>
        <w:right w:val="none" w:sz="0" w:space="0" w:color="auto"/>
      </w:divBdr>
    </w:div>
    <w:div w:id="1451709028">
      <w:bodyDiv w:val="1"/>
      <w:marLeft w:val="0"/>
      <w:marRight w:val="0"/>
      <w:marTop w:val="0"/>
      <w:marBottom w:val="0"/>
      <w:divBdr>
        <w:top w:val="none" w:sz="0" w:space="0" w:color="auto"/>
        <w:left w:val="none" w:sz="0" w:space="0" w:color="auto"/>
        <w:bottom w:val="none" w:sz="0" w:space="0" w:color="auto"/>
        <w:right w:val="none" w:sz="0" w:space="0" w:color="auto"/>
      </w:divBdr>
    </w:div>
    <w:div w:id="1544368595">
      <w:bodyDiv w:val="1"/>
      <w:marLeft w:val="0"/>
      <w:marRight w:val="0"/>
      <w:marTop w:val="0"/>
      <w:marBottom w:val="0"/>
      <w:divBdr>
        <w:top w:val="none" w:sz="0" w:space="0" w:color="auto"/>
        <w:left w:val="none" w:sz="0" w:space="0" w:color="auto"/>
        <w:bottom w:val="none" w:sz="0" w:space="0" w:color="auto"/>
        <w:right w:val="none" w:sz="0" w:space="0" w:color="auto"/>
      </w:divBdr>
    </w:div>
    <w:div w:id="1702437964">
      <w:bodyDiv w:val="1"/>
      <w:marLeft w:val="0"/>
      <w:marRight w:val="0"/>
      <w:marTop w:val="0"/>
      <w:marBottom w:val="0"/>
      <w:divBdr>
        <w:top w:val="none" w:sz="0" w:space="0" w:color="auto"/>
        <w:left w:val="none" w:sz="0" w:space="0" w:color="auto"/>
        <w:bottom w:val="none" w:sz="0" w:space="0" w:color="auto"/>
        <w:right w:val="none" w:sz="0" w:space="0" w:color="auto"/>
      </w:divBdr>
    </w:div>
    <w:div w:id="1780829366">
      <w:bodyDiv w:val="1"/>
      <w:marLeft w:val="0"/>
      <w:marRight w:val="0"/>
      <w:marTop w:val="0"/>
      <w:marBottom w:val="0"/>
      <w:divBdr>
        <w:top w:val="none" w:sz="0" w:space="0" w:color="auto"/>
        <w:left w:val="none" w:sz="0" w:space="0" w:color="auto"/>
        <w:bottom w:val="none" w:sz="0" w:space="0" w:color="auto"/>
        <w:right w:val="none" w:sz="0" w:space="0" w:color="auto"/>
      </w:divBdr>
    </w:div>
    <w:div w:id="2095349493">
      <w:bodyDiv w:val="1"/>
      <w:marLeft w:val="0"/>
      <w:marRight w:val="0"/>
      <w:marTop w:val="0"/>
      <w:marBottom w:val="0"/>
      <w:divBdr>
        <w:top w:val="none" w:sz="0" w:space="0" w:color="auto"/>
        <w:left w:val="none" w:sz="0" w:space="0" w:color="auto"/>
        <w:bottom w:val="none" w:sz="0" w:space="0" w:color="auto"/>
        <w:right w:val="none" w:sz="0" w:space="0" w:color="auto"/>
      </w:divBdr>
    </w:div>
    <w:div w:id="212869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19</Pages>
  <Words>5973</Words>
  <Characters>34047</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stephen</dc:creator>
  <cp:keywords/>
  <cp:lastModifiedBy>Editor-23</cp:lastModifiedBy>
  <cp:revision>15</cp:revision>
  <dcterms:created xsi:type="dcterms:W3CDTF">2024-05-05T16:53:00Z</dcterms:created>
  <dcterms:modified xsi:type="dcterms:W3CDTF">2024-05-08T06:50:00Z</dcterms:modified>
</cp:coreProperties>
</file>