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17427" w14:textId="28F33772" w:rsidR="00735550" w:rsidRDefault="00341A6B" w:rsidP="002442D5">
      <w:pPr>
        <w:pBdr>
          <w:top w:val="nil"/>
          <w:left w:val="nil"/>
          <w:bottom w:val="nil"/>
          <w:right w:val="nil"/>
          <w:between w:val="nil"/>
        </w:pBdr>
        <w:spacing w:after="113"/>
        <w:jc w:val="center"/>
        <w:rPr>
          <w:b/>
          <w:color w:val="000000"/>
          <w:sz w:val="28"/>
          <w:szCs w:val="28"/>
        </w:rPr>
      </w:pPr>
      <w:r>
        <w:rPr>
          <w:b/>
          <w:color w:val="000000"/>
          <w:sz w:val="28"/>
          <w:szCs w:val="28"/>
        </w:rPr>
        <w:t>Malaria v</w:t>
      </w:r>
      <w:r w:rsidRPr="00341A6B">
        <w:rPr>
          <w:b/>
          <w:color w:val="000000"/>
          <w:sz w:val="28"/>
          <w:szCs w:val="28"/>
        </w:rPr>
        <w:t xml:space="preserve">accines targeting </w:t>
      </w:r>
      <w:r>
        <w:rPr>
          <w:b/>
          <w:color w:val="000000"/>
          <w:sz w:val="28"/>
          <w:szCs w:val="28"/>
        </w:rPr>
        <w:t>Pfs25</w:t>
      </w:r>
      <w:r w:rsidRPr="00341A6B">
        <w:rPr>
          <w:b/>
          <w:color w:val="000000"/>
          <w:sz w:val="28"/>
          <w:szCs w:val="28"/>
        </w:rPr>
        <w:t xml:space="preserve"> antigen in </w:t>
      </w:r>
      <w:r>
        <w:rPr>
          <w:b/>
          <w:color w:val="000000"/>
          <w:sz w:val="28"/>
          <w:szCs w:val="28"/>
        </w:rPr>
        <w:t xml:space="preserve">parasite </w:t>
      </w:r>
      <w:r w:rsidRPr="00341A6B">
        <w:rPr>
          <w:b/>
          <w:color w:val="000000"/>
          <w:sz w:val="28"/>
          <w:szCs w:val="28"/>
        </w:rPr>
        <w:t>mosquito stages</w:t>
      </w:r>
      <w:r w:rsidR="004C4287" w:rsidRPr="00341A6B">
        <w:rPr>
          <w:b/>
          <w:color w:val="000000"/>
          <w:sz w:val="28"/>
          <w:szCs w:val="28"/>
        </w:rPr>
        <w:t xml:space="preserve"> </w:t>
      </w:r>
      <w:r w:rsidRPr="00341A6B">
        <w:rPr>
          <w:b/>
          <w:color w:val="000000"/>
          <w:sz w:val="28"/>
          <w:szCs w:val="28"/>
        </w:rPr>
        <w:t>to block transmission</w:t>
      </w:r>
    </w:p>
    <w:p w14:paraId="45F3762E" w14:textId="77777777" w:rsidR="00341A6B" w:rsidRPr="00341A6B" w:rsidRDefault="00341A6B" w:rsidP="002442D5">
      <w:pPr>
        <w:pBdr>
          <w:top w:val="nil"/>
          <w:left w:val="nil"/>
          <w:bottom w:val="nil"/>
          <w:right w:val="nil"/>
          <w:between w:val="nil"/>
        </w:pBdr>
        <w:spacing w:after="113"/>
        <w:jc w:val="center"/>
        <w:rPr>
          <w:b/>
          <w:color w:val="000000"/>
          <w:sz w:val="28"/>
          <w:szCs w:val="28"/>
        </w:rPr>
      </w:pPr>
    </w:p>
    <w:p w14:paraId="535CB470" w14:textId="77777777" w:rsidR="00735550" w:rsidRDefault="00735550" w:rsidP="002442D5">
      <w:pPr>
        <w:pBdr>
          <w:top w:val="nil"/>
          <w:left w:val="nil"/>
          <w:bottom w:val="nil"/>
          <w:right w:val="nil"/>
          <w:between w:val="nil"/>
        </w:pBdr>
        <w:spacing w:after="240"/>
        <w:rPr>
          <w:color w:val="000000"/>
        </w:rPr>
      </w:pPr>
    </w:p>
    <w:p w14:paraId="4A85FB38" w14:textId="77777777" w:rsidR="00735550" w:rsidRPr="00735550" w:rsidRDefault="00000000" w:rsidP="002442D5">
      <w:pPr>
        <w:spacing w:after="240"/>
        <w:jc w:val="both"/>
        <w:rPr>
          <w:rFonts w:ascii="Times New Roman" w:hAnsi="Times New Roman" w:cs="Times New Roman"/>
        </w:rPr>
      </w:pPr>
      <w:r w:rsidRPr="00735550">
        <w:rPr>
          <w:rFonts w:ascii="Times New Roman" w:hAnsi="Times New Roman" w:cs="Times New Roman"/>
          <w:b/>
        </w:rPr>
        <w:t>Abstract</w:t>
      </w:r>
      <w:r w:rsidRPr="00735550">
        <w:rPr>
          <w:rFonts w:ascii="Times New Roman" w:hAnsi="Times New Roman" w:cs="Times New Roman"/>
        </w:rPr>
        <w:t xml:space="preserve">. </w:t>
      </w:r>
    </w:p>
    <w:p w14:paraId="040E86E3" w14:textId="3084FB13" w:rsidR="00E2082B" w:rsidRPr="00735550" w:rsidRDefault="00000000" w:rsidP="002442D5">
      <w:pPr>
        <w:spacing w:after="240"/>
        <w:jc w:val="both"/>
        <w:rPr>
          <w:rFonts w:ascii="Times New Roman" w:eastAsia="Times New Roman" w:hAnsi="Times New Roman" w:cs="Times New Roman"/>
        </w:rPr>
      </w:pPr>
      <w:r w:rsidRPr="00735550">
        <w:rPr>
          <w:rFonts w:ascii="Times New Roman" w:eastAsia="Times New Roman" w:hAnsi="Times New Roman" w:cs="Times New Roman"/>
        </w:rPr>
        <w:t xml:space="preserve">Transmission of malaria involves </w:t>
      </w:r>
      <w:r w:rsidRPr="007154ED">
        <w:rPr>
          <w:rFonts w:ascii="Times New Roman" w:eastAsia="Times New Roman" w:hAnsi="Times New Roman" w:cs="Times New Roman"/>
          <w:i/>
          <w:iCs/>
        </w:rPr>
        <w:t>Anopheles</w:t>
      </w:r>
      <w:r w:rsidRPr="00735550">
        <w:rPr>
          <w:rFonts w:ascii="Times New Roman" w:eastAsia="Times New Roman" w:hAnsi="Times New Roman" w:cs="Times New Roman"/>
        </w:rPr>
        <w:t xml:space="preserve"> mosquitoes as the vectors of </w:t>
      </w:r>
      <w:r w:rsidRPr="007154ED">
        <w:rPr>
          <w:rFonts w:ascii="Times New Roman" w:eastAsia="Times New Roman" w:hAnsi="Times New Roman" w:cs="Times New Roman"/>
          <w:i/>
          <w:iCs/>
        </w:rPr>
        <w:t>Plasmodium</w:t>
      </w:r>
      <w:r w:rsidRPr="00735550">
        <w:rPr>
          <w:rFonts w:ascii="Times New Roman" w:eastAsia="Times New Roman" w:hAnsi="Times New Roman" w:cs="Times New Roman"/>
        </w:rPr>
        <w:t xml:space="preserve"> parasite. Malaria eradication program includes the distribution of insecticide-treated bednets. However, the </w:t>
      </w:r>
      <w:r w:rsidRPr="007154ED">
        <w:rPr>
          <w:rFonts w:ascii="Times New Roman" w:eastAsia="Times New Roman" w:hAnsi="Times New Roman" w:cs="Times New Roman"/>
          <w:i/>
          <w:iCs/>
        </w:rPr>
        <w:t>Anopheles</w:t>
      </w:r>
      <w:r w:rsidRPr="00735550">
        <w:rPr>
          <w:rFonts w:ascii="Times New Roman" w:eastAsia="Times New Roman" w:hAnsi="Times New Roman" w:cs="Times New Roman"/>
        </w:rPr>
        <w:t xml:space="preserve"> mosquitoes have developed insecticide resistance hence it is necessary to find other modalities to eradicate the disease. Because the parasites undergo several stages in the mosquito midgut before developing into infective stages that migrate to the salivary gland, it is of interest to target the mosquito stages in a vaccination to block the transmission. Human vaccination with the antigen of the mosquito stages may induce production of specific antibodies against the stages that might be transferred into mosquito during blood meal, binding with the antigen of the mosquito stages in the midgut and </w:t>
      </w:r>
      <w:r w:rsidR="00341A6B">
        <w:rPr>
          <w:rFonts w:ascii="Times New Roman" w:eastAsia="Times New Roman" w:hAnsi="Times New Roman" w:cs="Times New Roman"/>
        </w:rPr>
        <w:t>subsequently</w:t>
      </w:r>
      <w:r w:rsidRPr="00735550">
        <w:rPr>
          <w:rFonts w:ascii="Times New Roman" w:eastAsia="Times New Roman" w:hAnsi="Times New Roman" w:cs="Times New Roman"/>
        </w:rPr>
        <w:t xml:space="preserve"> disrupt the development of the parasite. Such vaccine is called transmission blocking vaccine (TBV). An effective TBV should induce high titer of antibody for a long time. One of the leading antigens is Pfs25. Here we review the update of TBV development targeting</w:t>
      </w:r>
      <w:r w:rsidRPr="00735550">
        <w:rPr>
          <w:rFonts w:ascii="Times New Roman" w:eastAsia="Times New Roman" w:hAnsi="Times New Roman" w:cs="Times New Roman"/>
          <w:i/>
        </w:rPr>
        <w:t xml:space="preserve"> </w:t>
      </w:r>
      <w:r w:rsidRPr="00735550">
        <w:rPr>
          <w:rFonts w:ascii="Times New Roman" w:eastAsia="Times New Roman" w:hAnsi="Times New Roman" w:cs="Times New Roman"/>
        </w:rPr>
        <w:t>Pfs25, advances in the transmission blocking assay, and challenges in the development of TBVs.</w:t>
      </w:r>
    </w:p>
    <w:p w14:paraId="3C596737" w14:textId="77777777" w:rsidR="00E2082B" w:rsidRPr="00735550" w:rsidRDefault="00000000" w:rsidP="002442D5">
      <w:pPr>
        <w:spacing w:after="240"/>
        <w:rPr>
          <w:rFonts w:ascii="Times New Roman" w:eastAsia="Times New Roman" w:hAnsi="Times New Roman" w:cs="Times New Roman"/>
          <w:i/>
        </w:rPr>
      </w:pPr>
      <w:r w:rsidRPr="00735550">
        <w:rPr>
          <w:rFonts w:ascii="Times New Roman" w:eastAsia="Times New Roman" w:hAnsi="Times New Roman" w:cs="Times New Roman"/>
          <w:b/>
          <w:bCs/>
          <w:i/>
        </w:rPr>
        <w:t>Keywords</w:t>
      </w:r>
      <w:r w:rsidRPr="00735550">
        <w:rPr>
          <w:rFonts w:ascii="Times New Roman" w:eastAsia="Times New Roman" w:hAnsi="Times New Roman" w:cs="Times New Roman"/>
          <w:i/>
        </w:rPr>
        <w:t>: TBV, Pfs25, malaria, Plasmodium, mosquito stages, TBA</w:t>
      </w:r>
    </w:p>
    <w:p w14:paraId="4CD97E06" w14:textId="104CEFBE" w:rsidR="00E2082B" w:rsidRPr="00BC31DD" w:rsidRDefault="00000000" w:rsidP="002442D5">
      <w:pPr>
        <w:pStyle w:val="ListParagraph"/>
        <w:numPr>
          <w:ilvl w:val="0"/>
          <w:numId w:val="5"/>
        </w:numPr>
        <w:pBdr>
          <w:top w:val="nil"/>
          <w:left w:val="nil"/>
          <w:bottom w:val="nil"/>
          <w:right w:val="nil"/>
          <w:between w:val="nil"/>
        </w:pBdr>
        <w:spacing w:before="240"/>
        <w:ind w:left="284" w:hanging="284"/>
        <w:jc w:val="both"/>
        <w:rPr>
          <w:b/>
          <w:color w:val="000000"/>
        </w:rPr>
      </w:pPr>
      <w:r w:rsidRPr="00BC31DD">
        <w:rPr>
          <w:b/>
          <w:color w:val="000000"/>
        </w:rPr>
        <w:t>Introduction</w:t>
      </w:r>
    </w:p>
    <w:p w14:paraId="4EC48C3D" w14:textId="32140E9D" w:rsidR="00E2082B" w:rsidRDefault="00000000" w:rsidP="002442D5">
      <w:pPr>
        <w:pBdr>
          <w:top w:val="nil"/>
          <w:left w:val="nil"/>
          <w:bottom w:val="nil"/>
          <w:right w:val="nil"/>
          <w:between w:val="nil"/>
        </w:pBdr>
        <w:jc w:val="both"/>
        <w:rPr>
          <w:color w:val="000000"/>
        </w:rPr>
      </w:pPr>
      <w:r>
        <w:rPr>
          <w:rFonts w:ascii="Times New Roman" w:eastAsia="Times New Roman" w:hAnsi="Times New Roman" w:cs="Times New Roman"/>
          <w:color w:val="000000"/>
        </w:rPr>
        <w:t xml:space="preserve">Malaria eradication has been a long-term goal with many challenges to face. Several strategies have been employed such as deployment of artemisinin-based therapy, distribution of insecticide-treated bednets, and vector control measures but there is no significant change in the number of cases and deaths in the last few years. Based on the latest WHO malaria report 2019, the number of cases worldwide is still around 230 million with estimated deaths of 400000 per year </w:t>
      </w:r>
      <w:r w:rsidR="00BC31DD">
        <w:rPr>
          <w:rFonts w:ascii="Times New Roman" w:eastAsia="Times New Roman" w:hAnsi="Times New Roman" w:cs="Times New Roman"/>
          <w:color w:val="000000"/>
        </w:rPr>
        <w:t>[1]</w:t>
      </w:r>
      <w:r>
        <w:rPr>
          <w:rFonts w:ascii="Times New Roman" w:eastAsia="Times New Roman" w:hAnsi="Times New Roman" w:cs="Times New Roman"/>
          <w:color w:val="000000"/>
        </w:rPr>
        <w:t>.</w:t>
      </w:r>
    </w:p>
    <w:p w14:paraId="6544D4C1" w14:textId="5244F988" w:rsidR="00E2082B" w:rsidRDefault="00000000" w:rsidP="002442D5">
      <w:pPr>
        <w:ind w:firstLine="284"/>
        <w:jc w:val="both"/>
        <w:rPr>
          <w:rFonts w:ascii="Times New Roman" w:eastAsia="Times New Roman" w:hAnsi="Times New Roman" w:cs="Times New Roman"/>
          <w:sz w:val="24"/>
          <w:szCs w:val="24"/>
        </w:rPr>
      </w:pPr>
      <w:r>
        <w:rPr>
          <w:rFonts w:ascii="Times New Roman" w:eastAsia="Times New Roman" w:hAnsi="Times New Roman" w:cs="Times New Roman"/>
        </w:rPr>
        <w:t xml:space="preserve">Therefore, a novel </w:t>
      </w:r>
      <w:r w:rsidR="00341A6B">
        <w:rPr>
          <w:rFonts w:ascii="Times New Roman" w:eastAsia="Times New Roman" w:hAnsi="Times New Roman" w:cs="Times New Roman"/>
        </w:rPr>
        <w:t>modality</w:t>
      </w:r>
      <w:r w:rsidR="00FD048B">
        <w:rPr>
          <w:rFonts w:ascii="Times New Roman" w:eastAsia="Times New Roman" w:hAnsi="Times New Roman" w:cs="Times New Roman"/>
        </w:rPr>
        <w:t xml:space="preserve"> for transmission blocking</w:t>
      </w:r>
      <w:r>
        <w:rPr>
          <w:rFonts w:ascii="Times New Roman" w:eastAsia="Times New Roman" w:hAnsi="Times New Roman" w:cs="Times New Roman"/>
        </w:rPr>
        <w:t xml:space="preserve"> such as vaccination should be </w:t>
      </w:r>
      <w:r w:rsidR="00FD048B">
        <w:rPr>
          <w:rFonts w:ascii="Times New Roman" w:eastAsia="Times New Roman" w:hAnsi="Times New Roman" w:cs="Times New Roman"/>
        </w:rPr>
        <w:t>developed</w:t>
      </w:r>
      <w:r>
        <w:rPr>
          <w:rFonts w:ascii="Times New Roman" w:eastAsia="Times New Roman" w:hAnsi="Times New Roman" w:cs="Times New Roman"/>
        </w:rPr>
        <w:t xml:space="preserve">. Since malaria parasite life cycle involves two hosts, the human and mosquitoes, vaccination may target the parasite stages either in human or in the mosquitoes.  Targeting the mosquito stages may inhibit the growth of the parasite in the mosquitoes which eventually block the transmission into human. Such vaccines are called transmission blocking vaccine (TBV) </w:t>
      </w:r>
      <w:r w:rsidR="00BC31DD">
        <w:rPr>
          <w:rFonts w:ascii="Times New Roman" w:eastAsia="Times New Roman" w:hAnsi="Times New Roman" w:cs="Times New Roman"/>
          <w:color w:val="000000"/>
        </w:rPr>
        <w:t>[2].</w:t>
      </w:r>
    </w:p>
    <w:p w14:paraId="1CA2CCBA" w14:textId="77777777" w:rsidR="00E2082B" w:rsidRDefault="00000000" w:rsidP="002442D5">
      <w:pPr>
        <w:pBdr>
          <w:top w:val="nil"/>
          <w:left w:val="nil"/>
          <w:bottom w:val="nil"/>
          <w:right w:val="nil"/>
          <w:between w:val="nil"/>
        </w:pBdr>
        <w:ind w:firstLine="284"/>
        <w:jc w:val="both"/>
        <w:rPr>
          <w:color w:val="000000"/>
        </w:rPr>
      </w:pPr>
      <w:r>
        <w:rPr>
          <w:rFonts w:ascii="Times New Roman" w:eastAsia="Times New Roman" w:hAnsi="Times New Roman" w:cs="Times New Roman"/>
          <w:color w:val="000000"/>
        </w:rPr>
        <w:t>In this review we will discuss about the update of the development of the TBVs, advances in the transmission blocking assay, and challenges in the development of the TBVs.</w:t>
      </w:r>
    </w:p>
    <w:p w14:paraId="2C94C287" w14:textId="425F65B3" w:rsidR="00E2082B" w:rsidRPr="00BC31DD" w:rsidRDefault="00BC31DD" w:rsidP="002442D5">
      <w:pPr>
        <w:pStyle w:val="ListParagraph"/>
        <w:numPr>
          <w:ilvl w:val="0"/>
          <w:numId w:val="5"/>
        </w:numPr>
        <w:pBdr>
          <w:top w:val="nil"/>
          <w:left w:val="nil"/>
          <w:bottom w:val="nil"/>
          <w:right w:val="nil"/>
          <w:between w:val="nil"/>
        </w:pBdr>
        <w:spacing w:before="240"/>
        <w:ind w:left="284" w:hanging="284"/>
        <w:jc w:val="both"/>
        <w:rPr>
          <w:b/>
          <w:color w:val="000000"/>
        </w:rPr>
      </w:pPr>
      <w:r w:rsidRPr="00BC31DD">
        <w:rPr>
          <w:b/>
          <w:color w:val="000000"/>
        </w:rPr>
        <w:t xml:space="preserve">Transmission </w:t>
      </w:r>
      <w:r>
        <w:rPr>
          <w:b/>
          <w:color w:val="000000"/>
        </w:rPr>
        <w:t>B</w:t>
      </w:r>
      <w:r w:rsidRPr="00BC31DD">
        <w:rPr>
          <w:b/>
          <w:color w:val="000000"/>
        </w:rPr>
        <w:t>locking Vaccine (T</w:t>
      </w:r>
      <w:r w:rsidR="00FD048B">
        <w:rPr>
          <w:b/>
          <w:color w:val="000000"/>
        </w:rPr>
        <w:t>BV</w:t>
      </w:r>
      <w:r w:rsidRPr="00BC31DD">
        <w:rPr>
          <w:b/>
          <w:color w:val="000000"/>
        </w:rPr>
        <w:t>) Targets Mosquito Stages</w:t>
      </w:r>
    </w:p>
    <w:p w14:paraId="714564DE" w14:textId="3120D935" w:rsidR="00E2082B" w:rsidRDefault="00000000" w:rsidP="002442D5">
      <w:pPr>
        <w:jc w:val="both"/>
        <w:rPr>
          <w:color w:val="000000"/>
        </w:rPr>
      </w:pPr>
      <w:r>
        <w:rPr>
          <w:rFonts w:ascii="Times New Roman" w:eastAsia="Times New Roman" w:hAnsi="Times New Roman" w:cs="Times New Roman"/>
          <w:highlight w:val="white"/>
        </w:rPr>
        <w:t xml:space="preserve">The life cycle of </w:t>
      </w:r>
      <w:r>
        <w:rPr>
          <w:rFonts w:ascii="Times New Roman" w:eastAsia="Times New Roman" w:hAnsi="Times New Roman" w:cs="Times New Roman"/>
          <w:i/>
          <w:highlight w:val="white"/>
        </w:rPr>
        <w:t>Plasmodium spp</w:t>
      </w:r>
      <w:r>
        <w:rPr>
          <w:rFonts w:ascii="Times New Roman" w:eastAsia="Times New Roman" w:hAnsi="Times New Roman" w:cs="Times New Roman"/>
          <w:highlight w:val="white"/>
        </w:rPr>
        <w:t xml:space="preserve"> in the mosquitoes starts when a female </w:t>
      </w:r>
      <w:r w:rsidRPr="00BC31DD">
        <w:rPr>
          <w:rFonts w:ascii="Times New Roman" w:eastAsia="Times New Roman" w:hAnsi="Times New Roman" w:cs="Times New Roman"/>
          <w:i/>
          <w:iCs/>
          <w:highlight w:val="white"/>
        </w:rPr>
        <w:t>Anopheles</w:t>
      </w:r>
      <w:r>
        <w:rPr>
          <w:rFonts w:ascii="Times New Roman" w:eastAsia="Times New Roman" w:hAnsi="Times New Roman" w:cs="Times New Roman"/>
          <w:highlight w:val="white"/>
        </w:rPr>
        <w:t xml:space="preserve"> mosquito feeds from an infected human. During the blood meal, </w:t>
      </w:r>
      <w:r w:rsidRPr="00BC31DD">
        <w:rPr>
          <w:rFonts w:ascii="Times New Roman" w:eastAsia="Times New Roman" w:hAnsi="Times New Roman" w:cs="Times New Roman"/>
          <w:i/>
          <w:iCs/>
          <w:highlight w:val="white"/>
        </w:rPr>
        <w:t>Plasmodium</w:t>
      </w:r>
      <w:r>
        <w:rPr>
          <w:rFonts w:ascii="Times New Roman" w:eastAsia="Times New Roman" w:hAnsi="Times New Roman" w:cs="Times New Roman"/>
          <w:highlight w:val="white"/>
        </w:rPr>
        <w:t xml:space="preserve"> gametocytes are taken up by the mosquito. In the mosquito midgut, the macrogametocytes and microgametocytes mature into gametes which will fuse to form the ookinete. The ookinete migrates to the external surface of the stomach and matures into an oocyst that contains up to 10,000 sporozoites in a few days (Fig 1). The sporozoites are then released to the circulation when an oocyst ruptures, reaching the salivary gland where they are ready to be injected into the human when the mosquito takes the next blood meal</w:t>
      </w:r>
      <w:r w:rsidR="00BC31DD">
        <w:rPr>
          <w:rFonts w:ascii="Times New Roman" w:eastAsia="Times New Roman" w:hAnsi="Times New Roman" w:cs="Times New Roman"/>
        </w:rPr>
        <w:t xml:space="preserve"> </w:t>
      </w:r>
      <w:r w:rsidR="00BC31DD">
        <w:rPr>
          <w:rFonts w:ascii="Times New Roman" w:eastAsia="Times New Roman" w:hAnsi="Times New Roman" w:cs="Times New Roman"/>
          <w:color w:val="000000"/>
        </w:rPr>
        <w:t>[3</w:t>
      </w:r>
      <w:r w:rsidR="003B0412">
        <w:rPr>
          <w:rFonts w:ascii="Times New Roman" w:eastAsia="Times New Roman" w:hAnsi="Times New Roman" w:cs="Times New Roman"/>
          <w:color w:val="000000"/>
        </w:rPr>
        <w:t>,4</w:t>
      </w:r>
      <w:r w:rsidR="00BC31DD">
        <w:rPr>
          <w:rFonts w:ascii="Times New Roman" w:eastAsia="Times New Roman" w:hAnsi="Times New Roman" w:cs="Times New Roman"/>
          <w:color w:val="000000"/>
        </w:rPr>
        <w:t>].</w:t>
      </w:r>
    </w:p>
    <w:p w14:paraId="0E3B7B8F" w14:textId="77777777" w:rsidR="00E2082B" w:rsidRDefault="00000000" w:rsidP="00C1129A">
      <w:pPr>
        <w:pBdr>
          <w:top w:val="nil"/>
          <w:left w:val="nil"/>
          <w:bottom w:val="nil"/>
          <w:right w:val="nil"/>
          <w:between w:val="nil"/>
        </w:pBdr>
        <w:ind w:firstLine="284"/>
        <w:jc w:val="center"/>
        <w:rPr>
          <w:color w:val="000000"/>
        </w:rPr>
      </w:pPr>
      <w:r>
        <w:rPr>
          <w:noProof/>
          <w:color w:val="000000"/>
        </w:rPr>
        <w:drawing>
          <wp:inline distT="0" distB="0" distL="0" distR="0" wp14:anchorId="226B3AAF" wp14:editId="06B709FE">
            <wp:extent cx="4654300" cy="626491"/>
            <wp:effectExtent l="0" t="0" r="0" b="0"/>
            <wp:docPr id="1" name="image1.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hape&#10;&#10;Description automatically generated"/>
                    <pic:cNvPicPr preferRelativeResize="0"/>
                  </pic:nvPicPr>
                  <pic:blipFill>
                    <a:blip r:embed="rId7"/>
                    <a:srcRect/>
                    <a:stretch>
                      <a:fillRect/>
                    </a:stretch>
                  </pic:blipFill>
                  <pic:spPr>
                    <a:xfrm>
                      <a:off x="0" y="0"/>
                      <a:ext cx="4654300" cy="626491"/>
                    </a:xfrm>
                    <a:prstGeom prst="rect">
                      <a:avLst/>
                    </a:prstGeom>
                    <a:ln/>
                  </pic:spPr>
                </pic:pic>
              </a:graphicData>
            </a:graphic>
          </wp:inline>
        </w:drawing>
      </w:r>
    </w:p>
    <w:p w14:paraId="1AFFC770" w14:textId="77777777" w:rsidR="00E2082B" w:rsidRDefault="00E2082B" w:rsidP="002442D5">
      <w:pPr>
        <w:pBdr>
          <w:top w:val="nil"/>
          <w:left w:val="nil"/>
          <w:bottom w:val="nil"/>
          <w:right w:val="nil"/>
          <w:between w:val="nil"/>
        </w:pBdr>
        <w:ind w:firstLine="284"/>
        <w:jc w:val="center"/>
        <w:rPr>
          <w:color w:val="000000"/>
        </w:rPr>
      </w:pPr>
    </w:p>
    <w:p w14:paraId="6192C6C9" w14:textId="5AC6B3A3" w:rsidR="00E2082B" w:rsidRDefault="00000000" w:rsidP="002442D5">
      <w:pPr>
        <w:pBdr>
          <w:top w:val="nil"/>
          <w:left w:val="nil"/>
          <w:bottom w:val="nil"/>
          <w:right w:val="nil"/>
          <w:between w:val="nil"/>
        </w:pBdr>
        <w:ind w:left="567" w:hanging="567"/>
        <w:jc w:val="center"/>
        <w:rPr>
          <w:color w:val="000000"/>
        </w:rPr>
      </w:pPr>
      <w:r>
        <w:rPr>
          <w:b/>
          <w:color w:val="000000"/>
        </w:rPr>
        <w:lastRenderedPageBreak/>
        <w:t>Fig 1.</w:t>
      </w:r>
      <w:r>
        <w:rPr>
          <w:color w:val="000000"/>
        </w:rPr>
        <w:t xml:space="preserve"> </w:t>
      </w:r>
      <w:r>
        <w:rPr>
          <w:b/>
          <w:color w:val="000000"/>
        </w:rPr>
        <w:t>The development of malaria parasite in the mosquitoes</w:t>
      </w:r>
      <w:r>
        <w:rPr>
          <w:color w:val="000000"/>
        </w:rPr>
        <w:t>. The gametocytes are taken up from an infected human during blood meal</w:t>
      </w:r>
      <w:r w:rsidR="00FD048B">
        <w:rPr>
          <w:color w:val="000000"/>
        </w:rPr>
        <w:t xml:space="preserve"> which develop into gametes in mosquito midgut</w:t>
      </w:r>
      <w:r>
        <w:rPr>
          <w:color w:val="000000"/>
        </w:rPr>
        <w:t>. Final stages are sporozoites that are injected into human skin during another blood meal.</w:t>
      </w:r>
    </w:p>
    <w:p w14:paraId="56E10893" w14:textId="77777777" w:rsidR="00E2082B" w:rsidRDefault="00E2082B" w:rsidP="002442D5">
      <w:pPr>
        <w:pBdr>
          <w:top w:val="nil"/>
          <w:left w:val="nil"/>
          <w:bottom w:val="nil"/>
          <w:right w:val="nil"/>
          <w:between w:val="nil"/>
        </w:pBdr>
        <w:ind w:firstLine="284"/>
        <w:jc w:val="both"/>
        <w:rPr>
          <w:color w:val="000000"/>
        </w:rPr>
      </w:pPr>
    </w:p>
    <w:p w14:paraId="1212DD66" w14:textId="62295C5C" w:rsidR="00E2082B" w:rsidRDefault="00000000" w:rsidP="002442D5">
      <w:pPr>
        <w:ind w:firstLine="284"/>
        <w:jc w:val="both"/>
        <w:rPr>
          <w:rFonts w:ascii="Times New Roman" w:eastAsia="Times New Roman" w:hAnsi="Times New Roman" w:cs="Times New Roman"/>
        </w:rPr>
      </w:pPr>
      <w:r>
        <w:t>The surface proteins of the mosquito stages have been targeted for development of TBVs, such as Pfs25, Pfs28, Pfs48/45 and Pfs230</w:t>
      </w:r>
      <w:r w:rsidR="00B147C9">
        <w:t xml:space="preserve"> </w:t>
      </w:r>
      <w:r w:rsidR="00B147C9">
        <w:rPr>
          <w:rFonts w:ascii="Times New Roman" w:eastAsia="Times New Roman" w:hAnsi="Times New Roman" w:cs="Times New Roman"/>
          <w:color w:val="000000"/>
        </w:rPr>
        <w:t xml:space="preserve">[2]. </w:t>
      </w:r>
      <w:r>
        <w:t>When these antigens are injected into human body, they induce</w:t>
      </w:r>
      <w:r>
        <w:rPr>
          <w:rFonts w:ascii="Times New Roman" w:eastAsia="Times New Roman" w:hAnsi="Times New Roman" w:cs="Times New Roman"/>
        </w:rPr>
        <w:t xml:space="preserve"> antibodies in the blood that will be ingested into mosquito during a blood meal and subsequently disrupt the development of the parasite. Inducing antibodies against the stages in the mosquitoes would be more advantageous than antibodies against the erythrocytic stages because the number of parasites in the midgut is far lower than the number of parasites in human circulation. Thus, the higher the titer of the induced antibody, the more efficacious the TBV is to inhibit the formation of the mosquito stages</w:t>
      </w:r>
      <w:r w:rsidR="00B147C9">
        <w:rPr>
          <w:rFonts w:ascii="Times New Roman" w:eastAsia="Times New Roman" w:hAnsi="Times New Roman" w:cs="Times New Roman"/>
        </w:rPr>
        <w:t xml:space="preserve"> </w:t>
      </w:r>
      <w:r w:rsidR="00B147C9">
        <w:rPr>
          <w:rFonts w:ascii="Times New Roman" w:eastAsia="Times New Roman" w:hAnsi="Times New Roman" w:cs="Times New Roman"/>
          <w:color w:val="000000"/>
        </w:rPr>
        <w:t>[</w:t>
      </w:r>
      <w:r w:rsidR="0045163B">
        <w:rPr>
          <w:rFonts w:ascii="Times New Roman" w:eastAsia="Times New Roman" w:hAnsi="Times New Roman" w:cs="Times New Roman"/>
          <w:color w:val="000000"/>
        </w:rPr>
        <w:t>5</w:t>
      </w:r>
      <w:r w:rsidR="00B147C9">
        <w:rPr>
          <w:rFonts w:ascii="Times New Roman" w:eastAsia="Times New Roman" w:hAnsi="Times New Roman" w:cs="Times New Roman"/>
          <w:color w:val="000000"/>
        </w:rPr>
        <w:t>].</w:t>
      </w:r>
    </w:p>
    <w:p w14:paraId="57AE80CA" w14:textId="114FC4F4" w:rsidR="003B0412" w:rsidRDefault="00000000" w:rsidP="002442D5">
      <w:pPr>
        <w:ind w:firstLine="284"/>
        <w:jc w:val="both"/>
        <w:rPr>
          <w:rFonts w:ascii="Times New Roman" w:eastAsia="Times New Roman" w:hAnsi="Times New Roman" w:cs="Times New Roman"/>
        </w:rPr>
      </w:pPr>
      <w:r>
        <w:rPr>
          <w:rFonts w:ascii="Times New Roman" w:eastAsia="Times New Roman" w:hAnsi="Times New Roman" w:cs="Times New Roman"/>
        </w:rPr>
        <w:t>Among all vaccine targets, Pfs25 has been the leading candidate showing promising results from several animal studies in different laboratories and has entered clinical trials</w:t>
      </w:r>
      <w:r w:rsidR="003B0412">
        <w:rPr>
          <w:rFonts w:ascii="Times New Roman" w:eastAsia="Times New Roman" w:hAnsi="Times New Roman" w:cs="Times New Roman"/>
        </w:rPr>
        <w:t xml:space="preserve"> </w:t>
      </w:r>
      <w:r w:rsidR="003B0412">
        <w:rPr>
          <w:rFonts w:ascii="Times New Roman" w:eastAsia="Times New Roman" w:hAnsi="Times New Roman" w:cs="Times New Roman"/>
          <w:color w:val="000000"/>
        </w:rPr>
        <w:t>[6,7].</w:t>
      </w:r>
      <w:r>
        <w:rPr>
          <w:rFonts w:ascii="Times New Roman" w:eastAsia="Times New Roman" w:hAnsi="Times New Roman" w:cs="Times New Roman"/>
        </w:rPr>
        <w:t xml:space="preserve"> </w:t>
      </w:r>
      <w:r w:rsidR="003B0412" w:rsidRPr="003B0412">
        <w:rPr>
          <w:rFonts w:ascii="Times New Roman" w:eastAsia="Times New Roman" w:hAnsi="Times New Roman" w:cs="Times New Roman"/>
        </w:rPr>
        <w:t>Pfs25 is a cysteine-rich 217-amino acid composed of four tandem epidermal growth factor (EGF)-like domains and encoded by a 0.65-kb gene. Pfs25 is predicted to be a 25-kDa glycosylphosphatidylinositol (GPI)-anchored protein belonging to a 13-member P25 family of proteins [</w:t>
      </w:r>
      <w:r w:rsidR="003B0412">
        <w:rPr>
          <w:rFonts w:ascii="Times New Roman" w:eastAsia="Times New Roman" w:hAnsi="Times New Roman" w:cs="Times New Roman"/>
        </w:rPr>
        <w:t>8</w:t>
      </w:r>
      <w:r w:rsidR="0035540A">
        <w:rPr>
          <w:rFonts w:ascii="Times New Roman" w:eastAsia="Times New Roman" w:hAnsi="Times New Roman" w:cs="Times New Roman"/>
        </w:rPr>
        <w:t>,9</w:t>
      </w:r>
      <w:r w:rsidR="003B0412" w:rsidRPr="003B0412">
        <w:rPr>
          <w:rFonts w:ascii="Times New Roman" w:eastAsia="Times New Roman" w:hAnsi="Times New Roman" w:cs="Times New Roman"/>
        </w:rPr>
        <w:t>]. The protein is involved in ookinete formation, survival in the mosquito midgut, and a possible role in parasite traversal of the mid-gut epithelium [</w:t>
      </w:r>
      <w:r w:rsidR="0035540A">
        <w:rPr>
          <w:rFonts w:ascii="Times New Roman" w:eastAsia="Times New Roman" w:hAnsi="Times New Roman" w:cs="Times New Roman"/>
        </w:rPr>
        <w:t>10</w:t>
      </w:r>
      <w:r w:rsidR="007931E3">
        <w:rPr>
          <w:rFonts w:ascii="Times New Roman" w:eastAsia="Times New Roman" w:hAnsi="Times New Roman" w:cs="Times New Roman"/>
        </w:rPr>
        <w:t>,1</w:t>
      </w:r>
      <w:r w:rsidR="0035540A">
        <w:rPr>
          <w:rFonts w:ascii="Times New Roman" w:eastAsia="Times New Roman" w:hAnsi="Times New Roman" w:cs="Times New Roman"/>
        </w:rPr>
        <w:t>1</w:t>
      </w:r>
      <w:r w:rsidR="003B0412" w:rsidRPr="003B0412">
        <w:rPr>
          <w:rFonts w:ascii="Times New Roman" w:eastAsia="Times New Roman" w:hAnsi="Times New Roman" w:cs="Times New Roman"/>
        </w:rPr>
        <w:t xml:space="preserve">]. Based on structural analyses of the </w:t>
      </w:r>
      <w:r w:rsidR="003B0412" w:rsidRPr="00AC57D0">
        <w:rPr>
          <w:rFonts w:ascii="Times New Roman" w:eastAsia="Times New Roman" w:hAnsi="Times New Roman" w:cs="Times New Roman"/>
          <w:i/>
          <w:iCs/>
        </w:rPr>
        <w:t>P. vivax</w:t>
      </w:r>
      <w:r w:rsidR="003B0412" w:rsidRPr="003B0412">
        <w:rPr>
          <w:rFonts w:ascii="Times New Roman" w:eastAsia="Times New Roman" w:hAnsi="Times New Roman" w:cs="Times New Roman"/>
        </w:rPr>
        <w:t xml:space="preserve"> ortholog Pvs25, the Pfs25 molecule is thought to be triangular and flat, and extensively expressed on the ookinete surface, forming a protective interlocking sheet [</w:t>
      </w:r>
      <w:r w:rsidR="0035540A">
        <w:rPr>
          <w:rFonts w:ascii="Times New Roman" w:eastAsia="Times New Roman" w:hAnsi="Times New Roman" w:cs="Times New Roman"/>
        </w:rPr>
        <w:t>9,</w:t>
      </w:r>
      <w:r w:rsidR="00AC57D0">
        <w:rPr>
          <w:rFonts w:ascii="Times New Roman" w:eastAsia="Times New Roman" w:hAnsi="Times New Roman" w:cs="Times New Roman"/>
        </w:rPr>
        <w:t>1</w:t>
      </w:r>
      <w:r w:rsidR="0035540A">
        <w:rPr>
          <w:rFonts w:ascii="Times New Roman" w:eastAsia="Times New Roman" w:hAnsi="Times New Roman" w:cs="Times New Roman"/>
        </w:rPr>
        <w:t>2</w:t>
      </w:r>
      <w:r w:rsidR="003B0412" w:rsidRPr="003B0412">
        <w:rPr>
          <w:rFonts w:ascii="Times New Roman" w:eastAsia="Times New Roman" w:hAnsi="Times New Roman" w:cs="Times New Roman"/>
        </w:rPr>
        <w:t>,</w:t>
      </w:r>
      <w:r w:rsidR="00AC57D0">
        <w:rPr>
          <w:rFonts w:ascii="Times New Roman" w:eastAsia="Times New Roman" w:hAnsi="Times New Roman" w:cs="Times New Roman"/>
        </w:rPr>
        <w:t>1</w:t>
      </w:r>
      <w:r w:rsidR="0035540A">
        <w:rPr>
          <w:rFonts w:ascii="Times New Roman" w:eastAsia="Times New Roman" w:hAnsi="Times New Roman" w:cs="Times New Roman"/>
        </w:rPr>
        <w:t>3</w:t>
      </w:r>
      <w:r w:rsidR="003B0412" w:rsidRPr="003B0412">
        <w:rPr>
          <w:rFonts w:ascii="Times New Roman" w:eastAsia="Times New Roman" w:hAnsi="Times New Roman" w:cs="Times New Roman"/>
        </w:rPr>
        <w:t>].</w:t>
      </w:r>
      <w:r w:rsidR="00AC57D0">
        <w:rPr>
          <w:rFonts w:ascii="Times New Roman" w:eastAsia="Times New Roman" w:hAnsi="Times New Roman" w:cs="Times New Roman"/>
        </w:rPr>
        <w:t xml:space="preserve"> </w:t>
      </w:r>
      <w:r w:rsidR="003B0412" w:rsidRPr="003B0412">
        <w:rPr>
          <w:rFonts w:ascii="Times New Roman" w:eastAsia="Times New Roman" w:hAnsi="Times New Roman" w:cs="Times New Roman"/>
        </w:rPr>
        <w:t>Below we discuss about several Pfs25-targeting vaccine candidates reported recently.</w:t>
      </w:r>
    </w:p>
    <w:p w14:paraId="31EF7F23" w14:textId="500AA8B9" w:rsidR="006A656C" w:rsidRDefault="006A656C" w:rsidP="00C1129A">
      <w:pPr>
        <w:pStyle w:val="NormalWeb"/>
        <w:jc w:val="center"/>
      </w:pPr>
      <w:r>
        <w:rPr>
          <w:noProof/>
        </w:rPr>
        <w:drawing>
          <wp:inline distT="0" distB="0" distL="0" distR="0" wp14:anchorId="33B7EC42" wp14:editId="6CDC86DD">
            <wp:extent cx="1941341" cy="2571586"/>
            <wp:effectExtent l="0" t="0" r="1905" b="0"/>
            <wp:docPr id="1357270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218" t="7013" r="24805" b="4722"/>
                    <a:stretch/>
                  </pic:blipFill>
                  <pic:spPr bwMode="auto">
                    <a:xfrm>
                      <a:off x="0" y="0"/>
                      <a:ext cx="1956238" cy="2591319"/>
                    </a:xfrm>
                    <a:prstGeom prst="rect">
                      <a:avLst/>
                    </a:prstGeom>
                    <a:noFill/>
                    <a:ln>
                      <a:noFill/>
                    </a:ln>
                    <a:extLst>
                      <a:ext uri="{53640926-AAD7-44D8-BBD7-CCE9431645EC}">
                        <a14:shadowObscured xmlns:a14="http://schemas.microsoft.com/office/drawing/2010/main"/>
                      </a:ext>
                    </a:extLst>
                  </pic:spPr>
                </pic:pic>
              </a:graphicData>
            </a:graphic>
          </wp:inline>
        </w:drawing>
      </w:r>
    </w:p>
    <w:p w14:paraId="0BEE10C0" w14:textId="29130B07" w:rsidR="006A656C" w:rsidRDefault="006A656C" w:rsidP="002442D5">
      <w:pPr>
        <w:ind w:firstLine="284"/>
        <w:jc w:val="both"/>
      </w:pPr>
      <w:r w:rsidRPr="006A656C">
        <w:rPr>
          <w:rFonts w:ascii="Times New Roman" w:eastAsia="Times New Roman" w:hAnsi="Times New Roman" w:cs="Times New Roman"/>
          <w:b/>
          <w:bCs/>
        </w:rPr>
        <w:t>Fig 2. Superposition of site 1a antibody–Pfs25 co-complex crystal structures. Pfs25</w:t>
      </w:r>
      <w:r w:rsidR="0035540A">
        <w:rPr>
          <w:rFonts w:ascii="Times New Roman" w:eastAsia="Times New Roman" w:hAnsi="Times New Roman" w:cs="Times New Roman"/>
          <w:b/>
          <w:bCs/>
        </w:rPr>
        <w:t xml:space="preserve"> is</w:t>
      </w:r>
      <w:r w:rsidRPr="006A656C">
        <w:rPr>
          <w:rFonts w:ascii="Times New Roman" w:eastAsia="Times New Roman" w:hAnsi="Times New Roman" w:cs="Times New Roman"/>
          <w:b/>
          <w:bCs/>
        </w:rPr>
        <w:t xml:space="preserve"> shown as cartoon and colored according to EGF-like domain</w:t>
      </w:r>
      <w:r>
        <w:rPr>
          <w:rFonts w:ascii="Times New Roman" w:eastAsia="Times New Roman" w:hAnsi="Times New Roman" w:cs="Times New Roman"/>
          <w:b/>
          <w:bCs/>
        </w:rPr>
        <w:t xml:space="preserve"> </w:t>
      </w:r>
      <w:r w:rsidRPr="003B0412">
        <w:rPr>
          <w:rFonts w:ascii="Times New Roman" w:eastAsia="Times New Roman" w:hAnsi="Times New Roman" w:cs="Times New Roman"/>
        </w:rPr>
        <w:t>[</w:t>
      </w:r>
      <w:r w:rsidR="0035540A">
        <w:rPr>
          <w:rFonts w:ascii="Times New Roman" w:eastAsia="Times New Roman" w:hAnsi="Times New Roman" w:cs="Times New Roman"/>
        </w:rPr>
        <w:t>9</w:t>
      </w:r>
      <w:r w:rsidRPr="003B0412">
        <w:rPr>
          <w:rFonts w:ascii="Times New Roman" w:eastAsia="Times New Roman" w:hAnsi="Times New Roman" w:cs="Times New Roman"/>
        </w:rPr>
        <w:t>]</w:t>
      </w:r>
      <w:r>
        <w:t>.</w:t>
      </w:r>
    </w:p>
    <w:p w14:paraId="0DDA036F" w14:textId="77777777" w:rsidR="00FD048B" w:rsidRPr="006A656C" w:rsidRDefault="00FD048B" w:rsidP="002442D5">
      <w:pPr>
        <w:ind w:firstLine="284"/>
        <w:jc w:val="both"/>
        <w:rPr>
          <w:rFonts w:ascii="Times New Roman" w:eastAsia="Times New Roman" w:hAnsi="Times New Roman" w:cs="Times New Roman"/>
          <w:b/>
          <w:bCs/>
        </w:rPr>
      </w:pPr>
    </w:p>
    <w:p w14:paraId="20669925" w14:textId="23AA847F" w:rsidR="00E2082B" w:rsidRPr="00C1129A" w:rsidRDefault="00000000" w:rsidP="002442D5">
      <w:pPr>
        <w:pStyle w:val="Heading2"/>
        <w:numPr>
          <w:ilvl w:val="1"/>
          <w:numId w:val="6"/>
        </w:numPr>
        <w:jc w:val="both"/>
        <w:rPr>
          <w:b/>
          <w:bCs/>
          <w:i w:val="0"/>
          <w:iCs/>
        </w:rPr>
      </w:pPr>
      <w:r w:rsidRPr="00C1129A">
        <w:rPr>
          <w:b/>
          <w:bCs/>
          <w:i w:val="0"/>
          <w:iCs/>
        </w:rPr>
        <w:t>Pfs25-EPA</w:t>
      </w:r>
    </w:p>
    <w:p w14:paraId="1B0DE082" w14:textId="1598E663" w:rsidR="00E2082B" w:rsidRDefault="00000000" w:rsidP="002442D5">
      <w:pPr>
        <w:jc w:val="both"/>
      </w:pPr>
      <w:r>
        <w:t xml:space="preserve">This vaccine consists of Pfs25H, a recombinant </w:t>
      </w:r>
      <w:r>
        <w:rPr>
          <w:i/>
        </w:rPr>
        <w:t>Pichia pastoris</w:t>
      </w:r>
      <w:r>
        <w:t xml:space="preserve"> expressed Pfs25 protein with a 6-histidine fusion tag adjuvanted on Alhydrogel</w:t>
      </w:r>
      <w:r w:rsidR="00AC57D0">
        <w:t xml:space="preserve"> </w:t>
      </w:r>
      <w:r w:rsidR="0045163B">
        <w:t xml:space="preserve">(Table 1) </w:t>
      </w:r>
      <w:r w:rsidR="00AC57D0" w:rsidRPr="003B0412">
        <w:rPr>
          <w:rFonts w:ascii="Times New Roman" w:eastAsia="Times New Roman" w:hAnsi="Times New Roman" w:cs="Times New Roman"/>
        </w:rPr>
        <w:t>[</w:t>
      </w:r>
      <w:r w:rsidR="00AC57D0">
        <w:rPr>
          <w:rFonts w:ascii="Times New Roman" w:eastAsia="Times New Roman" w:hAnsi="Times New Roman" w:cs="Times New Roman"/>
        </w:rPr>
        <w:t>1</w:t>
      </w:r>
      <w:r w:rsidR="006A656C">
        <w:rPr>
          <w:rFonts w:ascii="Times New Roman" w:eastAsia="Times New Roman" w:hAnsi="Times New Roman" w:cs="Times New Roman"/>
        </w:rPr>
        <w:t>4</w:t>
      </w:r>
      <w:r w:rsidR="00AC57D0" w:rsidRPr="003B0412">
        <w:rPr>
          <w:rFonts w:ascii="Times New Roman" w:eastAsia="Times New Roman" w:hAnsi="Times New Roman" w:cs="Times New Roman"/>
        </w:rPr>
        <w:t>]</w:t>
      </w:r>
      <w:r>
        <w:t xml:space="preserve">. The antigen was conjugated to </w:t>
      </w:r>
      <w:r>
        <w:rPr>
          <w:highlight w:val="white"/>
        </w:rPr>
        <w:t xml:space="preserve">EPA, a recombinant, detoxified ExoProtein A from </w:t>
      </w:r>
      <w:r>
        <w:rPr>
          <w:i/>
          <w:highlight w:val="white"/>
        </w:rPr>
        <w:t>Pseudomonas aeruginosa</w:t>
      </w:r>
      <w:r>
        <w:rPr>
          <w:highlight w:val="white"/>
        </w:rPr>
        <w:t xml:space="preserve"> to enhance the vaccine immunogenicity</w:t>
      </w:r>
      <w:r>
        <w:t>. The Pfs25-EPA has entered a phase 1 clinical trial but despite the ability to induce antibody titer against Pfs25 with minimal adverse events, the antibody titer reduced to near baseline after one year</w:t>
      </w:r>
      <w:r w:rsidR="0045163B">
        <w:t xml:space="preserve"> </w:t>
      </w:r>
      <w:r w:rsidR="0045163B" w:rsidRPr="003B0412">
        <w:rPr>
          <w:rFonts w:ascii="Times New Roman" w:eastAsia="Times New Roman" w:hAnsi="Times New Roman" w:cs="Times New Roman"/>
        </w:rPr>
        <w:t>[</w:t>
      </w:r>
      <w:r w:rsidR="0045163B">
        <w:rPr>
          <w:rFonts w:ascii="Times New Roman" w:eastAsia="Times New Roman" w:hAnsi="Times New Roman" w:cs="Times New Roman"/>
        </w:rPr>
        <w:t>1</w:t>
      </w:r>
      <w:r w:rsidR="006A656C">
        <w:rPr>
          <w:rFonts w:ascii="Times New Roman" w:eastAsia="Times New Roman" w:hAnsi="Times New Roman" w:cs="Times New Roman"/>
        </w:rPr>
        <w:t>5</w:t>
      </w:r>
      <w:r w:rsidR="0045163B" w:rsidRPr="003B0412">
        <w:rPr>
          <w:rFonts w:ascii="Times New Roman" w:eastAsia="Times New Roman" w:hAnsi="Times New Roman" w:cs="Times New Roman"/>
        </w:rPr>
        <w:t>]</w:t>
      </w:r>
      <w:r w:rsidR="0045163B">
        <w:t xml:space="preserve">. </w:t>
      </w:r>
      <w:r w:rsidRPr="00C1129A">
        <w:t>A study by Sara A. Healy in 2021</w:t>
      </w:r>
      <w:r w:rsidR="0045163B" w:rsidRPr="00C1129A">
        <w:t xml:space="preserve"> </w:t>
      </w:r>
      <w:r w:rsidRPr="00C1129A">
        <w:t>compare the effectivity of pfs25-EPA and Pfs230D1-EPA in mice and human</w:t>
      </w:r>
      <w:r w:rsidR="00123B1B" w:rsidRPr="0035540A">
        <w:rPr>
          <w:rFonts w:ascii="Times New Roman" w:eastAsia="Times New Roman" w:hAnsi="Times New Roman" w:cs="Times New Roman"/>
        </w:rPr>
        <w:t>[16]</w:t>
      </w:r>
      <w:r w:rsidRPr="00C1129A">
        <w:t xml:space="preserve">. The result identified that Pfs25-EPA and Pfs230D1-EPA induced similar serum functional activity in mice, but Pfs230D1-EPA induced significantly greater activity in rhesus monkeys. In US adults, 2 vaccine doses induced complement-dependent activity </w:t>
      </w:r>
      <w:r w:rsidRPr="00C1129A">
        <w:lastRenderedPageBreak/>
        <w:t xml:space="preserve">in 4 of 5 Pfs230D1-EPA recipients but no significant activity in 5 Pfs25-EPA recipients, and combination with Pfs25-EPA did not increase activity more than Pfs230D1-EPA alone </w:t>
      </w:r>
      <w:r w:rsidR="0097303F" w:rsidRPr="00C1129A">
        <w:t>(Table 1)</w:t>
      </w:r>
      <w:r w:rsidRPr="0035540A">
        <w:t>.</w:t>
      </w:r>
    </w:p>
    <w:p w14:paraId="079C31DD" w14:textId="77777777" w:rsidR="005F2BED" w:rsidRDefault="005F2BED" w:rsidP="002442D5">
      <w:pPr>
        <w:jc w:val="both"/>
      </w:pPr>
    </w:p>
    <w:p w14:paraId="387A70D9" w14:textId="1FB3DD31" w:rsidR="005F2BED" w:rsidRPr="00AF081F" w:rsidRDefault="005F2BED" w:rsidP="005F2BED">
      <w:pPr>
        <w:jc w:val="center"/>
        <w:rPr>
          <w:rFonts w:ascii="Times New Roman" w:hAnsi="Times New Roman" w:cs="Times New Roman"/>
          <w:b/>
          <w:bCs/>
        </w:rPr>
      </w:pPr>
      <w:r w:rsidRPr="00AF081F">
        <w:rPr>
          <w:rFonts w:ascii="Times New Roman" w:hAnsi="Times New Roman" w:cs="Times New Roman"/>
          <w:b/>
          <w:bCs/>
        </w:rPr>
        <w:t>Tab</w:t>
      </w:r>
      <w:r w:rsidR="00A744BA">
        <w:rPr>
          <w:rFonts w:ascii="Times New Roman" w:hAnsi="Times New Roman" w:cs="Times New Roman"/>
          <w:b/>
          <w:bCs/>
        </w:rPr>
        <w:t>le</w:t>
      </w:r>
      <w:r w:rsidRPr="00AF081F">
        <w:rPr>
          <w:rFonts w:ascii="Times New Roman" w:hAnsi="Times New Roman" w:cs="Times New Roman"/>
          <w:b/>
          <w:bCs/>
        </w:rPr>
        <w:t xml:space="preserve"> 1. Phase 1 clinical trials of Pfs25-based vaccines</w:t>
      </w:r>
    </w:p>
    <w:p w14:paraId="4C4804DB" w14:textId="77777777" w:rsidR="005F2BED" w:rsidRPr="00AF081F" w:rsidRDefault="005F2BED" w:rsidP="005F2BED">
      <w:pPr>
        <w:rPr>
          <w:rFonts w:ascii="Times New Roman" w:hAnsi="Times New Roman" w:cs="Times New Roman"/>
        </w:rPr>
      </w:pPr>
    </w:p>
    <w:tbl>
      <w:tblPr>
        <w:tblStyle w:val="TableGrid"/>
        <w:tblW w:w="9209" w:type="dxa"/>
        <w:tblLook w:val="04A0" w:firstRow="1" w:lastRow="0" w:firstColumn="1" w:lastColumn="0" w:noHBand="0" w:noVBand="1"/>
      </w:tblPr>
      <w:tblGrid>
        <w:gridCol w:w="1980"/>
        <w:gridCol w:w="1843"/>
        <w:gridCol w:w="1275"/>
        <w:gridCol w:w="4111"/>
      </w:tblGrid>
      <w:tr w:rsidR="005F2BED" w:rsidRPr="00AF081F" w14:paraId="02DE15CC" w14:textId="77777777" w:rsidTr="00AE0691">
        <w:tc>
          <w:tcPr>
            <w:tcW w:w="1980" w:type="dxa"/>
          </w:tcPr>
          <w:p w14:paraId="01EF1F1A" w14:textId="77777777" w:rsidR="005F2BED" w:rsidRPr="00AF081F" w:rsidRDefault="005F2BED" w:rsidP="00AE0691">
            <w:pPr>
              <w:jc w:val="center"/>
              <w:rPr>
                <w:rFonts w:ascii="Times New Roman" w:hAnsi="Times New Roman" w:cs="Times New Roman"/>
                <w:b/>
                <w:bCs/>
                <w:sz w:val="22"/>
                <w:szCs w:val="22"/>
                <w:lang w:val="en-US"/>
              </w:rPr>
            </w:pPr>
            <w:r w:rsidRPr="00AF081F">
              <w:rPr>
                <w:rFonts w:ascii="Times New Roman" w:hAnsi="Times New Roman" w:cs="Times New Roman"/>
                <w:b/>
                <w:bCs/>
                <w:sz w:val="22"/>
                <w:szCs w:val="22"/>
                <w:lang w:val="en-US"/>
              </w:rPr>
              <w:t>Author (year)</w:t>
            </w:r>
          </w:p>
        </w:tc>
        <w:tc>
          <w:tcPr>
            <w:tcW w:w="1843" w:type="dxa"/>
          </w:tcPr>
          <w:p w14:paraId="4D88DE3E" w14:textId="77777777" w:rsidR="005F2BED" w:rsidRPr="00AF081F" w:rsidRDefault="005F2BED" w:rsidP="00AE0691">
            <w:pPr>
              <w:jc w:val="center"/>
              <w:rPr>
                <w:rFonts w:ascii="Times New Roman" w:hAnsi="Times New Roman" w:cs="Times New Roman"/>
                <w:b/>
                <w:bCs/>
                <w:sz w:val="22"/>
                <w:szCs w:val="22"/>
                <w:lang w:val="en-US"/>
              </w:rPr>
            </w:pPr>
            <w:r w:rsidRPr="00AF081F">
              <w:rPr>
                <w:rFonts w:ascii="Times New Roman" w:hAnsi="Times New Roman" w:cs="Times New Roman"/>
                <w:b/>
                <w:bCs/>
                <w:sz w:val="22"/>
                <w:szCs w:val="22"/>
                <w:lang w:val="en-US"/>
              </w:rPr>
              <w:t>Vaccine</w:t>
            </w:r>
          </w:p>
        </w:tc>
        <w:tc>
          <w:tcPr>
            <w:tcW w:w="1275" w:type="dxa"/>
          </w:tcPr>
          <w:p w14:paraId="16C2DA67" w14:textId="77777777" w:rsidR="005F2BED" w:rsidRPr="00AF081F" w:rsidRDefault="005F2BED" w:rsidP="00AE0691">
            <w:pPr>
              <w:jc w:val="center"/>
              <w:rPr>
                <w:rFonts w:ascii="Times New Roman" w:hAnsi="Times New Roman" w:cs="Times New Roman"/>
                <w:b/>
                <w:bCs/>
                <w:sz w:val="22"/>
                <w:szCs w:val="22"/>
                <w:lang w:val="en-US"/>
              </w:rPr>
            </w:pPr>
            <w:r w:rsidRPr="00AF081F">
              <w:rPr>
                <w:rFonts w:ascii="Times New Roman" w:hAnsi="Times New Roman" w:cs="Times New Roman"/>
                <w:b/>
                <w:bCs/>
                <w:sz w:val="22"/>
                <w:szCs w:val="22"/>
                <w:lang w:val="en-US"/>
              </w:rPr>
              <w:t>Number of subjects</w:t>
            </w:r>
          </w:p>
        </w:tc>
        <w:tc>
          <w:tcPr>
            <w:tcW w:w="4111" w:type="dxa"/>
          </w:tcPr>
          <w:p w14:paraId="4C415EC9" w14:textId="77777777" w:rsidR="005F2BED" w:rsidRPr="00AF081F" w:rsidRDefault="005F2BED" w:rsidP="00AE0691">
            <w:pPr>
              <w:jc w:val="center"/>
              <w:rPr>
                <w:rFonts w:ascii="Times New Roman" w:hAnsi="Times New Roman" w:cs="Times New Roman"/>
                <w:b/>
                <w:bCs/>
                <w:sz w:val="22"/>
                <w:szCs w:val="22"/>
                <w:lang w:val="en-US"/>
              </w:rPr>
            </w:pPr>
            <w:r w:rsidRPr="00AF081F">
              <w:rPr>
                <w:rFonts w:ascii="Times New Roman" w:hAnsi="Times New Roman" w:cs="Times New Roman"/>
                <w:b/>
                <w:bCs/>
                <w:sz w:val="22"/>
                <w:szCs w:val="22"/>
                <w:lang w:val="en-US"/>
              </w:rPr>
              <w:t>Results</w:t>
            </w:r>
          </w:p>
        </w:tc>
      </w:tr>
      <w:tr w:rsidR="005F2BED" w:rsidRPr="00AF081F" w14:paraId="0C98274B" w14:textId="77777777" w:rsidTr="00AE0691">
        <w:tc>
          <w:tcPr>
            <w:tcW w:w="1980" w:type="dxa"/>
          </w:tcPr>
          <w:p w14:paraId="1CF6DF3F" w14:textId="77777777" w:rsidR="005F2BED" w:rsidRPr="00AF081F" w:rsidRDefault="005F2BED" w:rsidP="00AE0691">
            <w:pPr>
              <w:rPr>
                <w:rFonts w:ascii="Times New Roman" w:hAnsi="Times New Roman" w:cs="Times New Roman"/>
                <w:sz w:val="22"/>
                <w:szCs w:val="22"/>
                <w:lang w:val="en-US"/>
              </w:rPr>
            </w:pPr>
            <w:r w:rsidRPr="00AF081F">
              <w:rPr>
                <w:rFonts w:ascii="Times New Roman" w:hAnsi="Times New Roman" w:cs="Times New Roman"/>
                <w:sz w:val="22"/>
                <w:szCs w:val="22"/>
              </w:rPr>
              <w:t>Talaat KR, et al. (2016)</w:t>
            </w:r>
            <w:r w:rsidRPr="00AF081F">
              <w:rPr>
                <w:rFonts w:ascii="Times New Roman" w:eastAsia="Times New Roman" w:hAnsi="Times New Roman" w:cs="Times New Roman"/>
                <w:sz w:val="22"/>
                <w:szCs w:val="22"/>
              </w:rPr>
              <w:t xml:space="preserve"> [15].</w:t>
            </w:r>
          </w:p>
        </w:tc>
        <w:tc>
          <w:tcPr>
            <w:tcW w:w="1843" w:type="dxa"/>
          </w:tcPr>
          <w:p w14:paraId="45DF26D7" w14:textId="77777777" w:rsidR="005F2BED" w:rsidRPr="00AF081F" w:rsidRDefault="005F2BED" w:rsidP="00AE0691">
            <w:pPr>
              <w:rPr>
                <w:rFonts w:ascii="Times New Roman" w:hAnsi="Times New Roman" w:cs="Times New Roman"/>
                <w:sz w:val="22"/>
                <w:szCs w:val="22"/>
              </w:rPr>
            </w:pPr>
            <w:r w:rsidRPr="00AF081F">
              <w:rPr>
                <w:rFonts w:ascii="Times New Roman" w:hAnsi="Times New Roman" w:cs="Times New Roman"/>
                <w:sz w:val="22"/>
                <w:szCs w:val="22"/>
              </w:rPr>
              <w:t>Pfs25-EPA / Alhydrogel</w:t>
            </w:r>
          </w:p>
        </w:tc>
        <w:tc>
          <w:tcPr>
            <w:tcW w:w="1275" w:type="dxa"/>
          </w:tcPr>
          <w:p w14:paraId="1CE1E45E" w14:textId="77777777" w:rsidR="005F2BED" w:rsidRPr="00AF081F" w:rsidRDefault="005F2BED" w:rsidP="00AE0691">
            <w:pPr>
              <w:jc w:val="center"/>
              <w:rPr>
                <w:rFonts w:ascii="Times New Roman" w:hAnsi="Times New Roman" w:cs="Times New Roman"/>
                <w:sz w:val="22"/>
                <w:szCs w:val="22"/>
                <w:lang w:val="en-US"/>
              </w:rPr>
            </w:pPr>
            <w:r w:rsidRPr="00AF081F">
              <w:rPr>
                <w:rFonts w:ascii="Times New Roman" w:hAnsi="Times New Roman" w:cs="Times New Roman"/>
                <w:sz w:val="22"/>
                <w:szCs w:val="22"/>
                <w:lang w:val="en-US"/>
              </w:rPr>
              <w:t>30</w:t>
            </w:r>
          </w:p>
        </w:tc>
        <w:tc>
          <w:tcPr>
            <w:tcW w:w="4111" w:type="dxa"/>
          </w:tcPr>
          <w:p w14:paraId="2102B0F5" w14:textId="77777777" w:rsidR="005F2BED" w:rsidRPr="00AF081F" w:rsidRDefault="005F2BED" w:rsidP="00AE0691">
            <w:pPr>
              <w:pStyle w:val="ListParagraph"/>
              <w:numPr>
                <w:ilvl w:val="0"/>
                <w:numId w:val="10"/>
              </w:numPr>
              <w:ind w:left="322" w:hanging="284"/>
              <w:rPr>
                <w:rFonts w:ascii="Times New Roman" w:eastAsia="Times New Roman" w:hAnsi="Times New Roman" w:cs="Times New Roman"/>
                <w:kern w:val="0"/>
                <w:sz w:val="22"/>
                <w:szCs w:val="22"/>
                <w:lang w:eastAsia="en-GB"/>
                <w14:ligatures w14:val="none"/>
              </w:rPr>
            </w:pPr>
            <w:r w:rsidRPr="00AF081F">
              <w:rPr>
                <w:rFonts w:ascii="Times New Roman" w:eastAsia="Times New Roman" w:hAnsi="Times New Roman" w:cs="Times New Roman"/>
                <w:kern w:val="0"/>
                <w:sz w:val="22"/>
                <w:szCs w:val="22"/>
                <w:lang w:eastAsia="en-GB"/>
                <w14:ligatures w14:val="none"/>
              </w:rPr>
              <w:t>The vaccine was well tolerated</w:t>
            </w:r>
          </w:p>
          <w:p w14:paraId="7F4B736D" w14:textId="77777777" w:rsidR="005F2BED" w:rsidRPr="00AF081F" w:rsidRDefault="005F2BED" w:rsidP="00AE0691">
            <w:pPr>
              <w:pStyle w:val="ListParagraph"/>
              <w:numPr>
                <w:ilvl w:val="0"/>
                <w:numId w:val="10"/>
              </w:numPr>
              <w:ind w:left="322" w:hanging="284"/>
              <w:rPr>
                <w:rFonts w:ascii="Times New Roman" w:eastAsia="Times New Roman" w:hAnsi="Times New Roman" w:cs="Times New Roman"/>
                <w:kern w:val="0"/>
                <w:sz w:val="22"/>
                <w:szCs w:val="22"/>
                <w:lang w:eastAsia="en-GB"/>
                <w14:ligatures w14:val="none"/>
              </w:rPr>
            </w:pPr>
            <w:r w:rsidRPr="00AF081F">
              <w:rPr>
                <w:rFonts w:ascii="Times New Roman" w:eastAsia="Times New Roman" w:hAnsi="Times New Roman" w:cs="Times New Roman"/>
                <w:kern w:val="0"/>
                <w:sz w:val="22"/>
                <w:szCs w:val="22"/>
                <w:lang w:eastAsia="en-GB"/>
                <w14:ligatures w14:val="none"/>
              </w:rPr>
              <w:t>9/11 subjects develop TRA 50%</w:t>
            </w:r>
          </w:p>
        </w:tc>
      </w:tr>
      <w:tr w:rsidR="005F2BED" w:rsidRPr="00AF081F" w14:paraId="7A38990F" w14:textId="77777777" w:rsidTr="00AE0691">
        <w:tc>
          <w:tcPr>
            <w:tcW w:w="1980" w:type="dxa"/>
          </w:tcPr>
          <w:p w14:paraId="4428241D" w14:textId="77777777" w:rsidR="005F2BED" w:rsidRPr="00AF081F" w:rsidRDefault="005F2BED" w:rsidP="00AE0691">
            <w:pPr>
              <w:rPr>
                <w:rFonts w:ascii="Times New Roman" w:hAnsi="Times New Roman" w:cs="Times New Roman"/>
                <w:sz w:val="22"/>
                <w:szCs w:val="22"/>
                <w:lang w:val="nb-NO"/>
              </w:rPr>
            </w:pPr>
            <w:r w:rsidRPr="00AF081F">
              <w:rPr>
                <w:rFonts w:ascii="Times New Roman" w:hAnsi="Times New Roman" w:cs="Times New Roman"/>
                <w:sz w:val="22"/>
                <w:szCs w:val="22"/>
                <w:lang w:val="nb-NO"/>
              </w:rPr>
              <w:t>Sara A. Healy et al (2020)</w:t>
            </w:r>
            <w:r>
              <w:rPr>
                <w:rFonts w:ascii="Times New Roman" w:hAnsi="Times New Roman" w:cs="Times New Roman"/>
                <w:sz w:val="22"/>
                <w:szCs w:val="22"/>
                <w:lang w:val="nb-NO"/>
              </w:rPr>
              <w:t xml:space="preserve"> </w:t>
            </w:r>
            <w:r w:rsidRPr="00AF081F">
              <w:rPr>
                <w:rFonts w:ascii="Times New Roman" w:eastAsia="Times New Roman" w:hAnsi="Times New Roman" w:cs="Times New Roman"/>
                <w:lang w:val="nb-NO"/>
              </w:rPr>
              <w:t>[</w:t>
            </w:r>
            <w:r>
              <w:rPr>
                <w:rFonts w:ascii="Times New Roman" w:eastAsia="Times New Roman" w:hAnsi="Times New Roman" w:cs="Times New Roman"/>
                <w:lang w:val="nb-NO"/>
              </w:rPr>
              <w:t>16</w:t>
            </w:r>
            <w:r w:rsidRPr="00AF081F">
              <w:rPr>
                <w:rFonts w:ascii="Times New Roman" w:eastAsia="Times New Roman" w:hAnsi="Times New Roman" w:cs="Times New Roman"/>
                <w:lang w:val="nb-NO"/>
              </w:rPr>
              <w:t>].</w:t>
            </w:r>
          </w:p>
        </w:tc>
        <w:tc>
          <w:tcPr>
            <w:tcW w:w="1843" w:type="dxa"/>
          </w:tcPr>
          <w:p w14:paraId="52FE4B65" w14:textId="77777777" w:rsidR="005F2BED" w:rsidRPr="00AF081F" w:rsidRDefault="005F2BED" w:rsidP="00AE0691">
            <w:pPr>
              <w:rPr>
                <w:rFonts w:ascii="Times New Roman" w:hAnsi="Times New Roman" w:cs="Times New Roman"/>
                <w:sz w:val="22"/>
                <w:szCs w:val="22"/>
                <w:lang w:val="en-US"/>
              </w:rPr>
            </w:pPr>
            <w:r w:rsidRPr="00AF081F">
              <w:rPr>
                <w:rFonts w:ascii="Times New Roman" w:hAnsi="Times New Roman" w:cs="Times New Roman"/>
                <w:sz w:val="22"/>
                <w:szCs w:val="22"/>
              </w:rPr>
              <w:t xml:space="preserve">Pfs25-EPA/Alhydrogel </w:t>
            </w:r>
          </w:p>
        </w:tc>
        <w:tc>
          <w:tcPr>
            <w:tcW w:w="1275" w:type="dxa"/>
          </w:tcPr>
          <w:p w14:paraId="009F39E3" w14:textId="77777777" w:rsidR="005F2BED" w:rsidRPr="00AF081F" w:rsidRDefault="005F2BED" w:rsidP="00AE0691">
            <w:pPr>
              <w:jc w:val="center"/>
              <w:rPr>
                <w:rFonts w:ascii="Times New Roman" w:hAnsi="Times New Roman" w:cs="Times New Roman"/>
                <w:sz w:val="22"/>
                <w:szCs w:val="22"/>
                <w:lang w:val="en-US"/>
              </w:rPr>
            </w:pPr>
            <w:r w:rsidRPr="00AF081F">
              <w:rPr>
                <w:rFonts w:ascii="Times New Roman" w:hAnsi="Times New Roman" w:cs="Times New Roman"/>
                <w:sz w:val="22"/>
                <w:szCs w:val="22"/>
                <w:lang w:val="en-US"/>
              </w:rPr>
              <w:t>5</w:t>
            </w:r>
          </w:p>
        </w:tc>
        <w:tc>
          <w:tcPr>
            <w:tcW w:w="4111" w:type="dxa"/>
          </w:tcPr>
          <w:p w14:paraId="777C64EC" w14:textId="77777777" w:rsidR="005F2BED" w:rsidRPr="00AF081F" w:rsidRDefault="005F2BED" w:rsidP="00AE0691">
            <w:pPr>
              <w:pStyle w:val="ListParagraph"/>
              <w:numPr>
                <w:ilvl w:val="0"/>
                <w:numId w:val="10"/>
              </w:numPr>
              <w:ind w:left="318" w:hanging="287"/>
              <w:rPr>
                <w:rFonts w:ascii="Times New Roman" w:hAnsi="Times New Roman" w:cs="Times New Roman"/>
                <w:sz w:val="22"/>
                <w:szCs w:val="22"/>
                <w:lang w:val="en-US"/>
              </w:rPr>
            </w:pPr>
            <w:r w:rsidRPr="00AF081F">
              <w:rPr>
                <w:rFonts w:ascii="Times New Roman" w:eastAsia="Times New Roman" w:hAnsi="Times New Roman" w:cs="Times New Roman"/>
                <w:kern w:val="0"/>
                <w:sz w:val="22"/>
                <w:szCs w:val="22"/>
                <w:lang w:eastAsia="en-GB"/>
                <w14:ligatures w14:val="none"/>
              </w:rPr>
              <w:t xml:space="preserve">The vaccine was well tolerated </w:t>
            </w:r>
            <w:r w:rsidRPr="00AF081F">
              <w:rPr>
                <w:rFonts w:ascii="Times New Roman" w:hAnsi="Times New Roman" w:cs="Times New Roman"/>
                <w:sz w:val="22"/>
                <w:szCs w:val="22"/>
                <w:shd w:val="clear" w:color="auto" w:fill="FFFFFF"/>
              </w:rPr>
              <w:t>0 of 5 individuals had TRA greater than 50%</w:t>
            </w:r>
          </w:p>
        </w:tc>
      </w:tr>
      <w:tr w:rsidR="005F2BED" w:rsidRPr="00AF081F" w14:paraId="1B446F25" w14:textId="77777777" w:rsidTr="00AE0691">
        <w:tc>
          <w:tcPr>
            <w:tcW w:w="1980" w:type="dxa"/>
          </w:tcPr>
          <w:p w14:paraId="6854CC68" w14:textId="77777777" w:rsidR="005F2BED" w:rsidRPr="00AF081F" w:rsidRDefault="005F2BED" w:rsidP="00AE0691">
            <w:pPr>
              <w:rPr>
                <w:rFonts w:ascii="Times New Roman" w:hAnsi="Times New Roman" w:cs="Times New Roman"/>
                <w:sz w:val="22"/>
                <w:szCs w:val="22"/>
                <w:lang w:val="en-US"/>
              </w:rPr>
            </w:pPr>
            <w:r w:rsidRPr="00AF081F">
              <w:rPr>
                <w:rFonts w:ascii="Times New Roman" w:hAnsi="Times New Roman" w:cs="Times New Roman"/>
                <w:sz w:val="22"/>
                <w:szCs w:val="22"/>
              </w:rPr>
              <w:t>J.A. Chichester et al.(2018)</w:t>
            </w:r>
            <w:r>
              <w:rPr>
                <w:rFonts w:ascii="Times New Roman" w:hAnsi="Times New Roman" w:cs="Times New Roman"/>
                <w:sz w:val="22"/>
                <w:szCs w:val="22"/>
              </w:rPr>
              <w:t xml:space="preserve"> </w:t>
            </w:r>
            <w:r w:rsidRPr="003B0412">
              <w:rPr>
                <w:rFonts w:ascii="Times New Roman" w:eastAsia="Times New Roman" w:hAnsi="Times New Roman" w:cs="Times New Roman"/>
              </w:rPr>
              <w:t>[</w:t>
            </w:r>
            <w:r>
              <w:rPr>
                <w:rFonts w:ascii="Times New Roman" w:eastAsia="Times New Roman" w:hAnsi="Times New Roman" w:cs="Times New Roman"/>
              </w:rPr>
              <w:t>17</w:t>
            </w:r>
            <w:r w:rsidRPr="00AF081F">
              <w:rPr>
                <w:rFonts w:ascii="Times New Roman" w:eastAsia="Times New Roman" w:hAnsi="Times New Roman" w:cs="Times New Roman"/>
                <w:lang w:val="nb-NO"/>
              </w:rPr>
              <w:t>].</w:t>
            </w:r>
          </w:p>
        </w:tc>
        <w:tc>
          <w:tcPr>
            <w:tcW w:w="1843" w:type="dxa"/>
          </w:tcPr>
          <w:p w14:paraId="1832AAA5" w14:textId="77777777" w:rsidR="005F2BED" w:rsidRPr="00AF081F" w:rsidRDefault="005F2BED" w:rsidP="00AE0691">
            <w:pPr>
              <w:rPr>
                <w:rFonts w:ascii="Times New Roman" w:hAnsi="Times New Roman" w:cs="Times New Roman"/>
                <w:sz w:val="22"/>
                <w:szCs w:val="22"/>
                <w:lang w:val="en-US"/>
              </w:rPr>
            </w:pPr>
            <w:r w:rsidRPr="00AF081F">
              <w:rPr>
                <w:rFonts w:ascii="Times New Roman" w:hAnsi="Times New Roman" w:cs="Times New Roman"/>
                <w:sz w:val="22"/>
                <w:szCs w:val="22"/>
              </w:rPr>
              <w:t>Pfs25 VLP-FhCMB /Alhydrogel</w:t>
            </w:r>
          </w:p>
        </w:tc>
        <w:tc>
          <w:tcPr>
            <w:tcW w:w="1275" w:type="dxa"/>
          </w:tcPr>
          <w:p w14:paraId="6AC92EE4" w14:textId="77777777" w:rsidR="005F2BED" w:rsidRPr="00AF081F" w:rsidRDefault="005F2BED" w:rsidP="00AE0691">
            <w:pPr>
              <w:jc w:val="center"/>
              <w:rPr>
                <w:rFonts w:ascii="Times New Roman" w:hAnsi="Times New Roman" w:cs="Times New Roman"/>
                <w:sz w:val="22"/>
                <w:szCs w:val="22"/>
                <w:lang w:val="en-US"/>
              </w:rPr>
            </w:pPr>
            <w:r w:rsidRPr="00AF081F">
              <w:rPr>
                <w:rFonts w:ascii="Times New Roman" w:hAnsi="Times New Roman" w:cs="Times New Roman"/>
                <w:sz w:val="22"/>
                <w:szCs w:val="22"/>
                <w:lang w:val="en-US"/>
              </w:rPr>
              <w:t>44</w:t>
            </w:r>
          </w:p>
        </w:tc>
        <w:tc>
          <w:tcPr>
            <w:tcW w:w="4111" w:type="dxa"/>
          </w:tcPr>
          <w:p w14:paraId="4318CE73" w14:textId="77777777" w:rsidR="005F2BED" w:rsidRPr="00AF081F" w:rsidRDefault="005F2BED" w:rsidP="00AE0691">
            <w:pPr>
              <w:pStyle w:val="ListParagraph"/>
              <w:numPr>
                <w:ilvl w:val="0"/>
                <w:numId w:val="9"/>
              </w:numPr>
              <w:ind w:left="322" w:hanging="322"/>
              <w:rPr>
                <w:rFonts w:ascii="Times New Roman" w:eastAsia="Times New Roman" w:hAnsi="Times New Roman" w:cs="Times New Roman"/>
                <w:kern w:val="0"/>
                <w:sz w:val="22"/>
                <w:szCs w:val="22"/>
                <w:lang w:eastAsia="en-GB"/>
                <w14:ligatures w14:val="none"/>
              </w:rPr>
            </w:pPr>
            <w:r w:rsidRPr="00AF081F">
              <w:rPr>
                <w:rFonts w:ascii="Times New Roman" w:eastAsia="Times New Roman" w:hAnsi="Times New Roman" w:cs="Times New Roman"/>
                <w:kern w:val="0"/>
                <w:sz w:val="22"/>
                <w:szCs w:val="22"/>
                <w:lang w:eastAsia="en-GB"/>
                <w14:ligatures w14:val="none"/>
              </w:rPr>
              <w:t>Acceptable safety and tolerability profile</w:t>
            </w:r>
          </w:p>
          <w:p w14:paraId="29B4E1BA" w14:textId="77777777" w:rsidR="005F2BED" w:rsidRPr="00AF081F" w:rsidRDefault="005F2BED" w:rsidP="00AE0691">
            <w:pPr>
              <w:pStyle w:val="ListParagraph"/>
              <w:numPr>
                <w:ilvl w:val="0"/>
                <w:numId w:val="9"/>
              </w:numPr>
              <w:ind w:left="322" w:hanging="322"/>
              <w:rPr>
                <w:rFonts w:ascii="Times New Roman" w:eastAsia="Times New Roman" w:hAnsi="Times New Roman" w:cs="Times New Roman"/>
                <w:kern w:val="0"/>
                <w:sz w:val="22"/>
                <w:szCs w:val="22"/>
                <w:lang w:eastAsia="en-GB"/>
                <w14:ligatures w14:val="none"/>
              </w:rPr>
            </w:pPr>
            <w:r w:rsidRPr="00AF081F">
              <w:rPr>
                <w:rFonts w:ascii="Times New Roman" w:eastAsia="Times New Roman" w:hAnsi="Times New Roman" w:cs="Times New Roman"/>
                <w:kern w:val="0"/>
                <w:sz w:val="22"/>
                <w:szCs w:val="22"/>
                <w:lang w:eastAsia="en-GB"/>
                <w14:ligatures w14:val="none"/>
              </w:rPr>
              <w:t>TRA was significant after the 3</w:t>
            </w:r>
            <w:r w:rsidRPr="00AF081F">
              <w:rPr>
                <w:rFonts w:ascii="Times New Roman" w:eastAsia="Times New Roman" w:hAnsi="Times New Roman" w:cs="Times New Roman"/>
                <w:kern w:val="0"/>
                <w:sz w:val="22"/>
                <w:szCs w:val="22"/>
                <w:vertAlign w:val="superscript"/>
                <w:lang w:eastAsia="en-GB"/>
                <w14:ligatures w14:val="none"/>
              </w:rPr>
              <w:t>rd</w:t>
            </w:r>
            <w:r w:rsidRPr="00AF081F">
              <w:rPr>
                <w:rFonts w:ascii="Times New Roman" w:eastAsia="Times New Roman" w:hAnsi="Times New Roman" w:cs="Times New Roman"/>
                <w:kern w:val="0"/>
                <w:sz w:val="22"/>
                <w:szCs w:val="22"/>
                <w:lang w:eastAsia="en-GB"/>
                <w14:ligatures w14:val="none"/>
              </w:rPr>
              <w:t xml:space="preserve"> dose in 2/8 subjects (80% and 77%)</w:t>
            </w:r>
          </w:p>
        </w:tc>
      </w:tr>
      <w:tr w:rsidR="005F2BED" w:rsidRPr="00AF081F" w14:paraId="03681985" w14:textId="77777777" w:rsidTr="00AE0691">
        <w:tc>
          <w:tcPr>
            <w:tcW w:w="1980" w:type="dxa"/>
          </w:tcPr>
          <w:p w14:paraId="2B68985D" w14:textId="77777777" w:rsidR="005F2BED" w:rsidRPr="00AF081F" w:rsidRDefault="005F2BED" w:rsidP="00AE0691">
            <w:pPr>
              <w:rPr>
                <w:rFonts w:ascii="Times New Roman" w:hAnsi="Times New Roman" w:cs="Times New Roman"/>
                <w:sz w:val="22"/>
                <w:szCs w:val="22"/>
                <w:lang w:val="nb-NO"/>
              </w:rPr>
            </w:pPr>
            <w:r w:rsidRPr="00AF081F">
              <w:rPr>
                <w:rFonts w:ascii="Times New Roman" w:hAnsi="Times New Roman" w:cs="Times New Roman"/>
                <w:sz w:val="22"/>
                <w:szCs w:val="22"/>
              </w:rPr>
              <w:t>de Graaf et al. (2021)</w:t>
            </w:r>
            <w:r>
              <w:rPr>
                <w:rFonts w:ascii="Times New Roman" w:hAnsi="Times New Roman" w:cs="Times New Roman"/>
                <w:sz w:val="22"/>
                <w:szCs w:val="22"/>
              </w:rPr>
              <w:t xml:space="preserve"> </w:t>
            </w:r>
            <w:r w:rsidRPr="003B0412">
              <w:rPr>
                <w:rFonts w:ascii="Times New Roman" w:eastAsia="Times New Roman" w:hAnsi="Times New Roman" w:cs="Times New Roman"/>
              </w:rPr>
              <w:t>[</w:t>
            </w:r>
            <w:r>
              <w:rPr>
                <w:rFonts w:ascii="Times New Roman" w:eastAsia="Times New Roman" w:hAnsi="Times New Roman" w:cs="Times New Roman"/>
              </w:rPr>
              <w:t>19</w:t>
            </w:r>
            <w:r w:rsidRPr="00AF081F">
              <w:rPr>
                <w:rFonts w:ascii="Times New Roman" w:eastAsia="Times New Roman" w:hAnsi="Times New Roman" w:cs="Times New Roman"/>
                <w:lang w:val="nb-NO"/>
              </w:rPr>
              <w:t>].</w:t>
            </w:r>
          </w:p>
        </w:tc>
        <w:tc>
          <w:tcPr>
            <w:tcW w:w="1843" w:type="dxa"/>
          </w:tcPr>
          <w:p w14:paraId="66A9EAEB" w14:textId="77777777" w:rsidR="005F2BED" w:rsidRPr="00AF081F" w:rsidRDefault="005F2BED" w:rsidP="00AE0691">
            <w:pPr>
              <w:rPr>
                <w:rFonts w:ascii="Times New Roman" w:hAnsi="Times New Roman" w:cs="Times New Roman"/>
                <w:sz w:val="22"/>
                <w:szCs w:val="22"/>
                <w:lang w:val="en-US"/>
              </w:rPr>
            </w:pPr>
            <w:r w:rsidRPr="00AF081F">
              <w:rPr>
                <w:rFonts w:ascii="Times New Roman" w:hAnsi="Times New Roman" w:cs="Times New Roman"/>
                <w:sz w:val="22"/>
                <w:szCs w:val="22"/>
              </w:rPr>
              <w:t>ChAd63-Pfs25-IMX313/ MVA-Pfs25-IMX313 prime-boost</w:t>
            </w:r>
          </w:p>
        </w:tc>
        <w:tc>
          <w:tcPr>
            <w:tcW w:w="1275" w:type="dxa"/>
          </w:tcPr>
          <w:p w14:paraId="1FA62FFC" w14:textId="77777777" w:rsidR="005F2BED" w:rsidRPr="00AF081F" w:rsidRDefault="005F2BED" w:rsidP="00AE0691">
            <w:pPr>
              <w:jc w:val="center"/>
              <w:rPr>
                <w:rFonts w:ascii="Times New Roman" w:hAnsi="Times New Roman" w:cs="Times New Roman"/>
                <w:sz w:val="22"/>
                <w:szCs w:val="22"/>
                <w:lang w:val="en-US"/>
              </w:rPr>
            </w:pPr>
            <w:r w:rsidRPr="00AF081F">
              <w:rPr>
                <w:rFonts w:ascii="Times New Roman" w:hAnsi="Times New Roman" w:cs="Times New Roman"/>
                <w:sz w:val="22"/>
                <w:szCs w:val="22"/>
                <w:lang w:val="en-US"/>
              </w:rPr>
              <w:t>26</w:t>
            </w:r>
          </w:p>
        </w:tc>
        <w:tc>
          <w:tcPr>
            <w:tcW w:w="4111" w:type="dxa"/>
          </w:tcPr>
          <w:p w14:paraId="458B9EA1" w14:textId="77777777" w:rsidR="005F2BED" w:rsidRPr="00AF081F" w:rsidRDefault="005F2BED" w:rsidP="00AE0691">
            <w:pPr>
              <w:pStyle w:val="ListParagraph"/>
              <w:numPr>
                <w:ilvl w:val="0"/>
                <w:numId w:val="8"/>
              </w:numPr>
              <w:ind w:left="322" w:hanging="322"/>
              <w:rPr>
                <w:rFonts w:ascii="Times New Roman" w:hAnsi="Times New Roman" w:cs="Times New Roman"/>
                <w:sz w:val="22"/>
                <w:szCs w:val="22"/>
                <w:lang w:val="en-US"/>
              </w:rPr>
            </w:pPr>
            <w:r w:rsidRPr="00AF081F">
              <w:rPr>
                <w:rFonts w:ascii="Times New Roman" w:eastAsia="Times New Roman" w:hAnsi="Times New Roman" w:cs="Times New Roman"/>
                <w:kern w:val="0"/>
                <w:sz w:val="22"/>
                <w:szCs w:val="22"/>
                <w:lang w:eastAsia="en-GB"/>
                <w14:ligatures w14:val="none"/>
              </w:rPr>
              <w:t xml:space="preserve">Both vaccines were well tolerated and demonstrated a favorable safety profile </w:t>
            </w:r>
          </w:p>
          <w:p w14:paraId="1851564A" w14:textId="77777777" w:rsidR="005F2BED" w:rsidRPr="00AF081F" w:rsidRDefault="005F2BED" w:rsidP="00AE0691">
            <w:pPr>
              <w:pStyle w:val="ListParagraph"/>
              <w:numPr>
                <w:ilvl w:val="0"/>
                <w:numId w:val="10"/>
              </w:numPr>
              <w:ind w:left="322" w:hanging="284"/>
              <w:rPr>
                <w:rFonts w:ascii="Times New Roman" w:eastAsia="Times New Roman" w:hAnsi="Times New Roman" w:cs="Times New Roman"/>
                <w:kern w:val="0"/>
                <w:sz w:val="22"/>
                <w:szCs w:val="22"/>
                <w:lang w:eastAsia="en-GB"/>
                <w14:ligatures w14:val="none"/>
              </w:rPr>
            </w:pPr>
            <w:r w:rsidRPr="00AF081F">
              <w:rPr>
                <w:rFonts w:ascii="Times New Roman" w:hAnsi="Times New Roman" w:cs="Times New Roman"/>
                <w:sz w:val="22"/>
                <w:szCs w:val="22"/>
              </w:rPr>
              <w:t>Median Transmission Reduction Activity (TRA) was 25.3%</w:t>
            </w:r>
          </w:p>
        </w:tc>
      </w:tr>
    </w:tbl>
    <w:p w14:paraId="1E658A61" w14:textId="77777777" w:rsidR="005F2BED" w:rsidRDefault="005F2BED" w:rsidP="002442D5">
      <w:pPr>
        <w:jc w:val="both"/>
        <w:rPr>
          <w:color w:val="FF0000"/>
        </w:rPr>
      </w:pPr>
    </w:p>
    <w:p w14:paraId="7E6A9A50" w14:textId="087A36AB" w:rsidR="00E2082B" w:rsidRPr="00C1129A" w:rsidRDefault="00000000" w:rsidP="002442D5">
      <w:pPr>
        <w:pStyle w:val="Heading2"/>
        <w:numPr>
          <w:ilvl w:val="1"/>
          <w:numId w:val="6"/>
        </w:numPr>
        <w:jc w:val="both"/>
        <w:rPr>
          <w:b/>
          <w:bCs/>
          <w:i w:val="0"/>
          <w:iCs/>
        </w:rPr>
      </w:pPr>
      <w:r w:rsidRPr="00C1129A">
        <w:rPr>
          <w:b/>
          <w:bCs/>
          <w:i w:val="0"/>
          <w:iCs/>
          <w:highlight w:val="white"/>
        </w:rPr>
        <w:t>Pfs25 VLP-FhCMB</w:t>
      </w:r>
    </w:p>
    <w:p w14:paraId="5AAEED04" w14:textId="2938B5CB" w:rsidR="00E2082B" w:rsidRDefault="00000000" w:rsidP="002442D5">
      <w:pPr>
        <w:jc w:val="both"/>
        <w:rPr>
          <w:rFonts w:ascii="Times New Roman" w:eastAsia="Times New Roman" w:hAnsi="Times New Roman" w:cs="Times New Roman"/>
          <w:sz w:val="24"/>
          <w:szCs w:val="24"/>
        </w:rPr>
      </w:pPr>
      <w:r>
        <w:t xml:space="preserve">Pfs25 VLP-FhCMB is a </w:t>
      </w:r>
      <w:r>
        <w:rPr>
          <w:color w:val="000000"/>
          <w:highlight w:val="white"/>
        </w:rPr>
        <w:t xml:space="preserve">chimeric non-enveloped virus-like particle (VLP) comprising Pfs25 which is fused to the </w:t>
      </w:r>
      <w:r w:rsidRPr="0097303F">
        <w:rPr>
          <w:i/>
          <w:iCs/>
          <w:color w:val="000000"/>
          <w:highlight w:val="white"/>
        </w:rPr>
        <w:t>Alfalfa</w:t>
      </w:r>
      <w:r>
        <w:rPr>
          <w:color w:val="000000"/>
          <w:highlight w:val="white"/>
        </w:rPr>
        <w:t xml:space="preserve"> mosaic virus coat protein and manufactured in </w:t>
      </w:r>
      <w:r>
        <w:rPr>
          <w:i/>
          <w:color w:val="000000"/>
          <w:highlight w:val="white"/>
        </w:rPr>
        <w:t>Nicotiana benthamiana</w:t>
      </w:r>
      <w:r>
        <w:rPr>
          <w:color w:val="000000"/>
          <w:highlight w:val="white"/>
        </w:rPr>
        <w:t xml:space="preserve"> plants. It has also entered a clinical trial, but the result was unsatisfactory due to the poor efficacy despite the ability to induce antibody titer against Pfs25. It was reported that the </w:t>
      </w:r>
      <w:r w:rsidR="00123B1B" w:rsidRPr="006A656C">
        <w:rPr>
          <w:highlight w:val="white"/>
        </w:rPr>
        <w:t>transmission reducing activity (TRA)</w:t>
      </w:r>
      <w:r>
        <w:rPr>
          <w:color w:val="000000"/>
          <w:highlight w:val="white"/>
        </w:rPr>
        <w:t xml:space="preserve"> was less than 80%</w:t>
      </w:r>
      <w:r w:rsidR="00E81560">
        <w:rPr>
          <w:color w:val="000000"/>
          <w:highlight w:val="white"/>
        </w:rPr>
        <w:t xml:space="preserve"> </w:t>
      </w:r>
      <w:r w:rsidR="00123B1B">
        <w:rPr>
          <w:color w:val="000000"/>
        </w:rPr>
        <w:t xml:space="preserve">in majority of study subjects </w:t>
      </w:r>
      <w:r w:rsidR="007577A6">
        <w:rPr>
          <w:color w:val="000000"/>
        </w:rPr>
        <w:t xml:space="preserve">(Table 1) </w:t>
      </w:r>
      <w:r w:rsidR="00E81560" w:rsidRPr="003B0412">
        <w:rPr>
          <w:rFonts w:ascii="Times New Roman" w:eastAsia="Times New Roman" w:hAnsi="Times New Roman" w:cs="Times New Roman"/>
        </w:rPr>
        <w:t>[</w:t>
      </w:r>
      <w:r w:rsidR="00E81560">
        <w:rPr>
          <w:rFonts w:ascii="Times New Roman" w:eastAsia="Times New Roman" w:hAnsi="Times New Roman" w:cs="Times New Roman"/>
        </w:rPr>
        <w:t>1</w:t>
      </w:r>
      <w:r w:rsidR="006A656C">
        <w:rPr>
          <w:rFonts w:ascii="Times New Roman" w:eastAsia="Times New Roman" w:hAnsi="Times New Roman" w:cs="Times New Roman"/>
        </w:rPr>
        <w:t>7</w:t>
      </w:r>
      <w:r w:rsidR="00E81560" w:rsidRPr="003B0412">
        <w:rPr>
          <w:rFonts w:ascii="Times New Roman" w:eastAsia="Times New Roman" w:hAnsi="Times New Roman" w:cs="Times New Roman"/>
        </w:rPr>
        <w:t>]</w:t>
      </w:r>
      <w:r>
        <w:rPr>
          <w:color w:val="000000"/>
          <w:highlight w:val="white"/>
        </w:rPr>
        <w:t>.</w:t>
      </w:r>
    </w:p>
    <w:p w14:paraId="03C79955" w14:textId="2D34BAF9" w:rsidR="00E2082B" w:rsidRPr="006A656C" w:rsidRDefault="00000000" w:rsidP="002442D5">
      <w:pPr>
        <w:pStyle w:val="Heading2"/>
        <w:numPr>
          <w:ilvl w:val="1"/>
          <w:numId w:val="6"/>
        </w:numPr>
        <w:jc w:val="both"/>
        <w:rPr>
          <w:b/>
          <w:bCs/>
          <w:i w:val="0"/>
          <w:iCs/>
        </w:rPr>
      </w:pPr>
      <w:r w:rsidRPr="006A656C">
        <w:rPr>
          <w:b/>
          <w:bCs/>
          <w:i w:val="0"/>
          <w:iCs/>
        </w:rPr>
        <w:t>ChAd63-Pfs25-IMX313/MVA-Pfs25-IMX313</w:t>
      </w:r>
    </w:p>
    <w:p w14:paraId="1B52146B" w14:textId="0268134F" w:rsidR="00E2082B" w:rsidRPr="006A656C" w:rsidRDefault="00000000" w:rsidP="002442D5">
      <w:pPr>
        <w:jc w:val="both"/>
      </w:pPr>
      <w:r>
        <w:rPr>
          <w:highlight w:val="white"/>
        </w:rPr>
        <w:t>This vaccine is a fusion of Pfs25 to IMX313, an oligomerization technology to produce a homogenous, self-assembling oligomers of Pfs25 resembling a nanoparticle. The particles are then expressed in the viral vectors, chimpanzee adenovirus serotype 63 (ChAd63) and MVA</w:t>
      </w:r>
      <w:r w:rsidR="006A656C">
        <w:rPr>
          <w:highlight w:val="white"/>
        </w:rPr>
        <w:t xml:space="preserve"> </w:t>
      </w:r>
      <w:r w:rsidR="006A656C" w:rsidRPr="003B0412">
        <w:rPr>
          <w:rFonts w:ascii="Times New Roman" w:eastAsia="Times New Roman" w:hAnsi="Times New Roman" w:cs="Times New Roman"/>
        </w:rPr>
        <w:t>[</w:t>
      </w:r>
      <w:r w:rsidR="006A656C">
        <w:rPr>
          <w:rFonts w:ascii="Times New Roman" w:eastAsia="Times New Roman" w:hAnsi="Times New Roman" w:cs="Times New Roman"/>
        </w:rPr>
        <w:t>18</w:t>
      </w:r>
      <w:r w:rsidR="006A656C" w:rsidRPr="003B0412">
        <w:rPr>
          <w:rFonts w:ascii="Times New Roman" w:eastAsia="Times New Roman" w:hAnsi="Times New Roman" w:cs="Times New Roman"/>
        </w:rPr>
        <w:t>]</w:t>
      </w:r>
      <w:r w:rsidR="006A656C">
        <w:rPr>
          <w:color w:val="000000"/>
          <w:highlight w:val="white"/>
        </w:rPr>
        <w:t>.</w:t>
      </w:r>
      <w:r>
        <w:rPr>
          <w:highlight w:val="white"/>
        </w:rPr>
        <w:t xml:space="preserve"> </w:t>
      </w:r>
      <w:r w:rsidRPr="006A656C">
        <w:rPr>
          <w:highlight w:val="white"/>
        </w:rPr>
        <w:t>A first phase clinical trial using this vaccine has already done by Hans de Graaf et al</w:t>
      </w:r>
      <w:r w:rsidR="006A656C">
        <w:rPr>
          <w:highlight w:val="white"/>
        </w:rPr>
        <w:t xml:space="preserve"> </w:t>
      </w:r>
      <w:r w:rsidR="006A656C" w:rsidRPr="003B0412">
        <w:rPr>
          <w:rFonts w:ascii="Times New Roman" w:eastAsia="Times New Roman" w:hAnsi="Times New Roman" w:cs="Times New Roman"/>
        </w:rPr>
        <w:t>[</w:t>
      </w:r>
      <w:r w:rsidR="006A656C">
        <w:rPr>
          <w:rFonts w:ascii="Times New Roman" w:eastAsia="Times New Roman" w:hAnsi="Times New Roman" w:cs="Times New Roman"/>
        </w:rPr>
        <w:t>19</w:t>
      </w:r>
      <w:r w:rsidR="006A656C" w:rsidRPr="003B0412">
        <w:rPr>
          <w:rFonts w:ascii="Times New Roman" w:eastAsia="Times New Roman" w:hAnsi="Times New Roman" w:cs="Times New Roman"/>
        </w:rPr>
        <w:t>]</w:t>
      </w:r>
      <w:r w:rsidR="006A656C">
        <w:rPr>
          <w:rFonts w:ascii="Times New Roman" w:eastAsia="Times New Roman" w:hAnsi="Times New Roman" w:cs="Times New Roman"/>
        </w:rPr>
        <w:t xml:space="preserve"> </w:t>
      </w:r>
      <w:r w:rsidRPr="006A656C">
        <w:rPr>
          <w:highlight w:val="white"/>
        </w:rPr>
        <w:t>between 2019 until 2021. The result shows that the vaccines were immunogenic and induced both antibody and T</w:t>
      </w:r>
      <w:r w:rsidR="00123B1B">
        <w:rPr>
          <w:highlight w:val="white"/>
        </w:rPr>
        <w:t>-</w:t>
      </w:r>
      <w:r w:rsidRPr="006A656C">
        <w:rPr>
          <w:highlight w:val="white"/>
        </w:rPr>
        <w:t>cell responses against Pfs25. However, significant TRA was not observed in most volunteers by standard membrane feeding assa</w:t>
      </w:r>
      <w:r w:rsidR="00123B1B">
        <w:rPr>
          <w:highlight w:val="white"/>
        </w:rPr>
        <w:t>y</w:t>
      </w:r>
      <w:r w:rsidRPr="006A656C">
        <w:rPr>
          <w:highlight w:val="white"/>
        </w:rPr>
        <w:t>, suggesting the need for an alternative vaccine formulation</w:t>
      </w:r>
      <w:r w:rsidR="006A656C">
        <w:rPr>
          <w:highlight w:val="white"/>
        </w:rPr>
        <w:t xml:space="preserve"> </w:t>
      </w:r>
      <w:r w:rsidR="0002148B">
        <w:t xml:space="preserve">(Table 1) </w:t>
      </w:r>
      <w:r w:rsidR="006A656C" w:rsidRPr="003B0412">
        <w:rPr>
          <w:rFonts w:ascii="Times New Roman" w:eastAsia="Times New Roman" w:hAnsi="Times New Roman" w:cs="Times New Roman"/>
        </w:rPr>
        <w:t>[</w:t>
      </w:r>
      <w:r w:rsidR="006A656C">
        <w:rPr>
          <w:rFonts w:ascii="Times New Roman" w:eastAsia="Times New Roman" w:hAnsi="Times New Roman" w:cs="Times New Roman"/>
        </w:rPr>
        <w:t>19</w:t>
      </w:r>
      <w:r w:rsidR="006A656C" w:rsidRPr="003B0412">
        <w:rPr>
          <w:rFonts w:ascii="Times New Roman" w:eastAsia="Times New Roman" w:hAnsi="Times New Roman" w:cs="Times New Roman"/>
        </w:rPr>
        <w:t>]</w:t>
      </w:r>
      <w:r w:rsidRPr="006A656C">
        <w:rPr>
          <w:highlight w:val="white"/>
        </w:rPr>
        <w:t>.  Another study by Marija Zaric</w:t>
      </w:r>
      <w:r w:rsidR="0002148B">
        <w:rPr>
          <w:highlight w:val="white"/>
        </w:rPr>
        <w:t xml:space="preserve"> </w:t>
      </w:r>
      <w:r w:rsidR="0002148B" w:rsidRPr="003B0412">
        <w:rPr>
          <w:rFonts w:ascii="Times New Roman" w:eastAsia="Times New Roman" w:hAnsi="Times New Roman" w:cs="Times New Roman"/>
        </w:rPr>
        <w:t>[</w:t>
      </w:r>
      <w:r w:rsidR="0002148B">
        <w:rPr>
          <w:rFonts w:ascii="Times New Roman" w:eastAsia="Times New Roman" w:hAnsi="Times New Roman" w:cs="Times New Roman"/>
        </w:rPr>
        <w:t>20</w:t>
      </w:r>
      <w:r w:rsidR="0002148B" w:rsidRPr="003B0412">
        <w:rPr>
          <w:rFonts w:ascii="Times New Roman" w:eastAsia="Times New Roman" w:hAnsi="Times New Roman" w:cs="Times New Roman"/>
        </w:rPr>
        <w:t>]</w:t>
      </w:r>
      <w:r w:rsidR="0002148B">
        <w:rPr>
          <w:highlight w:val="white"/>
        </w:rPr>
        <w:t xml:space="preserve"> </w:t>
      </w:r>
      <w:r w:rsidRPr="006A656C">
        <w:rPr>
          <w:highlight w:val="white"/>
        </w:rPr>
        <w:t xml:space="preserve">reveals the reason behind this result. They found that the key determinant for the poor anti-Pfs25 </w:t>
      </w:r>
      <w:r w:rsidR="00123B1B">
        <w:rPr>
          <w:highlight w:val="white"/>
        </w:rPr>
        <w:t>antibody</w:t>
      </w:r>
      <w:r w:rsidRPr="006A656C">
        <w:rPr>
          <w:highlight w:val="white"/>
        </w:rPr>
        <w:t xml:space="preserve"> formation in humans was the lack of CD4+ T cell recognition of Pfs25-IMX313 derived peptide epitopes. This is supported by correlations established between the ratio of proliferated antigen-specificCD4+/Tfh-like T cells, CXCL13 sera levels, and the corresponding numbers of circulating Pfs25-specific memory B cells, that consequently reflected on antigen-specific IgG sera levels</w:t>
      </w:r>
      <w:r w:rsidR="0002148B">
        <w:rPr>
          <w:highlight w:val="white"/>
        </w:rPr>
        <w:t xml:space="preserve"> </w:t>
      </w:r>
      <w:r w:rsidR="0002148B" w:rsidRPr="003B0412">
        <w:rPr>
          <w:rFonts w:ascii="Times New Roman" w:eastAsia="Times New Roman" w:hAnsi="Times New Roman" w:cs="Times New Roman"/>
        </w:rPr>
        <w:t>[</w:t>
      </w:r>
      <w:r w:rsidR="0002148B">
        <w:rPr>
          <w:rFonts w:ascii="Times New Roman" w:eastAsia="Times New Roman" w:hAnsi="Times New Roman" w:cs="Times New Roman"/>
        </w:rPr>
        <w:t>20</w:t>
      </w:r>
      <w:r w:rsidR="0002148B" w:rsidRPr="003B0412">
        <w:rPr>
          <w:rFonts w:ascii="Times New Roman" w:eastAsia="Times New Roman" w:hAnsi="Times New Roman" w:cs="Times New Roman"/>
        </w:rPr>
        <w:t>]</w:t>
      </w:r>
      <w:r w:rsidRPr="006A656C">
        <w:rPr>
          <w:highlight w:val="white"/>
        </w:rPr>
        <w:t xml:space="preserve">.  </w:t>
      </w:r>
    </w:p>
    <w:p w14:paraId="36E60BBD" w14:textId="77777777" w:rsidR="00E2082B" w:rsidRPr="0002148B" w:rsidRDefault="00000000" w:rsidP="002442D5">
      <w:pPr>
        <w:pStyle w:val="Heading2"/>
        <w:numPr>
          <w:ilvl w:val="1"/>
          <w:numId w:val="6"/>
        </w:numPr>
        <w:jc w:val="both"/>
        <w:rPr>
          <w:b/>
          <w:bCs/>
          <w:i w:val="0"/>
          <w:iCs/>
        </w:rPr>
      </w:pPr>
      <w:r w:rsidRPr="0002148B">
        <w:rPr>
          <w:b/>
          <w:bCs/>
          <w:i w:val="0"/>
          <w:iCs/>
        </w:rPr>
        <w:t>Ad5-Pfs25</w:t>
      </w:r>
    </w:p>
    <w:p w14:paraId="0A2F08E0" w14:textId="64BCA075" w:rsidR="00C1129A" w:rsidRDefault="00000000" w:rsidP="002442D5">
      <w:pPr>
        <w:jc w:val="both"/>
        <w:rPr>
          <w:shd w:val="clear" w:color="auto" w:fill="FCFCFC"/>
        </w:rPr>
      </w:pPr>
      <w:r>
        <w:t xml:space="preserve">The Ad5-Pfs25 is a Pfs25 encoding gene delivered by adenovirus type 5 vector.  In an animal study, this vaccine was used as a prime injection of a boost of </w:t>
      </w:r>
      <w:r>
        <w:rPr>
          <w:shd w:val="clear" w:color="auto" w:fill="FCFCFC"/>
        </w:rPr>
        <w:t xml:space="preserve">Ad5 viral particles displaying only the Pfs25 epitope targeted by the specific antibodies against Pfs25 4B7 and 1D2 (Pfs25 aa 122–134) </w:t>
      </w:r>
      <w:r w:rsidR="0002148B" w:rsidRPr="003B0412">
        <w:rPr>
          <w:rFonts w:ascii="Times New Roman" w:eastAsia="Times New Roman" w:hAnsi="Times New Roman" w:cs="Times New Roman"/>
        </w:rPr>
        <w:t>[</w:t>
      </w:r>
      <w:r w:rsidR="0002148B">
        <w:rPr>
          <w:rFonts w:ascii="Times New Roman" w:eastAsia="Times New Roman" w:hAnsi="Times New Roman" w:cs="Times New Roman"/>
        </w:rPr>
        <w:t>21</w:t>
      </w:r>
      <w:r w:rsidR="0002148B" w:rsidRPr="003B0412">
        <w:rPr>
          <w:rFonts w:ascii="Times New Roman" w:eastAsia="Times New Roman" w:hAnsi="Times New Roman" w:cs="Times New Roman"/>
        </w:rPr>
        <w:t>]</w:t>
      </w:r>
      <w:r w:rsidR="0002148B" w:rsidRPr="006A656C">
        <w:rPr>
          <w:highlight w:val="white"/>
        </w:rPr>
        <w:t>.</w:t>
      </w:r>
      <w:r w:rsidR="0002148B">
        <w:t xml:space="preserve"> </w:t>
      </w:r>
      <w:r>
        <w:rPr>
          <w:shd w:val="clear" w:color="auto" w:fill="FCFCFC"/>
        </w:rPr>
        <w:t xml:space="preserve">Another animal study used the Ad5-Pfs25 in a heterologous prime-boost with a Modified vaccinia Ankara (MVA)-vectored Pfs25, resulted in a 96% reduction in the oocyst intensity </w:t>
      </w:r>
      <w:r w:rsidR="0002148B" w:rsidRPr="003B0412">
        <w:rPr>
          <w:rFonts w:ascii="Times New Roman" w:eastAsia="Times New Roman" w:hAnsi="Times New Roman" w:cs="Times New Roman"/>
        </w:rPr>
        <w:t>[</w:t>
      </w:r>
      <w:r w:rsidR="0002148B">
        <w:rPr>
          <w:rFonts w:ascii="Times New Roman" w:eastAsia="Times New Roman" w:hAnsi="Times New Roman" w:cs="Times New Roman"/>
        </w:rPr>
        <w:t>22</w:t>
      </w:r>
      <w:r w:rsidR="0002148B" w:rsidRPr="003B0412">
        <w:rPr>
          <w:rFonts w:ascii="Times New Roman" w:eastAsia="Times New Roman" w:hAnsi="Times New Roman" w:cs="Times New Roman"/>
        </w:rPr>
        <w:t>]</w:t>
      </w:r>
      <w:r w:rsidR="0002148B">
        <w:rPr>
          <w:rFonts w:ascii="Times New Roman" w:eastAsia="Times New Roman" w:hAnsi="Times New Roman" w:cs="Times New Roman"/>
        </w:rPr>
        <w:t xml:space="preserve">. </w:t>
      </w:r>
      <w:r>
        <w:rPr>
          <w:shd w:val="clear" w:color="auto" w:fill="FCFCFC"/>
        </w:rPr>
        <w:t>However, no report yet about whether this vaccine has entered a cinical trial.</w:t>
      </w:r>
    </w:p>
    <w:p w14:paraId="7BCA2E29" w14:textId="77777777" w:rsidR="0045163B" w:rsidRDefault="0045163B" w:rsidP="0045163B">
      <w:pPr>
        <w:rPr>
          <w:rFonts w:ascii="Segoe UI" w:hAnsi="Segoe UI" w:cs="Segoe UI"/>
          <w:color w:val="212121"/>
          <w:shd w:val="clear" w:color="auto" w:fill="FFFFFF"/>
        </w:rPr>
      </w:pPr>
    </w:p>
    <w:p w14:paraId="039B642A" w14:textId="50D3E6DF" w:rsidR="00E2082B" w:rsidRPr="0002148B" w:rsidRDefault="00000000" w:rsidP="0002148B">
      <w:pPr>
        <w:pStyle w:val="ListParagraph"/>
        <w:numPr>
          <w:ilvl w:val="0"/>
          <w:numId w:val="5"/>
        </w:numPr>
        <w:pBdr>
          <w:top w:val="nil"/>
          <w:left w:val="nil"/>
          <w:bottom w:val="nil"/>
          <w:right w:val="nil"/>
          <w:between w:val="nil"/>
        </w:pBdr>
        <w:spacing w:before="240"/>
        <w:ind w:left="284" w:hanging="284"/>
        <w:jc w:val="both"/>
        <w:rPr>
          <w:b/>
          <w:color w:val="000000"/>
        </w:rPr>
      </w:pPr>
      <w:r w:rsidRPr="0002148B">
        <w:rPr>
          <w:b/>
          <w:color w:val="000000"/>
        </w:rPr>
        <w:t>Advances in transmission blocking assay</w:t>
      </w:r>
    </w:p>
    <w:p w14:paraId="7B5E4671" w14:textId="7AB428CF" w:rsidR="00E2082B" w:rsidRDefault="00000000" w:rsidP="002442D5">
      <w:pPr>
        <w:pBdr>
          <w:top w:val="nil"/>
          <w:left w:val="nil"/>
          <w:bottom w:val="nil"/>
          <w:right w:val="nil"/>
          <w:between w:val="nil"/>
        </w:pBdr>
        <w:jc w:val="both"/>
        <w:rPr>
          <w:color w:val="000000"/>
        </w:rPr>
      </w:pPr>
      <w:r>
        <w:rPr>
          <w:rFonts w:ascii="Times New Roman" w:eastAsia="Times New Roman" w:hAnsi="Times New Roman" w:cs="Times New Roman"/>
          <w:color w:val="000000"/>
          <w:highlight w:val="white"/>
        </w:rPr>
        <w:lastRenderedPageBreak/>
        <w:t xml:space="preserve">Efficacy of a TBV are evaluated using a method known as transmission blocking assay (TBA). To date, there are two kinds of TBA; standard membrane feeding assay (SMFA) and direct feeding assay (DFA). The oocyst numbers and prevalence are counted and compared between the immunized and control groups for the inhibition calculation. The efficacy could be presented in two outreads; transmission-blocking activity (TBA) and transmission-reducing activity (TRA) </w:t>
      </w:r>
      <w:r w:rsidR="006E6B5F" w:rsidRPr="003B0412">
        <w:rPr>
          <w:rFonts w:ascii="Times New Roman" w:eastAsia="Times New Roman" w:hAnsi="Times New Roman" w:cs="Times New Roman"/>
        </w:rPr>
        <w:t>[</w:t>
      </w:r>
      <w:r w:rsidR="006E6B5F">
        <w:rPr>
          <w:rFonts w:ascii="Times New Roman" w:eastAsia="Times New Roman" w:hAnsi="Times New Roman" w:cs="Times New Roman"/>
        </w:rPr>
        <w:t>6</w:t>
      </w:r>
      <w:r w:rsidR="006E6B5F" w:rsidRPr="006E6B5F">
        <w:rPr>
          <w:rFonts w:ascii="Times New Roman" w:eastAsia="Times New Roman" w:hAnsi="Times New Roman" w:cs="Times New Roman"/>
        </w:rPr>
        <w:t>].</w:t>
      </w:r>
    </w:p>
    <w:p w14:paraId="6AC15D2D" w14:textId="6BEB2B1E" w:rsidR="00E2082B" w:rsidRPr="0002148B" w:rsidRDefault="0002148B" w:rsidP="0002148B">
      <w:pPr>
        <w:pStyle w:val="Heading2"/>
        <w:jc w:val="both"/>
        <w:rPr>
          <w:b/>
          <w:bCs/>
          <w:i w:val="0"/>
          <w:iCs/>
        </w:rPr>
      </w:pPr>
      <w:r w:rsidRPr="0002148B">
        <w:rPr>
          <w:b/>
          <w:bCs/>
          <w:i w:val="0"/>
          <w:iCs/>
        </w:rPr>
        <w:t>3.1 SMFA and DFA</w:t>
      </w:r>
    </w:p>
    <w:p w14:paraId="17207891" w14:textId="56BF3EF8" w:rsidR="00E2082B" w:rsidRDefault="00000000" w:rsidP="002442D5">
      <w:pPr>
        <w:jc w:val="both"/>
      </w:pPr>
      <w:r>
        <w:t xml:space="preserve">In an SMFA, after immunization, sera are collected and then mixed with the mosquito blood meal in a membrane feeder containing </w:t>
      </w:r>
      <w:r>
        <w:rPr>
          <w:i/>
        </w:rPr>
        <w:t>P falciparum</w:t>
      </w:r>
      <w:r>
        <w:t xml:space="preserve"> strain NF54 that has been induced for gametocytogenesis. After taking blood, mosquitoes are maintained for around 10 days and then their midgut are dissected for oocyst examination for their intensity and prevalence (Fig </w:t>
      </w:r>
      <w:r w:rsidR="00293919">
        <w:t>3</w:t>
      </w:r>
      <w:r>
        <w:t>). This method is used more commonly in transmission blocking assay</w:t>
      </w:r>
      <w:r w:rsidR="00293919">
        <w:t>, including in human trials</w:t>
      </w:r>
      <w:r>
        <w:t>.</w:t>
      </w:r>
    </w:p>
    <w:p w14:paraId="53BE17C2" w14:textId="77777777" w:rsidR="00E2082B" w:rsidRDefault="00E2082B" w:rsidP="002442D5">
      <w:pPr>
        <w:jc w:val="both"/>
      </w:pPr>
    </w:p>
    <w:p w14:paraId="3EA25973" w14:textId="77777777" w:rsidR="00E2082B" w:rsidRDefault="00000000" w:rsidP="001A58BE">
      <w:pPr>
        <w:jc w:val="center"/>
      </w:pPr>
      <w:r>
        <w:rPr>
          <w:noProof/>
        </w:rPr>
        <w:drawing>
          <wp:inline distT="0" distB="0" distL="0" distR="0" wp14:anchorId="37071484" wp14:editId="25AACB1F">
            <wp:extent cx="2853711" cy="1584312"/>
            <wp:effectExtent l="0" t="0" r="0" b="0"/>
            <wp:docPr id="3" name="image3.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lock&#10;&#10;Description automatically generated"/>
                    <pic:cNvPicPr preferRelativeResize="0"/>
                  </pic:nvPicPr>
                  <pic:blipFill>
                    <a:blip r:embed="rId9"/>
                    <a:srcRect/>
                    <a:stretch>
                      <a:fillRect/>
                    </a:stretch>
                  </pic:blipFill>
                  <pic:spPr>
                    <a:xfrm>
                      <a:off x="0" y="0"/>
                      <a:ext cx="2853711" cy="1584312"/>
                    </a:xfrm>
                    <a:prstGeom prst="rect">
                      <a:avLst/>
                    </a:prstGeom>
                    <a:ln/>
                  </pic:spPr>
                </pic:pic>
              </a:graphicData>
            </a:graphic>
          </wp:inline>
        </w:drawing>
      </w:r>
    </w:p>
    <w:p w14:paraId="754E60CC" w14:textId="3EACD1E2" w:rsidR="00E2082B" w:rsidRDefault="00000000" w:rsidP="002442D5">
      <w:pPr>
        <w:jc w:val="both"/>
      </w:pPr>
      <w:r>
        <w:rPr>
          <w:b/>
        </w:rPr>
        <w:t xml:space="preserve">Fig </w:t>
      </w:r>
      <w:r w:rsidR="00C1129A">
        <w:rPr>
          <w:b/>
        </w:rPr>
        <w:t>3</w:t>
      </w:r>
      <w:r>
        <w:rPr>
          <w:b/>
        </w:rPr>
        <w:t>.</w:t>
      </w:r>
      <w:r>
        <w:t xml:space="preserve"> </w:t>
      </w:r>
      <w:r>
        <w:rPr>
          <w:b/>
        </w:rPr>
        <w:t>Standard Membrane Feeding Assay</w:t>
      </w:r>
      <w:r>
        <w:t xml:space="preserve">. After immunization (prime and boost), sera are collected and mixed with the </w:t>
      </w:r>
      <w:r>
        <w:rPr>
          <w:i/>
        </w:rPr>
        <w:t>P falciparum</w:t>
      </w:r>
      <w:r>
        <w:t xml:space="preserve"> culture for membrane feeding of the mosquitoes. The development of oocyst in the mosquito midgut are evaluated after 10-12 days</w:t>
      </w:r>
    </w:p>
    <w:p w14:paraId="5AE47203" w14:textId="77777777" w:rsidR="00E2082B" w:rsidRDefault="00E2082B" w:rsidP="002442D5">
      <w:pPr>
        <w:jc w:val="both"/>
      </w:pPr>
    </w:p>
    <w:p w14:paraId="08F6B955" w14:textId="5799B475" w:rsidR="00E2082B" w:rsidRDefault="00000000" w:rsidP="002442D5">
      <w:pPr>
        <w:ind w:firstLine="284"/>
        <w:jc w:val="both"/>
      </w:pPr>
      <w:r>
        <w:t xml:space="preserve">In a DFA, sera from immunized mice are not collected, but the mice are infected with the transgenic parasite </w:t>
      </w:r>
      <w:r>
        <w:rPr>
          <w:i/>
        </w:rPr>
        <w:t>P berghei</w:t>
      </w:r>
      <w:r>
        <w:t xml:space="preserve"> containing the Pfs25 gene (</w:t>
      </w:r>
      <w:r>
        <w:rPr>
          <w:i/>
        </w:rPr>
        <w:t>Pb</w:t>
      </w:r>
      <w:r>
        <w:t xml:space="preserve">Pfs25DR3) (Fig </w:t>
      </w:r>
      <w:r w:rsidR="00293919">
        <w:t>4</w:t>
      </w:r>
      <w:r>
        <w:t>)</w:t>
      </w:r>
      <w:r w:rsidR="006E6B5F">
        <w:t xml:space="preserve"> </w:t>
      </w:r>
      <w:r w:rsidR="006E6B5F" w:rsidRPr="003B0412">
        <w:rPr>
          <w:rFonts w:ascii="Times New Roman" w:eastAsia="Times New Roman" w:hAnsi="Times New Roman" w:cs="Times New Roman"/>
        </w:rPr>
        <w:t>[</w:t>
      </w:r>
      <w:r w:rsidR="006E6B5F">
        <w:rPr>
          <w:rFonts w:ascii="Times New Roman" w:eastAsia="Times New Roman" w:hAnsi="Times New Roman" w:cs="Times New Roman"/>
        </w:rPr>
        <w:t>22</w:t>
      </w:r>
      <w:r w:rsidR="006E6B5F" w:rsidRPr="006E6B5F">
        <w:rPr>
          <w:rFonts w:ascii="Times New Roman" w:eastAsia="Times New Roman" w:hAnsi="Times New Roman" w:cs="Times New Roman"/>
        </w:rPr>
        <w:t>].</w:t>
      </w:r>
      <w:r>
        <w:t xml:space="preserve"> It has been suggested that this assay is twice as effective as SMFA</w:t>
      </w:r>
      <w:r w:rsidR="006E6B5F" w:rsidRPr="003B0412">
        <w:rPr>
          <w:rFonts w:ascii="Times New Roman" w:eastAsia="Times New Roman" w:hAnsi="Times New Roman" w:cs="Times New Roman"/>
        </w:rPr>
        <w:t>[</w:t>
      </w:r>
      <w:r w:rsidR="006E6B5F">
        <w:rPr>
          <w:rFonts w:ascii="Times New Roman" w:eastAsia="Times New Roman" w:hAnsi="Times New Roman" w:cs="Times New Roman"/>
        </w:rPr>
        <w:t>23</w:t>
      </w:r>
      <w:r w:rsidR="006E6B5F" w:rsidRPr="006E6B5F">
        <w:rPr>
          <w:rFonts w:ascii="Times New Roman" w:eastAsia="Times New Roman" w:hAnsi="Times New Roman" w:cs="Times New Roman"/>
        </w:rPr>
        <w:t>].</w:t>
      </w:r>
    </w:p>
    <w:p w14:paraId="7C3095FE" w14:textId="77777777" w:rsidR="00E2082B" w:rsidRDefault="00E2082B" w:rsidP="002442D5">
      <w:pPr>
        <w:jc w:val="both"/>
      </w:pPr>
    </w:p>
    <w:p w14:paraId="6EF7203D" w14:textId="77777777" w:rsidR="00E2082B" w:rsidRDefault="00000000" w:rsidP="001A58BE">
      <w:pPr>
        <w:jc w:val="center"/>
      </w:pPr>
      <w:r>
        <w:rPr>
          <w:noProof/>
        </w:rPr>
        <w:drawing>
          <wp:inline distT="0" distB="0" distL="0" distR="0" wp14:anchorId="243F1C76" wp14:editId="4148A39C">
            <wp:extent cx="2735179" cy="1668379"/>
            <wp:effectExtent l="0" t="0" r="8255"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753355" cy="1679466"/>
                    </a:xfrm>
                    <a:prstGeom prst="rect">
                      <a:avLst/>
                    </a:prstGeom>
                    <a:ln/>
                  </pic:spPr>
                </pic:pic>
              </a:graphicData>
            </a:graphic>
          </wp:inline>
        </w:drawing>
      </w:r>
    </w:p>
    <w:p w14:paraId="199CC4D1" w14:textId="7971D351" w:rsidR="00E2082B" w:rsidRDefault="00000000" w:rsidP="002442D5">
      <w:pPr>
        <w:jc w:val="both"/>
      </w:pPr>
      <w:r>
        <w:rPr>
          <w:b/>
        </w:rPr>
        <w:t xml:space="preserve">Fig </w:t>
      </w:r>
      <w:r w:rsidR="00C1129A">
        <w:rPr>
          <w:b/>
        </w:rPr>
        <w:t>4</w:t>
      </w:r>
      <w:r>
        <w:rPr>
          <w:b/>
        </w:rPr>
        <w:t xml:space="preserve">. Direct Feeding Assay. </w:t>
      </w:r>
      <w:r>
        <w:t xml:space="preserve">After immunization (prime and boost), mice are infected with the </w:t>
      </w:r>
      <w:r>
        <w:rPr>
          <w:i/>
        </w:rPr>
        <w:t>Pb</w:t>
      </w:r>
      <w:r>
        <w:t>Pfs25DR3. Mosquitoes are allowed to take blood directly from the mice and the development of oocyst in the midgut are evaluated after 10-12 days</w:t>
      </w:r>
    </w:p>
    <w:p w14:paraId="2E3734C2" w14:textId="385E8D21" w:rsidR="00E2082B" w:rsidRPr="009B00F8" w:rsidRDefault="00000000" w:rsidP="009B00F8">
      <w:pPr>
        <w:pStyle w:val="Heading2"/>
        <w:numPr>
          <w:ilvl w:val="1"/>
          <w:numId w:val="11"/>
        </w:numPr>
        <w:ind w:left="426"/>
        <w:jc w:val="both"/>
        <w:rPr>
          <w:b/>
          <w:bCs/>
          <w:i w:val="0"/>
          <w:iCs/>
        </w:rPr>
      </w:pPr>
      <w:r w:rsidRPr="009B00F8">
        <w:rPr>
          <w:b/>
          <w:bCs/>
          <w:i w:val="0"/>
          <w:iCs/>
        </w:rPr>
        <w:t>TBA and TRA</w:t>
      </w:r>
    </w:p>
    <w:p w14:paraId="59B2AFF6" w14:textId="617B6BC1" w:rsidR="009B00F8" w:rsidRDefault="00000000" w:rsidP="009B00F8">
      <w:pPr>
        <w:ind w:firstLine="284"/>
        <w:jc w:val="both"/>
      </w:pPr>
      <w:r>
        <w:rPr>
          <w:color w:val="000000"/>
        </w:rPr>
        <w:t>The Transmission-reducing activity (TRA) indicates the percent inhibition of mean oocyst intensity which is calculated using the formula: 100 x [1 – (mean number of oocysts in the test group/mean number of oocysts in the control groups)]. Whereas transmission-blocking activity (TBA) indicates the % inhibition of oocyst prevalence which is evaluated as: 100 x [1 – (proportion of mosquitoes with any oocysts in the test group/proportion of mosquitoes with any oocysts in the control groups)]</w:t>
      </w:r>
      <w:r w:rsidR="009B00F8">
        <w:rPr>
          <w:color w:val="000000"/>
        </w:rPr>
        <w:t xml:space="preserve"> </w:t>
      </w:r>
      <w:r w:rsidR="009B00F8" w:rsidRPr="003B0412">
        <w:rPr>
          <w:rFonts w:ascii="Times New Roman" w:eastAsia="Times New Roman" w:hAnsi="Times New Roman" w:cs="Times New Roman"/>
        </w:rPr>
        <w:t>[</w:t>
      </w:r>
      <w:r w:rsidR="009B00F8">
        <w:rPr>
          <w:rFonts w:ascii="Times New Roman" w:eastAsia="Times New Roman" w:hAnsi="Times New Roman" w:cs="Times New Roman"/>
        </w:rPr>
        <w:t>24</w:t>
      </w:r>
      <w:r w:rsidR="009B00F8" w:rsidRPr="006E6B5F">
        <w:rPr>
          <w:rFonts w:ascii="Times New Roman" w:eastAsia="Times New Roman" w:hAnsi="Times New Roman" w:cs="Times New Roman"/>
        </w:rPr>
        <w:t>].</w:t>
      </w:r>
      <w:r w:rsidR="009B00F8">
        <w:rPr>
          <w:rFonts w:ascii="Times New Roman" w:eastAsia="Times New Roman" w:hAnsi="Times New Roman" w:cs="Times New Roman"/>
        </w:rPr>
        <w:t xml:space="preserve"> </w:t>
      </w:r>
      <w:r>
        <w:rPr>
          <w:color w:val="000000"/>
        </w:rPr>
        <w:t>It was reported that the variability of inter-laboratory result might be reduced by reporting the TBV efficacy in TRA</w:t>
      </w:r>
      <w:r w:rsidR="009B00F8">
        <w:rPr>
          <w:color w:val="000000"/>
        </w:rPr>
        <w:t xml:space="preserve"> </w:t>
      </w:r>
      <w:r w:rsidR="009B00F8" w:rsidRPr="003B0412">
        <w:rPr>
          <w:rFonts w:ascii="Times New Roman" w:eastAsia="Times New Roman" w:hAnsi="Times New Roman" w:cs="Times New Roman"/>
        </w:rPr>
        <w:t>[</w:t>
      </w:r>
      <w:r w:rsidR="009B00F8">
        <w:rPr>
          <w:rFonts w:ascii="Times New Roman" w:eastAsia="Times New Roman" w:hAnsi="Times New Roman" w:cs="Times New Roman"/>
        </w:rPr>
        <w:t>2</w:t>
      </w:r>
      <w:r w:rsidR="0017545E">
        <w:rPr>
          <w:rFonts w:ascii="Times New Roman" w:eastAsia="Times New Roman" w:hAnsi="Times New Roman" w:cs="Times New Roman"/>
        </w:rPr>
        <w:t>5</w:t>
      </w:r>
      <w:r w:rsidR="009B00F8" w:rsidRPr="006E6B5F">
        <w:rPr>
          <w:rFonts w:ascii="Times New Roman" w:eastAsia="Times New Roman" w:hAnsi="Times New Roman" w:cs="Times New Roman"/>
        </w:rPr>
        <w:t>].</w:t>
      </w:r>
    </w:p>
    <w:p w14:paraId="065D0487" w14:textId="77777777" w:rsidR="00E2082B" w:rsidRDefault="00000000" w:rsidP="00C1129A">
      <w:pPr>
        <w:numPr>
          <w:ilvl w:val="0"/>
          <w:numId w:val="5"/>
        </w:numPr>
        <w:pBdr>
          <w:top w:val="nil"/>
          <w:left w:val="nil"/>
          <w:bottom w:val="nil"/>
          <w:right w:val="nil"/>
          <w:between w:val="nil"/>
        </w:pBdr>
        <w:spacing w:before="240"/>
        <w:ind w:left="284" w:hanging="284"/>
        <w:jc w:val="both"/>
        <w:rPr>
          <w:b/>
          <w:color w:val="000000"/>
        </w:rPr>
      </w:pPr>
      <w:r>
        <w:rPr>
          <w:b/>
          <w:color w:val="000000"/>
        </w:rPr>
        <w:lastRenderedPageBreak/>
        <w:t>Challenges in the development of TBV</w:t>
      </w:r>
    </w:p>
    <w:p w14:paraId="2289977C" w14:textId="03EABBD8" w:rsidR="009B00F8" w:rsidRDefault="00000000" w:rsidP="009B00F8">
      <w:pPr>
        <w:ind w:firstLine="284"/>
        <w:jc w:val="both"/>
      </w:pPr>
      <w:r>
        <w:rPr>
          <w:rFonts w:ascii="Times New Roman" w:eastAsia="Times New Roman" w:hAnsi="Times New Roman" w:cs="Times New Roman"/>
          <w:color w:val="000000"/>
          <w:highlight w:val="white"/>
        </w:rPr>
        <w:t xml:space="preserve">Since the Pfs25 are expressed in the mosquito stages, natural infection cannot boost the immune response against this antigen. Thus, the antibody titer may wane over time. To overcome this problem, an effective TBV should be able to induce a long-lasting immune response, particularly antibody induction. </w:t>
      </w:r>
      <w:r w:rsidR="00293919">
        <w:rPr>
          <w:rFonts w:ascii="Times New Roman" w:eastAsia="Times New Roman" w:hAnsi="Times New Roman" w:cs="Times New Roman"/>
          <w:color w:val="000000"/>
          <w:highlight w:val="white"/>
        </w:rPr>
        <w:t>A</w:t>
      </w:r>
      <w:r w:rsidR="00DC5856">
        <w:rPr>
          <w:rFonts w:ascii="Times New Roman" w:eastAsia="Times New Roman" w:hAnsi="Times New Roman" w:cs="Times New Roman"/>
          <w:color w:val="000000"/>
          <w:highlight w:val="white"/>
        </w:rPr>
        <w:t>n induction of</w:t>
      </w:r>
      <w:r>
        <w:rPr>
          <w:rFonts w:ascii="Times New Roman" w:eastAsia="Times New Roman" w:hAnsi="Times New Roman" w:cs="Times New Roman"/>
          <w:color w:val="000000"/>
          <w:highlight w:val="white"/>
        </w:rPr>
        <w:t xml:space="preserve"> long-term antibody response </w:t>
      </w:r>
      <w:r w:rsidR="00DC5856">
        <w:rPr>
          <w:rFonts w:ascii="Times New Roman" w:eastAsia="Times New Roman" w:hAnsi="Times New Roman" w:cs="Times New Roman"/>
          <w:color w:val="000000"/>
          <w:highlight w:val="white"/>
        </w:rPr>
        <w:t xml:space="preserve">has been reported previously </w:t>
      </w:r>
      <w:r>
        <w:rPr>
          <w:rFonts w:ascii="Times New Roman" w:eastAsia="Times New Roman" w:hAnsi="Times New Roman" w:cs="Times New Roman"/>
          <w:color w:val="000000"/>
          <w:highlight w:val="white"/>
        </w:rPr>
        <w:t xml:space="preserve">in a study </w:t>
      </w:r>
      <w:r w:rsidR="00DC5856">
        <w:rPr>
          <w:rFonts w:ascii="Times New Roman" w:eastAsia="Times New Roman" w:hAnsi="Times New Roman" w:cs="Times New Roman"/>
          <w:color w:val="000000"/>
          <w:highlight w:val="white"/>
        </w:rPr>
        <w:t>using</w:t>
      </w:r>
      <w:r>
        <w:rPr>
          <w:rFonts w:ascii="Times New Roman" w:eastAsia="Times New Roman" w:hAnsi="Times New Roman" w:cs="Times New Roman"/>
          <w:color w:val="000000"/>
          <w:highlight w:val="white"/>
        </w:rPr>
        <w:t xml:space="preserve"> Ad5-Pfs25 prime followed by an adeno-associated virus serotype 1 (AAV1)-vectored Pfs25</w:t>
      </w:r>
      <w:r w:rsidR="00DC5856">
        <w:rPr>
          <w:rFonts w:ascii="Times New Roman" w:eastAsia="Times New Roman" w:hAnsi="Times New Roman" w:cs="Times New Roman"/>
          <w:color w:val="000000"/>
          <w:highlight w:val="white"/>
        </w:rPr>
        <w:t xml:space="preserve"> boost</w:t>
      </w:r>
      <w:r>
        <w:rPr>
          <w:rFonts w:ascii="Times New Roman" w:eastAsia="Times New Roman" w:hAnsi="Times New Roman" w:cs="Times New Roman"/>
          <w:color w:val="000000"/>
          <w:highlight w:val="white"/>
        </w:rPr>
        <w:t xml:space="preserve"> </w:t>
      </w:r>
      <w:r w:rsidR="009B00F8" w:rsidRPr="003B0412">
        <w:rPr>
          <w:rFonts w:ascii="Times New Roman" w:eastAsia="Times New Roman" w:hAnsi="Times New Roman" w:cs="Times New Roman"/>
        </w:rPr>
        <w:t>[</w:t>
      </w:r>
      <w:r w:rsidR="009B00F8">
        <w:rPr>
          <w:rFonts w:ascii="Times New Roman" w:eastAsia="Times New Roman" w:hAnsi="Times New Roman" w:cs="Times New Roman"/>
        </w:rPr>
        <w:t>2</w:t>
      </w:r>
      <w:r w:rsidR="00F81CC5">
        <w:rPr>
          <w:rFonts w:ascii="Times New Roman" w:eastAsia="Times New Roman" w:hAnsi="Times New Roman" w:cs="Times New Roman"/>
        </w:rPr>
        <w:t>6</w:t>
      </w:r>
      <w:r w:rsidR="009B00F8" w:rsidRPr="006E6B5F">
        <w:rPr>
          <w:rFonts w:ascii="Times New Roman" w:eastAsia="Times New Roman" w:hAnsi="Times New Roman" w:cs="Times New Roman"/>
        </w:rPr>
        <w:t>].</w:t>
      </w:r>
    </w:p>
    <w:p w14:paraId="00EE73EA" w14:textId="35A8ECE7" w:rsidR="00E2082B" w:rsidRDefault="00000000" w:rsidP="002442D5">
      <w:pPr>
        <w:pBdr>
          <w:top w:val="nil"/>
          <w:left w:val="nil"/>
          <w:bottom w:val="nil"/>
          <w:right w:val="nil"/>
          <w:between w:val="nil"/>
        </w:pBdr>
        <w:ind w:firstLine="284"/>
        <w:jc w:val="both"/>
        <w:rPr>
          <w:color w:val="000000"/>
        </w:rPr>
      </w:pPr>
      <w:r>
        <w:rPr>
          <w:color w:val="000000"/>
        </w:rPr>
        <w:t>Another</w:t>
      </w:r>
      <w:r w:rsidR="00293919">
        <w:rPr>
          <w:color w:val="000000"/>
        </w:rPr>
        <w:t xml:space="preserve"> point at</w:t>
      </w:r>
      <w:r>
        <w:rPr>
          <w:color w:val="000000"/>
        </w:rPr>
        <w:t xml:space="preserve"> issue is </w:t>
      </w:r>
      <w:r w:rsidR="00293919">
        <w:rPr>
          <w:color w:val="000000"/>
        </w:rPr>
        <w:t xml:space="preserve">vaccination should </w:t>
      </w:r>
      <w:r>
        <w:rPr>
          <w:color w:val="000000"/>
        </w:rPr>
        <w:t xml:space="preserve">give protection to the people who get vaccinated with the TBV, in addition to inhibit the transmission. This was addressed by the study on potential mixing of Pfs25-IMX313 with RTS,S/AS01 in one formulation </w:t>
      </w:r>
      <w:r w:rsidR="009B00F8" w:rsidRPr="003B0412">
        <w:rPr>
          <w:rFonts w:ascii="Times New Roman" w:eastAsia="Times New Roman" w:hAnsi="Times New Roman" w:cs="Times New Roman"/>
        </w:rPr>
        <w:t>[</w:t>
      </w:r>
      <w:r w:rsidR="009B00F8">
        <w:rPr>
          <w:rFonts w:ascii="Times New Roman" w:eastAsia="Times New Roman" w:hAnsi="Times New Roman" w:cs="Times New Roman"/>
        </w:rPr>
        <w:t>7</w:t>
      </w:r>
      <w:r w:rsidR="009B00F8" w:rsidRPr="006E6B5F">
        <w:rPr>
          <w:rFonts w:ascii="Times New Roman" w:eastAsia="Times New Roman" w:hAnsi="Times New Roman" w:cs="Times New Roman"/>
        </w:rPr>
        <w:t>].</w:t>
      </w:r>
      <w:r w:rsidR="009B00F8">
        <w:rPr>
          <w:rFonts w:ascii="Times New Roman" w:eastAsia="Times New Roman" w:hAnsi="Times New Roman" w:cs="Times New Roman"/>
        </w:rPr>
        <w:t xml:space="preserve"> </w:t>
      </w:r>
      <w:r>
        <w:rPr>
          <w:color w:val="000000"/>
        </w:rPr>
        <w:t xml:space="preserve">It was reported that the mixture was able to induce immune responses against the pre-erythrocytic stage and the mosquito stage hence it may be effective for both protection and transmission blocking. Another approach was to produce a multi-stage vaccine, combining the sequence of antigen of both stages in one construct. </w:t>
      </w:r>
      <w:r w:rsidR="00DC5856">
        <w:rPr>
          <w:color w:val="000000"/>
        </w:rPr>
        <w:t>I</w:t>
      </w:r>
      <w:r>
        <w:rPr>
          <w:color w:val="000000"/>
        </w:rPr>
        <w:t>n an animal study using DFA</w:t>
      </w:r>
      <w:r w:rsidR="00DC5856">
        <w:rPr>
          <w:color w:val="000000"/>
        </w:rPr>
        <w:t xml:space="preserve">, </w:t>
      </w:r>
      <w:r>
        <w:rPr>
          <w:color w:val="000000"/>
        </w:rPr>
        <w:t>a heterologous prime-boost using Ad5-AAV1 delivering the multistage PfCSP-Pfs25 antigen induced long-term antibody titer against both antigens. In addition, the vaccine achieved high efficacy of 99% TRA</w:t>
      </w:r>
      <w:r w:rsidR="00DC5856">
        <w:rPr>
          <w:color w:val="000000"/>
        </w:rPr>
        <w:t xml:space="preserve"> even after almost 1 year</w:t>
      </w:r>
      <w:r w:rsidR="009B00F8" w:rsidRPr="003B0412">
        <w:rPr>
          <w:rFonts w:ascii="Times New Roman" w:eastAsia="Times New Roman" w:hAnsi="Times New Roman" w:cs="Times New Roman"/>
        </w:rPr>
        <w:t>[</w:t>
      </w:r>
      <w:r w:rsidR="009B00F8">
        <w:rPr>
          <w:rFonts w:ascii="Times New Roman" w:eastAsia="Times New Roman" w:hAnsi="Times New Roman" w:cs="Times New Roman"/>
        </w:rPr>
        <w:t>2</w:t>
      </w:r>
      <w:r w:rsidR="00F81CC5">
        <w:rPr>
          <w:rFonts w:ascii="Times New Roman" w:eastAsia="Times New Roman" w:hAnsi="Times New Roman" w:cs="Times New Roman"/>
        </w:rPr>
        <w:t>7</w:t>
      </w:r>
      <w:r w:rsidR="009B00F8" w:rsidRPr="006E6B5F">
        <w:rPr>
          <w:rFonts w:ascii="Times New Roman" w:eastAsia="Times New Roman" w:hAnsi="Times New Roman" w:cs="Times New Roman"/>
        </w:rPr>
        <w:t>].</w:t>
      </w:r>
      <w:r w:rsidR="009B00F8">
        <w:rPr>
          <w:rFonts w:ascii="Times New Roman" w:eastAsia="Times New Roman" w:hAnsi="Times New Roman" w:cs="Times New Roman"/>
        </w:rPr>
        <w:t xml:space="preserve"> </w:t>
      </w:r>
      <w:r>
        <w:rPr>
          <w:color w:val="000000"/>
        </w:rPr>
        <w:t>If such efficacy can be reached in human, we may achieve the goal to eradicate malaria.</w:t>
      </w:r>
    </w:p>
    <w:p w14:paraId="56E18929" w14:textId="77777777" w:rsidR="00E2082B" w:rsidRDefault="00000000" w:rsidP="00C1129A">
      <w:pPr>
        <w:numPr>
          <w:ilvl w:val="0"/>
          <w:numId w:val="5"/>
        </w:numPr>
        <w:pBdr>
          <w:top w:val="nil"/>
          <w:left w:val="nil"/>
          <w:bottom w:val="nil"/>
          <w:right w:val="nil"/>
          <w:between w:val="nil"/>
        </w:pBdr>
        <w:spacing w:before="240"/>
        <w:ind w:left="284" w:hanging="284"/>
        <w:jc w:val="both"/>
        <w:rPr>
          <w:b/>
          <w:color w:val="000000"/>
        </w:rPr>
      </w:pPr>
      <w:r>
        <w:rPr>
          <w:b/>
          <w:color w:val="000000"/>
        </w:rPr>
        <w:t>Conclusion</w:t>
      </w:r>
    </w:p>
    <w:p w14:paraId="2557C9BB" w14:textId="77777777" w:rsidR="00E2082B" w:rsidRDefault="00000000" w:rsidP="002442D5">
      <w:pPr>
        <w:pBdr>
          <w:top w:val="nil"/>
          <w:left w:val="nil"/>
          <w:bottom w:val="nil"/>
          <w:right w:val="nil"/>
          <w:between w:val="nil"/>
        </w:pBdr>
        <w:jc w:val="both"/>
        <w:rPr>
          <w:color w:val="000000"/>
        </w:rPr>
      </w:pPr>
      <w:r>
        <w:rPr>
          <w:rFonts w:ascii="Times New Roman" w:eastAsia="Times New Roman" w:hAnsi="Times New Roman" w:cs="Times New Roman"/>
          <w:color w:val="000000"/>
          <w:highlight w:val="white"/>
        </w:rPr>
        <w:t>An effective vaccine targeting the antigen of the mosquito stages of malaria parasite might be a powerful alternative modality for malaria control. More intensive studies are needed to explore the potency of Pfs25 as the leading candidate to be an effective TBV.</w:t>
      </w:r>
    </w:p>
    <w:p w14:paraId="33E2D616" w14:textId="77777777" w:rsidR="00E2082B" w:rsidRDefault="00000000" w:rsidP="002442D5">
      <w:pPr>
        <w:pBdr>
          <w:top w:val="nil"/>
          <w:left w:val="nil"/>
          <w:bottom w:val="nil"/>
          <w:right w:val="nil"/>
          <w:between w:val="nil"/>
        </w:pBdr>
        <w:spacing w:before="240"/>
        <w:jc w:val="both"/>
        <w:rPr>
          <w:b/>
          <w:color w:val="000000"/>
        </w:rPr>
      </w:pPr>
      <w:r>
        <w:rPr>
          <w:b/>
          <w:color w:val="000000"/>
        </w:rPr>
        <w:t>References</w:t>
      </w:r>
    </w:p>
    <w:p w14:paraId="203BEAF4" w14:textId="77777777" w:rsidR="00E2082B" w:rsidRDefault="00E2082B" w:rsidP="002442D5">
      <w:pPr>
        <w:pBdr>
          <w:top w:val="nil"/>
          <w:left w:val="nil"/>
          <w:bottom w:val="nil"/>
          <w:right w:val="nil"/>
          <w:between w:val="nil"/>
        </w:pBdr>
        <w:jc w:val="both"/>
        <w:rPr>
          <w:b/>
          <w:color w:val="000000"/>
          <w:sz w:val="28"/>
          <w:szCs w:val="28"/>
        </w:rPr>
      </w:pPr>
    </w:p>
    <w:p w14:paraId="651ED351" w14:textId="77777777"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bookmarkStart w:id="0" w:name="_Hlk169337448"/>
      <w:r w:rsidRPr="00F81CC5">
        <w:rPr>
          <w:rFonts w:ascii="Times New Roman" w:hAnsi="Times New Roman" w:cs="Times New Roman"/>
        </w:rPr>
        <w:t>WHO. (2019, 4 December 2019). "The "World malaria report 2019" at a glance."   Retrieved 20 September 2020, from https://www.who.int/news-room/feature-stories/detail/world-malaria-report-2019.</w:t>
      </w:r>
    </w:p>
    <w:p w14:paraId="6A9DC5D5" w14:textId="3760D22D"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Duffy, P. E. and D. C. Kaslow</w:t>
      </w:r>
      <w:r w:rsidR="00D87648">
        <w:rPr>
          <w:rFonts w:ascii="Times New Roman" w:hAnsi="Times New Roman" w:cs="Times New Roman"/>
        </w:rPr>
        <w:t>.</w:t>
      </w:r>
      <w:r w:rsidRPr="00F81CC5">
        <w:rPr>
          <w:rFonts w:ascii="Times New Roman" w:hAnsi="Times New Roman" w:cs="Times New Roman"/>
        </w:rPr>
        <w:t xml:space="preserve"> A novel malaria protein, Pfs28, and Pfs25 are genetically linked and synergistic as falciparum malaria transmission-blocking vaccines. </w:t>
      </w:r>
      <w:r w:rsidRPr="00F81CC5">
        <w:rPr>
          <w:rFonts w:ascii="Times New Roman" w:hAnsi="Times New Roman" w:cs="Times New Roman"/>
          <w:i/>
        </w:rPr>
        <w:t>Infect Imm</w:t>
      </w:r>
      <w:r w:rsidR="00D87648">
        <w:rPr>
          <w:rFonts w:ascii="Times New Roman" w:hAnsi="Times New Roman" w:cs="Times New Roman"/>
          <w:i/>
        </w:rPr>
        <w:t xml:space="preserve">. </w:t>
      </w:r>
      <w:r w:rsidR="00D87648" w:rsidRPr="00D87648">
        <w:rPr>
          <w:rFonts w:ascii="Times New Roman" w:hAnsi="Times New Roman" w:cs="Times New Roman"/>
          <w:iCs/>
        </w:rPr>
        <w:t>1997;</w:t>
      </w:r>
      <w:r w:rsidRPr="00D87648">
        <w:rPr>
          <w:rFonts w:ascii="Times New Roman" w:hAnsi="Times New Roman" w:cs="Times New Roman"/>
        </w:rPr>
        <w:t>65(3): 1109.</w:t>
      </w:r>
    </w:p>
    <w:p w14:paraId="41BB5C70" w14:textId="77777777"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Institute of Medicine (US) Committee for the Study on Malaria Prevention and Control. 1991. 6, Parasite Biology. </w:t>
      </w:r>
      <w:r w:rsidRPr="00F81CC5">
        <w:rPr>
          <w:rFonts w:ascii="Times New Roman" w:hAnsi="Times New Roman" w:cs="Times New Roman"/>
          <w:u w:val="single"/>
        </w:rPr>
        <w:t>Malaria: Obstacles and Opportunities.</w:t>
      </w:r>
      <w:r w:rsidRPr="00F81CC5">
        <w:rPr>
          <w:rFonts w:ascii="Times New Roman" w:hAnsi="Times New Roman" w:cs="Times New Roman"/>
        </w:rPr>
        <w:t xml:space="preserve"> M. V. Oaks SC Jr, Pearson GW, et al. Washington DC, National Academies Press </w:t>
      </w:r>
    </w:p>
    <w:p w14:paraId="4BD60948" w14:textId="03AEBA79"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Aly, A. S. I., A. M. Vaughan and S. H. I. Kappe. Malaria parasite development in the mosquito and infection of the mammalian host. </w:t>
      </w:r>
      <w:r w:rsidRPr="00D87648">
        <w:rPr>
          <w:rFonts w:ascii="Times New Roman" w:hAnsi="Times New Roman" w:cs="Times New Roman"/>
          <w:iCs/>
        </w:rPr>
        <w:t>Ann rev microbiol</w:t>
      </w:r>
      <w:r w:rsidR="00D87648" w:rsidRPr="00D87648">
        <w:rPr>
          <w:rFonts w:ascii="Times New Roman" w:hAnsi="Times New Roman" w:cs="Times New Roman"/>
          <w:iCs/>
        </w:rPr>
        <w:t>. 2009;</w:t>
      </w:r>
      <w:r w:rsidRPr="00D87648">
        <w:rPr>
          <w:rFonts w:ascii="Times New Roman" w:hAnsi="Times New Roman" w:cs="Times New Roman"/>
          <w:iCs/>
        </w:rPr>
        <w:t>63: 195-221.</w:t>
      </w:r>
    </w:p>
    <w:p w14:paraId="6D2EEBC4" w14:textId="09AA5390"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Miura, K., D. B. Keister, O. V. Muratova, J. Sattabongkot, C. A. Long and A. Saul</w:t>
      </w:r>
      <w:r w:rsidR="00D87648">
        <w:rPr>
          <w:rFonts w:ascii="Times New Roman" w:hAnsi="Times New Roman" w:cs="Times New Roman"/>
        </w:rPr>
        <w:t xml:space="preserve">. </w:t>
      </w:r>
      <w:r w:rsidRPr="00F81CC5">
        <w:rPr>
          <w:rFonts w:ascii="Times New Roman" w:hAnsi="Times New Roman" w:cs="Times New Roman"/>
        </w:rPr>
        <w:t xml:space="preserve">Transmission-blocking activity induced by malaria vaccine candidates Pfs25/Pvs25 is a direct and predictable function of antibody titer. </w:t>
      </w:r>
      <w:r w:rsidRPr="00D87648">
        <w:rPr>
          <w:rFonts w:ascii="Times New Roman" w:hAnsi="Times New Roman" w:cs="Times New Roman"/>
          <w:iCs/>
        </w:rPr>
        <w:t>Malar J</w:t>
      </w:r>
      <w:r w:rsidR="00D87648" w:rsidRPr="00D87648">
        <w:rPr>
          <w:rFonts w:ascii="Times New Roman" w:hAnsi="Times New Roman" w:cs="Times New Roman"/>
          <w:iCs/>
        </w:rPr>
        <w:t>. 2007;</w:t>
      </w:r>
      <w:r w:rsidRPr="00D87648">
        <w:rPr>
          <w:rFonts w:ascii="Times New Roman" w:hAnsi="Times New Roman" w:cs="Times New Roman"/>
          <w:iCs/>
        </w:rPr>
        <w:t>6(1): 107.</w:t>
      </w:r>
    </w:p>
    <w:p w14:paraId="3C17AB86" w14:textId="28ADC1EF"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Miura, K., E. Takashima, B. Deng, G. Tullo, A. Diouf, S. E. Moretz, D. Nikolaeva, M. Diakite, R. M. Fairhurst, M. P. Fay, C. A. Long and T. Tsuboi</w:t>
      </w:r>
      <w:r w:rsidR="00D87648">
        <w:rPr>
          <w:rFonts w:ascii="Times New Roman" w:hAnsi="Times New Roman" w:cs="Times New Roman"/>
        </w:rPr>
        <w:t>.</w:t>
      </w:r>
      <w:r w:rsidRPr="00F81CC5">
        <w:rPr>
          <w:rFonts w:ascii="Times New Roman" w:hAnsi="Times New Roman" w:cs="Times New Roman"/>
        </w:rPr>
        <w:t xml:space="preserve"> Functional comparison of </w:t>
      </w:r>
      <w:r w:rsidRPr="00F81CC5">
        <w:rPr>
          <w:rFonts w:ascii="Times New Roman" w:hAnsi="Times New Roman" w:cs="Times New Roman"/>
          <w:i/>
        </w:rPr>
        <w:t>Plasmodium falciparum</w:t>
      </w:r>
      <w:r w:rsidRPr="00F81CC5">
        <w:rPr>
          <w:rFonts w:ascii="Times New Roman" w:hAnsi="Times New Roman" w:cs="Times New Roman"/>
        </w:rPr>
        <w:t xml:space="preserve"> transmission-blocking vaccine candidates by the standard membrane-feeding assay. </w:t>
      </w:r>
      <w:r w:rsidRPr="00D87648">
        <w:rPr>
          <w:rFonts w:ascii="Times New Roman" w:hAnsi="Times New Roman" w:cs="Times New Roman"/>
          <w:iCs/>
        </w:rPr>
        <w:t>Infect Imm</w:t>
      </w:r>
      <w:r w:rsidR="00D87648" w:rsidRPr="00D87648">
        <w:rPr>
          <w:rFonts w:ascii="Times New Roman" w:hAnsi="Times New Roman" w:cs="Times New Roman"/>
          <w:iCs/>
        </w:rPr>
        <w:t>. 2013;</w:t>
      </w:r>
      <w:r w:rsidRPr="00D87648">
        <w:rPr>
          <w:rFonts w:ascii="Times New Roman" w:hAnsi="Times New Roman" w:cs="Times New Roman"/>
          <w:bCs/>
          <w:iCs/>
        </w:rPr>
        <w:t>81</w:t>
      </w:r>
      <w:r w:rsidRPr="00D87648">
        <w:rPr>
          <w:rFonts w:ascii="Times New Roman" w:hAnsi="Times New Roman" w:cs="Times New Roman"/>
          <w:iCs/>
        </w:rPr>
        <w:t>(12): 4377.</w:t>
      </w:r>
    </w:p>
    <w:p w14:paraId="731C0E1E" w14:textId="1EB889A6"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Brod, F., K. Miura, I. Taylor, Y. Li, A. Marini, A. M. Salman, A. J. Spencer, C. A. Long and S. Biswas</w:t>
      </w:r>
      <w:r w:rsidR="00D87648">
        <w:rPr>
          <w:rFonts w:ascii="Times New Roman" w:hAnsi="Times New Roman" w:cs="Times New Roman"/>
        </w:rPr>
        <w:t xml:space="preserve">. </w:t>
      </w:r>
      <w:r w:rsidRPr="00F81CC5">
        <w:rPr>
          <w:rFonts w:ascii="Times New Roman" w:hAnsi="Times New Roman" w:cs="Times New Roman"/>
        </w:rPr>
        <w:t>Combination of rts,s and pfs25-imx313 induces a functional antibody response against malaria infection and transmission in mice.</w:t>
      </w:r>
      <w:r w:rsidR="00D87648">
        <w:rPr>
          <w:rFonts w:ascii="Times New Roman" w:hAnsi="Times New Roman" w:cs="Times New Roman"/>
        </w:rPr>
        <w:t xml:space="preserve"> </w:t>
      </w:r>
      <w:r w:rsidRPr="00D87648">
        <w:rPr>
          <w:rFonts w:ascii="Times New Roman" w:hAnsi="Times New Roman" w:cs="Times New Roman"/>
          <w:iCs/>
        </w:rPr>
        <w:t>Front Imm</w:t>
      </w:r>
      <w:r w:rsidR="00D87648" w:rsidRPr="00D87648">
        <w:rPr>
          <w:rFonts w:ascii="Times New Roman" w:hAnsi="Times New Roman" w:cs="Times New Roman"/>
          <w:iCs/>
        </w:rPr>
        <w:t>. 2013;</w:t>
      </w:r>
      <w:r w:rsidRPr="00D87648">
        <w:rPr>
          <w:rFonts w:ascii="Times New Roman" w:hAnsi="Times New Roman" w:cs="Times New Roman"/>
          <w:bCs/>
          <w:iCs/>
        </w:rPr>
        <w:t>9</w:t>
      </w:r>
      <w:r w:rsidRPr="00D87648">
        <w:rPr>
          <w:rFonts w:ascii="Times New Roman" w:hAnsi="Times New Roman" w:cs="Times New Roman"/>
          <w:iCs/>
        </w:rPr>
        <w:t>: 2780.</w:t>
      </w:r>
    </w:p>
    <w:p w14:paraId="165677F5" w14:textId="77777777" w:rsidR="00F81CC5" w:rsidRPr="00F81CC5" w:rsidRDefault="00F81CC5" w:rsidP="00F81CC5">
      <w:pPr>
        <w:pStyle w:val="ListParagraph"/>
        <w:numPr>
          <w:ilvl w:val="0"/>
          <w:numId w:val="13"/>
        </w:numPr>
        <w:ind w:left="426"/>
        <w:rPr>
          <w:rFonts w:ascii="Times New Roman" w:hAnsi="Times New Roman" w:cs="Times New Roman"/>
        </w:rPr>
      </w:pPr>
      <w:r w:rsidRPr="00F81CC5">
        <w:rPr>
          <w:rFonts w:ascii="Times New Roman" w:hAnsi="Times New Roman" w:cs="Times New Roman"/>
          <w:lang w:val="nb-NO"/>
        </w:rPr>
        <w:t xml:space="preserve">Kaslow DC, Quakyi IA, Syin C, Raum MG, Keister DB, Coligan JE, et al. </w:t>
      </w:r>
      <w:r w:rsidRPr="00F81CC5">
        <w:rPr>
          <w:rFonts w:ascii="Times New Roman" w:hAnsi="Times New Roman" w:cs="Times New Roman"/>
        </w:rPr>
        <w:t>A vaccine candidate from the sexual stage of human malaria that contains EGF-like domains. Nature. 1988;333:74–6.</w:t>
      </w:r>
    </w:p>
    <w:p w14:paraId="0E44AA94" w14:textId="4DFEB9F3"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t xml:space="preserve">Scally, S.W., McLeod, B., Bosch, A. </w:t>
      </w:r>
      <w:r w:rsidRPr="00F81CC5">
        <w:rPr>
          <w:i/>
          <w:iCs/>
        </w:rPr>
        <w:t>et al.</w:t>
      </w:r>
      <w:r w:rsidRPr="00F81CC5">
        <w:t xml:space="preserve"> Molecular definition of multiple sites of antibody inhibition of malaria transmission-blocking vaccine antigen Pfs25. </w:t>
      </w:r>
      <w:r w:rsidRPr="00D87648">
        <w:t>Nat Commun</w:t>
      </w:r>
      <w:r w:rsidR="00D87648" w:rsidRPr="00D87648">
        <w:t>.</w:t>
      </w:r>
      <w:r w:rsidR="00D87648">
        <w:t xml:space="preserve"> 2017;</w:t>
      </w:r>
      <w:r w:rsidRPr="00D87648">
        <w:t>8</w:t>
      </w:r>
      <w:r w:rsidR="00D87648" w:rsidRPr="00D87648">
        <w:t>:</w:t>
      </w:r>
      <w:r w:rsidRPr="00F81CC5">
        <w:t xml:space="preserve"> 1568. https://doi.org/10.1038/s41467-017-01924-3.</w:t>
      </w:r>
    </w:p>
    <w:p w14:paraId="7B50A88F" w14:textId="34AA18B5"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Sauerwein, R. W. and T. Bousema</w:t>
      </w:r>
      <w:r w:rsidR="00D87648">
        <w:rPr>
          <w:rFonts w:ascii="Times New Roman" w:hAnsi="Times New Roman" w:cs="Times New Roman"/>
        </w:rPr>
        <w:t>.</w:t>
      </w:r>
      <w:r w:rsidRPr="00F81CC5">
        <w:rPr>
          <w:rFonts w:ascii="Times New Roman" w:hAnsi="Times New Roman" w:cs="Times New Roman"/>
        </w:rPr>
        <w:t xml:space="preserve"> Transmission blocking malaria vaccines: Assays and candidates in clinical development</w:t>
      </w:r>
      <w:r w:rsidRPr="00D87648">
        <w:rPr>
          <w:rFonts w:ascii="Times New Roman" w:hAnsi="Times New Roman" w:cs="Times New Roman"/>
        </w:rPr>
        <w:t>. Vaccine</w:t>
      </w:r>
      <w:r w:rsidR="00D87648">
        <w:rPr>
          <w:rFonts w:ascii="Times New Roman" w:hAnsi="Times New Roman" w:cs="Times New Roman"/>
          <w:i/>
        </w:rPr>
        <w:t xml:space="preserve">. </w:t>
      </w:r>
      <w:r w:rsidR="00D87648" w:rsidRPr="00F81CC5">
        <w:rPr>
          <w:rFonts w:ascii="Times New Roman" w:hAnsi="Times New Roman" w:cs="Times New Roman"/>
        </w:rPr>
        <w:t>2015</w:t>
      </w:r>
      <w:r w:rsidR="00D87648">
        <w:rPr>
          <w:rFonts w:ascii="Times New Roman" w:hAnsi="Times New Roman" w:cs="Times New Roman"/>
        </w:rPr>
        <w:t>;</w:t>
      </w:r>
      <w:r w:rsidRPr="00D87648">
        <w:rPr>
          <w:rFonts w:ascii="Times New Roman" w:hAnsi="Times New Roman" w:cs="Times New Roman"/>
          <w:bCs/>
        </w:rPr>
        <w:t>33</w:t>
      </w:r>
      <w:r w:rsidRPr="00F81CC5">
        <w:rPr>
          <w:rFonts w:ascii="Times New Roman" w:hAnsi="Times New Roman" w:cs="Times New Roman"/>
        </w:rPr>
        <w:t>(52): 7476-7482.</w:t>
      </w:r>
    </w:p>
    <w:p w14:paraId="605F6A03" w14:textId="77777777" w:rsidR="00F81CC5" w:rsidRPr="00F81CC5" w:rsidRDefault="00F81CC5" w:rsidP="00F81CC5">
      <w:pPr>
        <w:pStyle w:val="ListParagraph"/>
        <w:widowControl w:val="0"/>
        <w:numPr>
          <w:ilvl w:val="0"/>
          <w:numId w:val="13"/>
        </w:numPr>
        <w:ind w:left="426"/>
        <w:rPr>
          <w:rFonts w:ascii="Times New Roman" w:hAnsi="Times New Roman" w:cs="Times New Roman"/>
        </w:rPr>
      </w:pPr>
      <w:r w:rsidRPr="00F81CC5">
        <w:rPr>
          <w:rFonts w:ascii="Times New Roman" w:hAnsi="Times New Roman" w:cs="Times New Roman"/>
        </w:rPr>
        <w:lastRenderedPageBreak/>
        <w:t>Baton LA, Ranford-Cartwright LC. Do malaria ookinete surface proteins P25 and P28 mediate parasite entry into mosquito midgut epithelial cells? Malar J. 2005;4:15.</w:t>
      </w:r>
    </w:p>
    <w:p w14:paraId="4772DCDE" w14:textId="77777777" w:rsidR="00F81CC5" w:rsidRPr="00F81CC5" w:rsidRDefault="00F81CC5" w:rsidP="00F81CC5">
      <w:pPr>
        <w:pStyle w:val="ListParagraph"/>
        <w:widowControl w:val="0"/>
        <w:numPr>
          <w:ilvl w:val="0"/>
          <w:numId w:val="13"/>
        </w:numPr>
        <w:ind w:left="426"/>
        <w:rPr>
          <w:rFonts w:ascii="Times New Roman" w:hAnsi="Times New Roman" w:cs="Times New Roman"/>
        </w:rPr>
      </w:pPr>
      <w:r w:rsidRPr="00F81CC5">
        <w:rPr>
          <w:rFonts w:ascii="Times New Roman" w:hAnsi="Times New Roman" w:cs="Times New Roman"/>
        </w:rPr>
        <w:t xml:space="preserve">Saxena AK, Singh K, Su HP, Klein MM, Stowers AW, Saul AJ, et al. The essential mosquito-stage P25 and P28 proteins from </w:t>
      </w:r>
      <w:r w:rsidRPr="00D87648">
        <w:rPr>
          <w:rFonts w:ascii="Times New Roman" w:hAnsi="Times New Roman" w:cs="Times New Roman"/>
          <w:i/>
          <w:iCs/>
        </w:rPr>
        <w:t>Plasmodium</w:t>
      </w:r>
      <w:r w:rsidRPr="00F81CC5">
        <w:rPr>
          <w:rFonts w:ascii="Times New Roman" w:hAnsi="Times New Roman" w:cs="Times New Roman"/>
        </w:rPr>
        <w:t xml:space="preserve"> form tile-like triangular prisms. Nat Struct Mol Biol. 2006;13:90–1.</w:t>
      </w:r>
    </w:p>
    <w:p w14:paraId="1C8FFA15" w14:textId="77777777" w:rsidR="00F81CC5" w:rsidRPr="00F81CC5" w:rsidRDefault="00F81CC5" w:rsidP="00F81CC5">
      <w:pPr>
        <w:pStyle w:val="ListParagraph"/>
        <w:widowControl w:val="0"/>
        <w:numPr>
          <w:ilvl w:val="0"/>
          <w:numId w:val="13"/>
        </w:numPr>
        <w:ind w:left="426"/>
        <w:rPr>
          <w:rFonts w:ascii="Times New Roman" w:hAnsi="Times New Roman" w:cs="Times New Roman"/>
        </w:rPr>
      </w:pPr>
      <w:r w:rsidRPr="00F81CC5">
        <w:rPr>
          <w:rFonts w:ascii="Times New Roman" w:hAnsi="Times New Roman" w:cs="Times New Roman"/>
        </w:rPr>
        <w:t xml:space="preserve">Stowers AW, Keister DB, Muratova O, Kaslow DC. A region of </w:t>
      </w:r>
      <w:r w:rsidRPr="00D87648">
        <w:rPr>
          <w:rFonts w:ascii="Times New Roman" w:hAnsi="Times New Roman" w:cs="Times New Roman"/>
          <w:i/>
          <w:iCs/>
        </w:rPr>
        <w:t>Plasmodium falciparum</w:t>
      </w:r>
      <w:r w:rsidRPr="00F81CC5">
        <w:rPr>
          <w:rFonts w:ascii="Times New Roman" w:hAnsi="Times New Roman" w:cs="Times New Roman"/>
        </w:rPr>
        <w:t xml:space="preserve"> antigen Pfs25 that is the target of highly potent transmission-blocking antibodies. Infect Immun. 2000;68:5530–8.</w:t>
      </w:r>
    </w:p>
    <w:p w14:paraId="5A79AB67" w14:textId="013172DB"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Zhu, D., Y. Wu, H. McClellan, W. Dai, K. Rausch, D. Jones, J. Aebig, E. Barnafo, B. Butler, L. Lambert, D. L. Narum and P. E. Duffy</w:t>
      </w:r>
      <w:r w:rsidR="00D87648">
        <w:rPr>
          <w:rFonts w:ascii="Times New Roman" w:hAnsi="Times New Roman" w:cs="Times New Roman"/>
        </w:rPr>
        <w:t xml:space="preserve">. </w:t>
      </w:r>
      <w:r w:rsidRPr="00F81CC5">
        <w:rPr>
          <w:rFonts w:ascii="Times New Roman" w:hAnsi="Times New Roman" w:cs="Times New Roman"/>
        </w:rPr>
        <w:t xml:space="preserve">Accelerated and long term stability study of Pfs25-EPA conjugates adjuvanted with Alhydrogel®. </w:t>
      </w:r>
      <w:r w:rsidRPr="00D87648">
        <w:rPr>
          <w:rFonts w:ascii="Times New Roman" w:hAnsi="Times New Roman" w:cs="Times New Roman"/>
          <w:iCs/>
        </w:rPr>
        <w:t>Vaccine</w:t>
      </w:r>
      <w:r w:rsidR="00D87648">
        <w:rPr>
          <w:rFonts w:ascii="Times New Roman" w:hAnsi="Times New Roman" w:cs="Times New Roman"/>
        </w:rPr>
        <w:t xml:space="preserve">. </w:t>
      </w:r>
      <w:r w:rsidR="00D87648" w:rsidRPr="00F81CC5">
        <w:rPr>
          <w:rFonts w:ascii="Times New Roman" w:hAnsi="Times New Roman" w:cs="Times New Roman"/>
        </w:rPr>
        <w:t>2017</w:t>
      </w:r>
      <w:r w:rsidR="00D87648">
        <w:rPr>
          <w:rFonts w:ascii="Times New Roman" w:hAnsi="Times New Roman" w:cs="Times New Roman"/>
        </w:rPr>
        <w:t>;</w:t>
      </w:r>
      <w:r w:rsidRPr="00D87648">
        <w:rPr>
          <w:rFonts w:ascii="Times New Roman" w:hAnsi="Times New Roman" w:cs="Times New Roman"/>
          <w:bCs/>
        </w:rPr>
        <w:t>35</w:t>
      </w:r>
      <w:r w:rsidRPr="00F81CC5">
        <w:rPr>
          <w:rFonts w:ascii="Times New Roman" w:hAnsi="Times New Roman" w:cs="Times New Roman"/>
        </w:rPr>
        <w:t>(24): 3232-3238.</w:t>
      </w:r>
    </w:p>
    <w:p w14:paraId="08B17BF8" w14:textId="0BAE4FBC"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Talaat, K. R., R. D. Ellis, J. Hurd, A. Hentrich, E. Gabriel, N. A. Hynes, K. M. Rausch, D. Zhu, O. Muratova, R. Herrera, C. Anderson, D. Jones, J. Aebig, S. Brockley, N. J. MacDonald, X. Wang, M. P. Fay, S. A. Healy, A. P. Durbin, D. L. Narum, Y. Wu and P. E. Duffy. Safety and immunogenicity of pfs25-epa/alhydrogel®, a transmission blocking vaccine against </w:t>
      </w:r>
      <w:r w:rsidRPr="00F81CC5">
        <w:rPr>
          <w:rFonts w:ascii="Times New Roman" w:hAnsi="Times New Roman" w:cs="Times New Roman"/>
          <w:i/>
        </w:rPr>
        <w:t>Plasmodium falciparum</w:t>
      </w:r>
      <w:r w:rsidRPr="00F81CC5">
        <w:rPr>
          <w:rFonts w:ascii="Times New Roman" w:hAnsi="Times New Roman" w:cs="Times New Roman"/>
        </w:rPr>
        <w:t xml:space="preserve">: an open label study in malaria naïve adults. </w:t>
      </w:r>
      <w:r w:rsidRPr="00D87648">
        <w:rPr>
          <w:rFonts w:ascii="Times New Roman" w:hAnsi="Times New Roman" w:cs="Times New Roman"/>
          <w:iCs/>
        </w:rPr>
        <w:t>PLoS One</w:t>
      </w:r>
      <w:r w:rsidR="00D87648">
        <w:rPr>
          <w:rFonts w:ascii="Times New Roman" w:hAnsi="Times New Roman" w:cs="Times New Roman"/>
          <w:b/>
        </w:rPr>
        <w:t xml:space="preserve">. </w:t>
      </w:r>
      <w:r w:rsidR="00D87648" w:rsidRPr="00F81CC5">
        <w:rPr>
          <w:rFonts w:ascii="Times New Roman" w:hAnsi="Times New Roman" w:cs="Times New Roman"/>
        </w:rPr>
        <w:t>2016</w:t>
      </w:r>
      <w:r w:rsidR="00D87648">
        <w:rPr>
          <w:rFonts w:ascii="Times New Roman" w:hAnsi="Times New Roman" w:cs="Times New Roman"/>
        </w:rPr>
        <w:t>;</w:t>
      </w:r>
      <w:r w:rsidRPr="00D87648">
        <w:rPr>
          <w:rFonts w:ascii="Times New Roman" w:hAnsi="Times New Roman" w:cs="Times New Roman"/>
          <w:bCs/>
        </w:rPr>
        <w:t>11</w:t>
      </w:r>
      <w:r w:rsidRPr="00F81CC5">
        <w:rPr>
          <w:rFonts w:ascii="Times New Roman" w:hAnsi="Times New Roman" w:cs="Times New Roman"/>
        </w:rPr>
        <w:t>(10): e0163144.</w:t>
      </w:r>
    </w:p>
    <w:p w14:paraId="1BED7BA3" w14:textId="0277F6BB" w:rsidR="00F81CC5" w:rsidRPr="00705CD6" w:rsidRDefault="00F81CC5" w:rsidP="00F81CC5">
      <w:pPr>
        <w:pStyle w:val="ListParagraph"/>
        <w:widowControl w:val="0"/>
        <w:numPr>
          <w:ilvl w:val="0"/>
          <w:numId w:val="13"/>
        </w:numPr>
        <w:ind w:left="426"/>
        <w:rPr>
          <w:rFonts w:ascii="Times New Roman" w:hAnsi="Times New Roman" w:cs="Times New Roman"/>
        </w:rPr>
      </w:pPr>
      <w:r w:rsidRPr="00F81CC5">
        <w:rPr>
          <w:rFonts w:ascii="Times New Roman" w:hAnsi="Times New Roman" w:cs="Times New Roman"/>
          <w:lang w:val="nb-NO"/>
        </w:rPr>
        <w:t xml:space="preserve">Healy, S.A. </w:t>
      </w:r>
      <w:r w:rsidRPr="00F81CC5">
        <w:rPr>
          <w:rFonts w:ascii="Times New Roman" w:hAnsi="Times New Roman" w:cs="Times New Roman"/>
          <w:i/>
          <w:lang w:val="nb-NO"/>
        </w:rPr>
        <w:t>et al.</w:t>
      </w:r>
      <w:r w:rsidRPr="00705CD6">
        <w:rPr>
          <w:rFonts w:ascii="Times New Roman" w:hAnsi="Times New Roman" w:cs="Times New Roman"/>
          <w:lang w:val="nb-NO"/>
        </w:rPr>
        <w:t xml:space="preserve"> </w:t>
      </w:r>
      <w:r w:rsidRPr="00F81CC5">
        <w:rPr>
          <w:rFonts w:ascii="Times New Roman" w:hAnsi="Times New Roman" w:cs="Times New Roman"/>
        </w:rPr>
        <w:t xml:space="preserve">‘Pfs230 yields higher malaria transmission-blocking vaccine activity than Pfs25 in humans but not mice’, </w:t>
      </w:r>
      <w:r w:rsidRPr="00705CD6">
        <w:rPr>
          <w:rFonts w:ascii="Times New Roman" w:hAnsi="Times New Roman" w:cs="Times New Roman"/>
          <w:iCs/>
        </w:rPr>
        <w:t>Journal of Clinical Investigation</w:t>
      </w:r>
      <w:r w:rsidR="00705CD6">
        <w:rPr>
          <w:rFonts w:ascii="Times New Roman" w:hAnsi="Times New Roman" w:cs="Times New Roman"/>
        </w:rPr>
        <w:t xml:space="preserve">. </w:t>
      </w:r>
      <w:r w:rsidR="00705CD6" w:rsidRPr="00F81CC5">
        <w:rPr>
          <w:rFonts w:ascii="Times New Roman" w:hAnsi="Times New Roman" w:cs="Times New Roman"/>
        </w:rPr>
        <w:t>2021</w:t>
      </w:r>
      <w:r w:rsidR="00705CD6">
        <w:rPr>
          <w:rFonts w:ascii="Times New Roman" w:hAnsi="Times New Roman" w:cs="Times New Roman"/>
        </w:rPr>
        <w:t>;</w:t>
      </w:r>
      <w:r w:rsidRPr="00F81CC5">
        <w:rPr>
          <w:rFonts w:ascii="Times New Roman" w:hAnsi="Times New Roman" w:cs="Times New Roman"/>
        </w:rPr>
        <w:t xml:space="preserve">131(7), pp. 1–10. </w:t>
      </w:r>
      <w:r w:rsidRPr="00705CD6">
        <w:rPr>
          <w:rFonts w:ascii="Times New Roman" w:hAnsi="Times New Roman" w:cs="Times New Roman"/>
        </w:rPr>
        <w:t>Available at: https://doi.org/10.1172/JCI146221.</w:t>
      </w:r>
    </w:p>
    <w:p w14:paraId="00ACEBF1" w14:textId="0475D08D"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Chichester JA, Green BJ, Jones RM, Shoji Y, Miura K, Long CA, Lee CK, Ockenhouse CF, Morin MJ, Streatfield SJ, Yusibov V. Safety and immunogenicity of a plant-produced Pfs25 virus-like particle as a transmission blocking vaccine against malaria: A Phase 1 dose-escalation study in healthy adults. Vaccine. 2018;36(39):5865-5871.</w:t>
      </w:r>
    </w:p>
    <w:p w14:paraId="04E43A38" w14:textId="7D819C55"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Li, Y., D. B. Leneghan, K. Miura, D. Nikolaeva, I. J. Brian, M. D. J. Dicks, A. J. Fyfe, S. E. Zakutansky, S. de Cassan, C. A. Long, S. J. Draper, A. V. S. Hill, F. Hill and S. Biswas. Enhancing immunogenicity and transmission-blocking activity of malaria vaccines by fusing Pfs25 to IMX313 multimerization technology. </w:t>
      </w:r>
      <w:r w:rsidRPr="008F45AD">
        <w:rPr>
          <w:rFonts w:ascii="Times New Roman" w:hAnsi="Times New Roman" w:cs="Times New Roman"/>
          <w:iCs/>
        </w:rPr>
        <w:t>Sci rep</w:t>
      </w:r>
      <w:r w:rsidR="008F45AD">
        <w:rPr>
          <w:rFonts w:ascii="Times New Roman" w:hAnsi="Times New Roman" w:cs="Times New Roman"/>
          <w:i/>
        </w:rPr>
        <w:t xml:space="preserve">. </w:t>
      </w:r>
      <w:r w:rsidR="008F45AD" w:rsidRPr="008F45AD">
        <w:rPr>
          <w:rFonts w:ascii="Times New Roman" w:hAnsi="Times New Roman" w:cs="Times New Roman"/>
        </w:rPr>
        <w:t>2016;</w:t>
      </w:r>
      <w:r w:rsidRPr="008F45AD">
        <w:rPr>
          <w:rFonts w:ascii="Times New Roman" w:hAnsi="Times New Roman" w:cs="Times New Roman"/>
        </w:rPr>
        <w:t>6: 18848-18848.</w:t>
      </w:r>
    </w:p>
    <w:p w14:paraId="429A3CA1" w14:textId="4C163139" w:rsidR="00F81CC5" w:rsidRPr="008F45AD" w:rsidRDefault="00F81CC5" w:rsidP="00F81CC5">
      <w:pPr>
        <w:pStyle w:val="ListParagraph"/>
        <w:widowControl w:val="0"/>
        <w:numPr>
          <w:ilvl w:val="0"/>
          <w:numId w:val="13"/>
        </w:numPr>
        <w:ind w:left="426"/>
        <w:rPr>
          <w:rFonts w:ascii="Times New Roman" w:hAnsi="Times New Roman" w:cs="Times New Roman"/>
        </w:rPr>
      </w:pPr>
      <w:r w:rsidRPr="008F45AD">
        <w:rPr>
          <w:rFonts w:ascii="Times New Roman" w:hAnsi="Times New Roman" w:cs="Times New Roman"/>
          <w:lang w:val="nb-NO"/>
        </w:rPr>
        <w:t xml:space="preserve">de Graaf, H. </w:t>
      </w:r>
      <w:r w:rsidRPr="008F45AD">
        <w:rPr>
          <w:rFonts w:ascii="Times New Roman" w:hAnsi="Times New Roman" w:cs="Times New Roman"/>
          <w:i/>
          <w:lang w:val="nb-NO"/>
        </w:rPr>
        <w:t>et al.</w:t>
      </w:r>
      <w:r w:rsidR="008F45AD" w:rsidRPr="008F45AD">
        <w:rPr>
          <w:rFonts w:ascii="Times New Roman" w:hAnsi="Times New Roman" w:cs="Times New Roman"/>
          <w:lang w:val="nb-NO"/>
        </w:rPr>
        <w:t xml:space="preserve"> </w:t>
      </w:r>
      <w:r w:rsidRPr="00F81CC5">
        <w:rPr>
          <w:rFonts w:ascii="Times New Roman" w:hAnsi="Times New Roman" w:cs="Times New Roman"/>
        </w:rPr>
        <w:t>‘Safety and Immunogenicity of ChAd63/MVA Pfs25-IMX313 in a Phase I First-in-Human Trial’</w:t>
      </w:r>
      <w:r w:rsidR="008F45AD">
        <w:rPr>
          <w:rFonts w:ascii="Times New Roman" w:hAnsi="Times New Roman" w:cs="Times New Roman"/>
        </w:rPr>
        <w:t xml:space="preserve">. </w:t>
      </w:r>
      <w:r w:rsidRPr="008F45AD">
        <w:rPr>
          <w:rFonts w:ascii="Times New Roman" w:hAnsi="Times New Roman" w:cs="Times New Roman"/>
          <w:iCs/>
        </w:rPr>
        <w:t>Frontiers in Immunology</w:t>
      </w:r>
      <w:r w:rsidR="008F45AD">
        <w:rPr>
          <w:rFonts w:ascii="Times New Roman" w:hAnsi="Times New Roman" w:cs="Times New Roman"/>
        </w:rPr>
        <w:t xml:space="preserve">. </w:t>
      </w:r>
      <w:r w:rsidR="008F45AD" w:rsidRPr="00F81CC5">
        <w:rPr>
          <w:rFonts w:ascii="Times New Roman" w:hAnsi="Times New Roman" w:cs="Times New Roman"/>
        </w:rPr>
        <w:t>2021</w:t>
      </w:r>
      <w:r w:rsidR="008F45AD">
        <w:rPr>
          <w:rFonts w:ascii="Times New Roman" w:hAnsi="Times New Roman" w:cs="Times New Roman"/>
        </w:rPr>
        <w:t>;</w:t>
      </w:r>
      <w:r w:rsidRPr="00F81CC5">
        <w:rPr>
          <w:rFonts w:ascii="Times New Roman" w:hAnsi="Times New Roman" w:cs="Times New Roman"/>
        </w:rPr>
        <w:t>12</w:t>
      </w:r>
      <w:r w:rsidR="008F45AD">
        <w:rPr>
          <w:rFonts w:ascii="Times New Roman" w:hAnsi="Times New Roman" w:cs="Times New Roman"/>
        </w:rPr>
        <w:t>;</w:t>
      </w:r>
      <w:r w:rsidRPr="00F81CC5">
        <w:rPr>
          <w:rFonts w:ascii="Times New Roman" w:hAnsi="Times New Roman" w:cs="Times New Roman"/>
        </w:rPr>
        <w:t>1–13.</w:t>
      </w:r>
    </w:p>
    <w:p w14:paraId="3214BA00" w14:textId="42393281" w:rsidR="00F81CC5" w:rsidRPr="00F81CC5" w:rsidRDefault="00F81CC5" w:rsidP="00F81CC5">
      <w:pPr>
        <w:pStyle w:val="ListParagraph"/>
        <w:widowControl w:val="0"/>
        <w:numPr>
          <w:ilvl w:val="0"/>
          <w:numId w:val="13"/>
        </w:numPr>
        <w:ind w:left="426"/>
        <w:rPr>
          <w:rFonts w:ascii="Times New Roman" w:hAnsi="Times New Roman" w:cs="Times New Roman"/>
        </w:rPr>
      </w:pPr>
      <w:r w:rsidRPr="00F81CC5">
        <w:rPr>
          <w:rFonts w:ascii="Times New Roman" w:hAnsi="Times New Roman" w:cs="Times New Roman"/>
        </w:rPr>
        <w:t xml:space="preserve">Zaric, M. </w:t>
      </w:r>
      <w:r w:rsidRPr="00F81CC5">
        <w:rPr>
          <w:rFonts w:ascii="Times New Roman" w:hAnsi="Times New Roman" w:cs="Times New Roman"/>
          <w:i/>
        </w:rPr>
        <w:t>et al.</w:t>
      </w:r>
      <w:r w:rsidRPr="00F81CC5">
        <w:rPr>
          <w:rFonts w:ascii="Times New Roman" w:hAnsi="Times New Roman" w:cs="Times New Roman"/>
        </w:rPr>
        <w:t xml:space="preserve"> Poor CD4+ T Cell Immunogenicity Limits Humoral Immunity to </w:t>
      </w:r>
      <w:r w:rsidRPr="008F45AD">
        <w:rPr>
          <w:rFonts w:ascii="Times New Roman" w:hAnsi="Times New Roman" w:cs="Times New Roman"/>
          <w:i/>
          <w:iCs/>
        </w:rPr>
        <w:t>P. falciparum</w:t>
      </w:r>
      <w:r w:rsidRPr="00F81CC5">
        <w:rPr>
          <w:rFonts w:ascii="Times New Roman" w:hAnsi="Times New Roman" w:cs="Times New Roman"/>
        </w:rPr>
        <w:t xml:space="preserve"> Transmission-Blocking Candidate Pfs25 in Humans</w:t>
      </w:r>
      <w:r w:rsidR="008F45AD">
        <w:rPr>
          <w:rFonts w:ascii="Times New Roman" w:hAnsi="Times New Roman" w:cs="Times New Roman"/>
        </w:rPr>
        <w:t>.</w:t>
      </w:r>
      <w:r w:rsidRPr="00F81CC5">
        <w:rPr>
          <w:rFonts w:ascii="Times New Roman" w:hAnsi="Times New Roman" w:cs="Times New Roman"/>
        </w:rPr>
        <w:t xml:space="preserve"> </w:t>
      </w:r>
      <w:r w:rsidRPr="008F45AD">
        <w:rPr>
          <w:rFonts w:ascii="Times New Roman" w:hAnsi="Times New Roman" w:cs="Times New Roman"/>
          <w:iCs/>
        </w:rPr>
        <w:t>Frontiers in Immunology</w:t>
      </w:r>
      <w:r w:rsidR="008F45AD">
        <w:rPr>
          <w:rFonts w:ascii="Times New Roman" w:hAnsi="Times New Roman" w:cs="Times New Roman"/>
          <w:iCs/>
        </w:rPr>
        <w:t xml:space="preserve">. </w:t>
      </w:r>
      <w:r w:rsidR="008F45AD" w:rsidRPr="00F81CC5">
        <w:rPr>
          <w:rFonts w:ascii="Times New Roman" w:hAnsi="Times New Roman" w:cs="Times New Roman"/>
        </w:rPr>
        <w:t>2021</w:t>
      </w:r>
      <w:r w:rsidR="008F45AD">
        <w:rPr>
          <w:rFonts w:ascii="Times New Roman" w:hAnsi="Times New Roman" w:cs="Times New Roman"/>
        </w:rPr>
        <w:t>;</w:t>
      </w:r>
      <w:r w:rsidRPr="00F81CC5">
        <w:rPr>
          <w:rFonts w:ascii="Times New Roman" w:hAnsi="Times New Roman" w:cs="Times New Roman"/>
        </w:rPr>
        <w:t>12</w:t>
      </w:r>
      <w:r w:rsidR="008F45AD">
        <w:rPr>
          <w:rFonts w:ascii="Times New Roman" w:hAnsi="Times New Roman" w:cs="Times New Roman"/>
        </w:rPr>
        <w:t>:</w:t>
      </w:r>
      <w:r w:rsidRPr="00F81CC5">
        <w:rPr>
          <w:rFonts w:ascii="Times New Roman" w:hAnsi="Times New Roman" w:cs="Times New Roman"/>
        </w:rPr>
        <w:t>1–15.</w:t>
      </w:r>
    </w:p>
    <w:p w14:paraId="60304D7E" w14:textId="08090F05"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McGuire, K. A., K. Miura, C. M. Wiethoff and K. C. Williamson. New adenovirus-based vaccine vectors targeting Pfs25 elicit antibodies that inhibit </w:t>
      </w:r>
      <w:r w:rsidRPr="00F81CC5">
        <w:rPr>
          <w:rFonts w:ascii="Times New Roman" w:hAnsi="Times New Roman" w:cs="Times New Roman"/>
          <w:i/>
        </w:rPr>
        <w:t>Plasmodium falciparum</w:t>
      </w:r>
      <w:r w:rsidRPr="00F81CC5">
        <w:rPr>
          <w:rFonts w:ascii="Times New Roman" w:hAnsi="Times New Roman" w:cs="Times New Roman"/>
        </w:rPr>
        <w:t xml:space="preserve"> transmission.</w:t>
      </w:r>
      <w:r w:rsidRPr="008F45AD">
        <w:rPr>
          <w:rFonts w:ascii="Times New Roman" w:hAnsi="Times New Roman" w:cs="Times New Roman"/>
          <w:iCs/>
        </w:rPr>
        <w:t xml:space="preserve"> Malar J</w:t>
      </w:r>
      <w:r w:rsidR="008F45AD">
        <w:rPr>
          <w:rFonts w:ascii="Times New Roman" w:hAnsi="Times New Roman" w:cs="Times New Roman"/>
          <w:u w:val="single"/>
        </w:rPr>
        <w:t xml:space="preserve">. </w:t>
      </w:r>
      <w:r w:rsidR="008F45AD" w:rsidRPr="00F81CC5">
        <w:rPr>
          <w:rFonts w:ascii="Times New Roman" w:hAnsi="Times New Roman" w:cs="Times New Roman"/>
        </w:rPr>
        <w:t>2017</w:t>
      </w:r>
      <w:r w:rsidR="008F45AD">
        <w:rPr>
          <w:rFonts w:ascii="Times New Roman" w:hAnsi="Times New Roman" w:cs="Times New Roman"/>
        </w:rPr>
        <w:t>;</w:t>
      </w:r>
      <w:r w:rsidRPr="008F45AD">
        <w:rPr>
          <w:rFonts w:ascii="Times New Roman" w:hAnsi="Times New Roman" w:cs="Times New Roman"/>
          <w:bCs/>
        </w:rPr>
        <w:t>16</w:t>
      </w:r>
      <w:r w:rsidRPr="00F81CC5">
        <w:rPr>
          <w:rFonts w:ascii="Times New Roman" w:hAnsi="Times New Roman" w:cs="Times New Roman"/>
        </w:rPr>
        <w:t>(1): 254.</w:t>
      </w:r>
    </w:p>
    <w:p w14:paraId="3819BD28" w14:textId="0D51314C"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Goodman, A. L., A. M. Blagborough, S. Biswas, Y. Wu, A. V. Hill, R. E. Sinden and S. J. Draper. A viral vectored prime-boost immunization regime targeting the malaria pfs25 antigen induces transmission-blocking activity. </w:t>
      </w:r>
      <w:r w:rsidRPr="008F45AD">
        <w:rPr>
          <w:rFonts w:ascii="Times New Roman" w:hAnsi="Times New Roman" w:cs="Times New Roman"/>
          <w:iCs/>
        </w:rPr>
        <w:t>PLoS One</w:t>
      </w:r>
      <w:r w:rsidR="008F45AD">
        <w:rPr>
          <w:rFonts w:ascii="Times New Roman" w:hAnsi="Times New Roman" w:cs="Times New Roman"/>
        </w:rPr>
        <w:t xml:space="preserve">. </w:t>
      </w:r>
      <w:r w:rsidR="008F45AD" w:rsidRPr="00F81CC5">
        <w:rPr>
          <w:rFonts w:ascii="Times New Roman" w:hAnsi="Times New Roman" w:cs="Times New Roman"/>
        </w:rPr>
        <w:t>2011</w:t>
      </w:r>
      <w:r w:rsidR="008F45AD">
        <w:rPr>
          <w:rFonts w:ascii="Times New Roman" w:hAnsi="Times New Roman" w:cs="Times New Roman"/>
        </w:rPr>
        <w:t xml:space="preserve">; </w:t>
      </w:r>
      <w:r w:rsidRPr="008F45AD">
        <w:rPr>
          <w:rFonts w:ascii="Times New Roman" w:hAnsi="Times New Roman" w:cs="Times New Roman"/>
          <w:bCs/>
        </w:rPr>
        <w:t>6</w:t>
      </w:r>
      <w:r w:rsidRPr="00F81CC5">
        <w:rPr>
          <w:rFonts w:ascii="Times New Roman" w:hAnsi="Times New Roman" w:cs="Times New Roman"/>
        </w:rPr>
        <w:t>(12): e29428.</w:t>
      </w:r>
    </w:p>
    <w:p w14:paraId="4E7A6DF7" w14:textId="1A633119"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Diallo, M., A. M. Touré, S. F. Traoré, O. Niaré, L. Kassambara, A. Konaré, M. Coulibaly, M. Bagayogo, J. C. Beier, R. K. Sakai, Y. T. Touré and O. K. Doumbo. Evaluation and optimization of membrane feeding compared to direct feeding as an assay for infectivity. </w:t>
      </w:r>
      <w:r w:rsidRPr="008F45AD">
        <w:rPr>
          <w:rFonts w:ascii="Times New Roman" w:hAnsi="Times New Roman" w:cs="Times New Roman"/>
          <w:iCs/>
        </w:rPr>
        <w:t>Malar</w:t>
      </w:r>
      <w:r w:rsidR="008F45AD">
        <w:rPr>
          <w:rFonts w:ascii="Times New Roman" w:hAnsi="Times New Roman" w:cs="Times New Roman"/>
          <w:iCs/>
        </w:rPr>
        <w:t xml:space="preserve"> </w:t>
      </w:r>
      <w:r w:rsidRPr="008F45AD">
        <w:rPr>
          <w:rFonts w:ascii="Times New Roman" w:hAnsi="Times New Roman" w:cs="Times New Roman"/>
          <w:iCs/>
        </w:rPr>
        <w:t>J</w:t>
      </w:r>
      <w:r w:rsidR="008F45AD">
        <w:rPr>
          <w:rFonts w:ascii="Times New Roman" w:hAnsi="Times New Roman" w:cs="Times New Roman"/>
        </w:rPr>
        <w:t xml:space="preserve">. </w:t>
      </w:r>
      <w:r w:rsidR="008F45AD" w:rsidRPr="00F81CC5">
        <w:rPr>
          <w:rFonts w:ascii="Times New Roman" w:hAnsi="Times New Roman" w:cs="Times New Roman"/>
        </w:rPr>
        <w:t>2008</w:t>
      </w:r>
      <w:r w:rsidR="008F45AD">
        <w:rPr>
          <w:rFonts w:ascii="Times New Roman" w:hAnsi="Times New Roman" w:cs="Times New Roman"/>
        </w:rPr>
        <w:t xml:space="preserve">; </w:t>
      </w:r>
      <w:r w:rsidRPr="008F45AD">
        <w:rPr>
          <w:rFonts w:ascii="Times New Roman" w:hAnsi="Times New Roman" w:cs="Times New Roman"/>
          <w:bCs/>
        </w:rPr>
        <w:t>7</w:t>
      </w:r>
      <w:r w:rsidRPr="00F81CC5">
        <w:rPr>
          <w:rFonts w:ascii="Times New Roman" w:hAnsi="Times New Roman" w:cs="Times New Roman"/>
        </w:rPr>
        <w:t>(1): 248.</w:t>
      </w:r>
    </w:p>
    <w:p w14:paraId="49D96CAE" w14:textId="5D21E18B"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Miura, K., B. J. Swihart, B. Deng, L. Zhou, T. P. Pham, A. Diouf, T. Burton, M. P. Fay and C. A. Long. Transmission-blocking activity is determined by transmission-reducing activity and number of control oocysts in </w:t>
      </w:r>
      <w:r w:rsidRPr="00F81CC5">
        <w:rPr>
          <w:rFonts w:ascii="Times New Roman" w:hAnsi="Times New Roman" w:cs="Times New Roman"/>
          <w:i/>
        </w:rPr>
        <w:t>Plasmodium falciparum</w:t>
      </w:r>
      <w:r w:rsidRPr="00F81CC5">
        <w:rPr>
          <w:rFonts w:ascii="Times New Roman" w:hAnsi="Times New Roman" w:cs="Times New Roman"/>
        </w:rPr>
        <w:t xml:space="preserve"> standard membrane-feeding assay</w:t>
      </w:r>
      <w:r w:rsidR="00A25E6C">
        <w:rPr>
          <w:rFonts w:ascii="Times New Roman" w:hAnsi="Times New Roman" w:cs="Times New Roman"/>
        </w:rPr>
        <w:t xml:space="preserve">. </w:t>
      </w:r>
      <w:r w:rsidRPr="00A25E6C">
        <w:rPr>
          <w:rFonts w:ascii="Times New Roman" w:hAnsi="Times New Roman" w:cs="Times New Roman"/>
          <w:iCs/>
        </w:rPr>
        <w:t>Vaccine</w:t>
      </w:r>
      <w:r w:rsidR="00A25E6C">
        <w:rPr>
          <w:rFonts w:ascii="Times New Roman" w:hAnsi="Times New Roman" w:cs="Times New Roman"/>
          <w:iCs/>
        </w:rPr>
        <w:t xml:space="preserve">. </w:t>
      </w:r>
      <w:r w:rsidR="00A25E6C" w:rsidRPr="00F81CC5">
        <w:rPr>
          <w:rFonts w:ascii="Times New Roman" w:hAnsi="Times New Roman" w:cs="Times New Roman"/>
        </w:rPr>
        <w:t>2016</w:t>
      </w:r>
      <w:r w:rsidR="00A25E6C">
        <w:rPr>
          <w:rFonts w:ascii="Times New Roman" w:hAnsi="Times New Roman" w:cs="Times New Roman"/>
        </w:rPr>
        <w:t>;</w:t>
      </w:r>
      <w:r w:rsidRPr="00A25E6C">
        <w:rPr>
          <w:rFonts w:ascii="Times New Roman" w:hAnsi="Times New Roman" w:cs="Times New Roman"/>
          <w:bCs/>
        </w:rPr>
        <w:t>34</w:t>
      </w:r>
      <w:r w:rsidRPr="00F81CC5">
        <w:rPr>
          <w:rFonts w:ascii="Times New Roman" w:hAnsi="Times New Roman" w:cs="Times New Roman"/>
        </w:rPr>
        <w:t>(35): 4145-4151.</w:t>
      </w:r>
    </w:p>
    <w:p w14:paraId="352B21C8" w14:textId="0A998612"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Miura, K., B. J. Swihart, M. P. Fay, C. Kumpitak, K. Kiattibutr, J. Sattabongkot and C. A. Long. Evaluation and modeling of direct membrane-feeding assay with </w:t>
      </w:r>
      <w:r w:rsidRPr="00F81CC5">
        <w:rPr>
          <w:rFonts w:ascii="Times New Roman" w:hAnsi="Times New Roman" w:cs="Times New Roman"/>
          <w:i/>
        </w:rPr>
        <w:t>Plasmodium vivax</w:t>
      </w:r>
      <w:r w:rsidRPr="00F81CC5">
        <w:rPr>
          <w:rFonts w:ascii="Times New Roman" w:hAnsi="Times New Roman" w:cs="Times New Roman"/>
        </w:rPr>
        <w:t xml:space="preserve"> to support development of transmission blocking vaccines</w:t>
      </w:r>
      <w:r w:rsidRPr="00A25E6C">
        <w:rPr>
          <w:rFonts w:ascii="Times New Roman" w:hAnsi="Times New Roman" w:cs="Times New Roman"/>
          <w:i/>
          <w:iCs/>
        </w:rPr>
        <w:t xml:space="preserve">. </w:t>
      </w:r>
      <w:r w:rsidRPr="00A25E6C">
        <w:rPr>
          <w:rFonts w:ascii="Times New Roman" w:hAnsi="Times New Roman" w:cs="Times New Roman"/>
        </w:rPr>
        <w:t>Sci Rep</w:t>
      </w:r>
      <w:r w:rsidR="00A25E6C">
        <w:rPr>
          <w:rFonts w:ascii="Times New Roman" w:hAnsi="Times New Roman" w:cs="Times New Roman"/>
        </w:rPr>
        <w:t xml:space="preserve">. </w:t>
      </w:r>
      <w:r w:rsidR="00A25E6C" w:rsidRPr="00F81CC5">
        <w:rPr>
          <w:rFonts w:ascii="Times New Roman" w:hAnsi="Times New Roman" w:cs="Times New Roman"/>
        </w:rPr>
        <w:t>2020</w:t>
      </w:r>
      <w:r w:rsidR="00A25E6C">
        <w:rPr>
          <w:rFonts w:ascii="Times New Roman" w:hAnsi="Times New Roman" w:cs="Times New Roman"/>
        </w:rPr>
        <w:t>;</w:t>
      </w:r>
      <w:r w:rsidRPr="00A25E6C">
        <w:rPr>
          <w:rFonts w:ascii="Times New Roman" w:hAnsi="Times New Roman" w:cs="Times New Roman"/>
          <w:bCs/>
        </w:rPr>
        <w:t>10</w:t>
      </w:r>
      <w:r w:rsidRPr="00F81CC5">
        <w:rPr>
          <w:rFonts w:ascii="Times New Roman" w:hAnsi="Times New Roman" w:cs="Times New Roman"/>
        </w:rPr>
        <w:t>(1): 12569.</w:t>
      </w:r>
    </w:p>
    <w:p w14:paraId="52BBD5F0" w14:textId="38245F23"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t xml:space="preserve">Yusuf, Y., T. Yoshii, M. Iyori, H. Mizukami, S. Fukumoto, D. S. Yamamoto, T. B. Emran, F. Amelia, A. Islam, I. Syafira and S. Yoshida. A viral-vectored multi-stage malaria vaccine regimen with protective and transmission-blocking efficacies. </w:t>
      </w:r>
      <w:r w:rsidRPr="00A25E6C">
        <w:rPr>
          <w:rFonts w:ascii="Times New Roman" w:hAnsi="Times New Roman" w:cs="Times New Roman"/>
          <w:iCs/>
        </w:rPr>
        <w:t>Front Imm</w:t>
      </w:r>
      <w:r w:rsidR="00A25E6C">
        <w:rPr>
          <w:rFonts w:ascii="Times New Roman" w:hAnsi="Times New Roman" w:cs="Times New Roman"/>
        </w:rPr>
        <w:t xml:space="preserve">. </w:t>
      </w:r>
      <w:r w:rsidR="00A25E6C" w:rsidRPr="00F81CC5">
        <w:rPr>
          <w:rFonts w:ascii="Times New Roman" w:hAnsi="Times New Roman" w:cs="Times New Roman"/>
        </w:rPr>
        <w:t>2019</w:t>
      </w:r>
      <w:r w:rsidR="00A25E6C">
        <w:rPr>
          <w:rFonts w:ascii="Times New Roman" w:hAnsi="Times New Roman" w:cs="Times New Roman"/>
        </w:rPr>
        <w:t>;</w:t>
      </w:r>
      <w:r w:rsidRPr="00A25E6C">
        <w:rPr>
          <w:rFonts w:ascii="Times New Roman" w:hAnsi="Times New Roman" w:cs="Times New Roman"/>
          <w:bCs/>
        </w:rPr>
        <w:t>10</w:t>
      </w:r>
      <w:r w:rsidRPr="00F81CC5">
        <w:rPr>
          <w:rFonts w:ascii="Times New Roman" w:hAnsi="Times New Roman" w:cs="Times New Roman"/>
        </w:rPr>
        <w:t>: 2412-2412.</w:t>
      </w:r>
    </w:p>
    <w:p w14:paraId="0B0B41B1" w14:textId="1BC1595F" w:rsidR="00F81CC5" w:rsidRPr="00F81CC5" w:rsidRDefault="00F81CC5" w:rsidP="00F81CC5">
      <w:pPr>
        <w:numPr>
          <w:ilvl w:val="0"/>
          <w:numId w:val="13"/>
        </w:numPr>
        <w:pBdr>
          <w:top w:val="nil"/>
          <w:left w:val="nil"/>
          <w:bottom w:val="nil"/>
          <w:right w:val="nil"/>
          <w:between w:val="nil"/>
        </w:pBdr>
        <w:ind w:left="426"/>
        <w:rPr>
          <w:rFonts w:ascii="Times New Roman" w:hAnsi="Times New Roman" w:cs="Times New Roman"/>
        </w:rPr>
      </w:pPr>
      <w:r w:rsidRPr="00F81CC5">
        <w:rPr>
          <w:rFonts w:ascii="Times New Roman" w:hAnsi="Times New Roman" w:cs="Times New Roman"/>
        </w:rPr>
        <w:lastRenderedPageBreak/>
        <w:t xml:space="preserve">Yusuf, Y., T. Yoshii, M. Iyori, K. Yoshida, H. Mizukami, S. Fukumoto, D. S. Yamamoto, A. Alam, T. B. Emran, F. Amelia, A. Islam, H. Otsuka, E. Takashima, T. Tsuboi and S. Yoshida. Adeno-associated virus as an effective malaria booster vaccine following adenovirus priming. </w:t>
      </w:r>
      <w:r w:rsidRPr="00A25E6C">
        <w:rPr>
          <w:rFonts w:ascii="Times New Roman" w:hAnsi="Times New Roman" w:cs="Times New Roman"/>
          <w:iCs/>
        </w:rPr>
        <w:t>Front Imm</w:t>
      </w:r>
      <w:r w:rsidR="00A25E6C">
        <w:rPr>
          <w:rFonts w:ascii="Times New Roman" w:hAnsi="Times New Roman" w:cs="Times New Roman"/>
        </w:rPr>
        <w:t xml:space="preserve">. </w:t>
      </w:r>
      <w:r w:rsidR="00A25E6C" w:rsidRPr="00F81CC5">
        <w:rPr>
          <w:rFonts w:ascii="Times New Roman" w:hAnsi="Times New Roman" w:cs="Times New Roman"/>
        </w:rPr>
        <w:t>2019</w:t>
      </w:r>
      <w:r w:rsidR="00A25E6C">
        <w:rPr>
          <w:rFonts w:ascii="Times New Roman" w:hAnsi="Times New Roman" w:cs="Times New Roman"/>
        </w:rPr>
        <w:t>;</w:t>
      </w:r>
      <w:r w:rsidRPr="00A25E6C">
        <w:rPr>
          <w:rFonts w:ascii="Times New Roman" w:hAnsi="Times New Roman" w:cs="Times New Roman"/>
          <w:bCs/>
        </w:rPr>
        <w:t>10</w:t>
      </w:r>
      <w:r w:rsidRPr="00F81CC5">
        <w:rPr>
          <w:rFonts w:ascii="Times New Roman" w:hAnsi="Times New Roman" w:cs="Times New Roman"/>
        </w:rPr>
        <w:t>: 730.</w:t>
      </w:r>
      <w:bookmarkEnd w:id="0"/>
    </w:p>
    <w:p w14:paraId="116B6264" w14:textId="77777777" w:rsidR="00E2082B" w:rsidRDefault="00E2082B" w:rsidP="002442D5">
      <w:pPr>
        <w:widowControl w:val="0"/>
        <w:jc w:val="both"/>
      </w:pPr>
    </w:p>
    <w:p w14:paraId="5FAA46CE" w14:textId="77777777" w:rsidR="00E2082B" w:rsidRDefault="00E2082B" w:rsidP="002442D5">
      <w:pPr>
        <w:jc w:val="both"/>
      </w:pPr>
    </w:p>
    <w:sectPr w:rsidR="00E2082B" w:rsidSect="00735550">
      <w:headerReference w:type="even" r:id="rId11"/>
      <w:headerReference w:type="default" r:id="rId12"/>
      <w:footerReference w:type="even" r:id="rId13"/>
      <w:footerReference w:type="default" r:id="rId14"/>
      <w:headerReference w:type="first" r:id="rId15"/>
      <w:footerReference w:type="first" r:id="rId16"/>
      <w:pgSz w:w="11900" w:h="16840" w:code="9"/>
      <w:pgMar w:top="1701" w:right="1418"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BD651" w14:textId="77777777" w:rsidR="00DE75B8" w:rsidRDefault="00DE75B8">
      <w:r>
        <w:separator/>
      </w:r>
    </w:p>
  </w:endnote>
  <w:endnote w:type="continuationSeparator" w:id="0">
    <w:p w14:paraId="41E6A7CE" w14:textId="77777777" w:rsidR="00DE75B8" w:rsidRDefault="00DE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7512374"/>
      <w:docPartObj>
        <w:docPartGallery w:val="Page Numbers (Bottom of Page)"/>
        <w:docPartUnique/>
      </w:docPartObj>
    </w:sdtPr>
    <w:sdtContent>
      <w:p w14:paraId="3459B501" w14:textId="3A3D17D3" w:rsidR="00FD048B" w:rsidRDefault="00FD048B" w:rsidP="001352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0DA1D8" w14:textId="22305C82" w:rsidR="00E2082B" w:rsidRDefault="00E2082B" w:rsidP="00FD048B">
    <w:pPr>
      <w:pBdr>
        <w:top w:val="nil"/>
        <w:left w:val="nil"/>
        <w:bottom w:val="nil"/>
        <w:right w:val="nil"/>
        <w:between w:val="nil"/>
      </w:pBdr>
      <w:tabs>
        <w:tab w:val="center" w:pos="4513"/>
        <w:tab w:val="right" w:pos="9026"/>
      </w:tabs>
      <w:ind w:right="360"/>
      <w:jc w:val="right"/>
      <w:rPr>
        <w:color w:val="000000"/>
      </w:rPr>
    </w:pPr>
  </w:p>
  <w:p w14:paraId="7406A220" w14:textId="77777777" w:rsidR="00E2082B" w:rsidRDefault="00E2082B">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65178038"/>
      <w:docPartObj>
        <w:docPartGallery w:val="Page Numbers (Bottom of Page)"/>
        <w:docPartUnique/>
      </w:docPartObj>
    </w:sdtPr>
    <w:sdtContent>
      <w:p w14:paraId="1BB7619D" w14:textId="785A9B76" w:rsidR="00FD048B" w:rsidRDefault="00FD048B" w:rsidP="001352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D7B570A" w14:textId="77777777" w:rsidR="00E2082B" w:rsidRDefault="00E2082B">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21C66" w14:textId="77777777" w:rsidR="00012626" w:rsidRDefault="00012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005E3" w14:textId="77777777" w:rsidR="00DE75B8" w:rsidRDefault="00DE75B8">
      <w:r>
        <w:separator/>
      </w:r>
    </w:p>
  </w:footnote>
  <w:footnote w:type="continuationSeparator" w:id="0">
    <w:p w14:paraId="446D6D2D" w14:textId="77777777" w:rsidR="00DE75B8" w:rsidRDefault="00DE7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C516D" w14:textId="4445A25E" w:rsidR="00012626" w:rsidRDefault="00012626">
    <w:pPr>
      <w:pStyle w:val="Header"/>
    </w:pPr>
    <w:r>
      <w:rPr>
        <w:noProof/>
      </w:rPr>
      <w:pict w14:anchorId="043D7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12282" o:spid="_x0000_s1026" type="#_x0000_t136" style="position:absolute;margin-left:0;margin-top:0;width:557.1pt;height:61.9pt;rotation:315;z-index:-251655168;mso-position-horizontal:center;mso-position-horizontal-relative:margin;mso-position-vertical:center;mso-position-vertical-relative:margin" o:allowincell="f" fillcolor="silver" stroked="f">
          <v:fill opacity=".5"/>
          <v:textpath style="font-family:&quot;Times&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60629" w14:textId="2A1B1AB6" w:rsidR="00012626" w:rsidRDefault="00012626">
    <w:pPr>
      <w:pStyle w:val="Header"/>
    </w:pPr>
    <w:r>
      <w:rPr>
        <w:noProof/>
      </w:rPr>
      <w:pict w14:anchorId="2C3FE4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12283" o:spid="_x0000_s1027" type="#_x0000_t136" style="position:absolute;margin-left:0;margin-top:0;width:557.1pt;height:61.9pt;rotation:315;z-index:-251653120;mso-position-horizontal:center;mso-position-horizontal-relative:margin;mso-position-vertical:center;mso-position-vertical-relative:margin" o:allowincell="f" fillcolor="silver" stroked="f">
          <v:fill opacity=".5"/>
          <v:textpath style="font-family:&quot;Times&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DCC46" w14:textId="01DC36BC" w:rsidR="00012626" w:rsidRDefault="00012626">
    <w:pPr>
      <w:pStyle w:val="Header"/>
    </w:pPr>
    <w:r>
      <w:rPr>
        <w:noProof/>
      </w:rPr>
      <w:pict w14:anchorId="13DF8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12281" o:spid="_x0000_s1025" type="#_x0000_t136" style="position:absolute;margin-left:0;margin-top:0;width:557.1pt;height:61.9pt;rotation:315;z-index:-251657216;mso-position-horizontal:center;mso-position-horizontal-relative:margin;mso-position-vertical:center;mso-position-vertical-relative:margin" o:allowincell="f" fillcolor="silver" stroked="f">
          <v:fill opacity=".5"/>
          <v:textpath style="font-family:&quot;Times&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410E1"/>
    <w:multiLevelType w:val="hybridMultilevel"/>
    <w:tmpl w:val="8422A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CA5207"/>
    <w:multiLevelType w:val="multilevel"/>
    <w:tmpl w:val="2AFEA4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9C56CC"/>
    <w:multiLevelType w:val="multilevel"/>
    <w:tmpl w:val="37E83834"/>
    <w:lvl w:ilvl="0">
      <w:start w:val="1"/>
      <w:numFmt w:val="decimal"/>
      <w:lvlText w:val="%1.  "/>
      <w:lvlJc w:val="left"/>
      <w:pPr>
        <w:ind w:left="0" w:firstLine="0"/>
      </w:pPr>
    </w:lvl>
    <w:lvl w:ilvl="1">
      <w:start w:val="1"/>
      <w:numFmt w:val="decimal"/>
      <w:lvlText w:val="%1.%2.  "/>
      <w:lvlJc w:val="left"/>
      <w:pPr>
        <w:ind w:left="0" w:firstLine="0"/>
      </w:pPr>
    </w:lvl>
    <w:lvl w:ilvl="2">
      <w:start w:val="1"/>
      <w:numFmt w:val="decimal"/>
      <w:lvlText w:val="%1.%2.%3.  "/>
      <w:lvlJc w:val="left"/>
      <w:pPr>
        <w:ind w:left="0" w:firstLine="142"/>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94674ED"/>
    <w:multiLevelType w:val="hybridMultilevel"/>
    <w:tmpl w:val="D14E1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78542C"/>
    <w:multiLevelType w:val="multilevel"/>
    <w:tmpl w:val="A09610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BBF16A5"/>
    <w:multiLevelType w:val="hybridMultilevel"/>
    <w:tmpl w:val="D2489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5395D"/>
    <w:multiLevelType w:val="hybridMultilevel"/>
    <w:tmpl w:val="D6D08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2127EE"/>
    <w:multiLevelType w:val="hybridMultilevel"/>
    <w:tmpl w:val="57DC21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36AA8"/>
    <w:multiLevelType w:val="hybridMultilevel"/>
    <w:tmpl w:val="3B5A6FD8"/>
    <w:lvl w:ilvl="0" w:tplc="A04057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6131D"/>
    <w:multiLevelType w:val="hybridMultilevel"/>
    <w:tmpl w:val="CA20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EA131B"/>
    <w:multiLevelType w:val="multilevel"/>
    <w:tmpl w:val="4A7C0B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C153D1"/>
    <w:multiLevelType w:val="multilevel"/>
    <w:tmpl w:val="7340E86E"/>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2" w15:restartNumberingAfterBreak="0">
    <w:nsid w:val="7E7234D2"/>
    <w:multiLevelType w:val="hybridMultilevel"/>
    <w:tmpl w:val="21DC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697829">
    <w:abstractNumId w:val="10"/>
  </w:num>
  <w:num w:numId="2" w16cid:durableId="224533874">
    <w:abstractNumId w:val="2"/>
  </w:num>
  <w:num w:numId="3" w16cid:durableId="1803383972">
    <w:abstractNumId w:val="9"/>
  </w:num>
  <w:num w:numId="4" w16cid:durableId="2018538502">
    <w:abstractNumId w:val="8"/>
  </w:num>
  <w:num w:numId="5" w16cid:durableId="1846044786">
    <w:abstractNumId w:val="7"/>
  </w:num>
  <w:num w:numId="6" w16cid:durableId="1371878225">
    <w:abstractNumId w:val="4"/>
  </w:num>
  <w:num w:numId="7" w16cid:durableId="316350079">
    <w:abstractNumId w:val="1"/>
  </w:num>
  <w:num w:numId="8" w16cid:durableId="1427843509">
    <w:abstractNumId w:val="5"/>
  </w:num>
  <w:num w:numId="9" w16cid:durableId="1732533817">
    <w:abstractNumId w:val="12"/>
  </w:num>
  <w:num w:numId="10" w16cid:durableId="1366326250">
    <w:abstractNumId w:val="0"/>
  </w:num>
  <w:num w:numId="11" w16cid:durableId="966013358">
    <w:abstractNumId w:val="11"/>
  </w:num>
  <w:num w:numId="12" w16cid:durableId="312297494">
    <w:abstractNumId w:val="3"/>
  </w:num>
  <w:num w:numId="13" w16cid:durableId="96756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2B"/>
    <w:rsid w:val="00012626"/>
    <w:rsid w:val="0002148B"/>
    <w:rsid w:val="0009383D"/>
    <w:rsid w:val="00123B1B"/>
    <w:rsid w:val="00143FAA"/>
    <w:rsid w:val="0017545E"/>
    <w:rsid w:val="001931B2"/>
    <w:rsid w:val="001A58BE"/>
    <w:rsid w:val="00232BC0"/>
    <w:rsid w:val="002442D5"/>
    <w:rsid w:val="00293919"/>
    <w:rsid w:val="002D61C5"/>
    <w:rsid w:val="00301518"/>
    <w:rsid w:val="00341A6B"/>
    <w:rsid w:val="0035540A"/>
    <w:rsid w:val="003B0412"/>
    <w:rsid w:val="003F3C39"/>
    <w:rsid w:val="0045163B"/>
    <w:rsid w:val="00454089"/>
    <w:rsid w:val="004C4287"/>
    <w:rsid w:val="0054460E"/>
    <w:rsid w:val="005F2BED"/>
    <w:rsid w:val="006A656C"/>
    <w:rsid w:val="006E6B5F"/>
    <w:rsid w:val="00705CD6"/>
    <w:rsid w:val="007154ED"/>
    <w:rsid w:val="007247F7"/>
    <w:rsid w:val="00735550"/>
    <w:rsid w:val="007577A6"/>
    <w:rsid w:val="007931E3"/>
    <w:rsid w:val="0083026F"/>
    <w:rsid w:val="008F45AD"/>
    <w:rsid w:val="0097303F"/>
    <w:rsid w:val="009B00F8"/>
    <w:rsid w:val="00A25E6C"/>
    <w:rsid w:val="00A744BA"/>
    <w:rsid w:val="00AA1C3A"/>
    <w:rsid w:val="00AB3667"/>
    <w:rsid w:val="00AC57D0"/>
    <w:rsid w:val="00AF081F"/>
    <w:rsid w:val="00B147C9"/>
    <w:rsid w:val="00BC31DD"/>
    <w:rsid w:val="00C1129A"/>
    <w:rsid w:val="00C14317"/>
    <w:rsid w:val="00D36F10"/>
    <w:rsid w:val="00D87648"/>
    <w:rsid w:val="00DB7213"/>
    <w:rsid w:val="00DC5856"/>
    <w:rsid w:val="00DE75B8"/>
    <w:rsid w:val="00E2082B"/>
    <w:rsid w:val="00E457FC"/>
    <w:rsid w:val="00E81560"/>
    <w:rsid w:val="00F81CC5"/>
    <w:rsid w:val="00F83E43"/>
    <w:rsid w:val="00FD0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447F0"/>
  <w15:docId w15:val="{F06E7D96-E44E-4815-BFC9-97E9EC95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F8"/>
  </w:style>
  <w:style w:type="paragraph" w:styleId="Heading1">
    <w:name w:val="heading 1"/>
    <w:basedOn w:val="Normal"/>
    <w:next w:val="Normal"/>
    <w:uiPriority w:val="9"/>
    <w:qFormat/>
    <w:pPr>
      <w:keepNext/>
      <w:widowControl w:val="0"/>
      <w:jc w:val="both"/>
      <w:outlineLvl w:val="0"/>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pPr>
      <w:pBdr>
        <w:top w:val="nil"/>
        <w:left w:val="nil"/>
        <w:bottom w:val="nil"/>
        <w:right w:val="nil"/>
        <w:between w:val="nil"/>
      </w:pBdr>
      <w:spacing w:before="240"/>
      <w:outlineLvl w:val="1"/>
    </w:pPr>
    <w:rPr>
      <w:i/>
      <w:color w:val="000000"/>
    </w:rPr>
  </w:style>
  <w:style w:type="paragraph" w:styleId="Heading3">
    <w:name w:val="heading 3"/>
    <w:basedOn w:val="Normal"/>
    <w:next w:val="Normal"/>
    <w:uiPriority w:val="9"/>
    <w:semiHidden/>
    <w:unhideWhenUsed/>
    <w:qFormat/>
    <w:pPr>
      <w:keepNext/>
      <w:spacing w:before="240" w:after="60"/>
      <w:ind w:left="720" w:hanging="432"/>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588" w:after="567"/>
    </w:pPr>
    <w:rPr>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14317"/>
    <w:pPr>
      <w:tabs>
        <w:tab w:val="center" w:pos="4680"/>
        <w:tab w:val="right" w:pos="9360"/>
      </w:tabs>
    </w:pPr>
  </w:style>
  <w:style w:type="character" w:customStyle="1" w:styleId="HeaderChar">
    <w:name w:val="Header Char"/>
    <w:basedOn w:val="DefaultParagraphFont"/>
    <w:link w:val="Header"/>
    <w:uiPriority w:val="99"/>
    <w:rsid w:val="00C14317"/>
  </w:style>
  <w:style w:type="paragraph" w:styleId="Footer">
    <w:name w:val="footer"/>
    <w:basedOn w:val="Normal"/>
    <w:link w:val="FooterChar"/>
    <w:uiPriority w:val="99"/>
    <w:unhideWhenUsed/>
    <w:rsid w:val="00C14317"/>
    <w:pPr>
      <w:tabs>
        <w:tab w:val="center" w:pos="4680"/>
        <w:tab w:val="right" w:pos="9360"/>
      </w:tabs>
    </w:pPr>
  </w:style>
  <w:style w:type="character" w:customStyle="1" w:styleId="FooterChar">
    <w:name w:val="Footer Char"/>
    <w:basedOn w:val="DefaultParagraphFont"/>
    <w:link w:val="Footer"/>
    <w:uiPriority w:val="99"/>
    <w:rsid w:val="00C14317"/>
  </w:style>
  <w:style w:type="paragraph" w:styleId="ListParagraph">
    <w:name w:val="List Paragraph"/>
    <w:basedOn w:val="Normal"/>
    <w:uiPriority w:val="34"/>
    <w:qFormat/>
    <w:rsid w:val="00735550"/>
    <w:pPr>
      <w:ind w:left="720"/>
      <w:contextualSpacing/>
    </w:pPr>
  </w:style>
  <w:style w:type="character" w:styleId="Hyperlink">
    <w:name w:val="Hyperlink"/>
    <w:basedOn w:val="DefaultParagraphFont"/>
    <w:uiPriority w:val="99"/>
    <w:unhideWhenUsed/>
    <w:rsid w:val="00735550"/>
    <w:rPr>
      <w:color w:val="0000FF" w:themeColor="hyperlink"/>
      <w:u w:val="single"/>
    </w:rPr>
  </w:style>
  <w:style w:type="character" w:styleId="UnresolvedMention">
    <w:name w:val="Unresolved Mention"/>
    <w:basedOn w:val="DefaultParagraphFont"/>
    <w:uiPriority w:val="99"/>
    <w:semiHidden/>
    <w:unhideWhenUsed/>
    <w:rsid w:val="00735550"/>
    <w:rPr>
      <w:color w:val="605E5C"/>
      <w:shd w:val="clear" w:color="auto" w:fill="E1DFDD"/>
    </w:rPr>
  </w:style>
  <w:style w:type="table" w:styleId="TableGrid">
    <w:name w:val="Table Grid"/>
    <w:basedOn w:val="TableNormal"/>
    <w:uiPriority w:val="39"/>
    <w:rsid w:val="0045163B"/>
    <w:rPr>
      <w:rFonts w:asciiTheme="minorHAnsi" w:eastAsiaTheme="minorHAnsi" w:hAnsiTheme="minorHAnsi" w:cstheme="minorBidi"/>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656C"/>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FD0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85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7</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25</cp:revision>
  <dcterms:created xsi:type="dcterms:W3CDTF">2024-06-14T20:13:00Z</dcterms:created>
  <dcterms:modified xsi:type="dcterms:W3CDTF">2024-06-15T12:25:00Z</dcterms:modified>
</cp:coreProperties>
</file>