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BCA83B8" w:rsidR="0000007A" w:rsidRPr="00DE7D30" w:rsidRDefault="00F8411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F72D53">
                <w:rPr>
                  <w:rStyle w:val="Hyperlink"/>
                  <w:rFonts w:ascii="Arial" w:hAnsi="Arial" w:cs="Arial"/>
                </w:rPr>
                <w:t>Science and Technology - Recent Updates and Future Prospects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44C6CA2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8411E">
              <w:rPr>
                <w:rFonts w:ascii="Arial" w:hAnsi="Arial" w:cs="Arial"/>
                <w:b/>
                <w:bCs/>
                <w:szCs w:val="28"/>
                <w:lang w:val="en-GB"/>
              </w:rPr>
              <w:t>1719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468DA7F" w:rsidR="0000007A" w:rsidRPr="00DE7D30" w:rsidRDefault="00F8411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8411E">
              <w:rPr>
                <w:rFonts w:ascii="Arial" w:hAnsi="Arial" w:cs="Arial"/>
                <w:b/>
                <w:szCs w:val="28"/>
                <w:lang w:val="en-GB"/>
              </w:rPr>
              <w:t>COLOR MANAGEMENT TECHNIQUES AND TOOLS FOR LIBRRAY PUBLICATIONS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F3031A5" w:rsidR="00CF0BBB" w:rsidRPr="00DE7D30" w:rsidRDefault="00F8411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lastRenderedPageBreak/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C6458D" w14:textId="77777777" w:rsidR="00F225CC" w:rsidRPr="0000007A" w:rsidRDefault="00F225CC" w:rsidP="0099583E">
      <w:r>
        <w:separator/>
      </w:r>
    </w:p>
  </w:endnote>
  <w:endnote w:type="continuationSeparator" w:id="0">
    <w:p w14:paraId="29B730F9" w14:textId="77777777" w:rsidR="00F225CC" w:rsidRPr="0000007A" w:rsidRDefault="00F225C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37268" w14:textId="77777777" w:rsidR="00F225CC" w:rsidRPr="0000007A" w:rsidRDefault="00F225CC" w:rsidP="0099583E">
      <w:r>
        <w:separator/>
      </w:r>
    </w:p>
  </w:footnote>
  <w:footnote w:type="continuationSeparator" w:id="0">
    <w:p w14:paraId="2DAE6F0E" w14:textId="77777777" w:rsidR="00F225CC" w:rsidRPr="0000007A" w:rsidRDefault="00F225C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1211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5092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25CC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411E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science-and-technology-recent-updates-and-future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Editor-05</cp:lastModifiedBy>
  <cp:revision>41</cp:revision>
  <dcterms:created xsi:type="dcterms:W3CDTF">2023-08-30T09:21:00Z</dcterms:created>
  <dcterms:modified xsi:type="dcterms:W3CDTF">2024-07-04T10:58:00Z</dcterms:modified>
</cp:coreProperties>
</file>