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FE0D7B" w:rsidR="0000007A" w:rsidRPr="00DE7D30" w:rsidRDefault="0040239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402390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Business, Management and Economics Research - Research Progress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5E166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02390">
              <w:rPr>
                <w:rFonts w:ascii="Arial" w:hAnsi="Arial" w:cs="Arial"/>
                <w:b/>
                <w:bCs/>
                <w:szCs w:val="28"/>
                <w:lang w:val="en-GB"/>
              </w:rPr>
              <w:t>1712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658FBD" w:rsidR="0000007A" w:rsidRPr="00DE7D30" w:rsidRDefault="004023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02390">
              <w:rPr>
                <w:rFonts w:ascii="Arial" w:hAnsi="Arial" w:cs="Arial"/>
                <w:b/>
                <w:szCs w:val="28"/>
                <w:lang w:val="en-GB"/>
              </w:rPr>
              <w:t>Towards Sustainable Tourism Development in Zambia: Advancing Tourism Planning and Natural Resource Management in Livingstone (Mosi-</w:t>
            </w:r>
            <w:proofErr w:type="spellStart"/>
            <w:r w:rsidRPr="00402390">
              <w:rPr>
                <w:rFonts w:ascii="Arial" w:hAnsi="Arial" w:cs="Arial"/>
                <w:b/>
                <w:szCs w:val="28"/>
                <w:lang w:val="en-GB"/>
              </w:rPr>
              <w:t>oa</w:t>
            </w:r>
            <w:proofErr w:type="spellEnd"/>
            <w:r w:rsidRPr="00402390">
              <w:rPr>
                <w:rFonts w:ascii="Arial" w:hAnsi="Arial" w:cs="Arial"/>
                <w:b/>
                <w:szCs w:val="28"/>
                <w:lang w:val="en-GB"/>
              </w:rPr>
              <w:t>-Tunya) Area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34C4BA8" w:rsidR="00CF0BBB" w:rsidRPr="00DE7D30" w:rsidRDefault="004023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1046DDE" w:rsidR="00E03C32" w:rsidRDefault="0003558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355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Service Science and Management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0355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30-45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</w:p>
                <w:p w14:paraId="57E24C8C" w14:textId="758F277F" w:rsidR="00E03C32" w:rsidRPr="007B54A4" w:rsidRDefault="0003558F" w:rsidP="0003558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355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DOI:10.4236/jssm.2014.71004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A054" w14:textId="77777777" w:rsidR="00D520C3" w:rsidRPr="0000007A" w:rsidRDefault="00D520C3" w:rsidP="0099583E">
      <w:r>
        <w:separator/>
      </w:r>
    </w:p>
  </w:endnote>
  <w:endnote w:type="continuationSeparator" w:id="0">
    <w:p w14:paraId="29856A8D" w14:textId="77777777" w:rsidR="00D520C3" w:rsidRPr="0000007A" w:rsidRDefault="00D520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7905" w14:textId="77777777" w:rsidR="00D520C3" w:rsidRPr="0000007A" w:rsidRDefault="00D520C3" w:rsidP="0099583E">
      <w:r>
        <w:separator/>
      </w:r>
    </w:p>
  </w:footnote>
  <w:footnote w:type="continuationSeparator" w:id="0">
    <w:p w14:paraId="50F3EAA2" w14:textId="77777777" w:rsidR="00D520C3" w:rsidRPr="0000007A" w:rsidRDefault="00D520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558F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D71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390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6D07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520C3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A798F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2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000Prity\Business,%20Management%20and%20Economics%20Research%20-%20Research%20Pr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45</cp:revision>
  <dcterms:created xsi:type="dcterms:W3CDTF">2023-08-30T09:21:00Z</dcterms:created>
  <dcterms:modified xsi:type="dcterms:W3CDTF">2024-07-04T05:00:00Z</dcterms:modified>
</cp:coreProperties>
</file>