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7AD6E" w:rsidR="0000007A" w:rsidRPr="00DE7D30" w:rsidRDefault="001307B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307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9E3C4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307B5">
              <w:rPr>
                <w:rFonts w:ascii="Arial" w:hAnsi="Arial" w:cs="Arial"/>
                <w:b/>
                <w:bCs/>
                <w:szCs w:val="28"/>
                <w:lang w:val="en-GB"/>
              </w:rPr>
              <w:t>4082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0C2472" w:rsidR="0000007A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307B5">
              <w:rPr>
                <w:rFonts w:ascii="Arial" w:hAnsi="Arial" w:cs="Arial"/>
                <w:b/>
                <w:szCs w:val="28"/>
                <w:lang w:val="en-GB"/>
              </w:rPr>
              <w:t>Comprehensive Understanding of the Endogenous Regulation of Seasonal Reproduction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5A317" w:rsidR="00CF0BBB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7E2EFC8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6C1CE1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FF35845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CA11CF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52BD7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B8ED8ED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DD65FD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CBABB2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98534CA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7E1691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2ECDDCE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661112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10A7C3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0B176A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958BD7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3EAC442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BEBA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3B850" w14:textId="77777777" w:rsidR="00EA5C93" w:rsidRPr="0000007A" w:rsidRDefault="00EA5C93" w:rsidP="0099583E">
      <w:r>
        <w:separator/>
      </w:r>
    </w:p>
  </w:endnote>
  <w:endnote w:type="continuationSeparator" w:id="0">
    <w:p w14:paraId="6166DFB2" w14:textId="77777777" w:rsidR="00EA5C93" w:rsidRPr="0000007A" w:rsidRDefault="00EA5C9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6FCDA" w14:textId="77777777" w:rsidR="00EA5C93" w:rsidRPr="0000007A" w:rsidRDefault="00EA5C93" w:rsidP="0099583E">
      <w:r>
        <w:separator/>
      </w:r>
    </w:p>
  </w:footnote>
  <w:footnote w:type="continuationSeparator" w:id="0">
    <w:p w14:paraId="674E56D9" w14:textId="77777777" w:rsidR="00EA5C93" w:rsidRPr="0000007A" w:rsidRDefault="00EA5C9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7B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AA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C93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102</cp:revision>
  <dcterms:created xsi:type="dcterms:W3CDTF">2023-08-30T09:21:00Z</dcterms:created>
  <dcterms:modified xsi:type="dcterms:W3CDTF">2024-12-26T11:56:00Z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