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2BC8A" w14:textId="2FFD8E30" w:rsidR="006E6D81" w:rsidRDefault="00E053B0">
      <w:pPr>
        <w:spacing w:line="240" w:lineRule="auto"/>
        <w:jc w:val="center"/>
        <w:rPr>
          <w:rFonts w:ascii="Calibri" w:eastAsia="BatangChe" w:hAnsi="Calibri" w:cs="Calibri"/>
          <w:sz w:val="24"/>
          <w:szCs w:val="24"/>
          <w:lang w:val="en-US"/>
        </w:rPr>
      </w:pPr>
      <w:r>
        <w:rPr>
          <w:rFonts w:ascii="Calibri" w:hAnsi="Calibri" w:cs="Calibri"/>
          <w:b/>
          <w:sz w:val="24"/>
          <w:szCs w:val="24"/>
          <w:lang w:val="en-US"/>
        </w:rPr>
        <w:t xml:space="preserve">Productivity of Groundnuts under Select Management Practices </w:t>
      </w:r>
    </w:p>
    <w:p w14:paraId="629AFB59" w14:textId="77777777" w:rsidR="001C782A" w:rsidRDefault="001C782A">
      <w:pPr>
        <w:spacing w:line="240" w:lineRule="auto"/>
        <w:jc w:val="both"/>
        <w:rPr>
          <w:rFonts w:ascii="Calibri" w:hAnsi="Calibri" w:cs="Calibri"/>
          <w:b/>
          <w:bCs/>
          <w:sz w:val="24"/>
          <w:szCs w:val="24"/>
          <w:lang w:val="en-US"/>
        </w:rPr>
      </w:pPr>
    </w:p>
    <w:p w14:paraId="73E59EF2" w14:textId="77777777" w:rsidR="001C782A" w:rsidRDefault="001C782A">
      <w:pPr>
        <w:spacing w:line="240" w:lineRule="auto"/>
        <w:jc w:val="both"/>
        <w:rPr>
          <w:rFonts w:ascii="Calibri" w:hAnsi="Calibri" w:cs="Calibri"/>
          <w:b/>
          <w:bCs/>
          <w:sz w:val="24"/>
          <w:szCs w:val="24"/>
          <w:lang w:val="en-US"/>
        </w:rPr>
      </w:pPr>
    </w:p>
    <w:p w14:paraId="2C2C0156" w14:textId="6EA9671C" w:rsidR="006E6D81" w:rsidRPr="004F4980" w:rsidRDefault="00E053B0">
      <w:pPr>
        <w:spacing w:line="240" w:lineRule="auto"/>
        <w:jc w:val="both"/>
        <w:rPr>
          <w:rFonts w:ascii="Calibri" w:hAnsi="Calibri" w:cs="Calibri"/>
          <w:b/>
          <w:bCs/>
          <w:sz w:val="24"/>
          <w:szCs w:val="24"/>
          <w:lang w:val="en-US"/>
        </w:rPr>
      </w:pPr>
      <w:r w:rsidRPr="004F4980">
        <w:rPr>
          <w:rFonts w:ascii="Calibri" w:hAnsi="Calibri" w:cs="Calibri"/>
          <w:b/>
          <w:bCs/>
          <w:sz w:val="24"/>
          <w:szCs w:val="24"/>
          <w:lang w:val="en-US"/>
        </w:rPr>
        <w:t>ABSTRACT</w:t>
      </w:r>
    </w:p>
    <w:p w14:paraId="2F3BFB5D" w14:textId="77777777" w:rsidR="006E6D81" w:rsidRDefault="00E053B0">
      <w:pPr>
        <w:spacing w:line="240" w:lineRule="auto"/>
        <w:jc w:val="both"/>
        <w:rPr>
          <w:rFonts w:ascii="Calibri" w:eastAsia="BatangChe" w:hAnsi="Calibri" w:cs="Calibri"/>
          <w:sz w:val="24"/>
          <w:szCs w:val="24"/>
          <w:lang w:val="en-US"/>
        </w:rPr>
      </w:pPr>
      <w:r>
        <w:rPr>
          <w:rFonts w:ascii="Calibri" w:hAnsi="Calibri" w:cs="Calibri"/>
          <w:sz w:val="24"/>
          <w:szCs w:val="24"/>
          <w:lang w:val="en-US"/>
        </w:rPr>
        <w:t xml:space="preserve">In Ghana, groundnut </w:t>
      </w:r>
      <w:r>
        <w:rPr>
          <w:rFonts w:ascii="Calibri" w:eastAsia="Times New Roman" w:hAnsi="Calibri" w:cs="Calibri"/>
          <w:sz w:val="24"/>
          <w:szCs w:val="24"/>
          <w:lang w:val="en-US"/>
        </w:rPr>
        <w:t>(</w:t>
      </w:r>
      <w:r>
        <w:rPr>
          <w:rFonts w:ascii="Calibri" w:eastAsia="Times New Roman" w:hAnsi="Calibri" w:cs="Calibri"/>
          <w:i/>
          <w:iCs/>
          <w:sz w:val="24"/>
          <w:szCs w:val="24"/>
          <w:lang w:val="en-US"/>
        </w:rPr>
        <w:t>Arachis</w:t>
      </w:r>
      <w:r>
        <w:rPr>
          <w:rFonts w:ascii="Calibri" w:eastAsia="Times New Roman" w:hAnsi="Calibri" w:cs="Calibri"/>
          <w:sz w:val="24"/>
          <w:szCs w:val="24"/>
          <w:lang w:val="en-US"/>
        </w:rPr>
        <w:t xml:space="preserve"> </w:t>
      </w:r>
      <w:r>
        <w:rPr>
          <w:rFonts w:ascii="Calibri" w:eastAsia="Times New Roman" w:hAnsi="Calibri" w:cs="Calibri"/>
          <w:i/>
          <w:iCs/>
          <w:sz w:val="24"/>
          <w:szCs w:val="24"/>
          <w:lang w:val="en-US"/>
        </w:rPr>
        <w:t>hypogaea</w:t>
      </w:r>
      <w:r>
        <w:rPr>
          <w:rFonts w:ascii="Calibri" w:eastAsia="Times New Roman" w:hAnsi="Calibri" w:cs="Calibri"/>
          <w:sz w:val="24"/>
          <w:szCs w:val="24"/>
          <w:lang w:val="en-US"/>
        </w:rPr>
        <w:t xml:space="preserve"> L.) </w:t>
      </w:r>
      <w:r>
        <w:rPr>
          <w:rFonts w:ascii="Calibri" w:hAnsi="Calibri" w:cs="Calibri"/>
          <w:sz w:val="24"/>
          <w:szCs w:val="24"/>
          <w:lang w:val="en-US"/>
        </w:rPr>
        <w:t xml:space="preserve">production plays an important role in livelihoods; particularly for women farmers in rural communities. </w:t>
      </w:r>
      <w:r>
        <w:rPr>
          <w:rFonts w:ascii="Calibri" w:eastAsia="SimSun" w:hAnsi="Calibri" w:cs="Calibri"/>
          <w:sz w:val="24"/>
          <w:szCs w:val="24"/>
        </w:rPr>
        <w:t xml:space="preserve">Per capita consumption is </w:t>
      </w:r>
      <w:r>
        <w:rPr>
          <w:rFonts w:ascii="Calibri" w:eastAsia="SimSun" w:hAnsi="Calibri" w:cs="Calibri"/>
          <w:sz w:val="24"/>
          <w:szCs w:val="24"/>
          <w:lang w:val="en-US"/>
        </w:rPr>
        <w:t xml:space="preserve">estimated </w:t>
      </w:r>
      <w:r>
        <w:rPr>
          <w:rFonts w:ascii="Calibri" w:eastAsia="SimSun" w:hAnsi="Calibri" w:cs="Calibri"/>
          <w:sz w:val="24"/>
          <w:szCs w:val="24"/>
        </w:rPr>
        <w:t>at 12 kg per year</w:t>
      </w:r>
      <w:r>
        <w:rPr>
          <w:rFonts w:ascii="Calibri" w:eastAsia="SimSun" w:hAnsi="Calibri" w:cs="Calibri"/>
          <w:sz w:val="24"/>
          <w:szCs w:val="24"/>
          <w:lang w:val="en-US"/>
        </w:rPr>
        <w:t xml:space="preserve">. </w:t>
      </w:r>
      <w:r>
        <w:rPr>
          <w:rFonts w:ascii="Calibri" w:eastAsia="BatangChe" w:hAnsi="Calibri" w:cs="Calibri"/>
          <w:color w:val="000000"/>
          <w:sz w:val="24"/>
          <w:szCs w:val="24"/>
          <w:lang w:val="en-US"/>
        </w:rPr>
        <w:t xml:space="preserve">About </w:t>
      </w:r>
      <w:r>
        <w:rPr>
          <w:rFonts w:ascii="Calibri" w:hAnsi="Calibri" w:cs="Calibri"/>
          <w:sz w:val="24"/>
          <w:szCs w:val="24"/>
          <w:lang w:val="en-US"/>
        </w:rPr>
        <w:t>80% of Ghanaians consume groundnut-products at least once a week, and about 32% at least thrice a week. About</w:t>
      </w:r>
      <w:r>
        <w:rPr>
          <w:rFonts w:ascii="Calibri" w:eastAsia="SimSun" w:hAnsi="Calibri" w:cs="Calibri"/>
          <w:sz w:val="24"/>
          <w:szCs w:val="24"/>
          <w:lang w:val="en-US"/>
        </w:rPr>
        <w:t xml:space="preserve"> </w:t>
      </w:r>
      <w:r>
        <w:rPr>
          <w:rFonts w:ascii="Calibri" w:eastAsia="SimSun" w:hAnsi="Calibri" w:cs="Calibri"/>
          <w:sz w:val="24"/>
          <w:szCs w:val="24"/>
        </w:rPr>
        <w:t>39% of th</w:t>
      </w:r>
      <w:r>
        <w:rPr>
          <w:rFonts w:ascii="Calibri" w:eastAsia="SimSun" w:hAnsi="Calibri" w:cs="Calibri"/>
          <w:sz w:val="24"/>
          <w:szCs w:val="24"/>
          <w:lang w:val="en-US"/>
        </w:rPr>
        <w:t>e</w:t>
      </w:r>
      <w:r>
        <w:rPr>
          <w:rFonts w:ascii="Calibri" w:eastAsia="SimSun" w:hAnsi="Calibri" w:cs="Calibri"/>
          <w:sz w:val="24"/>
          <w:szCs w:val="24"/>
        </w:rPr>
        <w:t xml:space="preserve"> consume</w:t>
      </w:r>
      <w:proofErr w:type="spellStart"/>
      <w:r>
        <w:rPr>
          <w:rFonts w:ascii="Calibri" w:eastAsia="SimSun" w:hAnsi="Calibri" w:cs="Calibri"/>
          <w:sz w:val="24"/>
          <w:szCs w:val="24"/>
          <w:lang w:val="en-US"/>
        </w:rPr>
        <w:t>rs</w:t>
      </w:r>
      <w:proofErr w:type="spellEnd"/>
      <w:r>
        <w:rPr>
          <w:rFonts w:ascii="Calibri" w:eastAsia="SimSun" w:hAnsi="Calibri" w:cs="Calibri"/>
          <w:sz w:val="24"/>
          <w:szCs w:val="24"/>
          <w:lang w:val="en-US"/>
        </w:rPr>
        <w:t xml:space="preserve"> </w:t>
      </w:r>
      <w:r>
        <w:rPr>
          <w:rFonts w:ascii="Calibri" w:eastAsia="SimSun" w:hAnsi="Calibri" w:cs="Calibri"/>
          <w:sz w:val="24"/>
          <w:szCs w:val="24"/>
        </w:rPr>
        <w:t>in Northern Ghana grow it themselves</w:t>
      </w:r>
      <w:r>
        <w:rPr>
          <w:rFonts w:ascii="Calibri" w:eastAsia="SimSun" w:hAnsi="Calibri" w:cs="Calibri"/>
          <w:sz w:val="24"/>
          <w:szCs w:val="24"/>
          <w:lang w:val="en-US"/>
        </w:rPr>
        <w:t xml:space="preserve">. </w:t>
      </w:r>
      <w:r>
        <w:rPr>
          <w:rFonts w:ascii="Calibri" w:hAnsi="Calibri" w:cs="Calibri"/>
          <w:sz w:val="24"/>
          <w:szCs w:val="24"/>
          <w:lang w:val="en-US"/>
        </w:rPr>
        <w:t xml:space="preserve">Three salient </w:t>
      </w:r>
      <w:r>
        <w:rPr>
          <w:rFonts w:ascii="Calibri" w:eastAsia="BatangChe" w:hAnsi="Calibri" w:cs="Calibri"/>
          <w:sz w:val="24"/>
          <w:szCs w:val="24"/>
          <w:lang w:val="en-US"/>
        </w:rPr>
        <w:t xml:space="preserve">challenges limiting groundnut production are low access to improved seed, poor soils and aflatoxin contamination. </w:t>
      </w:r>
      <w:r>
        <w:rPr>
          <w:rFonts w:ascii="Calibri" w:eastAsia="Calibri" w:hAnsi="Calibri" w:cs="Calibri"/>
          <w:sz w:val="24"/>
          <w:szCs w:val="24"/>
          <w:lang w:val="en-US"/>
        </w:rPr>
        <w:t xml:space="preserve">The study adopted integrated strategies to enhance the knowledge of actors on best production technologies to increase yield, and reduce the risk of aflatoxin contamination. First, a series of training were organized for actors on improved production and postharvest management practices. Secondly, </w:t>
      </w:r>
      <w:r>
        <w:rPr>
          <w:rFonts w:ascii="Calibri" w:hAnsi="Calibri" w:cs="Calibri"/>
          <w:sz w:val="24"/>
          <w:szCs w:val="24"/>
          <w:lang w:val="en-US"/>
        </w:rPr>
        <w:t xml:space="preserve">on-farm demonstrations were conducted to provide a platform to showcase the effects of best practices (i.e. improved variety, soil amendments, Rhizobium inoculants and integrated pest management) on yield and aflatoxin contamination.  The </w:t>
      </w:r>
      <w:r>
        <w:rPr>
          <w:rFonts w:ascii="Calibri" w:eastAsia="BatangChe" w:hAnsi="Calibri" w:cs="Calibri"/>
          <w:sz w:val="24"/>
          <w:szCs w:val="24"/>
          <w:lang w:val="en-US"/>
        </w:rPr>
        <w:t xml:space="preserve">average yield of the farmers’ practices was 0.56 to 0.95 t/ha compared to 0.85 to 1.26 t/ha from best management practices. </w:t>
      </w:r>
      <w:r>
        <w:rPr>
          <w:rFonts w:ascii="Calibri" w:hAnsi="Calibri" w:cs="Calibri"/>
          <w:sz w:val="24"/>
          <w:szCs w:val="24"/>
          <w:lang w:val="en-US"/>
        </w:rPr>
        <w:t xml:space="preserve">Pod yield of the integrated pest management plots (1.03 t/ha) out-performed the farmer practice (0.64 t/ha) across the locations. </w:t>
      </w:r>
      <w:r>
        <w:rPr>
          <w:rFonts w:ascii="Calibri" w:eastAsia="BatangChe" w:hAnsi="Calibri" w:cs="Calibri"/>
          <w:sz w:val="24"/>
          <w:szCs w:val="24"/>
          <w:lang w:val="en-US"/>
        </w:rPr>
        <w:t xml:space="preserve">The application of organic manure, mineral fertilizer and manure + mineral fertilizer increased yield by 23.5%, 30% and 39%, respectively, over the control. </w:t>
      </w:r>
      <w:r>
        <w:rPr>
          <w:rFonts w:ascii="Calibri" w:hAnsi="Calibri" w:cs="Calibri"/>
          <w:sz w:val="24"/>
          <w:szCs w:val="24"/>
          <w:lang w:val="en-US" w:eastAsia="en-GB"/>
        </w:rPr>
        <w:t>The application of YARA-Legume + Rhizobium inoculant (1.22 t/ha) or TSP + Rhizobium inoculant (1.01 t/ha) resulted in consistently higher pod yield compared to the control (0.57 t/ha), or single application of any amendment.</w:t>
      </w:r>
      <w:r>
        <w:rPr>
          <w:rFonts w:ascii="Calibri" w:eastAsia="BatangChe" w:hAnsi="Calibri" w:cs="Calibri"/>
          <w:sz w:val="24"/>
          <w:szCs w:val="24"/>
          <w:lang w:val="en-US"/>
        </w:rPr>
        <w:t xml:space="preserve"> At 12 ppm permissible level, all samples contained safe aflatoxin levels (4.43 to 5.45 ppm) at 8 months after harvest. In conclusion, significant reduction in aflatoxins contamination can be achieved by integrating these practices into the current groundnut production systems. </w:t>
      </w:r>
      <w:r>
        <w:rPr>
          <w:rFonts w:ascii="Calibri" w:hAnsi="Calibri" w:cs="Calibri"/>
          <w:sz w:val="24"/>
          <w:szCs w:val="24"/>
          <w:lang w:val="en-US"/>
        </w:rPr>
        <w:t>Albeit, a</w:t>
      </w:r>
      <w:r>
        <w:rPr>
          <w:rFonts w:ascii="Calibri" w:hAnsi="Calibri" w:cs="Calibri"/>
          <w:sz w:val="24"/>
          <w:szCs w:val="24"/>
          <w:lang w:val="en-US" w:eastAsia="en-GB"/>
        </w:rPr>
        <w:t>ccess (cost and availability) to these technologies remains a barrier to disseminating these technologies to largely smallholder farmers.</w:t>
      </w:r>
    </w:p>
    <w:p w14:paraId="2B26DE53" w14:textId="77777777" w:rsidR="006E6D81" w:rsidRDefault="00E053B0">
      <w:pPr>
        <w:spacing w:line="240" w:lineRule="auto"/>
        <w:jc w:val="both"/>
        <w:rPr>
          <w:rFonts w:ascii="Calibri" w:eastAsia="BatangChe" w:hAnsi="Calibri" w:cs="Calibri"/>
          <w:bCs/>
          <w:sz w:val="24"/>
          <w:szCs w:val="24"/>
          <w:lang w:val="en-US"/>
        </w:rPr>
      </w:pPr>
      <w:r>
        <w:rPr>
          <w:rFonts w:ascii="Calibri" w:eastAsia="BatangChe" w:hAnsi="Calibri" w:cs="Calibri"/>
          <w:b/>
          <w:sz w:val="24"/>
          <w:szCs w:val="24"/>
          <w:lang w:val="en-US"/>
        </w:rPr>
        <w:t xml:space="preserve">Key words: </w:t>
      </w:r>
      <w:r>
        <w:rPr>
          <w:rFonts w:ascii="Calibri" w:eastAsia="BatangChe" w:hAnsi="Calibri" w:cs="Calibri"/>
          <w:bCs/>
          <w:sz w:val="24"/>
          <w:szCs w:val="24"/>
          <w:lang w:val="en-US"/>
        </w:rPr>
        <w:t>Aflatoxins, best agronomic practices, food safety, integrated pest management, s</w:t>
      </w:r>
      <w:r>
        <w:rPr>
          <w:rFonts w:ascii="Calibri" w:hAnsi="Calibri" w:cs="Calibri"/>
          <w:sz w:val="24"/>
          <w:szCs w:val="24"/>
          <w:lang w:val="en-US"/>
        </w:rPr>
        <w:t xml:space="preserve">oil amendments, Rhizobium inoculants </w:t>
      </w:r>
    </w:p>
    <w:p w14:paraId="0D2BF132" w14:textId="77777777" w:rsidR="006E6D81" w:rsidRDefault="00E053B0">
      <w:pPr>
        <w:numPr>
          <w:ilvl w:val="0"/>
          <w:numId w:val="2"/>
        </w:numPr>
        <w:autoSpaceDE w:val="0"/>
        <w:autoSpaceDN w:val="0"/>
        <w:adjustRightInd w:val="0"/>
        <w:spacing w:line="240" w:lineRule="auto"/>
        <w:jc w:val="both"/>
        <w:rPr>
          <w:rFonts w:ascii="Calibri" w:hAnsi="Calibri" w:cs="Calibri"/>
          <w:b/>
          <w:sz w:val="24"/>
          <w:szCs w:val="24"/>
          <w:lang w:val="en-US"/>
        </w:rPr>
      </w:pPr>
      <w:r>
        <w:rPr>
          <w:rFonts w:ascii="Calibri" w:hAnsi="Calibri" w:cs="Calibri"/>
          <w:b/>
          <w:sz w:val="24"/>
          <w:szCs w:val="24"/>
          <w:lang w:val="en-US"/>
        </w:rPr>
        <w:t>Introduction</w:t>
      </w:r>
    </w:p>
    <w:p w14:paraId="69D0B2E0" w14:textId="786B75E9" w:rsidR="006E6D81" w:rsidRDefault="00E053B0">
      <w:pPr>
        <w:spacing w:after="0" w:line="240" w:lineRule="auto"/>
        <w:jc w:val="both"/>
        <w:rPr>
          <w:rFonts w:ascii="Calibri" w:eastAsia="Times New Roman" w:hAnsi="Calibri" w:cs="Calibri"/>
          <w:sz w:val="24"/>
          <w:szCs w:val="24"/>
          <w:lang w:val="en-US"/>
        </w:rPr>
      </w:pPr>
      <w:r>
        <w:rPr>
          <w:rFonts w:ascii="Calibri" w:eastAsia="Times New Roman" w:hAnsi="Calibri" w:cs="Calibri"/>
          <w:sz w:val="24"/>
          <w:szCs w:val="24"/>
          <w:lang w:val="en-US"/>
        </w:rPr>
        <w:t>Groundnut (</w:t>
      </w:r>
      <w:r>
        <w:rPr>
          <w:rFonts w:ascii="Calibri" w:eastAsia="Times New Roman" w:hAnsi="Calibri" w:cs="Calibri"/>
          <w:i/>
          <w:iCs/>
          <w:sz w:val="24"/>
          <w:szCs w:val="24"/>
          <w:lang w:val="en-US"/>
        </w:rPr>
        <w:t>Arachis</w:t>
      </w:r>
      <w:r>
        <w:rPr>
          <w:rFonts w:ascii="Calibri" w:eastAsia="Times New Roman" w:hAnsi="Calibri" w:cs="Calibri"/>
          <w:sz w:val="24"/>
          <w:szCs w:val="24"/>
          <w:lang w:val="en-US"/>
        </w:rPr>
        <w:t xml:space="preserve"> </w:t>
      </w:r>
      <w:r>
        <w:rPr>
          <w:rFonts w:ascii="Calibri" w:eastAsia="Times New Roman" w:hAnsi="Calibri" w:cs="Calibri"/>
          <w:i/>
          <w:iCs/>
          <w:sz w:val="24"/>
          <w:szCs w:val="24"/>
          <w:lang w:val="en-US"/>
        </w:rPr>
        <w:t>hypogaea</w:t>
      </w:r>
      <w:r>
        <w:rPr>
          <w:rFonts w:ascii="Calibri" w:eastAsia="Times New Roman" w:hAnsi="Calibri" w:cs="Calibri"/>
          <w:sz w:val="24"/>
          <w:szCs w:val="24"/>
          <w:lang w:val="en-US"/>
        </w:rPr>
        <w:t xml:space="preserve"> L.) is an important oil, food and feed crop cultivated worldwide. In Ghana, groundnut remains the most important grain legume in terms of area under cultivation and annual production. The bulk production occurs in the Guinea and Sudan Savannah </w:t>
      </w:r>
      <w:proofErr w:type="spellStart"/>
      <w:r>
        <w:rPr>
          <w:rFonts w:ascii="Calibri" w:eastAsia="Times New Roman" w:hAnsi="Calibri" w:cs="Calibri"/>
          <w:sz w:val="24"/>
          <w:szCs w:val="24"/>
          <w:lang w:val="en-US"/>
        </w:rPr>
        <w:t>agro</w:t>
      </w:r>
      <w:proofErr w:type="spellEnd"/>
      <w:r>
        <w:rPr>
          <w:rFonts w:ascii="Calibri" w:eastAsia="Times New Roman" w:hAnsi="Calibri" w:cs="Calibri"/>
          <w:sz w:val="24"/>
          <w:szCs w:val="24"/>
          <w:lang w:val="en-US"/>
        </w:rPr>
        <w:t xml:space="preserve">-ecologies where more than 90% of farming households are estimated to own at least an acre of the crop </w:t>
      </w:r>
      <w:r>
        <w:rPr>
          <w:rFonts w:ascii="Calibri" w:eastAsia="Times New Roman" w:hAnsi="Calibri" w:cs="Calibri"/>
          <w:sz w:val="24"/>
          <w:szCs w:val="24"/>
          <w:lang w:val="en-US"/>
        </w:rPr>
        <w:fldChar w:fldCharType="begin" w:fldLock="1"/>
      </w:r>
      <w:r>
        <w:rPr>
          <w:rFonts w:ascii="Calibri" w:eastAsia="Times New Roman" w:hAnsi="Calibri" w:cs="Calibri"/>
          <w:sz w:val="24"/>
          <w:szCs w:val="24"/>
          <w:lang w:val="en-US"/>
        </w:rPr>
        <w:instrText>ADDIN CSL_CITATION {"citationItems":[{"id":"ITEM-1","itemData":{"author":[{"dropping-particle":"","family":"Tsigbey","given":"F K","non-dropping-particle":"","parse-names":false,"suffix":""},{"dropping-particle":"","family":"Brandenburg","given":"R L","non-dropping-particle":"","parse-names":false,"suffix":""},{"dropping-particle":"","family":"Clottey","given":"V A","non-dropping-particle":"","parse-names":false,"suffix":""}],"container-title":"Online Journal of Agronomy","id":"ITEM-1","issue":"2","issued":{"date-parts":[["2003"]]},"page":"36-47","title":"Peanut production methods in northern Ghana and some disease perspectives","type":"article-journal","volume":"34"},"uris":["http://www.mendeley.com/documents/?uuid=3c348961-6afd-48fa-8e3d-31e8bab7ce58"]}],"mendeley":{"formattedCitation":"(Tsigbey et al., 2003)","plainTextFormattedCitation":"(Tsigbey et al., 2003)","previouslyFormattedCitation":"(Tsigbey et al., 2003)"},"properties":{"noteIndex":0},"schema":"https://github.com/citation-style-language/schema/raw/master/csl-citation.json"}</w:instrText>
      </w:r>
      <w:r>
        <w:rPr>
          <w:rFonts w:ascii="Calibri" w:eastAsia="Times New Roman" w:hAnsi="Calibri" w:cs="Calibri"/>
          <w:sz w:val="24"/>
          <w:szCs w:val="24"/>
          <w:lang w:val="en-US"/>
        </w:rPr>
        <w:fldChar w:fldCharType="separate"/>
      </w:r>
      <w:r>
        <w:rPr>
          <w:rFonts w:ascii="Calibri" w:eastAsia="Times New Roman" w:hAnsi="Calibri" w:cs="Calibri"/>
          <w:sz w:val="24"/>
          <w:szCs w:val="24"/>
          <w:lang w:val="en-US"/>
        </w:rPr>
        <w:t>(Tsigbey et al., 2003</w:t>
      </w:r>
      <w:r>
        <w:rPr>
          <w:rFonts w:ascii="Calibri" w:eastAsia="Times New Roman" w:hAnsi="Calibri" w:cs="Calibri"/>
          <w:sz w:val="24"/>
          <w:szCs w:val="24"/>
          <w:lang w:val="en-US"/>
        </w:rPr>
        <w:fldChar w:fldCharType="end"/>
      </w:r>
      <w:r>
        <w:rPr>
          <w:rFonts w:ascii="Calibri" w:eastAsia="Times New Roman" w:hAnsi="Calibri" w:cs="Calibri"/>
          <w:sz w:val="24"/>
          <w:szCs w:val="24"/>
          <w:lang w:val="en-US"/>
        </w:rPr>
        <w:t xml:space="preserve">; </w:t>
      </w:r>
      <w:r>
        <w:rPr>
          <w:rFonts w:ascii="Calibri" w:hAnsi="Calibri" w:cs="Calibri"/>
          <w:bCs/>
          <w:sz w:val="24"/>
          <w:szCs w:val="24"/>
        </w:rPr>
        <w:t>Carlberg</w:t>
      </w:r>
      <w:r>
        <w:rPr>
          <w:rFonts w:ascii="Calibri" w:hAnsi="Calibri" w:cs="Calibri"/>
          <w:bCs/>
          <w:sz w:val="24"/>
          <w:szCs w:val="24"/>
          <w:lang w:val="en-US"/>
        </w:rPr>
        <w:t xml:space="preserve"> et al., 2013)</w:t>
      </w:r>
      <w:r>
        <w:rPr>
          <w:rFonts w:ascii="Calibri" w:eastAsia="Times New Roman" w:hAnsi="Calibri" w:cs="Calibri"/>
          <w:sz w:val="24"/>
          <w:szCs w:val="24"/>
          <w:lang w:val="en-US"/>
        </w:rPr>
        <w:t xml:space="preserve">. For these households, groundnut contributes massively to their livelihoods as a cash crop and available highly nutritious food. The kernel is a key ingredient in several dishes across social classes in Ghana </w:t>
      </w:r>
      <w:r>
        <w:rPr>
          <w:rFonts w:ascii="Calibri" w:eastAsia="Times New Roman" w:hAnsi="Calibri" w:cs="Calibri"/>
          <w:sz w:val="24"/>
          <w:szCs w:val="24"/>
          <w:lang w:val="en-US"/>
        </w:rPr>
        <w:fldChar w:fldCharType="begin" w:fldLock="1"/>
      </w:r>
      <w:r>
        <w:rPr>
          <w:rFonts w:ascii="Calibri" w:eastAsia="Times New Roman" w:hAnsi="Calibri" w:cs="Calibri"/>
          <w:sz w:val="24"/>
          <w:szCs w:val="24"/>
          <w:lang w:val="en-US"/>
        </w:rPr>
        <w:instrText>ADDIN CSL_CITATION {"citationItems":[{"id":"ITEM-1","itemData":{"author":[{"dropping-particle":"","family":"Kleih","given":"U","non-dropping-particle":"","parse-names":false,"suffix":""},{"dropping-particle":"","family":"Bosco","given":"S","non-dropping-particle":"","parse-names":false,"suffix":""},{"dropping-particle":"","family":"Kumar","given":"R","non-dropping-particle":"","parse-names":false,"suffix":""},{"dropping-particle":"","family":"Apeeliga","given":"J","non-dropping-particle":"","parse-names":false,"suffix":""},{"dropping-particle":"","family":"Lalani","given":"B","non-dropping-particle":"","parse-names":false,"suffix":""},{"dropping-particle":"","family":"Yawlui","given":"S","non-dropping-particle":"","parse-names":false,"suffix":""}],"id":"ITEM-1","issued":{"date-parts":[["2020"]]},"number-of-pages":"150 + annexes","title":"Groundnut value chain analysis in Ghana. Report for the European Union, DG-DEVCO. Value Chain Analysis for Development Project (VCA4D CTR 2016/375-804), 150p + annexes","type":"report"},"uris":["http://www.mendeley.com/documents/?uuid=49dff439-4af7-4935-8cff-2e2ee3d57afa"]}],"mendeley":{"formattedCitation":"(Kleih et al., 2020)","plainTextFormattedCitation":"(Kleih et al., 2020)","previouslyFormattedCitation":"(Kleih et al., 2020)"},"properties":{"noteIndex":0},"schema":"https://github.com/citation-style-language/schema/raw/master/csl-citation.json"}</w:instrText>
      </w:r>
      <w:r>
        <w:rPr>
          <w:rFonts w:ascii="Calibri" w:eastAsia="Times New Roman" w:hAnsi="Calibri" w:cs="Calibri"/>
          <w:sz w:val="24"/>
          <w:szCs w:val="24"/>
          <w:lang w:val="en-US"/>
        </w:rPr>
        <w:fldChar w:fldCharType="separate"/>
      </w:r>
      <w:r>
        <w:rPr>
          <w:rFonts w:ascii="Calibri" w:eastAsia="Times New Roman" w:hAnsi="Calibri" w:cs="Calibri"/>
          <w:sz w:val="24"/>
          <w:szCs w:val="24"/>
          <w:lang w:val="en-US"/>
        </w:rPr>
        <w:t>(Kleih et al., 2020)</w:t>
      </w:r>
      <w:r>
        <w:rPr>
          <w:rFonts w:ascii="Calibri" w:eastAsia="Times New Roman" w:hAnsi="Calibri" w:cs="Calibri"/>
          <w:sz w:val="24"/>
          <w:szCs w:val="24"/>
          <w:lang w:val="en-US"/>
        </w:rPr>
        <w:fldChar w:fldCharType="end"/>
      </w:r>
      <w:r>
        <w:rPr>
          <w:rFonts w:ascii="Calibri" w:eastAsia="Times New Roman" w:hAnsi="Calibri" w:cs="Calibri"/>
          <w:sz w:val="24"/>
          <w:szCs w:val="24"/>
          <w:lang w:val="en-US"/>
        </w:rPr>
        <w:t>. With an average of 35 – 51% oil</w:t>
      </w:r>
      <w:r w:rsidR="0091771D">
        <w:rPr>
          <w:rFonts w:ascii="Calibri" w:eastAsia="Times New Roman" w:hAnsi="Calibri" w:cs="Calibri"/>
          <w:sz w:val="24"/>
          <w:szCs w:val="24"/>
          <w:lang w:val="en-US"/>
        </w:rPr>
        <w:t xml:space="preserve">, </w:t>
      </w:r>
      <w:r>
        <w:rPr>
          <w:rFonts w:ascii="Calibri" w:eastAsia="Times New Roman" w:hAnsi="Calibri" w:cs="Calibri"/>
          <w:sz w:val="24"/>
          <w:szCs w:val="24"/>
          <w:lang w:val="en-US"/>
        </w:rPr>
        <w:t xml:space="preserve">25 – 38% protein and a host of other health enhancing nutrients </w:t>
      </w:r>
      <w:r>
        <w:rPr>
          <w:rFonts w:ascii="Calibri" w:eastAsia="Times New Roman" w:hAnsi="Calibri" w:cs="Calibri"/>
          <w:sz w:val="24"/>
          <w:szCs w:val="24"/>
          <w:lang w:val="en-US"/>
        </w:rPr>
        <w:fldChar w:fldCharType="begin" w:fldLock="1"/>
      </w:r>
      <w:r>
        <w:rPr>
          <w:rFonts w:ascii="Calibri" w:eastAsia="Times New Roman" w:hAnsi="Calibri" w:cs="Calibri"/>
          <w:sz w:val="24"/>
          <w:szCs w:val="24"/>
          <w:lang w:val="en-US"/>
        </w:rPr>
        <w:instrText>ADDIN CSL_CITATION {"citationItems":[{"id":"ITEM-1","itemData":{"author":[{"dropping-particle":"","family":"Asibuo","given":"J Y","non-dropping-particle":"","parse-names":false,"suffix":""},{"dropping-particle":"","family":"Akromah","given":"R","non-dropping-particle":"","parse-names":false,"suffix":""},{"dropping-particle":"","family":"Safo-Kantanka","given":"O","non-dropping-particle":"","parse-names":false,"suffix":""},{"dropping-particle":"","family":"Adu-Dapaah","given":"H K","non-dropping-particle":"","parse-names":false,"suffix":""},{"dropping-particle":"","family":"Ohemeng-Dapaah","given":"S","non-dropping-particle":"","parse-names":false,"suffix":""},{"dropping-particle":"","family":"Agyeman","given":"A","non-dropping-particle":"","parse-names":false,"suffix":""}],"container-title":"African Journal of Biotechnology","id":"ITEM-1","issue":"13","issued":{"date-parts":[["2008"]]},"page":"2203-2208","title":"Chemical composition of groundnut, Arachis hypogaea (L) landrace","type":"article-journal","volume":"7"},"uris":["http://www.mendeley.com/documents/?uuid=27940adc-9782-4e96-b092-f692193db251"]}],"mendeley":{"formattedCitation":"(Asibuo et al., 2008)","plainTextFormattedCitation":"(Asibuo et al., 2008)","previouslyFormattedCitation":"(Asibuo et al., 2008)"},"properties":{"noteIndex":0},"schema":"https://github.com/citation-style-language/schema/raw/master/csl-citation.json"}</w:instrText>
      </w:r>
      <w:r>
        <w:rPr>
          <w:rFonts w:ascii="Calibri" w:eastAsia="Times New Roman" w:hAnsi="Calibri" w:cs="Calibri"/>
          <w:sz w:val="24"/>
          <w:szCs w:val="24"/>
          <w:lang w:val="en-US"/>
        </w:rPr>
        <w:fldChar w:fldCharType="separate"/>
      </w:r>
      <w:r>
        <w:rPr>
          <w:rFonts w:ascii="Calibri" w:eastAsia="Times New Roman" w:hAnsi="Calibri" w:cs="Calibri"/>
          <w:sz w:val="24"/>
          <w:szCs w:val="24"/>
          <w:lang w:val="en-US"/>
        </w:rPr>
        <w:t>(Asibuo et al., 2008)</w:t>
      </w:r>
      <w:r>
        <w:rPr>
          <w:rFonts w:ascii="Calibri" w:eastAsia="Times New Roman" w:hAnsi="Calibri" w:cs="Calibri"/>
          <w:sz w:val="24"/>
          <w:szCs w:val="24"/>
          <w:lang w:val="en-US"/>
        </w:rPr>
        <w:fldChar w:fldCharType="end"/>
      </w:r>
      <w:r>
        <w:rPr>
          <w:rFonts w:ascii="Calibri" w:eastAsia="Times New Roman" w:hAnsi="Calibri" w:cs="Calibri"/>
          <w:sz w:val="24"/>
          <w:szCs w:val="24"/>
          <w:lang w:val="en-US"/>
        </w:rPr>
        <w:t xml:space="preserve">, a 100 g of groundnut is estimated to supply 564 kcal of energy to consumers </w:t>
      </w:r>
      <w:r>
        <w:rPr>
          <w:rFonts w:ascii="Calibri" w:eastAsia="Times New Roman" w:hAnsi="Calibri" w:cs="Calibri"/>
          <w:sz w:val="24"/>
          <w:szCs w:val="24"/>
          <w:lang w:val="en-US"/>
        </w:rPr>
        <w:fldChar w:fldCharType="begin" w:fldLock="1"/>
      </w:r>
      <w:r>
        <w:rPr>
          <w:rFonts w:ascii="Calibri" w:eastAsia="Times New Roman" w:hAnsi="Calibri" w:cs="Calibri"/>
          <w:sz w:val="24"/>
          <w:szCs w:val="24"/>
          <w:lang w:val="en-US"/>
        </w:rPr>
        <w:instrText>ADDIN CSL_CITATION {"citationItems":[{"id":"ITEM-1","itemData":{"DOI":"10.3389/fpls.2013.00023","ISSN":"1664-462X","PMID":"23443056","abstract":"Groundnut (Arachis hypogaea L.), a self-pollinated legume is an important crop cultivated in 24 million ha world over for extraction of edible oil and food uses. The kernels are rich in oil (48-50%) and protein (25-28%), and are source of several vitamins, minerals, antioxidants, biologically active polyphenols, flavonoids, and isoflavones. Improved varieties of groundnut with high yield potential were developed and released for cultivation world over. The improved varieties belong to different maturity durations and possess resistance to diseases, tolerance to drought, enhanced oil content, and improved quality traits for food uses. Conventional breeding procedures along with the tools for phenotyping were largely used in groundnut improvement programs. Mutations were used to induce variability and wide hybridization was attempted to tap variability from wild species. Low genetic variability has been a bottleneck for groundnut improvement. The vast potential of wild species, reservoir of new alleles remains under-utilized. Development of linkage maps of groundnut during the last decade was followed by identification of markers and quantitative trait loci for the target traits. Consequently, the last decade has witnessed the deployment of molecular breeding approaches to complement the ongoing groundnut improvement programs in USA, China, India, and Japan. The other potential advantages of molecular breeding are the feasibility to target multiple traits for improvement and provide tools to tap new alleles from wild species. The first groundnut variety developed through marker-assisted back-crossing is a root-knot nematode-resistant variety, NemaTAM in USA. The uptake of molecular breeding approaches in groundnut improvement programs by NARS partners in India and many African countries is slow or needs to be initiated in part due to inadequate infrastructure, high genotyping costs, and human capacities. Availability of draft genome sequence for diploid (AA and BB) and tetraploid, AABB genome species of Arachis in coming years is expected to bring low-cost genotyping to the groundnut community that will facilitate use of modern genetics and breeding approaches such as genome-wide association studies for trait mapping and genomic selection for crop improvement.","author":[{"dropping-particle":"","family":"Janila","given":"P","non-dropping-particle":"","parse-names":false,"suffix":""},{"dropping-particle":"","family":"Nigam","given":"S N","non-dropping-particle":"","parse-names":false,"suffix":""},{"dropping-particle":"","family":"Pandey","given":"M K","non-dropping-particle":"","parse-names":false,"suffix":""},{"dropping-particle":"","family":"Nagesh","given":"P","non-dropping-particle":"","parse-names":false,"suffix":""},{"dropping-particle":"","family":"Varshney","given":"R K","non-dropping-particle":"","parse-names":false,"suffix":""}],"container-title":"Frontiers in plant Science","id":"ITEM-1","issue":"February","issued":{"date-parts":[["2013","1"]]},"page":"23","title":"Groundnut improvement: use of genetic and genomic tools","type":"article-journal","volume":"4"},"uris":["http://www.mendeley.com/documents/?uuid=22e8ba4d-42ac-44ac-8c40-6d8ccafa03e3"]}],"mendeley":{"formattedCitation":"(Janila et al., 2013)","plainTextFormattedCitation":"(Janila et al., 2013)"},"properties":{"noteIndex":0},"schema":"https://github.com/citation-style-language/schema/raw/master/csl-citation.json"}</w:instrText>
      </w:r>
      <w:r>
        <w:rPr>
          <w:rFonts w:ascii="Calibri" w:eastAsia="Times New Roman" w:hAnsi="Calibri" w:cs="Calibri"/>
          <w:sz w:val="24"/>
          <w:szCs w:val="24"/>
          <w:lang w:val="en-US"/>
        </w:rPr>
        <w:fldChar w:fldCharType="separate"/>
      </w:r>
      <w:r>
        <w:rPr>
          <w:rFonts w:ascii="Calibri" w:eastAsia="Times New Roman" w:hAnsi="Calibri" w:cs="Calibri"/>
          <w:sz w:val="24"/>
          <w:szCs w:val="24"/>
          <w:lang w:val="en-US"/>
        </w:rPr>
        <w:t>(Janila et al., 2013)</w:t>
      </w:r>
      <w:r>
        <w:rPr>
          <w:rFonts w:ascii="Calibri" w:eastAsia="Times New Roman" w:hAnsi="Calibri" w:cs="Calibri"/>
          <w:sz w:val="24"/>
          <w:szCs w:val="24"/>
          <w:lang w:val="en-US"/>
        </w:rPr>
        <w:fldChar w:fldCharType="end"/>
      </w:r>
      <w:r>
        <w:rPr>
          <w:rFonts w:ascii="Calibri" w:eastAsia="Times New Roman" w:hAnsi="Calibri" w:cs="Calibri"/>
          <w:sz w:val="24"/>
          <w:szCs w:val="24"/>
          <w:lang w:val="en-US"/>
        </w:rPr>
        <w:t xml:space="preserve">. In addition, p-coumaric acid, resveratrol, Vitamin E, B-complex groups of thiamin, pantothenic acid, vitamin B-6, folates, and niacin as </w:t>
      </w:r>
      <w:r>
        <w:rPr>
          <w:rFonts w:ascii="Calibri" w:eastAsia="Times New Roman" w:hAnsi="Calibri" w:cs="Calibri"/>
          <w:sz w:val="24"/>
          <w:szCs w:val="24"/>
          <w:lang w:val="en-US"/>
        </w:rPr>
        <w:lastRenderedPageBreak/>
        <w:t xml:space="preserve">well as biologically active polyphenols, flavonoids, and isoflavones are found in the groundnut kernel </w:t>
      </w:r>
      <w:r>
        <w:rPr>
          <w:rFonts w:ascii="Calibri" w:eastAsia="Times New Roman" w:hAnsi="Calibri" w:cs="Calibri"/>
          <w:sz w:val="24"/>
          <w:szCs w:val="24"/>
          <w:lang w:val="en-US"/>
        </w:rPr>
        <w:fldChar w:fldCharType="begin" w:fldLock="1"/>
      </w:r>
      <w:r>
        <w:rPr>
          <w:rFonts w:ascii="Calibri" w:eastAsia="Times New Roman" w:hAnsi="Calibri" w:cs="Calibri"/>
          <w:sz w:val="24"/>
          <w:szCs w:val="24"/>
          <w:lang w:val="en-US"/>
        </w:rPr>
        <w:instrText>ADDIN CSL_CITATION {"citationItems":[{"id":"ITEM-1","itemData":{"DOI":"10.3389/fpls.2013.00023","ISSN":"1664-462X","PMID":"23443056","abstract":"Groundnut (Arachis hypogaea L.), a self-pollinated legume is an important crop cultivated in 24 million ha world over for extraction of edible oil and food uses. The kernels are rich in oil (48-50%) and protein (25-28%), and are source of several vitamins, minerals, antioxidants, biologically active polyphenols, flavonoids, and isoflavones. Improved varieties of groundnut with high yield potential were developed and released for cultivation world over. The improved varieties belong to different maturity durations and possess resistance to diseases, tolerance to drought, enhanced oil content, and improved quality traits for food uses. Conventional breeding procedures along with the tools for phenotyping were largely used in groundnut improvement programs. Mutations were used to induce variability and wide hybridization was attempted to tap variability from wild species. Low genetic variability has been a bottleneck for groundnut improvement. The vast potential of wild species, reservoir of new alleles remains under-utilized. Development of linkage maps of groundnut during the last decade was followed by identification of markers and quantitative trait loci for the target traits. Consequently, the last decade has witnessed the deployment of molecular breeding approaches to complement the ongoing groundnut improvement programs in USA, China, India, and Japan. The other potential advantages of molecular breeding are the feasibility to target multiple traits for improvement and provide tools to tap new alleles from wild species. The first groundnut variety developed through marker-assisted back-crossing is a root-knot nematode-resistant variety, NemaTAM in USA. The uptake of molecular breeding approaches in groundnut improvement programs by NARS partners in India and many African countries is slow or needs to be initiated in part due to inadequate infrastructure, high genotyping costs, and human capacities. Availability of draft genome sequence for diploid (AA and BB) and tetraploid, AABB genome species of Arachis in coming years is expected to bring low-cost genotyping to the groundnut community that will facilitate use of modern genetics and breeding approaches such as genome-wide association studies for trait mapping and genomic selection for crop improvement.","author":[{"dropping-particle":"","family":"Janila","given":"P","non-dropping-particle":"","parse-names":false,"suffix":""},{"dropping-particle":"","family":"Nigam","given":"S N","non-dropping-particle":"","parse-names":false,"suffix":""},{"dropping-particle":"","family":"Pandey","given":"M K","non-dropping-particle":"","parse-names":false,"suffix":""},{"dropping-particle":"","family":"Nagesh","given":"P","non-dropping-particle":"","parse-names":false,"suffix":""},{"dropping-particle":"","family":"Varshney","given":"R K","non-dropping-particle":"","parse-names":false,"suffix":""}],"container-title":"Frontiers in plant Science","id":"ITEM-1","issue":"February","issued":{"date-parts":[["2013","1"]]},"page":"23","title":"Groundnut improvement: use of genetic and genomic tools","type":"article-journal","volume":"4"},"uris":["http://www.mendeley.com/documents/?uuid=22e8ba4d-42ac-44ac-8c40-6d8ccafa03e3"]}],"mendeley":{"formattedCitation":"(Janila et al., 2013)","plainTextFormattedCitation":"(Janila et al., 2013)","previouslyFormattedCitation":"(Janila et al., 2013)"},"properties":{"noteIndex":0},"schema":"https://github.com/citation-style-language/schema/raw/master/csl-citation.json"}</w:instrText>
      </w:r>
      <w:r>
        <w:rPr>
          <w:rFonts w:ascii="Calibri" w:eastAsia="Times New Roman" w:hAnsi="Calibri" w:cs="Calibri"/>
          <w:sz w:val="24"/>
          <w:szCs w:val="24"/>
          <w:lang w:val="en-US"/>
        </w:rPr>
        <w:fldChar w:fldCharType="separate"/>
      </w:r>
      <w:r>
        <w:rPr>
          <w:rFonts w:ascii="Calibri" w:eastAsia="Times New Roman" w:hAnsi="Calibri" w:cs="Calibri"/>
          <w:sz w:val="24"/>
          <w:szCs w:val="24"/>
          <w:lang w:val="en-US"/>
        </w:rPr>
        <w:t>(Janila et al., 2013)</w:t>
      </w:r>
      <w:r>
        <w:rPr>
          <w:rFonts w:ascii="Calibri" w:eastAsia="Times New Roman" w:hAnsi="Calibri" w:cs="Calibri"/>
          <w:sz w:val="24"/>
          <w:szCs w:val="24"/>
          <w:lang w:val="en-US"/>
        </w:rPr>
        <w:fldChar w:fldCharType="end"/>
      </w:r>
      <w:r>
        <w:rPr>
          <w:rFonts w:ascii="Calibri" w:eastAsia="Times New Roman" w:hAnsi="Calibri" w:cs="Calibri"/>
          <w:sz w:val="24"/>
          <w:szCs w:val="24"/>
          <w:lang w:val="en-US"/>
        </w:rPr>
        <w:t xml:space="preserve">. </w:t>
      </w:r>
    </w:p>
    <w:p w14:paraId="066B1F8F" w14:textId="77777777" w:rsidR="006E6D81" w:rsidRDefault="006E6D81">
      <w:pPr>
        <w:spacing w:after="0" w:line="240" w:lineRule="auto"/>
        <w:jc w:val="both"/>
        <w:rPr>
          <w:rFonts w:ascii="Calibri" w:eastAsia="Times New Roman" w:hAnsi="Calibri" w:cs="Calibri"/>
          <w:sz w:val="24"/>
          <w:szCs w:val="24"/>
          <w:lang w:val="en-US"/>
        </w:rPr>
      </w:pPr>
    </w:p>
    <w:p w14:paraId="56A65ECE" w14:textId="77777777" w:rsidR="006E6D81" w:rsidRDefault="00E053B0">
      <w:pPr>
        <w:autoSpaceDE w:val="0"/>
        <w:autoSpaceDN w:val="0"/>
        <w:adjustRightInd w:val="0"/>
        <w:spacing w:line="240" w:lineRule="auto"/>
        <w:jc w:val="both"/>
        <w:rPr>
          <w:rFonts w:ascii="Calibri" w:hAnsi="Calibri" w:cs="Calibri"/>
          <w:sz w:val="24"/>
          <w:szCs w:val="24"/>
          <w:lang w:val="en-US"/>
        </w:rPr>
      </w:pPr>
      <w:r>
        <w:rPr>
          <w:rFonts w:ascii="Calibri" w:hAnsi="Calibri" w:cs="Calibri"/>
          <w:sz w:val="24"/>
          <w:szCs w:val="24"/>
          <w:lang w:val="en-US"/>
        </w:rPr>
        <w:t xml:space="preserve">Most farmers cultivate groundnut on small scales, both in pure stands and in crop mixtures with cereals under rain fed conditions using cultivars which have been recycled for over decades (Naab </w:t>
      </w:r>
      <w:r>
        <w:rPr>
          <w:rFonts w:ascii="Calibri" w:hAnsi="Calibri" w:cs="Calibri"/>
          <w:i/>
          <w:sz w:val="24"/>
          <w:szCs w:val="24"/>
          <w:lang w:val="en-US"/>
        </w:rPr>
        <w:t>et al</w:t>
      </w:r>
      <w:r>
        <w:rPr>
          <w:rFonts w:ascii="Calibri" w:hAnsi="Calibri" w:cs="Calibri"/>
          <w:sz w:val="24"/>
          <w:szCs w:val="24"/>
          <w:lang w:val="en-US"/>
        </w:rPr>
        <w:t xml:space="preserve">., 2005; </w:t>
      </w:r>
      <w:proofErr w:type="spellStart"/>
      <w:r>
        <w:rPr>
          <w:rFonts w:ascii="Calibri" w:hAnsi="Calibri" w:cs="Calibri"/>
          <w:sz w:val="24"/>
          <w:szCs w:val="24"/>
          <w:lang w:val="en-US"/>
        </w:rPr>
        <w:t>Tsigbey</w:t>
      </w:r>
      <w:proofErr w:type="spellEnd"/>
      <w:r>
        <w:rPr>
          <w:rFonts w:ascii="Calibri" w:hAnsi="Calibri" w:cs="Calibri"/>
          <w:sz w:val="24"/>
          <w:szCs w:val="24"/>
          <w:lang w:val="en-US"/>
        </w:rPr>
        <w:t xml:space="preserve"> </w:t>
      </w:r>
      <w:r>
        <w:rPr>
          <w:rFonts w:ascii="Calibri" w:hAnsi="Calibri" w:cs="Calibri"/>
          <w:i/>
          <w:sz w:val="24"/>
          <w:szCs w:val="24"/>
          <w:lang w:val="en-US"/>
        </w:rPr>
        <w:t>et al</w:t>
      </w:r>
      <w:r>
        <w:rPr>
          <w:rFonts w:ascii="Calibri" w:hAnsi="Calibri" w:cs="Calibri"/>
          <w:sz w:val="24"/>
          <w:szCs w:val="24"/>
          <w:lang w:val="en-US"/>
        </w:rPr>
        <w:t xml:space="preserve">., 2003, </w:t>
      </w:r>
      <w:r>
        <w:rPr>
          <w:rFonts w:ascii="Calibri" w:hAnsi="Calibri" w:cs="Calibri"/>
          <w:bCs/>
          <w:sz w:val="24"/>
          <w:szCs w:val="24"/>
        </w:rPr>
        <w:t>Carlberg</w:t>
      </w:r>
      <w:r>
        <w:rPr>
          <w:rFonts w:ascii="Calibri" w:hAnsi="Calibri" w:cs="Calibri"/>
          <w:bCs/>
          <w:sz w:val="24"/>
          <w:szCs w:val="24"/>
          <w:lang w:val="en-US"/>
        </w:rPr>
        <w:t xml:space="preserve"> et al., 2013</w:t>
      </w:r>
      <w:r>
        <w:rPr>
          <w:rFonts w:ascii="Calibri" w:hAnsi="Calibri" w:cs="Calibri"/>
          <w:sz w:val="24"/>
          <w:szCs w:val="24"/>
          <w:lang w:val="en-US"/>
        </w:rPr>
        <w:t xml:space="preserve">).  But quite recently, some groundnut varieties such as; </w:t>
      </w:r>
      <w:proofErr w:type="spellStart"/>
      <w:r>
        <w:rPr>
          <w:rFonts w:ascii="Calibri" w:hAnsi="Calibri" w:cs="Calibri"/>
          <w:sz w:val="24"/>
          <w:szCs w:val="24"/>
          <w:lang w:val="en-US"/>
        </w:rPr>
        <w:t>Nkatie</w:t>
      </w:r>
      <w:proofErr w:type="spellEnd"/>
      <w:r>
        <w:rPr>
          <w:rFonts w:ascii="Calibri" w:hAnsi="Calibri" w:cs="Calibri"/>
          <w:sz w:val="24"/>
          <w:szCs w:val="24"/>
          <w:lang w:val="en-US"/>
        </w:rPr>
        <w:t xml:space="preserve">-sari, </w:t>
      </w:r>
      <w:proofErr w:type="spellStart"/>
      <w:r>
        <w:rPr>
          <w:rFonts w:ascii="Calibri" w:hAnsi="Calibri" w:cs="Calibri"/>
          <w:sz w:val="24"/>
          <w:szCs w:val="24"/>
          <w:lang w:val="en-US"/>
        </w:rPr>
        <w:t>Kpanielli</w:t>
      </w:r>
      <w:proofErr w:type="spellEnd"/>
      <w:r>
        <w:rPr>
          <w:rFonts w:ascii="Calibri" w:hAnsi="Calibri" w:cs="Calibri"/>
          <w:sz w:val="24"/>
          <w:szCs w:val="24"/>
          <w:lang w:val="en-US"/>
        </w:rPr>
        <w:t xml:space="preserve">, F-Mix, SARINUT 1, SARINUT 2, </w:t>
      </w:r>
      <w:proofErr w:type="spellStart"/>
      <w:r>
        <w:rPr>
          <w:rFonts w:ascii="Calibri" w:hAnsi="Calibri" w:cs="Calibri"/>
          <w:sz w:val="24"/>
          <w:szCs w:val="24"/>
          <w:lang w:val="en-US"/>
        </w:rPr>
        <w:t>Oboshie</w:t>
      </w:r>
      <w:proofErr w:type="spellEnd"/>
      <w:r>
        <w:rPr>
          <w:rFonts w:ascii="Calibri" w:hAnsi="Calibri" w:cs="Calibri"/>
          <w:sz w:val="24"/>
          <w:szCs w:val="24"/>
          <w:lang w:val="en-US"/>
        </w:rPr>
        <w:t xml:space="preserve">, </w:t>
      </w:r>
      <w:proofErr w:type="spellStart"/>
      <w:r>
        <w:rPr>
          <w:rFonts w:ascii="Calibri" w:hAnsi="Calibri" w:cs="Calibri"/>
          <w:sz w:val="24"/>
          <w:szCs w:val="24"/>
          <w:lang w:val="en-US"/>
        </w:rPr>
        <w:t>Obolo</w:t>
      </w:r>
      <w:proofErr w:type="spellEnd"/>
      <w:r>
        <w:rPr>
          <w:rFonts w:ascii="Calibri" w:hAnsi="Calibri" w:cs="Calibri"/>
          <w:sz w:val="24"/>
          <w:szCs w:val="24"/>
          <w:lang w:val="en-US"/>
        </w:rPr>
        <w:t xml:space="preserve"> and </w:t>
      </w:r>
      <w:proofErr w:type="spellStart"/>
      <w:r>
        <w:rPr>
          <w:rFonts w:ascii="Calibri" w:hAnsi="Calibri" w:cs="Calibri"/>
          <w:sz w:val="24"/>
          <w:szCs w:val="24"/>
          <w:lang w:val="en-US"/>
        </w:rPr>
        <w:t>Yenyawaso</w:t>
      </w:r>
      <w:proofErr w:type="spellEnd"/>
      <w:r>
        <w:rPr>
          <w:rFonts w:ascii="Calibri" w:hAnsi="Calibri" w:cs="Calibri"/>
          <w:sz w:val="24"/>
          <w:szCs w:val="24"/>
          <w:lang w:val="en-US"/>
        </w:rPr>
        <w:t xml:space="preserve"> have been developed to improve on-farm productivity. However, several abiotic stresses (drought, high temperatures, poor fertility, low pH, Ca deficiency, and chlorosis) and biotic stresses such as diseases </w:t>
      </w:r>
      <w:r w:rsidR="00AC33E1">
        <w:rPr>
          <w:rFonts w:ascii="Calibri" w:hAnsi="Calibri" w:cs="Calibri"/>
          <w:sz w:val="24"/>
          <w:szCs w:val="24"/>
          <w:lang w:val="en-US"/>
        </w:rPr>
        <w:t>(</w:t>
      </w:r>
      <w:r>
        <w:rPr>
          <w:rFonts w:ascii="Calibri" w:hAnsi="Calibri" w:cs="Calibri"/>
          <w:sz w:val="24"/>
          <w:szCs w:val="24"/>
          <w:lang w:val="en-US"/>
        </w:rPr>
        <w:t>rust, leaf sp</w:t>
      </w:r>
      <w:r w:rsidR="00AC33E1">
        <w:rPr>
          <w:rFonts w:ascii="Calibri" w:hAnsi="Calibri" w:cs="Calibri"/>
          <w:sz w:val="24"/>
          <w:szCs w:val="24"/>
          <w:lang w:val="en-US"/>
        </w:rPr>
        <w:t>ot, and aflatoxin contamination) and insect pests (</w:t>
      </w:r>
      <w:r>
        <w:rPr>
          <w:rFonts w:ascii="Calibri" w:hAnsi="Calibri" w:cs="Calibri"/>
          <w:sz w:val="24"/>
          <w:szCs w:val="24"/>
          <w:lang w:val="en-US"/>
        </w:rPr>
        <w:t>pod borers, aphids, thrips, millipedes and mites) are limiting factors in production (</w:t>
      </w:r>
      <w:r w:rsidR="0057253B" w:rsidRPr="0057253B">
        <w:rPr>
          <w:rFonts w:ascii="Calibri" w:hAnsi="Calibri" w:cs="Calibri"/>
          <w:sz w:val="24"/>
          <w:szCs w:val="24"/>
          <w:lang w:val="en-US"/>
        </w:rPr>
        <w:t xml:space="preserve">Seidu et al., 2024; </w:t>
      </w:r>
      <w:proofErr w:type="spellStart"/>
      <w:r>
        <w:rPr>
          <w:rFonts w:ascii="Calibri" w:hAnsi="Calibri" w:cs="Calibri"/>
          <w:bCs/>
          <w:sz w:val="24"/>
          <w:szCs w:val="24"/>
          <w:lang w:val="en-US"/>
        </w:rPr>
        <w:t>Nboniye</w:t>
      </w:r>
      <w:proofErr w:type="spellEnd"/>
      <w:r>
        <w:rPr>
          <w:rFonts w:ascii="Calibri" w:hAnsi="Calibri" w:cs="Calibri"/>
          <w:bCs/>
          <w:sz w:val="24"/>
          <w:szCs w:val="24"/>
          <w:lang w:val="en-US"/>
        </w:rPr>
        <w:t xml:space="preserve"> et</w:t>
      </w:r>
      <w:r w:rsidR="0057253B">
        <w:rPr>
          <w:rFonts w:ascii="Calibri" w:hAnsi="Calibri" w:cs="Calibri"/>
          <w:bCs/>
          <w:sz w:val="24"/>
          <w:szCs w:val="24"/>
          <w:lang w:val="en-US"/>
        </w:rPr>
        <w:t xml:space="preserve"> al., 2023 and</w:t>
      </w:r>
      <w:r>
        <w:rPr>
          <w:rFonts w:ascii="Calibri" w:hAnsi="Calibri" w:cs="Calibri"/>
          <w:bCs/>
          <w:sz w:val="24"/>
          <w:szCs w:val="24"/>
          <w:lang w:val="en-US"/>
        </w:rPr>
        <w:t xml:space="preserve"> </w:t>
      </w:r>
      <w:proofErr w:type="spellStart"/>
      <w:r>
        <w:rPr>
          <w:rFonts w:ascii="Calibri" w:hAnsi="Calibri" w:cs="Calibri"/>
          <w:bCs/>
          <w:sz w:val="24"/>
          <w:szCs w:val="24"/>
          <w:lang w:val="en-US"/>
        </w:rPr>
        <w:t>Abudulai</w:t>
      </w:r>
      <w:proofErr w:type="spellEnd"/>
      <w:r>
        <w:rPr>
          <w:rFonts w:ascii="Calibri" w:hAnsi="Calibri" w:cs="Calibri"/>
          <w:bCs/>
          <w:sz w:val="24"/>
          <w:szCs w:val="24"/>
          <w:lang w:val="en-US"/>
        </w:rPr>
        <w:t xml:space="preserve"> et al., 2020</w:t>
      </w:r>
      <w:r>
        <w:rPr>
          <w:rFonts w:ascii="Calibri" w:hAnsi="Calibri" w:cs="Calibri"/>
          <w:sz w:val="24"/>
          <w:szCs w:val="24"/>
          <w:lang w:val="en-US"/>
        </w:rPr>
        <w:t>). Other production constraints include access to land, farmer recycled seed, poor access to seed, and non-supportive small scale agricultural policies (</w:t>
      </w:r>
      <w:proofErr w:type="spellStart"/>
      <w:r>
        <w:rPr>
          <w:rFonts w:ascii="Calibri" w:hAnsi="Calibri" w:cs="Calibri"/>
          <w:sz w:val="24"/>
          <w:szCs w:val="24"/>
          <w:lang w:val="en-US"/>
        </w:rPr>
        <w:t>Konlan</w:t>
      </w:r>
      <w:proofErr w:type="spellEnd"/>
      <w:r>
        <w:rPr>
          <w:rFonts w:ascii="Calibri" w:hAnsi="Calibri" w:cs="Calibri"/>
          <w:sz w:val="24"/>
          <w:szCs w:val="24"/>
          <w:lang w:val="en-US"/>
        </w:rPr>
        <w:t xml:space="preserve"> </w:t>
      </w:r>
      <w:r>
        <w:rPr>
          <w:rFonts w:ascii="Calibri" w:hAnsi="Calibri" w:cs="Calibri"/>
          <w:i/>
          <w:sz w:val="24"/>
          <w:szCs w:val="24"/>
          <w:lang w:val="en-US"/>
        </w:rPr>
        <w:t>et al</w:t>
      </w:r>
      <w:r>
        <w:rPr>
          <w:rFonts w:ascii="Calibri" w:hAnsi="Calibri" w:cs="Calibri"/>
          <w:sz w:val="24"/>
          <w:szCs w:val="24"/>
          <w:lang w:val="en-US"/>
        </w:rPr>
        <w:t xml:space="preserve">., 2013). </w:t>
      </w:r>
      <w:r w:rsidR="007916E5">
        <w:rPr>
          <w:rFonts w:ascii="Calibri" w:hAnsi="Calibri" w:cs="Calibri"/>
          <w:sz w:val="24"/>
          <w:szCs w:val="24"/>
          <w:lang w:val="en-US"/>
        </w:rPr>
        <w:t>Y</w:t>
      </w:r>
      <w:r w:rsidR="007916E5">
        <w:rPr>
          <w:rFonts w:ascii="Calibri" w:eastAsia="Times New Roman" w:hAnsi="Calibri" w:cs="Calibri"/>
          <w:color w:val="000000" w:themeColor="text1"/>
          <w:sz w:val="24"/>
          <w:szCs w:val="24"/>
          <w:lang w:val="en-US"/>
        </w:rPr>
        <w:t>ields are</w:t>
      </w:r>
      <w:r>
        <w:rPr>
          <w:rFonts w:ascii="Calibri" w:eastAsia="Times New Roman" w:hAnsi="Calibri" w:cs="Calibri"/>
          <w:color w:val="000000" w:themeColor="text1"/>
          <w:sz w:val="24"/>
          <w:szCs w:val="24"/>
          <w:lang w:val="en-US"/>
        </w:rPr>
        <w:t xml:space="preserve"> often low in Ghana; due partly to negative impacts of arthropods, diseases, nematodes and weeds </w:t>
      </w:r>
      <w:r w:rsidR="007916E5">
        <w:rPr>
          <w:rFonts w:ascii="Calibri" w:hAnsi="Calibri" w:cs="Calibri"/>
          <w:sz w:val="24"/>
          <w:szCs w:val="24"/>
          <w:lang w:val="en-US"/>
        </w:rPr>
        <w:t>(</w:t>
      </w:r>
      <w:r w:rsidR="007916E5" w:rsidRPr="0057253B">
        <w:rPr>
          <w:rFonts w:ascii="Calibri" w:hAnsi="Calibri" w:cs="Calibri"/>
          <w:sz w:val="24"/>
          <w:szCs w:val="24"/>
          <w:lang w:val="en-US"/>
        </w:rPr>
        <w:t xml:space="preserve">Seidu et al., 2024; </w:t>
      </w:r>
      <w:proofErr w:type="spellStart"/>
      <w:r w:rsidR="007916E5">
        <w:rPr>
          <w:rFonts w:ascii="Calibri" w:hAnsi="Calibri" w:cs="Calibri"/>
          <w:bCs/>
          <w:sz w:val="24"/>
          <w:szCs w:val="24"/>
          <w:lang w:val="en-US"/>
        </w:rPr>
        <w:t>Nboniye</w:t>
      </w:r>
      <w:proofErr w:type="spellEnd"/>
      <w:r w:rsidR="007916E5">
        <w:rPr>
          <w:rFonts w:ascii="Calibri" w:hAnsi="Calibri" w:cs="Calibri"/>
          <w:bCs/>
          <w:sz w:val="24"/>
          <w:szCs w:val="24"/>
          <w:lang w:val="en-US"/>
        </w:rPr>
        <w:t xml:space="preserve"> et al., 2023 and </w:t>
      </w:r>
      <w:proofErr w:type="spellStart"/>
      <w:r w:rsidR="007916E5">
        <w:rPr>
          <w:rFonts w:ascii="Calibri" w:hAnsi="Calibri" w:cs="Calibri"/>
          <w:bCs/>
          <w:sz w:val="24"/>
          <w:szCs w:val="24"/>
          <w:lang w:val="en-US"/>
        </w:rPr>
        <w:t>Abudulai</w:t>
      </w:r>
      <w:proofErr w:type="spellEnd"/>
      <w:r w:rsidR="007916E5">
        <w:rPr>
          <w:rFonts w:ascii="Calibri" w:hAnsi="Calibri" w:cs="Calibri"/>
          <w:bCs/>
          <w:sz w:val="24"/>
          <w:szCs w:val="24"/>
          <w:lang w:val="en-US"/>
        </w:rPr>
        <w:t xml:space="preserve"> et al., 2020</w:t>
      </w:r>
      <w:r w:rsidR="007916E5">
        <w:rPr>
          <w:rFonts w:ascii="Calibri" w:hAnsi="Calibri" w:cs="Calibri"/>
          <w:sz w:val="24"/>
          <w:szCs w:val="24"/>
          <w:lang w:val="en-US"/>
        </w:rPr>
        <w:t>)</w:t>
      </w:r>
      <w:r>
        <w:rPr>
          <w:rFonts w:ascii="Calibri" w:eastAsia="Times New Roman" w:hAnsi="Calibri" w:cs="Calibri"/>
          <w:color w:val="000000" w:themeColor="text1"/>
          <w:sz w:val="24"/>
          <w:szCs w:val="24"/>
          <w:lang w:val="en-US"/>
        </w:rPr>
        <w:t>. Yield losses can approach 70% in West Africa without effective integrated pest management (IPM) (</w:t>
      </w:r>
      <w:proofErr w:type="spellStart"/>
      <w:r>
        <w:rPr>
          <w:rFonts w:ascii="Calibri" w:eastAsia="Times New Roman" w:hAnsi="Calibri" w:cs="Calibri"/>
          <w:color w:val="000000" w:themeColor="text1"/>
          <w:sz w:val="24"/>
          <w:szCs w:val="24"/>
          <w:lang w:val="en-US"/>
        </w:rPr>
        <w:t>Waliyar</w:t>
      </w:r>
      <w:proofErr w:type="spellEnd"/>
      <w:r>
        <w:rPr>
          <w:rFonts w:ascii="Calibri" w:eastAsia="Times New Roman" w:hAnsi="Calibri" w:cs="Calibri"/>
          <w:color w:val="000000" w:themeColor="text1"/>
          <w:sz w:val="24"/>
          <w:szCs w:val="24"/>
          <w:lang w:val="en-US"/>
        </w:rPr>
        <w:t xml:space="preserve"> et al., 2008; Subrahmaniyan et al., 2002).</w:t>
      </w:r>
    </w:p>
    <w:p w14:paraId="478FE4F8" w14:textId="07DD6714" w:rsidR="006E6D81" w:rsidRDefault="00E053B0">
      <w:pPr>
        <w:autoSpaceDE w:val="0"/>
        <w:autoSpaceDN w:val="0"/>
        <w:adjustRightInd w:val="0"/>
        <w:spacing w:line="240" w:lineRule="auto"/>
        <w:jc w:val="both"/>
        <w:rPr>
          <w:rFonts w:ascii="Calibri" w:hAnsi="Calibri" w:cs="Calibri"/>
          <w:sz w:val="24"/>
          <w:szCs w:val="24"/>
          <w:lang w:val="en-US"/>
        </w:rPr>
      </w:pPr>
      <w:r>
        <w:rPr>
          <w:rFonts w:ascii="Calibri" w:hAnsi="Calibri" w:cs="Calibri"/>
          <w:sz w:val="24"/>
          <w:szCs w:val="24"/>
          <w:lang w:val="en-US"/>
        </w:rPr>
        <w:t xml:space="preserve">In addition, the groundnut seed system is not well developed compared to maize, rice, soybean and cowpea.  In the report of Masters </w:t>
      </w:r>
      <w:r>
        <w:rPr>
          <w:rFonts w:ascii="Calibri" w:hAnsi="Calibri" w:cs="Calibri"/>
          <w:i/>
          <w:sz w:val="24"/>
          <w:szCs w:val="24"/>
          <w:lang w:val="en-US"/>
        </w:rPr>
        <w:t>et al</w:t>
      </w:r>
      <w:r>
        <w:rPr>
          <w:rFonts w:ascii="Calibri" w:hAnsi="Calibri" w:cs="Calibri"/>
          <w:sz w:val="24"/>
          <w:szCs w:val="24"/>
          <w:lang w:val="en-US"/>
        </w:rPr>
        <w:t xml:space="preserve">. (2013), much of groundnut seed production is done under contract with small-scale seed growers, often by new seed companies who produce the seeds in response to demand from various public-sector projects. Commercial demand for these seeds is very limited, as farmers would buy seed only once and then recycle the seed in subsequent years. </w:t>
      </w:r>
      <w:r>
        <w:rPr>
          <w:rFonts w:ascii="Calibri" w:eastAsia="Calibri" w:hAnsi="Calibri" w:cs="Calibri"/>
          <w:sz w:val="24"/>
          <w:szCs w:val="24"/>
          <w:lang w:val="en-US"/>
        </w:rPr>
        <w:t xml:space="preserve">This project adopts integrated strategies to enhance knowledge of actors on improved production technologies as well as </w:t>
      </w:r>
      <w:r>
        <w:rPr>
          <w:rFonts w:eastAsia="Calibri" w:cs="Calibri"/>
          <w:sz w:val="24"/>
          <w:szCs w:val="24"/>
          <w:lang w:val="en-US"/>
        </w:rPr>
        <w:t xml:space="preserve">disseminate information to reduce aflatoxin contamination. </w:t>
      </w:r>
      <w:r>
        <w:rPr>
          <w:rFonts w:cs="Calibri"/>
          <w:sz w:val="24"/>
          <w:szCs w:val="24"/>
          <w:lang w:val="en-US"/>
        </w:rPr>
        <w:t xml:space="preserve">The overall objective was to validate and disseminate </w:t>
      </w:r>
      <w:r>
        <w:rPr>
          <w:rFonts w:cs="Calibri"/>
          <w:sz w:val="24"/>
          <w:szCs w:val="24"/>
          <w:lang w:val="en-US" w:eastAsia="en-GB"/>
        </w:rPr>
        <w:t>best groundnut production techniques to increase yield and minimize the risk of aflatoxin contamination. The specific objectives were 1) t</w:t>
      </w:r>
      <w:r>
        <w:rPr>
          <w:rFonts w:eastAsia="BatangChe" w:cs="Times New Roman"/>
          <w:color w:val="171717" w:themeColor="background2" w:themeShade="1A"/>
          <w:sz w:val="24"/>
          <w:szCs w:val="24"/>
          <w:lang w:val="en-US"/>
        </w:rPr>
        <w:t>o enhance farmers knowledge on</w:t>
      </w:r>
      <w:r>
        <w:rPr>
          <w:rFonts w:ascii="Calibri" w:eastAsia="BatangChe" w:hAnsi="Calibri" w:cs="Calibri"/>
          <w:color w:val="171717" w:themeColor="background2" w:themeShade="1A"/>
          <w:sz w:val="24"/>
          <w:szCs w:val="24"/>
          <w:lang w:val="en-US"/>
        </w:rPr>
        <w:t xml:space="preserve"> improved production technologies to increase yield, 2) t</w:t>
      </w:r>
      <w:r>
        <w:rPr>
          <w:rFonts w:ascii="Calibri" w:hAnsi="Calibri" w:cs="Calibri"/>
          <w:sz w:val="24"/>
          <w:szCs w:val="24"/>
          <w:lang w:val="en-US"/>
        </w:rPr>
        <w:t>o enhance knowledge and diffuse improved aflatoxin management techniques to value chain actors and, 3) to validate and promote the use of improved varieties, soil amendments, rhizobium inoculants and integrated pest management in groundnut production.</w:t>
      </w:r>
    </w:p>
    <w:p w14:paraId="764FD9A7" w14:textId="77777777" w:rsidR="006E6D81" w:rsidRDefault="00E053B0">
      <w:pPr>
        <w:numPr>
          <w:ilvl w:val="0"/>
          <w:numId w:val="2"/>
        </w:numPr>
        <w:spacing w:line="240" w:lineRule="auto"/>
        <w:jc w:val="both"/>
        <w:rPr>
          <w:rFonts w:ascii="Calibri" w:eastAsia="Calibri" w:hAnsi="Calibri" w:cs="Calibri"/>
          <w:b/>
          <w:sz w:val="24"/>
          <w:szCs w:val="24"/>
          <w:lang w:val="en-US"/>
        </w:rPr>
      </w:pPr>
      <w:r>
        <w:rPr>
          <w:rFonts w:ascii="Calibri" w:eastAsia="Calibri" w:hAnsi="Calibri" w:cs="Calibri"/>
          <w:b/>
          <w:sz w:val="24"/>
          <w:szCs w:val="24"/>
          <w:lang w:val="en-US"/>
        </w:rPr>
        <w:t>Materials and methods</w:t>
      </w:r>
    </w:p>
    <w:p w14:paraId="705DDA85" w14:textId="77777777" w:rsidR="006E6D81" w:rsidRDefault="00E053B0">
      <w:pPr>
        <w:spacing w:line="240" w:lineRule="auto"/>
        <w:jc w:val="both"/>
        <w:rPr>
          <w:rFonts w:ascii="Calibri" w:hAnsi="Calibri" w:cs="Calibri"/>
          <w:b/>
          <w:sz w:val="24"/>
          <w:szCs w:val="24"/>
          <w:lang w:val="en-US"/>
        </w:rPr>
      </w:pPr>
      <w:r>
        <w:rPr>
          <w:rFonts w:ascii="Calibri" w:hAnsi="Calibri" w:cs="Calibri"/>
          <w:b/>
          <w:sz w:val="24"/>
          <w:szCs w:val="24"/>
          <w:lang w:val="en-US"/>
        </w:rPr>
        <w:t>2.1 Experimental site</w:t>
      </w:r>
    </w:p>
    <w:p w14:paraId="5B950E16" w14:textId="3F99EEA7" w:rsidR="006E6D81" w:rsidRDefault="00E053B0">
      <w:pPr>
        <w:pStyle w:val="p0"/>
        <w:rPr>
          <w:rFonts w:ascii="Calibri" w:eastAsia="Calibri" w:hAnsi="Calibri" w:cs="Calibri"/>
          <w:sz w:val="24"/>
          <w:szCs w:val="24"/>
        </w:rPr>
      </w:pPr>
      <w:r>
        <w:rPr>
          <w:rFonts w:ascii="Calibri" w:hAnsi="Calibri" w:cs="Calibri"/>
          <w:sz w:val="24"/>
          <w:szCs w:val="24"/>
        </w:rPr>
        <w:t xml:space="preserve">Field trials were established at Bongo, </w:t>
      </w:r>
      <w:proofErr w:type="spellStart"/>
      <w:r>
        <w:rPr>
          <w:rFonts w:ascii="Calibri" w:hAnsi="Calibri" w:cs="Calibri"/>
          <w:sz w:val="24"/>
          <w:szCs w:val="24"/>
        </w:rPr>
        <w:t>Bulsa</w:t>
      </w:r>
      <w:proofErr w:type="spellEnd"/>
      <w:r>
        <w:rPr>
          <w:rFonts w:ascii="Calibri" w:hAnsi="Calibri" w:cs="Calibri"/>
          <w:sz w:val="24"/>
          <w:szCs w:val="24"/>
        </w:rPr>
        <w:t xml:space="preserve"> North, </w:t>
      </w:r>
      <w:proofErr w:type="spellStart"/>
      <w:r>
        <w:rPr>
          <w:rFonts w:ascii="Calibri" w:hAnsi="Calibri" w:cs="Calibri"/>
          <w:sz w:val="24"/>
          <w:szCs w:val="24"/>
        </w:rPr>
        <w:t>Kassena</w:t>
      </w:r>
      <w:proofErr w:type="spellEnd"/>
      <w:r>
        <w:rPr>
          <w:rFonts w:ascii="Calibri" w:hAnsi="Calibri" w:cs="Calibri"/>
          <w:sz w:val="24"/>
          <w:szCs w:val="24"/>
        </w:rPr>
        <w:t xml:space="preserve"> Nankana East, </w:t>
      </w:r>
      <w:proofErr w:type="spellStart"/>
      <w:r>
        <w:rPr>
          <w:rFonts w:ascii="Calibri" w:hAnsi="Calibri" w:cs="Calibri"/>
          <w:sz w:val="24"/>
          <w:szCs w:val="24"/>
        </w:rPr>
        <w:t>Kass</w:t>
      </w:r>
      <w:r w:rsidR="0091771D">
        <w:rPr>
          <w:rFonts w:ascii="Calibri" w:hAnsi="Calibri" w:cs="Calibri"/>
          <w:sz w:val="24"/>
          <w:szCs w:val="24"/>
        </w:rPr>
        <w:t>e</w:t>
      </w:r>
      <w:r>
        <w:rPr>
          <w:rFonts w:ascii="Calibri" w:hAnsi="Calibri" w:cs="Calibri"/>
          <w:sz w:val="24"/>
          <w:szCs w:val="24"/>
        </w:rPr>
        <w:t>na</w:t>
      </w:r>
      <w:proofErr w:type="spellEnd"/>
      <w:r>
        <w:rPr>
          <w:rFonts w:ascii="Calibri" w:hAnsi="Calibri" w:cs="Calibri"/>
          <w:sz w:val="24"/>
          <w:szCs w:val="24"/>
        </w:rPr>
        <w:t xml:space="preserve"> Nankana West, Bawku West, </w:t>
      </w:r>
      <w:proofErr w:type="spellStart"/>
      <w:r>
        <w:rPr>
          <w:rFonts w:ascii="Calibri" w:hAnsi="Calibri" w:cs="Calibri"/>
          <w:sz w:val="24"/>
          <w:szCs w:val="24"/>
        </w:rPr>
        <w:t>Binduri</w:t>
      </w:r>
      <w:proofErr w:type="spellEnd"/>
      <w:r>
        <w:rPr>
          <w:rFonts w:ascii="Calibri" w:hAnsi="Calibri" w:cs="Calibri"/>
          <w:sz w:val="24"/>
          <w:szCs w:val="24"/>
        </w:rPr>
        <w:t xml:space="preserve"> </w:t>
      </w:r>
      <w:proofErr w:type="gramStart"/>
      <w:r>
        <w:rPr>
          <w:rFonts w:ascii="Calibri" w:hAnsi="Calibri" w:cs="Calibri"/>
          <w:sz w:val="24"/>
          <w:szCs w:val="24"/>
        </w:rPr>
        <w:t xml:space="preserve">and  </w:t>
      </w:r>
      <w:proofErr w:type="spellStart"/>
      <w:r>
        <w:rPr>
          <w:rFonts w:ascii="Calibri" w:hAnsi="Calibri" w:cs="Calibri"/>
          <w:sz w:val="24"/>
          <w:szCs w:val="24"/>
        </w:rPr>
        <w:t>Nabdam</w:t>
      </w:r>
      <w:proofErr w:type="spellEnd"/>
      <w:proofErr w:type="gramEnd"/>
      <w:r>
        <w:rPr>
          <w:rFonts w:ascii="Calibri" w:hAnsi="Calibri" w:cs="Calibri"/>
          <w:sz w:val="24"/>
          <w:szCs w:val="24"/>
        </w:rPr>
        <w:t xml:space="preserve"> districts of the Upper East Region of Ghana. These areas fall within the semi-arid tropics under Sudan savannah agroecological zone of Ghana with </w:t>
      </w:r>
      <w:proofErr w:type="spellStart"/>
      <w:r>
        <w:rPr>
          <w:rFonts w:ascii="Calibri" w:hAnsi="Calibri" w:cs="Calibri"/>
          <w:sz w:val="24"/>
          <w:szCs w:val="24"/>
        </w:rPr>
        <w:t>uni</w:t>
      </w:r>
      <w:proofErr w:type="spellEnd"/>
      <w:r>
        <w:rPr>
          <w:rFonts w:ascii="Calibri" w:hAnsi="Calibri" w:cs="Calibri"/>
          <w:sz w:val="24"/>
          <w:szCs w:val="24"/>
        </w:rPr>
        <w:t>-modal rainfall regime. It has a mean annual rainfall of 800-1000 mm with growing season duration of 150-160 days. A</w:t>
      </w:r>
      <w:r>
        <w:rPr>
          <w:rFonts w:ascii="Calibri" w:eastAsia="Calibri" w:hAnsi="Calibri" w:cs="Calibri"/>
          <w:sz w:val="24"/>
          <w:szCs w:val="24"/>
        </w:rPr>
        <w:t xml:space="preserve"> total of 25 “mother” and 60 “baby” trials were set up from 2016 to 2019. Planting was done 1</w:t>
      </w:r>
      <w:r>
        <w:rPr>
          <w:rFonts w:ascii="Calibri" w:eastAsia="Calibri" w:hAnsi="Calibri" w:cs="Calibri"/>
          <w:sz w:val="24"/>
          <w:szCs w:val="24"/>
          <w:vertAlign w:val="superscript"/>
        </w:rPr>
        <w:t>st</w:t>
      </w:r>
      <w:r>
        <w:rPr>
          <w:rFonts w:ascii="Calibri" w:eastAsia="Calibri" w:hAnsi="Calibri" w:cs="Calibri"/>
          <w:sz w:val="24"/>
          <w:szCs w:val="24"/>
        </w:rPr>
        <w:t xml:space="preserve"> to 3</w:t>
      </w:r>
      <w:r>
        <w:rPr>
          <w:rFonts w:ascii="Calibri" w:eastAsia="Calibri" w:hAnsi="Calibri" w:cs="Calibri"/>
          <w:sz w:val="24"/>
          <w:szCs w:val="24"/>
          <w:vertAlign w:val="superscript"/>
        </w:rPr>
        <w:t>rd</w:t>
      </w:r>
      <w:r>
        <w:rPr>
          <w:rFonts w:ascii="Calibri" w:eastAsia="Calibri" w:hAnsi="Calibri" w:cs="Calibri"/>
          <w:sz w:val="24"/>
          <w:szCs w:val="24"/>
        </w:rPr>
        <w:t xml:space="preserve"> week of July and harvesting was done in 2</w:t>
      </w:r>
      <w:r>
        <w:rPr>
          <w:rFonts w:ascii="Calibri" w:eastAsia="Calibri" w:hAnsi="Calibri" w:cs="Calibri"/>
          <w:sz w:val="24"/>
          <w:szCs w:val="24"/>
          <w:vertAlign w:val="superscript"/>
        </w:rPr>
        <w:t>nd</w:t>
      </w:r>
      <w:r>
        <w:rPr>
          <w:rFonts w:ascii="Calibri" w:eastAsia="Calibri" w:hAnsi="Calibri" w:cs="Calibri"/>
          <w:sz w:val="24"/>
          <w:szCs w:val="24"/>
        </w:rPr>
        <w:t xml:space="preserve"> to 3</w:t>
      </w:r>
      <w:r>
        <w:rPr>
          <w:rFonts w:ascii="Calibri" w:eastAsia="Calibri" w:hAnsi="Calibri" w:cs="Calibri"/>
          <w:sz w:val="24"/>
          <w:szCs w:val="24"/>
          <w:vertAlign w:val="superscript"/>
        </w:rPr>
        <w:t>rd</w:t>
      </w:r>
      <w:r>
        <w:rPr>
          <w:rFonts w:ascii="Calibri" w:eastAsia="Calibri" w:hAnsi="Calibri" w:cs="Calibri"/>
          <w:sz w:val="24"/>
          <w:szCs w:val="24"/>
        </w:rPr>
        <w:t xml:space="preserve"> week of October. Some farmers were provided with 3 kg of starter seed each of 5 improved varieties for baby trials. The baby trials occupied 0.4 ha of land in which the project absorbed the cost of seed and land preparation. </w:t>
      </w:r>
    </w:p>
    <w:p w14:paraId="004A3FE2" w14:textId="77777777" w:rsidR="006E6D81" w:rsidRDefault="006E6D81">
      <w:pPr>
        <w:pStyle w:val="p0"/>
        <w:rPr>
          <w:rFonts w:ascii="Calibri" w:eastAsia="Calibri" w:hAnsi="Calibri" w:cs="Calibri"/>
          <w:sz w:val="24"/>
          <w:szCs w:val="24"/>
        </w:rPr>
      </w:pPr>
    </w:p>
    <w:p w14:paraId="3B816511" w14:textId="77777777" w:rsidR="006E6D81" w:rsidRDefault="00E053B0">
      <w:pPr>
        <w:spacing w:line="240" w:lineRule="auto"/>
        <w:jc w:val="both"/>
        <w:rPr>
          <w:rFonts w:ascii="Calibri" w:eastAsia="Calibri" w:hAnsi="Calibri" w:cs="Calibri"/>
          <w:b/>
          <w:sz w:val="24"/>
          <w:szCs w:val="24"/>
          <w:lang w:val="en-US"/>
        </w:rPr>
      </w:pPr>
      <w:r>
        <w:rPr>
          <w:rFonts w:ascii="Calibri" w:eastAsia="Calibri" w:hAnsi="Calibri" w:cs="Calibri"/>
          <w:b/>
          <w:sz w:val="24"/>
          <w:szCs w:val="24"/>
          <w:lang w:val="en-US"/>
        </w:rPr>
        <w:t>2.2 Effect of soil amendments and variety on groundnut production</w:t>
      </w:r>
    </w:p>
    <w:p w14:paraId="6E0F1E35" w14:textId="59918451" w:rsidR="006E6D81" w:rsidRPr="0091771D" w:rsidRDefault="00E053B0">
      <w:pPr>
        <w:spacing w:after="0" w:line="240" w:lineRule="auto"/>
        <w:jc w:val="both"/>
        <w:rPr>
          <w:rFonts w:ascii="Calibri" w:hAnsi="Calibri" w:cs="Calibri"/>
          <w:color w:val="000000" w:themeColor="text1"/>
          <w:sz w:val="24"/>
          <w:szCs w:val="24"/>
          <w:lang w:val="en-US"/>
        </w:rPr>
      </w:pPr>
      <w:r>
        <w:rPr>
          <w:rFonts w:ascii="Calibri" w:eastAsia="Calibri" w:hAnsi="Calibri" w:cs="Calibri"/>
          <w:sz w:val="24"/>
          <w:szCs w:val="24"/>
          <w:lang w:val="en-US"/>
        </w:rPr>
        <w:lastRenderedPageBreak/>
        <w:t xml:space="preserve">This demonstration was conducted in four communities in the </w:t>
      </w:r>
      <w:proofErr w:type="spellStart"/>
      <w:r>
        <w:rPr>
          <w:rFonts w:ascii="Calibri" w:eastAsia="Calibri" w:hAnsi="Calibri" w:cs="Calibri"/>
          <w:sz w:val="24"/>
          <w:szCs w:val="24"/>
          <w:lang w:val="en-US"/>
        </w:rPr>
        <w:t>Nabdam</w:t>
      </w:r>
      <w:proofErr w:type="spellEnd"/>
      <w:r>
        <w:rPr>
          <w:rFonts w:ascii="Calibri" w:eastAsia="Calibri" w:hAnsi="Calibri" w:cs="Calibri"/>
          <w:sz w:val="24"/>
          <w:szCs w:val="24"/>
          <w:lang w:val="en-US"/>
        </w:rPr>
        <w:t xml:space="preserve"> and Bawku West districts in 2016 and 2017. The experimental set-up was</w:t>
      </w:r>
      <w:r w:rsidR="009038BF">
        <w:rPr>
          <w:rFonts w:ascii="Calibri" w:eastAsia="Calibri" w:hAnsi="Calibri" w:cs="Calibri"/>
          <w:sz w:val="24"/>
          <w:szCs w:val="24"/>
          <w:lang w:val="en-US"/>
        </w:rPr>
        <w:t xml:space="preserve"> a simple 8 x 4 factorial</w:t>
      </w:r>
      <w:r>
        <w:rPr>
          <w:rFonts w:ascii="Calibri" w:eastAsia="Calibri" w:hAnsi="Calibri" w:cs="Calibri"/>
          <w:sz w:val="24"/>
          <w:szCs w:val="24"/>
          <w:lang w:val="en-US"/>
        </w:rPr>
        <w:t xml:space="preserve"> in a </w:t>
      </w:r>
      <w:r>
        <w:rPr>
          <w:rFonts w:ascii="Calibri" w:hAnsi="Calibri" w:cs="Calibri"/>
          <w:sz w:val="24"/>
          <w:szCs w:val="24"/>
          <w:lang w:val="en-US"/>
        </w:rPr>
        <w:t xml:space="preserve">randomized complete block design with 3 replications. Factor 1 involved 8 improved groundnut varieties/genotypes, namely, </w:t>
      </w:r>
      <w:proofErr w:type="spellStart"/>
      <w:r>
        <w:rPr>
          <w:rFonts w:ascii="Calibri" w:hAnsi="Calibri" w:cs="Calibri"/>
          <w:bCs/>
          <w:color w:val="000000"/>
          <w:sz w:val="24"/>
          <w:szCs w:val="24"/>
          <w:lang w:val="en-US"/>
        </w:rPr>
        <w:t>Kpanielli</w:t>
      </w:r>
      <w:proofErr w:type="spellEnd"/>
      <w:r>
        <w:rPr>
          <w:rFonts w:ascii="Calibri" w:hAnsi="Calibri" w:cs="Calibri"/>
          <w:bCs/>
          <w:color w:val="000000"/>
          <w:sz w:val="24"/>
          <w:szCs w:val="24"/>
          <w:lang w:val="en-US"/>
        </w:rPr>
        <w:t xml:space="preserve">, </w:t>
      </w:r>
      <w:proofErr w:type="spellStart"/>
      <w:r>
        <w:rPr>
          <w:rFonts w:ascii="Calibri" w:hAnsi="Calibri" w:cs="Calibri"/>
          <w:bCs/>
          <w:color w:val="000000"/>
          <w:sz w:val="24"/>
          <w:szCs w:val="24"/>
          <w:lang w:val="en-US"/>
        </w:rPr>
        <w:t>Obolo</w:t>
      </w:r>
      <w:proofErr w:type="spellEnd"/>
      <w:r>
        <w:rPr>
          <w:rFonts w:ascii="Calibri" w:hAnsi="Calibri" w:cs="Calibri"/>
          <w:bCs/>
          <w:color w:val="000000"/>
          <w:sz w:val="24"/>
          <w:szCs w:val="24"/>
          <w:lang w:val="en-US"/>
        </w:rPr>
        <w:t xml:space="preserve">, </w:t>
      </w:r>
      <w:proofErr w:type="spellStart"/>
      <w:r>
        <w:rPr>
          <w:rFonts w:ascii="Calibri" w:hAnsi="Calibri" w:cs="Calibri"/>
          <w:bCs/>
          <w:color w:val="000000"/>
          <w:sz w:val="24"/>
          <w:szCs w:val="24"/>
          <w:lang w:val="en-US"/>
        </w:rPr>
        <w:t>Oboshie</w:t>
      </w:r>
      <w:proofErr w:type="spellEnd"/>
      <w:r>
        <w:rPr>
          <w:rFonts w:ascii="Calibri" w:hAnsi="Calibri" w:cs="Calibri"/>
          <w:bCs/>
          <w:color w:val="000000"/>
          <w:sz w:val="24"/>
          <w:szCs w:val="24"/>
          <w:lang w:val="en-US"/>
        </w:rPr>
        <w:t xml:space="preserve">, SARINUT 1, SARINUT 2, </w:t>
      </w:r>
      <w:proofErr w:type="spellStart"/>
      <w:r>
        <w:rPr>
          <w:rFonts w:ascii="Calibri" w:hAnsi="Calibri" w:cs="Calibri"/>
          <w:bCs/>
          <w:color w:val="000000"/>
          <w:sz w:val="24"/>
          <w:szCs w:val="24"/>
          <w:lang w:val="en-US"/>
        </w:rPr>
        <w:t>Yenyawaso</w:t>
      </w:r>
      <w:proofErr w:type="spellEnd"/>
      <w:r>
        <w:rPr>
          <w:rFonts w:ascii="Calibri" w:hAnsi="Calibri" w:cs="Calibri"/>
          <w:bCs/>
          <w:color w:val="000000"/>
          <w:sz w:val="24"/>
          <w:szCs w:val="24"/>
          <w:lang w:val="en-US"/>
        </w:rPr>
        <w:t xml:space="preserve">, </w:t>
      </w:r>
      <w:proofErr w:type="spellStart"/>
      <w:r>
        <w:rPr>
          <w:rFonts w:ascii="Calibri" w:hAnsi="Calibri" w:cs="Calibri"/>
          <w:bCs/>
          <w:color w:val="000000"/>
          <w:sz w:val="24"/>
          <w:szCs w:val="24"/>
          <w:lang w:val="en-US"/>
        </w:rPr>
        <w:t>Nkatiie</w:t>
      </w:r>
      <w:proofErr w:type="spellEnd"/>
      <w:r>
        <w:rPr>
          <w:rFonts w:ascii="Calibri" w:hAnsi="Calibri" w:cs="Calibri"/>
          <w:bCs/>
          <w:color w:val="000000"/>
          <w:sz w:val="24"/>
          <w:szCs w:val="24"/>
          <w:lang w:val="en-US"/>
        </w:rPr>
        <w:t xml:space="preserve">-SARI and 2 farmer </w:t>
      </w:r>
      <w:r w:rsidR="009038BF">
        <w:rPr>
          <w:rFonts w:ascii="Calibri" w:hAnsi="Calibri" w:cs="Calibri"/>
          <w:bCs/>
          <w:color w:val="000000"/>
          <w:sz w:val="24"/>
          <w:szCs w:val="24"/>
          <w:lang w:val="en-US"/>
        </w:rPr>
        <w:t xml:space="preserve">varieties, </w:t>
      </w:r>
      <w:r w:rsidR="009038BF">
        <w:rPr>
          <w:rFonts w:ascii="Calibri" w:hAnsi="Calibri" w:cs="Calibri"/>
          <w:sz w:val="24"/>
          <w:szCs w:val="24"/>
          <w:lang w:val="en-US"/>
        </w:rPr>
        <w:t>and</w:t>
      </w:r>
      <w:r>
        <w:rPr>
          <w:rFonts w:ascii="Calibri" w:hAnsi="Calibri" w:cs="Calibri"/>
          <w:sz w:val="24"/>
          <w:szCs w:val="24"/>
          <w:lang w:val="en-US"/>
        </w:rPr>
        <w:t xml:space="preserve"> factor 2 involved 4 soil amendments (i.e. control, organic manure, mineral fertilizer and mineral fertilizer + organic manure). </w:t>
      </w:r>
      <w:r>
        <w:rPr>
          <w:rFonts w:ascii="Calibri" w:hAnsi="Calibri" w:cs="Calibri"/>
          <w:color w:val="000000" w:themeColor="text1"/>
          <w:sz w:val="24"/>
          <w:szCs w:val="24"/>
          <w:shd w:val="clear" w:color="auto" w:fill="FFFFFF"/>
          <w:lang w:val="en-US"/>
        </w:rPr>
        <w:t xml:space="preserve">Certified seed </w:t>
      </w:r>
      <w:r w:rsidR="009038BF" w:rsidRPr="009038BF">
        <w:rPr>
          <w:rFonts w:ascii="Calibri" w:hAnsi="Calibri" w:cs="Calibri"/>
          <w:color w:val="000000" w:themeColor="text1"/>
          <w:sz w:val="24"/>
          <w:szCs w:val="24"/>
          <w:shd w:val="clear" w:color="auto" w:fill="FFFFFF"/>
          <w:lang w:val="en-US"/>
        </w:rPr>
        <w:t xml:space="preserve">of the improved varieties </w:t>
      </w:r>
      <w:r>
        <w:rPr>
          <w:rFonts w:ascii="Calibri" w:hAnsi="Calibri" w:cs="Calibri"/>
          <w:color w:val="000000" w:themeColor="text1"/>
          <w:sz w:val="24"/>
          <w:szCs w:val="24"/>
          <w:shd w:val="clear" w:color="auto" w:fill="FFFFFF"/>
          <w:lang w:val="en-US"/>
        </w:rPr>
        <w:t xml:space="preserve">was obtained from an </w:t>
      </w:r>
      <w:proofErr w:type="spellStart"/>
      <w:r>
        <w:rPr>
          <w:rFonts w:ascii="Calibri" w:hAnsi="Calibri" w:cs="Calibri"/>
          <w:color w:val="000000" w:themeColor="text1"/>
          <w:sz w:val="24"/>
          <w:szCs w:val="24"/>
          <w:shd w:val="clear" w:color="auto" w:fill="FFFFFF"/>
          <w:lang w:val="en-US"/>
        </w:rPr>
        <w:t>agro</w:t>
      </w:r>
      <w:proofErr w:type="spellEnd"/>
      <w:r>
        <w:rPr>
          <w:rFonts w:ascii="Calibri" w:hAnsi="Calibri" w:cs="Calibri"/>
          <w:color w:val="000000" w:themeColor="text1"/>
          <w:sz w:val="24"/>
          <w:szCs w:val="24"/>
          <w:shd w:val="clear" w:color="auto" w:fill="FFFFFF"/>
          <w:lang w:val="en-US"/>
        </w:rPr>
        <w:t xml:space="preserve">-input vendor in Bolgatanga for planting. </w:t>
      </w:r>
      <w:r>
        <w:rPr>
          <w:rFonts w:ascii="Calibri" w:hAnsi="Calibri" w:cs="Calibri"/>
          <w:bCs/>
          <w:color w:val="000000" w:themeColor="text1"/>
          <w:sz w:val="24"/>
          <w:szCs w:val="24"/>
          <w:lang w:val="en-US"/>
        </w:rPr>
        <w:t xml:space="preserve">Plot sizes of </w:t>
      </w:r>
      <w:r>
        <w:rPr>
          <w:rFonts w:ascii="Calibri" w:hAnsi="Calibri" w:cs="Calibri"/>
          <w:color w:val="000000" w:themeColor="text1"/>
          <w:sz w:val="24"/>
          <w:szCs w:val="24"/>
          <w:lang w:val="en-US"/>
        </w:rPr>
        <w:t>4 x 4 m</w:t>
      </w:r>
      <w:r w:rsidR="009038BF" w:rsidRPr="009038BF">
        <w:rPr>
          <w:rFonts w:ascii="Calibri" w:hAnsi="Calibri" w:cs="Calibri"/>
          <w:color w:val="000000" w:themeColor="text1"/>
          <w:sz w:val="24"/>
          <w:szCs w:val="24"/>
          <w:vertAlign w:val="superscript"/>
          <w:lang w:val="en-US"/>
        </w:rPr>
        <w:t>2</w:t>
      </w:r>
      <w:r w:rsidRPr="009038BF">
        <w:rPr>
          <w:rFonts w:ascii="Calibri" w:hAnsi="Calibri" w:cs="Calibri"/>
          <w:color w:val="000000" w:themeColor="text1"/>
          <w:sz w:val="24"/>
          <w:szCs w:val="24"/>
          <w:vertAlign w:val="superscript"/>
          <w:lang w:val="en-US"/>
        </w:rPr>
        <w:t xml:space="preserve"> </w:t>
      </w:r>
      <w:r>
        <w:rPr>
          <w:rFonts w:ascii="Calibri" w:hAnsi="Calibri" w:cs="Calibri"/>
          <w:color w:val="000000" w:themeColor="text1"/>
          <w:sz w:val="24"/>
          <w:szCs w:val="24"/>
          <w:lang w:val="en-US"/>
        </w:rPr>
        <w:t>were used, and planting distance was 10 x 75 cm</w:t>
      </w:r>
      <w:r w:rsidR="009038BF" w:rsidRPr="009038BF">
        <w:rPr>
          <w:rFonts w:ascii="Calibri" w:hAnsi="Calibri" w:cs="Calibri"/>
          <w:color w:val="000000" w:themeColor="text1"/>
          <w:sz w:val="24"/>
          <w:szCs w:val="24"/>
          <w:lang w:val="en-US"/>
        </w:rPr>
        <w:t xml:space="preserve"> </w:t>
      </w:r>
      <w:r w:rsidR="009038BF">
        <w:rPr>
          <w:rFonts w:ascii="Calibri" w:hAnsi="Calibri" w:cs="Calibri"/>
          <w:color w:val="000000" w:themeColor="text1"/>
          <w:sz w:val="24"/>
          <w:szCs w:val="24"/>
          <w:lang w:val="en-US"/>
        </w:rPr>
        <w:t xml:space="preserve">intra and inter row spacing </w:t>
      </w:r>
      <w:r w:rsidR="009038BF" w:rsidRPr="0091771D">
        <w:rPr>
          <w:rFonts w:ascii="Calibri" w:hAnsi="Calibri" w:cs="Calibri"/>
          <w:color w:val="000000" w:themeColor="text1"/>
          <w:sz w:val="24"/>
          <w:szCs w:val="24"/>
          <w:lang w:val="en-US"/>
        </w:rPr>
        <w:t>respectively</w:t>
      </w:r>
      <w:r w:rsidRPr="0091771D">
        <w:rPr>
          <w:rFonts w:ascii="Calibri" w:hAnsi="Calibri" w:cs="Calibri"/>
          <w:color w:val="000000" w:themeColor="text1"/>
          <w:sz w:val="24"/>
          <w:szCs w:val="24"/>
          <w:lang w:val="en-US"/>
        </w:rPr>
        <w:t xml:space="preserve">.  </w:t>
      </w:r>
      <w:r w:rsidRPr="0091771D">
        <w:rPr>
          <w:rFonts w:ascii="Calibri" w:hAnsi="Calibri" w:cs="Calibri"/>
          <w:color w:val="000000" w:themeColor="text1"/>
          <w:sz w:val="24"/>
          <w:szCs w:val="24"/>
          <w:shd w:val="clear" w:color="auto" w:fill="FFFFFF"/>
          <w:lang w:val="en-US"/>
        </w:rPr>
        <w:t xml:space="preserve">At two weeks after planting, </w:t>
      </w:r>
      <w:r w:rsidRPr="0091771D">
        <w:rPr>
          <w:rFonts w:ascii="Calibri" w:hAnsi="Calibri" w:cs="Calibri"/>
          <w:color w:val="000000" w:themeColor="text1"/>
          <w:sz w:val="24"/>
          <w:szCs w:val="24"/>
          <w:lang w:val="en-US"/>
        </w:rPr>
        <w:t>Yara Legume fertilizer (0% N, 18% P</w:t>
      </w:r>
      <w:r w:rsidRPr="0091771D">
        <w:rPr>
          <w:rFonts w:ascii="Calibri" w:hAnsi="Calibri" w:cs="Calibri"/>
          <w:color w:val="000000" w:themeColor="text1"/>
          <w:sz w:val="24"/>
          <w:szCs w:val="24"/>
          <w:vertAlign w:val="subscript"/>
          <w:lang w:val="en-US"/>
        </w:rPr>
        <w:t>2</w:t>
      </w:r>
      <w:r w:rsidRPr="0091771D">
        <w:rPr>
          <w:rFonts w:ascii="Calibri" w:hAnsi="Calibri" w:cs="Calibri"/>
          <w:color w:val="000000" w:themeColor="text1"/>
          <w:sz w:val="24"/>
          <w:szCs w:val="24"/>
          <w:lang w:val="en-US"/>
        </w:rPr>
        <w:t>O</w:t>
      </w:r>
      <w:r w:rsidRPr="0091771D">
        <w:rPr>
          <w:rFonts w:ascii="Calibri" w:hAnsi="Calibri" w:cs="Calibri"/>
          <w:color w:val="000000" w:themeColor="text1"/>
          <w:sz w:val="24"/>
          <w:szCs w:val="24"/>
          <w:vertAlign w:val="subscript"/>
          <w:lang w:val="en-US"/>
        </w:rPr>
        <w:t>5</w:t>
      </w:r>
      <w:r w:rsidRPr="0091771D">
        <w:rPr>
          <w:rFonts w:ascii="Calibri" w:hAnsi="Calibri" w:cs="Calibri"/>
          <w:color w:val="000000" w:themeColor="text1"/>
          <w:sz w:val="24"/>
          <w:szCs w:val="24"/>
          <w:lang w:val="en-US"/>
        </w:rPr>
        <w:t>, 13% K</w:t>
      </w:r>
      <w:r w:rsidRPr="0091771D">
        <w:rPr>
          <w:rFonts w:ascii="Calibri" w:hAnsi="Calibri" w:cs="Calibri"/>
          <w:color w:val="000000" w:themeColor="text1"/>
          <w:sz w:val="24"/>
          <w:szCs w:val="24"/>
          <w:vertAlign w:val="subscript"/>
          <w:lang w:val="en-US"/>
        </w:rPr>
        <w:t>2</w:t>
      </w:r>
      <w:r w:rsidRPr="0091771D">
        <w:rPr>
          <w:rFonts w:ascii="Calibri" w:hAnsi="Calibri" w:cs="Calibri"/>
          <w:color w:val="000000" w:themeColor="text1"/>
          <w:sz w:val="24"/>
          <w:szCs w:val="24"/>
          <w:lang w:val="en-US"/>
        </w:rPr>
        <w:t xml:space="preserve">O, 29% CaO) was applied at a rate of </w:t>
      </w:r>
      <w:r w:rsidR="009D3062" w:rsidRPr="0091771D">
        <w:rPr>
          <w:rFonts w:ascii="Calibri" w:hAnsi="Calibri" w:cs="Calibri"/>
          <w:color w:val="000000" w:themeColor="text1"/>
          <w:sz w:val="24"/>
          <w:szCs w:val="24"/>
          <w:lang w:val="en-US"/>
        </w:rPr>
        <w:t>375</w:t>
      </w:r>
      <w:r w:rsidRPr="0091771D">
        <w:rPr>
          <w:rFonts w:ascii="Calibri" w:hAnsi="Calibri" w:cs="Calibri"/>
          <w:color w:val="000000" w:themeColor="text1"/>
          <w:sz w:val="24"/>
          <w:szCs w:val="24"/>
          <w:lang w:val="en-US"/>
        </w:rPr>
        <w:t xml:space="preserve"> kg/ha.   </w:t>
      </w:r>
    </w:p>
    <w:p w14:paraId="5506C818" w14:textId="77777777" w:rsidR="006E6D81" w:rsidRPr="0091771D" w:rsidRDefault="006E6D81">
      <w:pPr>
        <w:spacing w:after="0" w:line="240" w:lineRule="auto"/>
        <w:jc w:val="both"/>
        <w:rPr>
          <w:rFonts w:ascii="Calibri" w:hAnsi="Calibri" w:cs="Calibri"/>
          <w:color w:val="000000" w:themeColor="text1"/>
          <w:sz w:val="24"/>
          <w:szCs w:val="24"/>
          <w:lang w:val="en-US"/>
        </w:rPr>
      </w:pPr>
    </w:p>
    <w:p w14:paraId="00372FD7" w14:textId="77777777" w:rsidR="006E6D81" w:rsidRPr="0091771D" w:rsidRDefault="00E053B0">
      <w:pPr>
        <w:spacing w:after="0" w:line="240" w:lineRule="auto"/>
        <w:jc w:val="both"/>
        <w:rPr>
          <w:rFonts w:ascii="Calibri" w:hAnsi="Calibri" w:cs="Calibri"/>
          <w:b/>
          <w:bCs/>
          <w:sz w:val="24"/>
          <w:szCs w:val="24"/>
          <w:lang w:val="en-US"/>
        </w:rPr>
      </w:pPr>
      <w:r w:rsidRPr="0091771D">
        <w:rPr>
          <w:rFonts w:ascii="Calibri" w:hAnsi="Calibri" w:cs="Calibri"/>
          <w:b/>
          <w:bCs/>
          <w:sz w:val="24"/>
          <w:szCs w:val="24"/>
          <w:lang w:val="en-US"/>
        </w:rPr>
        <w:t>2.3 Effect of soil amendments and inoculants on groundnut production</w:t>
      </w:r>
    </w:p>
    <w:p w14:paraId="60330CE4" w14:textId="6C3EBA2F" w:rsidR="006E6D81" w:rsidRPr="0091771D" w:rsidRDefault="00E053B0">
      <w:pPr>
        <w:spacing w:line="240" w:lineRule="auto"/>
        <w:jc w:val="both"/>
        <w:rPr>
          <w:rFonts w:ascii="Calibri" w:hAnsi="Calibri" w:cs="Calibri"/>
          <w:color w:val="000000" w:themeColor="text1"/>
          <w:sz w:val="24"/>
          <w:szCs w:val="24"/>
        </w:rPr>
      </w:pPr>
      <w:r w:rsidRPr="0091771D">
        <w:rPr>
          <w:rFonts w:ascii="Calibri" w:hAnsi="Calibri" w:cs="Calibri"/>
          <w:sz w:val="24"/>
          <w:szCs w:val="24"/>
        </w:rPr>
        <w:t>Field trials were established at Bongo, Bulsa North, Kassena Nankana East and  Kassena Nankana West districts of the Upper East Region of Ghana. The experiments were organized using randomized complete block design with 4 replications</w:t>
      </w:r>
      <w:r w:rsidRPr="0091771D">
        <w:rPr>
          <w:rFonts w:ascii="Calibri" w:hAnsi="Calibri" w:cs="Calibri"/>
          <w:sz w:val="24"/>
          <w:szCs w:val="24"/>
          <w:lang w:val="en-US"/>
        </w:rPr>
        <w:t xml:space="preserve">. </w:t>
      </w:r>
      <w:r w:rsidRPr="0091771D">
        <w:rPr>
          <w:rFonts w:ascii="Calibri" w:hAnsi="Calibri" w:cs="Calibri"/>
          <w:sz w:val="24"/>
          <w:szCs w:val="24"/>
        </w:rPr>
        <w:t xml:space="preserve"> </w:t>
      </w:r>
      <w:r w:rsidRPr="0091771D">
        <w:rPr>
          <w:rFonts w:ascii="Calibri" w:hAnsi="Calibri" w:cs="Calibri"/>
          <w:sz w:val="24"/>
          <w:szCs w:val="24"/>
          <w:lang w:eastAsia="en-GB"/>
        </w:rPr>
        <w:t>Planting was done in</w:t>
      </w:r>
      <w:r w:rsidRPr="0091771D">
        <w:rPr>
          <w:rFonts w:ascii="Calibri" w:hAnsi="Calibri" w:cs="Calibri"/>
          <w:sz w:val="24"/>
          <w:szCs w:val="24"/>
        </w:rPr>
        <w:t xml:space="preserve"> plot sizes of 4 x 4 m</w:t>
      </w:r>
      <w:r w:rsidR="00C84E01" w:rsidRPr="0091771D">
        <w:rPr>
          <w:rFonts w:ascii="Calibri" w:hAnsi="Calibri" w:cs="Calibri"/>
          <w:sz w:val="24"/>
          <w:szCs w:val="24"/>
          <w:vertAlign w:val="superscript"/>
          <w:lang w:val="en-US"/>
        </w:rPr>
        <w:t>2</w:t>
      </w:r>
      <w:r w:rsidRPr="0091771D">
        <w:rPr>
          <w:rFonts w:ascii="Calibri" w:hAnsi="Calibri" w:cs="Calibri"/>
          <w:sz w:val="24"/>
          <w:szCs w:val="24"/>
        </w:rPr>
        <w:t xml:space="preserve"> from </w:t>
      </w:r>
      <w:r w:rsidRPr="0091771D">
        <w:rPr>
          <w:rFonts w:ascii="Calibri" w:hAnsi="Calibri" w:cs="Calibri"/>
          <w:sz w:val="24"/>
          <w:szCs w:val="24"/>
          <w:lang w:eastAsia="en-GB"/>
        </w:rPr>
        <w:t>the 1</w:t>
      </w:r>
      <w:r w:rsidRPr="0091771D">
        <w:rPr>
          <w:rFonts w:ascii="Calibri" w:hAnsi="Calibri" w:cs="Calibri"/>
          <w:sz w:val="24"/>
          <w:szCs w:val="24"/>
          <w:vertAlign w:val="superscript"/>
          <w:lang w:eastAsia="en-GB"/>
        </w:rPr>
        <w:t>st</w:t>
      </w:r>
      <w:r w:rsidRPr="0091771D">
        <w:rPr>
          <w:rFonts w:ascii="Calibri" w:hAnsi="Calibri" w:cs="Calibri"/>
          <w:sz w:val="24"/>
          <w:szCs w:val="24"/>
          <w:lang w:eastAsia="en-GB"/>
        </w:rPr>
        <w:t xml:space="preserve"> to 2</w:t>
      </w:r>
      <w:r w:rsidRPr="0091771D">
        <w:rPr>
          <w:rFonts w:ascii="Calibri" w:hAnsi="Calibri" w:cs="Calibri"/>
          <w:sz w:val="24"/>
          <w:szCs w:val="24"/>
          <w:vertAlign w:val="superscript"/>
          <w:lang w:eastAsia="en-GB"/>
        </w:rPr>
        <w:t>nd</w:t>
      </w:r>
      <w:r w:rsidRPr="0091771D">
        <w:rPr>
          <w:rFonts w:ascii="Calibri" w:hAnsi="Calibri" w:cs="Calibri"/>
          <w:sz w:val="24"/>
          <w:szCs w:val="24"/>
          <w:lang w:eastAsia="en-GB"/>
        </w:rPr>
        <w:t xml:space="preserve"> week of July 2018 and 2019.</w:t>
      </w:r>
      <w:r w:rsidRPr="0091771D">
        <w:rPr>
          <w:rFonts w:ascii="Calibri" w:hAnsi="Calibri" w:cs="Calibri"/>
          <w:sz w:val="24"/>
          <w:szCs w:val="24"/>
        </w:rPr>
        <w:t xml:space="preserve"> The treatments were control, Rhizobium inoculant only (10g/kg seed), Triple Superphosphate (TSP)  fertilizer (60 kg P</w:t>
      </w:r>
      <w:r w:rsidRPr="0091771D">
        <w:rPr>
          <w:rFonts w:ascii="Calibri" w:hAnsi="Calibri" w:cs="Calibri"/>
          <w:sz w:val="24"/>
          <w:szCs w:val="24"/>
          <w:vertAlign w:val="subscript"/>
        </w:rPr>
        <w:t>2</w:t>
      </w:r>
      <w:r w:rsidRPr="0091771D">
        <w:rPr>
          <w:rFonts w:ascii="Calibri" w:hAnsi="Calibri" w:cs="Calibri"/>
          <w:sz w:val="24"/>
          <w:szCs w:val="24"/>
        </w:rPr>
        <w:t>O</w:t>
      </w:r>
      <w:r w:rsidRPr="0091771D">
        <w:rPr>
          <w:rFonts w:ascii="Calibri" w:hAnsi="Calibri" w:cs="Calibri"/>
          <w:sz w:val="24"/>
          <w:szCs w:val="24"/>
          <w:vertAlign w:val="subscript"/>
        </w:rPr>
        <w:t>5</w:t>
      </w:r>
      <w:r w:rsidRPr="0091771D">
        <w:rPr>
          <w:rFonts w:ascii="Calibri" w:hAnsi="Calibri" w:cs="Calibri"/>
          <w:sz w:val="24"/>
          <w:szCs w:val="24"/>
        </w:rPr>
        <w:t>/ha), Y</w:t>
      </w:r>
      <w:r w:rsidR="00C84E01" w:rsidRPr="0091771D">
        <w:rPr>
          <w:rFonts w:ascii="Calibri" w:hAnsi="Calibri" w:cs="Calibri"/>
          <w:sz w:val="24"/>
          <w:szCs w:val="24"/>
          <w:lang w:val="en-US"/>
        </w:rPr>
        <w:t>ARA</w:t>
      </w:r>
      <w:r w:rsidRPr="0091771D">
        <w:rPr>
          <w:rFonts w:ascii="Calibri" w:hAnsi="Calibri" w:cs="Calibri"/>
          <w:sz w:val="24"/>
          <w:szCs w:val="24"/>
        </w:rPr>
        <w:t xml:space="preserve"> Legume </w:t>
      </w:r>
      <w:r w:rsidRPr="0091771D">
        <w:rPr>
          <w:rFonts w:ascii="Calibri" w:hAnsi="Calibri" w:cs="Calibri"/>
          <w:color w:val="000000" w:themeColor="text1"/>
          <w:sz w:val="24"/>
          <w:szCs w:val="24"/>
          <w:lang w:val="en-US"/>
        </w:rPr>
        <w:t>(0% N, 18% P</w:t>
      </w:r>
      <w:r w:rsidRPr="0091771D">
        <w:rPr>
          <w:rFonts w:ascii="Calibri" w:hAnsi="Calibri" w:cs="Calibri"/>
          <w:color w:val="000000" w:themeColor="text1"/>
          <w:sz w:val="24"/>
          <w:szCs w:val="24"/>
          <w:vertAlign w:val="subscript"/>
          <w:lang w:val="en-US"/>
        </w:rPr>
        <w:t>2</w:t>
      </w:r>
      <w:r w:rsidRPr="0091771D">
        <w:rPr>
          <w:rFonts w:ascii="Calibri" w:hAnsi="Calibri" w:cs="Calibri"/>
          <w:color w:val="000000" w:themeColor="text1"/>
          <w:sz w:val="24"/>
          <w:szCs w:val="24"/>
          <w:lang w:val="en-US"/>
        </w:rPr>
        <w:t>O</w:t>
      </w:r>
      <w:r w:rsidRPr="0091771D">
        <w:rPr>
          <w:rFonts w:ascii="Calibri" w:hAnsi="Calibri" w:cs="Calibri"/>
          <w:color w:val="000000" w:themeColor="text1"/>
          <w:sz w:val="24"/>
          <w:szCs w:val="24"/>
          <w:vertAlign w:val="subscript"/>
          <w:lang w:val="en-US"/>
        </w:rPr>
        <w:t>5</w:t>
      </w:r>
      <w:r w:rsidRPr="0091771D">
        <w:rPr>
          <w:rFonts w:ascii="Calibri" w:hAnsi="Calibri" w:cs="Calibri"/>
          <w:color w:val="000000" w:themeColor="text1"/>
          <w:sz w:val="24"/>
          <w:szCs w:val="24"/>
          <w:lang w:val="en-US"/>
        </w:rPr>
        <w:t>, 13% K</w:t>
      </w:r>
      <w:r w:rsidRPr="0091771D">
        <w:rPr>
          <w:rFonts w:ascii="Calibri" w:hAnsi="Calibri" w:cs="Calibri"/>
          <w:color w:val="000000" w:themeColor="text1"/>
          <w:sz w:val="24"/>
          <w:szCs w:val="24"/>
          <w:vertAlign w:val="subscript"/>
          <w:lang w:val="en-US"/>
        </w:rPr>
        <w:t>2</w:t>
      </w:r>
      <w:r w:rsidRPr="0091771D">
        <w:rPr>
          <w:rFonts w:ascii="Calibri" w:hAnsi="Calibri" w:cs="Calibri"/>
          <w:color w:val="000000" w:themeColor="text1"/>
          <w:sz w:val="24"/>
          <w:szCs w:val="24"/>
          <w:lang w:val="en-US"/>
        </w:rPr>
        <w:t>O, 29% CaO</w:t>
      </w:r>
      <w:r w:rsidRPr="0091771D">
        <w:rPr>
          <w:rFonts w:ascii="Calibri" w:hAnsi="Calibri" w:cs="Calibri"/>
          <w:sz w:val="24"/>
          <w:szCs w:val="24"/>
        </w:rPr>
        <w:t xml:space="preserve">), TSP + Rhizobium inoculant, and Yara Legume + Rhizobium inoculant.  </w:t>
      </w:r>
      <w:r w:rsidRPr="0091771D">
        <w:rPr>
          <w:rFonts w:ascii="Calibri" w:hAnsi="Calibri" w:cs="Calibri"/>
          <w:color w:val="000000" w:themeColor="text1"/>
          <w:sz w:val="24"/>
          <w:szCs w:val="24"/>
        </w:rPr>
        <w:t xml:space="preserve"> The TSP </w:t>
      </w:r>
      <w:r w:rsidR="00C84E01" w:rsidRPr="0091771D">
        <w:rPr>
          <w:rFonts w:ascii="Calibri" w:hAnsi="Calibri" w:cs="Calibri"/>
          <w:color w:val="000000" w:themeColor="text1"/>
          <w:sz w:val="24"/>
          <w:szCs w:val="24"/>
          <w:lang w:val="en-US"/>
        </w:rPr>
        <w:t xml:space="preserve">which </w:t>
      </w:r>
      <w:r w:rsidRPr="0091771D">
        <w:rPr>
          <w:rFonts w:ascii="Calibri" w:hAnsi="Calibri" w:cs="Calibri"/>
          <w:color w:val="000000" w:themeColor="text1"/>
          <w:sz w:val="24"/>
          <w:szCs w:val="24"/>
        </w:rPr>
        <w:t>contain</w:t>
      </w:r>
      <w:r w:rsidR="00C84E01" w:rsidRPr="0091771D">
        <w:rPr>
          <w:rFonts w:ascii="Calibri" w:hAnsi="Calibri" w:cs="Calibri"/>
          <w:color w:val="000000" w:themeColor="text1"/>
          <w:sz w:val="24"/>
          <w:szCs w:val="24"/>
          <w:lang w:val="en-US"/>
        </w:rPr>
        <w:t>ed</w:t>
      </w:r>
      <w:r w:rsidRPr="0091771D">
        <w:rPr>
          <w:rFonts w:ascii="Calibri" w:hAnsi="Calibri" w:cs="Calibri"/>
          <w:color w:val="000000" w:themeColor="text1"/>
          <w:sz w:val="24"/>
          <w:szCs w:val="24"/>
        </w:rPr>
        <w:t xml:space="preserve"> 46% of P</w:t>
      </w:r>
      <w:r w:rsidRPr="0091771D">
        <w:rPr>
          <w:rFonts w:ascii="Calibri" w:hAnsi="Calibri" w:cs="Calibri"/>
          <w:color w:val="000000" w:themeColor="text1"/>
          <w:sz w:val="24"/>
          <w:szCs w:val="24"/>
          <w:vertAlign w:val="subscript"/>
        </w:rPr>
        <w:t>2</w:t>
      </w:r>
      <w:r w:rsidRPr="0091771D">
        <w:rPr>
          <w:rFonts w:ascii="Calibri" w:hAnsi="Calibri" w:cs="Calibri"/>
          <w:color w:val="000000" w:themeColor="text1"/>
          <w:sz w:val="24"/>
          <w:szCs w:val="24"/>
        </w:rPr>
        <w:t>O</w:t>
      </w:r>
      <w:r w:rsidRPr="0091771D">
        <w:rPr>
          <w:rFonts w:ascii="Calibri" w:hAnsi="Calibri" w:cs="Calibri"/>
          <w:color w:val="000000" w:themeColor="text1"/>
          <w:sz w:val="24"/>
          <w:szCs w:val="24"/>
          <w:vertAlign w:val="subscript"/>
        </w:rPr>
        <w:t>5</w:t>
      </w:r>
      <w:r w:rsidR="00C84D9C" w:rsidRPr="0091771D">
        <w:rPr>
          <w:rFonts w:ascii="Calibri" w:hAnsi="Calibri" w:cs="Calibri"/>
          <w:color w:val="000000" w:themeColor="text1"/>
          <w:sz w:val="24"/>
          <w:szCs w:val="24"/>
        </w:rPr>
        <w:t xml:space="preserve"> and 17% of CaO</w:t>
      </w:r>
      <w:r w:rsidRPr="0091771D">
        <w:rPr>
          <w:rFonts w:ascii="Calibri" w:hAnsi="Calibri" w:cs="Calibri"/>
          <w:color w:val="000000" w:themeColor="text1"/>
          <w:sz w:val="24"/>
          <w:szCs w:val="24"/>
        </w:rPr>
        <w:t xml:space="preserve"> was applied at 250 kg/ha.</w:t>
      </w:r>
    </w:p>
    <w:p w14:paraId="2182731A" w14:textId="77777777" w:rsidR="006E6D81" w:rsidRDefault="00E053B0">
      <w:pPr>
        <w:spacing w:line="240" w:lineRule="auto"/>
        <w:jc w:val="both"/>
        <w:rPr>
          <w:rFonts w:eastAsia="Calibri" w:cs="Times New Roman"/>
          <w:b/>
          <w:lang w:val="en-US"/>
        </w:rPr>
      </w:pPr>
      <w:r w:rsidRPr="0091771D">
        <w:rPr>
          <w:rFonts w:cs="Times New Roman"/>
          <w:b/>
          <w:sz w:val="24"/>
          <w:szCs w:val="24"/>
          <w:lang w:val="en-US"/>
        </w:rPr>
        <w:t>2.4 Effect of integrated pest management</w:t>
      </w:r>
      <w:r>
        <w:rPr>
          <w:rFonts w:cs="Times New Roman"/>
          <w:b/>
          <w:lang w:val="en-US"/>
        </w:rPr>
        <w:t xml:space="preserve"> practices on groundnut production</w:t>
      </w:r>
    </w:p>
    <w:p w14:paraId="2486805E" w14:textId="30580DEF" w:rsidR="006E6D81" w:rsidRDefault="009D3062">
      <w:pPr>
        <w:spacing w:after="200" w:line="240" w:lineRule="auto"/>
        <w:jc w:val="both"/>
        <w:rPr>
          <w:rFonts w:cs="Times New Roman"/>
          <w:lang w:val="en-US"/>
        </w:rPr>
      </w:pPr>
      <w:r>
        <w:rPr>
          <w:rFonts w:eastAsia="Calibri" w:cs="Times New Roman"/>
          <w:lang w:val="en-US"/>
        </w:rPr>
        <w:t>P</w:t>
      </w:r>
      <w:r w:rsidR="00E053B0">
        <w:rPr>
          <w:rFonts w:eastAsia="Calibri" w:cs="Times New Roman"/>
          <w:lang w:val="en-US"/>
        </w:rPr>
        <w:t xml:space="preserve">articipatory on-farm demonstrations were established </w:t>
      </w:r>
      <w:r>
        <w:rPr>
          <w:rFonts w:eastAsia="Calibri" w:cs="Times New Roman"/>
          <w:lang w:val="en-US"/>
        </w:rPr>
        <w:t xml:space="preserve">in five districts </w:t>
      </w:r>
      <w:r w:rsidR="00E053B0">
        <w:rPr>
          <w:rFonts w:eastAsia="Calibri" w:cs="Times New Roman"/>
          <w:lang w:val="en-US"/>
        </w:rPr>
        <w:t xml:space="preserve">and monitored from July to October in the year 2017 and 2018. </w:t>
      </w:r>
      <w:r w:rsidR="00E053B0">
        <w:rPr>
          <w:rFonts w:eastAsia="Calibri" w:cs="Times New Roman"/>
          <w:b/>
          <w:lang w:val="en-US"/>
        </w:rPr>
        <w:t xml:space="preserve"> </w:t>
      </w:r>
      <w:r w:rsidR="00E053B0">
        <w:rPr>
          <w:rFonts w:eastAsia="Calibri" w:cs="Times New Roman"/>
          <w:lang w:val="en-US"/>
        </w:rPr>
        <w:t>The</w:t>
      </w:r>
      <w:r w:rsidR="00E053B0">
        <w:rPr>
          <w:rFonts w:cs="Times New Roman"/>
          <w:lang w:val="en-US"/>
        </w:rPr>
        <w:t>s</w:t>
      </w:r>
      <w:r w:rsidR="00D30A28">
        <w:rPr>
          <w:rFonts w:cs="Times New Roman"/>
          <w:lang w:val="en-US"/>
        </w:rPr>
        <w:t>e</w:t>
      </w:r>
      <w:r w:rsidR="00E053B0">
        <w:rPr>
          <w:rFonts w:cs="Times New Roman"/>
          <w:lang w:val="en-US"/>
        </w:rPr>
        <w:t xml:space="preserve"> involved the use of i</w:t>
      </w:r>
      <w:r w:rsidR="00D30A28">
        <w:rPr>
          <w:rFonts w:cs="Times New Roman"/>
          <w:lang w:val="en-US"/>
        </w:rPr>
        <w:t xml:space="preserve">mproved varieties and </w:t>
      </w:r>
      <w:r w:rsidR="00E053B0">
        <w:rPr>
          <w:rFonts w:cs="Times New Roman"/>
          <w:lang w:val="en-US"/>
        </w:rPr>
        <w:t xml:space="preserve">best crop management practices to increase yield and minimize aflatoxin contamination. </w:t>
      </w:r>
      <w:r w:rsidR="00E053B0">
        <w:rPr>
          <w:rFonts w:eastAsia="Calibri" w:cs="Times New Roman"/>
          <w:lang w:val="en-US"/>
        </w:rPr>
        <w:t>At each</w:t>
      </w:r>
      <w:r w:rsidR="00E053B0">
        <w:rPr>
          <w:rFonts w:eastAsia="Calibri" w:cs="Times New Roman"/>
          <w:b/>
          <w:lang w:val="en-US"/>
        </w:rPr>
        <w:t xml:space="preserve"> </w:t>
      </w:r>
      <w:r w:rsidR="00E053B0">
        <w:rPr>
          <w:rFonts w:eastAsia="Calibri" w:cs="Times New Roman"/>
          <w:lang w:val="en-US"/>
        </w:rPr>
        <w:t>location, 6 plots of 10 x 10 m</w:t>
      </w:r>
      <w:r w:rsidR="00D30A28" w:rsidRPr="00D30A28">
        <w:rPr>
          <w:rFonts w:eastAsia="Calibri" w:cs="Times New Roman"/>
          <w:vertAlign w:val="superscript"/>
          <w:lang w:val="en-US"/>
        </w:rPr>
        <w:t>2</w:t>
      </w:r>
      <w:r w:rsidR="00E053B0">
        <w:rPr>
          <w:rFonts w:eastAsia="Calibri" w:cs="Times New Roman"/>
          <w:lang w:val="en-US"/>
        </w:rPr>
        <w:t xml:space="preserve"> were planted to 2 improved groundnut varieties (SARINUT 2 and </w:t>
      </w:r>
      <w:proofErr w:type="spellStart"/>
      <w:r w:rsidR="00E053B0">
        <w:rPr>
          <w:rFonts w:eastAsia="Calibri" w:cs="Times New Roman"/>
          <w:lang w:val="en-US"/>
        </w:rPr>
        <w:t>Nkatie</w:t>
      </w:r>
      <w:proofErr w:type="spellEnd"/>
      <w:r w:rsidR="00E053B0">
        <w:rPr>
          <w:rFonts w:eastAsia="Calibri" w:cs="Times New Roman"/>
          <w:lang w:val="en-US"/>
        </w:rPr>
        <w:t xml:space="preserve">-SARI) and a farmer variety (Figure 1).  Three plots were assigned to integrated pest management practice (IPM) (improved seed, fertilizer application, weeding twice, and insecticide spray at 6 and 8 weeks). </w:t>
      </w:r>
      <w:r w:rsidR="00E053B0">
        <w:rPr>
          <w:rFonts w:cs="Times New Roman"/>
          <w:lang w:val="en-US"/>
        </w:rPr>
        <w:t xml:space="preserve"> In the postharvest phase, we validated the effect of prompt harvesting, quick drying, drying on cemented floor/ plastic sheet/ tarpaulin and storage in PICS bags to the communities.</w:t>
      </w:r>
    </w:p>
    <w:p w14:paraId="56F75A68" w14:textId="77777777" w:rsidR="006E6D81" w:rsidRDefault="00E053B0">
      <w:pPr>
        <w:spacing w:after="0" w:line="240" w:lineRule="auto"/>
        <w:jc w:val="both"/>
        <w:rPr>
          <w:rFonts w:ascii="Calibri" w:hAnsi="Calibri" w:cs="Calibri"/>
          <w:b/>
          <w:bCs/>
          <w:sz w:val="24"/>
          <w:szCs w:val="24"/>
          <w:lang w:val="en-US" w:eastAsia="en-GB"/>
        </w:rPr>
      </w:pPr>
      <w:r>
        <w:rPr>
          <w:rFonts w:ascii="Calibri" w:hAnsi="Calibri" w:cs="Calibri"/>
          <w:b/>
          <w:bCs/>
          <w:sz w:val="24"/>
          <w:szCs w:val="24"/>
          <w:lang w:val="en-US" w:eastAsia="en-GB"/>
        </w:rPr>
        <w:t>2.5 Data collection</w:t>
      </w:r>
    </w:p>
    <w:p w14:paraId="6A5433D3" w14:textId="77777777" w:rsidR="006E6D81" w:rsidRDefault="00E053B0">
      <w:pPr>
        <w:spacing w:after="0" w:line="240" w:lineRule="auto"/>
        <w:jc w:val="both"/>
        <w:rPr>
          <w:rFonts w:ascii="Calibri" w:hAnsi="Calibri" w:cs="Calibri"/>
          <w:sz w:val="24"/>
          <w:szCs w:val="24"/>
        </w:rPr>
      </w:pPr>
      <w:r>
        <w:rPr>
          <w:rFonts w:ascii="Calibri" w:hAnsi="Calibri" w:cs="Calibri"/>
          <w:bCs/>
          <w:color w:val="000000" w:themeColor="text1"/>
          <w:sz w:val="24"/>
          <w:szCs w:val="24"/>
          <w:lang w:val="en-US"/>
        </w:rPr>
        <w:t>All recommended agronomic management in groundnut (i.e. land preparation, plant population, weed management and postharvest drying and storage) were observed.</w:t>
      </w:r>
      <w:r>
        <w:rPr>
          <w:rFonts w:ascii="Calibri" w:hAnsi="Calibri" w:cs="Calibri"/>
          <w:sz w:val="24"/>
          <w:szCs w:val="24"/>
          <w:lang w:val="en-US"/>
        </w:rPr>
        <w:t xml:space="preserve"> </w:t>
      </w:r>
      <w:r>
        <w:rPr>
          <w:rFonts w:ascii="Calibri" w:hAnsi="Calibri" w:cs="Calibri"/>
          <w:sz w:val="24"/>
          <w:szCs w:val="24"/>
          <w:lang w:eastAsia="en-GB"/>
        </w:rPr>
        <w:t>D</w:t>
      </w:r>
      <w:r>
        <w:rPr>
          <w:rFonts w:ascii="Calibri" w:hAnsi="Calibri" w:cs="Calibri"/>
          <w:bCs/>
          <w:color w:val="000000" w:themeColor="text1"/>
          <w:sz w:val="24"/>
          <w:szCs w:val="24"/>
        </w:rPr>
        <w:t>ata was collected on plant count, plant height, number of branches,</w:t>
      </w:r>
      <w:r>
        <w:rPr>
          <w:rFonts w:ascii="Calibri" w:hAnsi="Calibri" w:cs="Calibri"/>
          <w:color w:val="000000" w:themeColor="text1"/>
          <w:sz w:val="24"/>
          <w:szCs w:val="24"/>
        </w:rPr>
        <w:t xml:space="preserve"> canopy spread, incidence of early and late leaf spot, rosette incidence, nodule count and weight, biomass yield, number of pods/plant, </w:t>
      </w:r>
      <w:r>
        <w:rPr>
          <w:rFonts w:ascii="Calibri" w:hAnsi="Calibri" w:cs="Calibri"/>
          <w:sz w:val="24"/>
          <w:szCs w:val="24"/>
        </w:rPr>
        <w:t>yield components and total aflatoxins.</w:t>
      </w:r>
    </w:p>
    <w:p w14:paraId="3B552302" w14:textId="77777777" w:rsidR="006E6D81" w:rsidRDefault="006E6D81">
      <w:pPr>
        <w:pStyle w:val="NormalWeb"/>
        <w:shd w:val="clear" w:color="auto" w:fill="FFFFFF"/>
        <w:spacing w:before="0" w:beforeAutospacing="0"/>
        <w:jc w:val="both"/>
        <w:rPr>
          <w:rFonts w:ascii="Calibri" w:hAnsi="Calibri" w:cs="Calibri"/>
          <w:b/>
          <w:bCs/>
          <w:lang w:eastAsia="en-GB"/>
        </w:rPr>
      </w:pPr>
    </w:p>
    <w:p w14:paraId="4C2CD925" w14:textId="77777777" w:rsidR="006E6D81" w:rsidRDefault="00E053B0">
      <w:pPr>
        <w:pStyle w:val="NormalWeb"/>
        <w:shd w:val="clear" w:color="auto" w:fill="FFFFFF"/>
        <w:spacing w:before="0" w:beforeAutospacing="0"/>
        <w:jc w:val="both"/>
        <w:rPr>
          <w:rFonts w:ascii="Calibri" w:hAnsi="Calibri" w:cs="Calibri"/>
          <w:b/>
          <w:bCs/>
          <w:lang w:eastAsia="en-GB"/>
        </w:rPr>
      </w:pPr>
      <w:r>
        <w:rPr>
          <w:rFonts w:ascii="Calibri" w:hAnsi="Calibri" w:cs="Calibri"/>
          <w:b/>
          <w:bCs/>
          <w:lang w:eastAsia="en-GB"/>
        </w:rPr>
        <w:t>2.6 Farmer Field Schools</w:t>
      </w:r>
    </w:p>
    <w:p w14:paraId="6F933CFA" w14:textId="77777777" w:rsidR="006E6D81" w:rsidRDefault="00E053B0">
      <w:pPr>
        <w:spacing w:line="240" w:lineRule="auto"/>
        <w:jc w:val="both"/>
        <w:rPr>
          <w:rFonts w:ascii="Calibri" w:hAnsi="Calibri" w:cs="Calibri"/>
          <w:sz w:val="24"/>
          <w:szCs w:val="24"/>
          <w:lang w:val="en-US"/>
        </w:rPr>
      </w:pPr>
      <w:r>
        <w:rPr>
          <w:rFonts w:ascii="Calibri" w:hAnsi="Calibri" w:cs="Calibri"/>
          <w:sz w:val="24"/>
          <w:szCs w:val="24"/>
          <w:lang w:val="en-US"/>
        </w:rPr>
        <w:t>The beneficiaries were schooled on good agricultural practices (GAP) in groundnut production and aflatoxin management. At harvesting, extension messages focused on prompt harvesting, quick drying, sorting, storage and processing methods. Also, participatory variety selection was done to identify farmers preferred varieties as well as traits critical to end-users.</w:t>
      </w:r>
    </w:p>
    <w:p w14:paraId="7E97292B" w14:textId="77777777" w:rsidR="006E6D81" w:rsidRDefault="006E6D81">
      <w:pPr>
        <w:spacing w:line="240" w:lineRule="auto"/>
        <w:jc w:val="both"/>
        <w:rPr>
          <w:rFonts w:ascii="Calibri" w:hAnsi="Calibri" w:cs="Calibri"/>
          <w:sz w:val="24"/>
          <w:szCs w:val="24"/>
          <w:lang w:val="en-US"/>
        </w:rPr>
      </w:pPr>
    </w:p>
    <w:p w14:paraId="08135B9F" w14:textId="77777777" w:rsidR="006E6D81" w:rsidRDefault="00E053B0">
      <w:pPr>
        <w:spacing w:after="200" w:line="240" w:lineRule="auto"/>
        <w:jc w:val="both"/>
        <w:rPr>
          <w:rFonts w:cs="Times New Roman"/>
          <w:lang w:val="en-US"/>
        </w:rPr>
      </w:pPr>
      <w:r>
        <w:rPr>
          <w:rFonts w:cs="Times New Roman"/>
          <w:lang w:val="en-US"/>
        </w:rPr>
        <w:object w:dxaOrig="9024" w:dyaOrig="5071" w14:anchorId="442EF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5pt;height:253.25pt" o:ole="">
            <v:imagedata r:id="rId8" o:title=""/>
            <o:lock v:ext="edit" aspectratio="f"/>
          </v:shape>
          <o:OLEObject Type="Embed" ProgID="PowerPoint.Slide.12" ShapeID="_x0000_i1025" DrawAspect="Content" ObjectID="_1796822766" r:id="rId9"/>
        </w:object>
      </w:r>
      <w:r>
        <w:rPr>
          <w:lang w:val="en-US"/>
        </w:rPr>
        <w:t xml:space="preserve">   </w:t>
      </w:r>
    </w:p>
    <w:p w14:paraId="69AEA61F" w14:textId="597BBD59" w:rsidR="006E6D81" w:rsidRDefault="00E053B0">
      <w:pPr>
        <w:spacing w:line="240" w:lineRule="auto"/>
        <w:rPr>
          <w:rFonts w:ascii="Calibri" w:hAnsi="Calibri" w:cs="Calibri"/>
          <w:bCs/>
          <w:sz w:val="24"/>
          <w:szCs w:val="24"/>
          <w:lang w:val="en-US"/>
        </w:rPr>
      </w:pPr>
      <w:r>
        <w:rPr>
          <w:rFonts w:ascii="Calibri" w:hAnsi="Calibri" w:cs="Calibri"/>
          <w:bCs/>
          <w:sz w:val="24"/>
          <w:szCs w:val="24"/>
          <w:lang w:val="en-US"/>
        </w:rPr>
        <w:t xml:space="preserve">Plate 1: </w:t>
      </w:r>
      <w:r w:rsidR="0091771D">
        <w:rPr>
          <w:rFonts w:ascii="Calibri" w:hAnsi="Calibri" w:cs="Calibri"/>
          <w:bCs/>
          <w:sz w:val="24"/>
          <w:szCs w:val="24"/>
          <w:lang w:val="en-US"/>
        </w:rPr>
        <w:t>Excerpts</w:t>
      </w:r>
      <w:r>
        <w:rPr>
          <w:rFonts w:ascii="Calibri" w:hAnsi="Calibri" w:cs="Calibri"/>
          <w:bCs/>
          <w:sz w:val="24"/>
          <w:szCs w:val="24"/>
          <w:lang w:val="en-US"/>
        </w:rPr>
        <w:t xml:space="preserve"> of pictures showing best practices in groundnut production </w:t>
      </w:r>
    </w:p>
    <w:p w14:paraId="6C27D86A" w14:textId="77777777" w:rsidR="006E6D81" w:rsidRDefault="006E6D81">
      <w:pPr>
        <w:spacing w:after="0" w:line="240" w:lineRule="auto"/>
        <w:jc w:val="both"/>
        <w:rPr>
          <w:rFonts w:ascii="Calibri" w:hAnsi="Calibri" w:cs="Calibri"/>
          <w:b/>
          <w:sz w:val="24"/>
          <w:szCs w:val="24"/>
          <w:lang w:val="en-US" w:eastAsia="en-GB"/>
        </w:rPr>
      </w:pPr>
    </w:p>
    <w:p w14:paraId="4FA63C97" w14:textId="77777777" w:rsidR="006E6D81" w:rsidRDefault="00E053B0">
      <w:pPr>
        <w:spacing w:line="240" w:lineRule="auto"/>
        <w:jc w:val="both"/>
        <w:rPr>
          <w:rFonts w:ascii="Calibri" w:hAnsi="Calibri" w:cs="Calibri"/>
          <w:b/>
          <w:sz w:val="24"/>
          <w:szCs w:val="24"/>
          <w:lang w:val="en-US"/>
        </w:rPr>
      </w:pPr>
      <w:r>
        <w:rPr>
          <w:rFonts w:ascii="Calibri" w:hAnsi="Calibri" w:cs="Calibri"/>
          <w:b/>
          <w:sz w:val="24"/>
          <w:szCs w:val="24"/>
          <w:lang w:val="en-US"/>
        </w:rPr>
        <w:t>2.7 Aflatoxin analysis of on-farm samples</w:t>
      </w:r>
    </w:p>
    <w:p w14:paraId="376F3DDB" w14:textId="77777777" w:rsidR="006E6D81" w:rsidRDefault="00E053B0">
      <w:pPr>
        <w:spacing w:line="240" w:lineRule="auto"/>
        <w:jc w:val="both"/>
        <w:rPr>
          <w:rFonts w:ascii="Calibri" w:hAnsi="Calibri" w:cs="Calibri"/>
          <w:sz w:val="24"/>
          <w:szCs w:val="24"/>
          <w:lang w:val="en-US"/>
        </w:rPr>
      </w:pPr>
      <w:r>
        <w:rPr>
          <w:rFonts w:ascii="Calibri" w:hAnsi="Calibri" w:cs="Calibri"/>
          <w:sz w:val="24"/>
          <w:szCs w:val="24"/>
          <w:lang w:val="en-US"/>
        </w:rPr>
        <w:t xml:space="preserve">Grain Samples obtained from the study plots were sent to the Food Technology Unit of the Spanish Laboratory of the University for Development Studies, </w:t>
      </w:r>
      <w:proofErr w:type="spellStart"/>
      <w:r>
        <w:rPr>
          <w:rFonts w:ascii="Calibri" w:hAnsi="Calibri" w:cs="Calibri"/>
          <w:sz w:val="24"/>
          <w:szCs w:val="24"/>
          <w:lang w:val="en-US"/>
        </w:rPr>
        <w:t>Nyanpkala</w:t>
      </w:r>
      <w:proofErr w:type="spellEnd"/>
      <w:r>
        <w:rPr>
          <w:rFonts w:ascii="Calibri" w:hAnsi="Calibri" w:cs="Calibri"/>
          <w:sz w:val="24"/>
          <w:szCs w:val="24"/>
          <w:lang w:val="en-US"/>
        </w:rPr>
        <w:t xml:space="preserve"> campus, for aflatoxin analysis. The samples were milled using Waring Stainless Steel Laboratory blender (PBB25). After milling, about 200 g was taken into a whirl bag and stored in a deep freezer (-4</w:t>
      </w:r>
      <w:r>
        <w:rPr>
          <w:rFonts w:ascii="Calibri" w:hAnsi="Calibri" w:cs="Calibri"/>
          <w:sz w:val="24"/>
          <w:szCs w:val="24"/>
          <w:vertAlign w:val="superscript"/>
          <w:lang w:val="en-US"/>
        </w:rPr>
        <w:t>o</w:t>
      </w:r>
      <w:r>
        <w:rPr>
          <w:rFonts w:ascii="Calibri" w:hAnsi="Calibri" w:cs="Calibri"/>
          <w:sz w:val="24"/>
          <w:szCs w:val="24"/>
          <w:lang w:val="en-US"/>
        </w:rPr>
        <w:t xml:space="preserve">C) for analysis. Samples were analyzed using the </w:t>
      </w:r>
      <w:proofErr w:type="spellStart"/>
      <w:r>
        <w:rPr>
          <w:rFonts w:ascii="Calibri" w:hAnsi="Calibri" w:cs="Calibri"/>
          <w:sz w:val="24"/>
          <w:szCs w:val="24"/>
          <w:lang w:val="en-US"/>
        </w:rPr>
        <w:t>Afla</w:t>
      </w:r>
      <w:proofErr w:type="spellEnd"/>
      <w:r>
        <w:rPr>
          <w:rFonts w:ascii="Calibri" w:hAnsi="Calibri" w:cs="Calibri"/>
          <w:sz w:val="24"/>
          <w:szCs w:val="24"/>
          <w:lang w:val="en-US"/>
        </w:rPr>
        <w:t xml:space="preserve">-mobile assay. This system makes use of Reveal Q+ test strips for Aflatoxin, originally designed for the </w:t>
      </w:r>
      <w:proofErr w:type="spellStart"/>
      <w:r>
        <w:rPr>
          <w:rFonts w:ascii="Calibri" w:hAnsi="Calibri" w:cs="Calibri"/>
          <w:sz w:val="24"/>
          <w:szCs w:val="24"/>
          <w:lang w:val="en-US"/>
        </w:rPr>
        <w:t>AccuScan</w:t>
      </w:r>
      <w:proofErr w:type="spellEnd"/>
      <w:r>
        <w:rPr>
          <w:rFonts w:ascii="Calibri" w:hAnsi="Calibri" w:cs="Calibri"/>
          <w:sz w:val="24"/>
          <w:szCs w:val="24"/>
          <w:lang w:val="en-US"/>
        </w:rPr>
        <w:t xml:space="preserve"> reader, however the Mobile assay makes use of a Tablet (instead of the </w:t>
      </w:r>
      <w:proofErr w:type="spellStart"/>
      <w:r>
        <w:rPr>
          <w:rFonts w:ascii="Calibri" w:hAnsi="Calibri" w:cs="Calibri"/>
          <w:sz w:val="24"/>
          <w:szCs w:val="24"/>
          <w:lang w:val="en-US"/>
        </w:rPr>
        <w:t>AccuScan</w:t>
      </w:r>
      <w:proofErr w:type="spellEnd"/>
      <w:r>
        <w:rPr>
          <w:rFonts w:ascii="Calibri" w:hAnsi="Calibri" w:cs="Calibri"/>
          <w:sz w:val="24"/>
          <w:szCs w:val="24"/>
          <w:lang w:val="en-US"/>
        </w:rPr>
        <w:t xml:space="preserve"> reader).</w:t>
      </w:r>
    </w:p>
    <w:p w14:paraId="41A4BB99" w14:textId="77777777" w:rsidR="006E6D81" w:rsidRDefault="00E053B0">
      <w:pPr>
        <w:spacing w:line="240" w:lineRule="auto"/>
        <w:jc w:val="both"/>
        <w:rPr>
          <w:rFonts w:ascii="Calibri" w:hAnsi="Calibri" w:cs="Calibri"/>
          <w:b/>
          <w:sz w:val="24"/>
          <w:szCs w:val="24"/>
          <w:lang w:val="en-US"/>
        </w:rPr>
      </w:pPr>
      <w:r>
        <w:rPr>
          <w:rFonts w:ascii="Calibri" w:hAnsi="Calibri" w:cs="Calibri"/>
          <w:b/>
          <w:sz w:val="24"/>
          <w:szCs w:val="24"/>
          <w:lang w:val="en-US"/>
        </w:rPr>
        <w:t>2.8 Data analysis</w:t>
      </w:r>
    </w:p>
    <w:p w14:paraId="67BDA988" w14:textId="77777777" w:rsidR="006E6D81" w:rsidRDefault="00E053B0">
      <w:pPr>
        <w:spacing w:line="240" w:lineRule="auto"/>
        <w:jc w:val="both"/>
        <w:rPr>
          <w:rFonts w:ascii="Calibri" w:hAnsi="Calibri" w:cs="Calibri"/>
          <w:sz w:val="24"/>
          <w:szCs w:val="24"/>
          <w:lang w:val="en-US"/>
        </w:rPr>
      </w:pPr>
      <w:r>
        <w:rPr>
          <w:rFonts w:ascii="Calibri" w:hAnsi="Calibri" w:cs="Calibri"/>
          <w:sz w:val="24"/>
          <w:szCs w:val="24"/>
          <w:lang w:val="en-US"/>
        </w:rPr>
        <w:t xml:space="preserve"> The agronomic data sets were analyzed as a randomized complete block design with varieties over soil amendment and locations. Differences between treatment means were separated by Fischer Least Significant Difference at 5% level of probability.  Data sets on aflatoxin levels were subjected to Analysis of Variance (ANOVA) to determine significant differences among samples by using GenStat (9th Edition) statistical package. </w:t>
      </w:r>
    </w:p>
    <w:p w14:paraId="721DB526" w14:textId="77777777" w:rsidR="006E6D81" w:rsidRDefault="00E053B0">
      <w:pPr>
        <w:numPr>
          <w:ilvl w:val="0"/>
          <w:numId w:val="2"/>
        </w:numPr>
        <w:spacing w:line="240" w:lineRule="auto"/>
        <w:jc w:val="both"/>
        <w:rPr>
          <w:rFonts w:ascii="Calibri" w:hAnsi="Calibri" w:cs="Calibri"/>
          <w:b/>
          <w:sz w:val="24"/>
          <w:szCs w:val="24"/>
          <w:lang w:val="en-US"/>
        </w:rPr>
      </w:pPr>
      <w:r>
        <w:rPr>
          <w:rFonts w:ascii="Calibri" w:hAnsi="Calibri" w:cs="Calibri"/>
          <w:b/>
          <w:sz w:val="24"/>
          <w:szCs w:val="24"/>
          <w:lang w:val="en-US"/>
        </w:rPr>
        <w:t xml:space="preserve">Results </w:t>
      </w:r>
    </w:p>
    <w:p w14:paraId="78BB5E79" w14:textId="77777777" w:rsidR="006E6D81" w:rsidRDefault="00E053B0">
      <w:pPr>
        <w:spacing w:line="240" w:lineRule="auto"/>
        <w:jc w:val="both"/>
        <w:rPr>
          <w:rFonts w:ascii="Calibri" w:hAnsi="Calibri" w:cs="Calibri"/>
          <w:b/>
          <w:sz w:val="24"/>
          <w:szCs w:val="24"/>
          <w:lang w:val="en-US"/>
        </w:rPr>
      </w:pPr>
      <w:r>
        <w:rPr>
          <w:rFonts w:ascii="Calibri" w:hAnsi="Calibri" w:cs="Calibri"/>
          <w:b/>
          <w:sz w:val="24"/>
          <w:szCs w:val="24"/>
          <w:lang w:val="en-US"/>
        </w:rPr>
        <w:t xml:space="preserve">3.1 Effect of variety and soil amendments </w:t>
      </w:r>
    </w:p>
    <w:p w14:paraId="472448E9" w14:textId="167674C8" w:rsidR="006E6D81" w:rsidRDefault="00E053B0">
      <w:pPr>
        <w:pStyle w:val="NoSpacing"/>
        <w:jc w:val="both"/>
        <w:rPr>
          <w:rFonts w:ascii="Calibri" w:hAnsi="Calibri" w:cs="Calibri"/>
          <w:sz w:val="24"/>
          <w:szCs w:val="24"/>
          <w:lang w:val="en-US"/>
        </w:rPr>
      </w:pPr>
      <w:r>
        <w:rPr>
          <w:rFonts w:ascii="Calibri" w:hAnsi="Calibri" w:cs="Calibri"/>
          <w:sz w:val="24"/>
          <w:szCs w:val="24"/>
          <w:lang w:val="en-US"/>
        </w:rPr>
        <w:t xml:space="preserve">Table 1 provides a summary of plant establishment, plant height, canopy spread, incidence of leaf-spot and yield of 8 groundnut varieties as influenced by 4 soil amendments across 2 locations. Overall, good seedling establishment (63.8 to 94.4%) was noticed across the varieties except </w:t>
      </w:r>
      <w:proofErr w:type="spellStart"/>
      <w:r>
        <w:rPr>
          <w:rFonts w:ascii="Calibri" w:hAnsi="Calibri" w:cs="Calibri"/>
          <w:sz w:val="24"/>
          <w:szCs w:val="24"/>
          <w:lang w:val="en-US"/>
        </w:rPr>
        <w:t>Kpanielli</w:t>
      </w:r>
      <w:proofErr w:type="spellEnd"/>
      <w:r>
        <w:rPr>
          <w:rFonts w:ascii="Calibri" w:hAnsi="Calibri" w:cs="Calibri"/>
          <w:sz w:val="24"/>
          <w:szCs w:val="24"/>
          <w:lang w:val="en-US"/>
        </w:rPr>
        <w:t xml:space="preserve"> and </w:t>
      </w:r>
      <w:proofErr w:type="spellStart"/>
      <w:r>
        <w:rPr>
          <w:rFonts w:ascii="Calibri" w:hAnsi="Calibri" w:cs="Calibri"/>
          <w:sz w:val="24"/>
          <w:szCs w:val="24"/>
          <w:lang w:val="en-US"/>
        </w:rPr>
        <w:t>Oboshie</w:t>
      </w:r>
      <w:proofErr w:type="spellEnd"/>
      <w:r>
        <w:rPr>
          <w:rFonts w:ascii="Calibri" w:hAnsi="Calibri" w:cs="Calibri"/>
          <w:sz w:val="24"/>
          <w:szCs w:val="24"/>
          <w:lang w:val="en-US"/>
        </w:rPr>
        <w:t xml:space="preserve"> which showed poor establishment of 57.1 and 38.8%, respectively. Pod y</w:t>
      </w:r>
      <w:r>
        <w:rPr>
          <w:rFonts w:ascii="Calibri" w:eastAsia="BatangChe" w:hAnsi="Calibri" w:cs="Calibri"/>
          <w:sz w:val="24"/>
          <w:szCs w:val="24"/>
          <w:lang w:val="en-US"/>
        </w:rPr>
        <w:t xml:space="preserve">ield ranged from 0.75 to 1.23 t/ha </w:t>
      </w:r>
      <w:r w:rsidR="00DE2BC7">
        <w:rPr>
          <w:rFonts w:ascii="Calibri" w:eastAsia="BatangChe" w:hAnsi="Calibri" w:cs="Calibri"/>
          <w:sz w:val="24"/>
          <w:szCs w:val="24"/>
          <w:lang w:val="en-US"/>
        </w:rPr>
        <w:t xml:space="preserve">in Ghana </w:t>
      </w:r>
      <w:r>
        <w:rPr>
          <w:rFonts w:ascii="Calibri" w:eastAsia="BatangChe" w:hAnsi="Calibri" w:cs="Calibri"/>
          <w:sz w:val="24"/>
          <w:szCs w:val="24"/>
          <w:lang w:val="en-US"/>
        </w:rPr>
        <w:t xml:space="preserve">compared to yield potential of </w:t>
      </w:r>
      <w:r w:rsidR="00DB3CCA" w:rsidRPr="00045B94">
        <w:rPr>
          <w:rFonts w:ascii="Calibri" w:eastAsia="BatangChe" w:hAnsi="Calibri" w:cs="Calibri"/>
          <w:sz w:val="24"/>
          <w:szCs w:val="24"/>
          <w:lang w:val="en-US"/>
        </w:rPr>
        <w:t>over 3</w:t>
      </w:r>
      <w:r w:rsidR="00DB3CCA">
        <w:rPr>
          <w:rFonts w:ascii="Calibri" w:eastAsia="BatangChe" w:hAnsi="Calibri" w:cs="Calibri"/>
          <w:sz w:val="24"/>
          <w:szCs w:val="24"/>
          <w:lang w:val="en-US"/>
        </w:rPr>
        <w:t xml:space="preserve"> t</w:t>
      </w:r>
      <w:r w:rsidR="00DB3CCA" w:rsidRPr="00045B94">
        <w:rPr>
          <w:rFonts w:ascii="Calibri" w:eastAsia="BatangChe" w:hAnsi="Calibri" w:cs="Calibri"/>
          <w:sz w:val="24"/>
          <w:szCs w:val="24"/>
          <w:lang w:val="en-US"/>
        </w:rPr>
        <w:t xml:space="preserve">/ha </w:t>
      </w:r>
      <w:r w:rsidR="00DB3CCA">
        <w:rPr>
          <w:rFonts w:ascii="Calibri" w:eastAsia="BatangChe" w:hAnsi="Calibri" w:cs="Calibri"/>
          <w:sz w:val="24"/>
          <w:szCs w:val="24"/>
          <w:lang w:val="en-US"/>
        </w:rPr>
        <w:t xml:space="preserve">in the </w:t>
      </w:r>
      <w:r w:rsidR="00DB3CCA" w:rsidRPr="00045B94">
        <w:rPr>
          <w:rFonts w:ascii="Calibri" w:eastAsia="BatangChe" w:hAnsi="Calibri" w:cs="Calibri"/>
          <w:sz w:val="24"/>
          <w:szCs w:val="24"/>
          <w:lang w:val="en-US"/>
        </w:rPr>
        <w:t>Unit</w:t>
      </w:r>
      <w:r w:rsidR="00DB3CCA">
        <w:rPr>
          <w:rFonts w:ascii="Calibri" w:eastAsia="BatangChe" w:hAnsi="Calibri" w:cs="Calibri"/>
          <w:sz w:val="24"/>
          <w:szCs w:val="24"/>
          <w:lang w:val="en-US"/>
        </w:rPr>
        <w:t xml:space="preserve">ed States and Brazil (FAOSTAT, </w:t>
      </w:r>
      <w:r w:rsidR="00DB3CCA" w:rsidRPr="00045B94">
        <w:rPr>
          <w:rFonts w:ascii="Calibri" w:eastAsia="BatangChe" w:hAnsi="Calibri" w:cs="Calibri"/>
          <w:sz w:val="24"/>
          <w:szCs w:val="24"/>
          <w:lang w:val="en-US"/>
        </w:rPr>
        <w:t xml:space="preserve">2014; </w:t>
      </w:r>
      <w:proofErr w:type="spellStart"/>
      <w:r w:rsidR="00DB3CCA" w:rsidRPr="00045B94">
        <w:rPr>
          <w:rFonts w:ascii="Calibri" w:eastAsia="BatangChe" w:hAnsi="Calibri" w:cs="Calibri"/>
          <w:sz w:val="24"/>
          <w:szCs w:val="24"/>
          <w:lang w:val="en-US"/>
        </w:rPr>
        <w:t>MoFA</w:t>
      </w:r>
      <w:proofErr w:type="spellEnd"/>
      <w:r w:rsidR="00DB3CCA" w:rsidRPr="00045B94">
        <w:rPr>
          <w:rFonts w:ascii="Calibri" w:eastAsia="BatangChe" w:hAnsi="Calibri" w:cs="Calibri"/>
          <w:sz w:val="24"/>
          <w:szCs w:val="24"/>
          <w:lang w:val="en-US"/>
        </w:rPr>
        <w:t>-SRID, 2014</w:t>
      </w:r>
      <w:r>
        <w:rPr>
          <w:rFonts w:ascii="Calibri" w:eastAsia="BatangChe" w:hAnsi="Calibri" w:cs="Calibri"/>
          <w:sz w:val="24"/>
          <w:szCs w:val="24"/>
          <w:lang w:val="en-US"/>
        </w:rPr>
        <w:t xml:space="preserve">. The application of organic manure, mineral fertilizer and organic manure + mineral fertilizer increased yield </w:t>
      </w:r>
      <w:r>
        <w:rPr>
          <w:rFonts w:ascii="Calibri" w:eastAsia="BatangChe" w:hAnsi="Calibri" w:cs="Calibri"/>
          <w:sz w:val="24"/>
          <w:szCs w:val="24"/>
          <w:lang w:val="en-US"/>
        </w:rPr>
        <w:lastRenderedPageBreak/>
        <w:t xml:space="preserve">by 23.5%, 30% and 39% respectively, over the control. </w:t>
      </w:r>
      <w:r>
        <w:rPr>
          <w:rFonts w:ascii="Calibri" w:hAnsi="Calibri" w:cs="Calibri"/>
          <w:sz w:val="24"/>
          <w:szCs w:val="24"/>
          <w:lang w:val="en-US"/>
        </w:rPr>
        <w:t>Significant genotype and environment interaction (</w:t>
      </w:r>
      <w:r>
        <w:rPr>
          <w:rFonts w:ascii="Calibri" w:hAnsi="Calibri" w:cs="Calibri"/>
          <w:i/>
          <w:sz w:val="24"/>
          <w:szCs w:val="24"/>
          <w:lang w:val="en-US"/>
        </w:rPr>
        <w:t>p&lt;0.05</w:t>
      </w:r>
      <w:r>
        <w:rPr>
          <w:rFonts w:ascii="Calibri" w:hAnsi="Calibri" w:cs="Calibri"/>
          <w:sz w:val="24"/>
          <w:szCs w:val="24"/>
          <w:lang w:val="en-US"/>
        </w:rPr>
        <w:t xml:space="preserve">) was recorded for the yield component traits which will be essential to consider in selecting these varieties for different locations. </w:t>
      </w:r>
    </w:p>
    <w:p w14:paraId="560DDD59" w14:textId="77777777" w:rsidR="006E6D81" w:rsidRDefault="006E6D81">
      <w:pPr>
        <w:pStyle w:val="NoSpacing"/>
        <w:jc w:val="both"/>
        <w:rPr>
          <w:rFonts w:ascii="Calibri" w:hAnsi="Calibri" w:cs="Calibri"/>
          <w:sz w:val="24"/>
          <w:szCs w:val="24"/>
          <w:lang w:val="en-US"/>
        </w:rPr>
      </w:pPr>
    </w:p>
    <w:p w14:paraId="6CF17CD7" w14:textId="77777777" w:rsidR="006E6D81" w:rsidRDefault="00E053B0">
      <w:pPr>
        <w:pStyle w:val="NoSpacing"/>
        <w:rPr>
          <w:rFonts w:ascii="Calibri" w:hAnsi="Calibri" w:cs="Calibri"/>
          <w:sz w:val="24"/>
          <w:szCs w:val="24"/>
          <w:lang w:val="en-US"/>
        </w:rPr>
      </w:pPr>
      <w:r>
        <w:rPr>
          <w:rFonts w:ascii="Calibri" w:hAnsi="Calibri" w:cs="Calibri"/>
          <w:sz w:val="24"/>
          <w:szCs w:val="24"/>
          <w:lang w:val="en-US"/>
        </w:rPr>
        <w:t>Table 1: Plant establishment, height, canopy spread, leaf-spot and yield of 8 groundnut varieties as influenced by 4 soil amendments</w:t>
      </w:r>
    </w:p>
    <w:p w14:paraId="074F3853" w14:textId="77777777" w:rsidR="006E6D81" w:rsidRDefault="006E6D81">
      <w:pPr>
        <w:pStyle w:val="NoSpacing"/>
        <w:rPr>
          <w:rFonts w:ascii="Calibri" w:hAnsi="Calibri" w:cs="Calibri"/>
          <w:b/>
          <w:sz w:val="24"/>
          <w:szCs w:val="24"/>
          <w:lang w:val="en-US"/>
        </w:rPr>
      </w:pPr>
    </w:p>
    <w:tbl>
      <w:tblPr>
        <w:tblStyle w:val="GridTable4-Accent61"/>
        <w:tblW w:w="10073" w:type="dxa"/>
        <w:tblInd w:w="-630" w:type="dxa"/>
        <w:tblLayout w:type="fixed"/>
        <w:tblLook w:val="04A0" w:firstRow="1" w:lastRow="0" w:firstColumn="1" w:lastColumn="0" w:noHBand="0" w:noVBand="1"/>
      </w:tblPr>
      <w:tblGrid>
        <w:gridCol w:w="2045"/>
        <w:gridCol w:w="1555"/>
        <w:gridCol w:w="1118"/>
        <w:gridCol w:w="1000"/>
        <w:gridCol w:w="1009"/>
        <w:gridCol w:w="964"/>
        <w:gridCol w:w="945"/>
        <w:gridCol w:w="1437"/>
      </w:tblGrid>
      <w:tr w:rsidR="006E6D81" w14:paraId="03DCD22D" w14:textId="77777777" w:rsidTr="006E6D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5" w:type="dxa"/>
            <w:tcBorders>
              <w:top w:val="single" w:sz="8" w:space="0" w:color="000000"/>
              <w:left w:val="single" w:sz="8" w:space="0" w:color="000000"/>
              <w:bottom w:val="single" w:sz="8" w:space="0" w:color="000000"/>
            </w:tcBorders>
            <w:shd w:val="clear" w:color="auto" w:fill="FFFFFF"/>
          </w:tcPr>
          <w:p w14:paraId="05307124" w14:textId="77777777" w:rsidR="006E6D81" w:rsidRDefault="006E6D81">
            <w:pPr>
              <w:spacing w:after="0" w:line="240" w:lineRule="auto"/>
              <w:rPr>
                <w:rFonts w:ascii="Calibri" w:hAnsi="Calibri" w:cs="Calibri"/>
                <w:b w:val="0"/>
                <w:bCs w:val="0"/>
                <w:color w:val="000000"/>
                <w:sz w:val="21"/>
                <w:szCs w:val="21"/>
                <w:lang w:val="en-US"/>
              </w:rPr>
            </w:pPr>
          </w:p>
          <w:p w14:paraId="2E713344" w14:textId="77777777" w:rsidR="006E6D81" w:rsidRDefault="00E053B0">
            <w:pPr>
              <w:spacing w:after="0" w:line="240" w:lineRule="auto"/>
              <w:rPr>
                <w:rFonts w:ascii="Calibri" w:hAnsi="Calibri" w:cs="Calibri"/>
                <w:b w:val="0"/>
                <w:bCs w:val="0"/>
                <w:color w:val="000000"/>
                <w:sz w:val="21"/>
                <w:szCs w:val="21"/>
                <w:lang w:val="en-US"/>
              </w:rPr>
            </w:pPr>
            <w:r>
              <w:rPr>
                <w:rFonts w:ascii="Calibri" w:hAnsi="Calibri" w:cs="Calibri"/>
                <w:b w:val="0"/>
                <w:bCs w:val="0"/>
                <w:color w:val="000000"/>
                <w:sz w:val="21"/>
                <w:szCs w:val="21"/>
                <w:lang w:val="en-US"/>
              </w:rPr>
              <w:t>Treatments</w:t>
            </w:r>
          </w:p>
        </w:tc>
        <w:tc>
          <w:tcPr>
            <w:tcW w:w="1555" w:type="dxa"/>
            <w:tcBorders>
              <w:top w:val="single" w:sz="8" w:space="0" w:color="000000"/>
              <w:left w:val="single" w:sz="8" w:space="0" w:color="000000"/>
              <w:bottom w:val="single" w:sz="8" w:space="0" w:color="000000"/>
            </w:tcBorders>
            <w:shd w:val="clear" w:color="auto" w:fill="FFFFFF"/>
          </w:tcPr>
          <w:p w14:paraId="47C89297"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Plant establishment (%)</w:t>
            </w:r>
          </w:p>
        </w:tc>
        <w:tc>
          <w:tcPr>
            <w:tcW w:w="1118" w:type="dxa"/>
            <w:tcBorders>
              <w:top w:val="single" w:sz="8" w:space="0" w:color="000000"/>
              <w:left w:val="single" w:sz="8" w:space="0" w:color="000000"/>
              <w:bottom w:val="single" w:sz="8" w:space="0" w:color="000000"/>
            </w:tcBorders>
            <w:shd w:val="clear" w:color="auto" w:fill="FFFFFF"/>
          </w:tcPr>
          <w:p w14:paraId="74AC915B"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 xml:space="preserve">Plant population </w:t>
            </w:r>
          </w:p>
          <w:p w14:paraId="1B513C7B"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(000/ha)</w:t>
            </w:r>
          </w:p>
        </w:tc>
        <w:tc>
          <w:tcPr>
            <w:tcW w:w="1000" w:type="dxa"/>
            <w:tcBorders>
              <w:top w:val="single" w:sz="8" w:space="0" w:color="000000"/>
              <w:left w:val="single" w:sz="8" w:space="0" w:color="000000"/>
              <w:bottom w:val="single" w:sz="8" w:space="0" w:color="000000"/>
            </w:tcBorders>
            <w:shd w:val="clear" w:color="auto" w:fill="FFFFFF"/>
          </w:tcPr>
          <w:p w14:paraId="168A0E3B" w14:textId="77777777" w:rsidR="006E6D81" w:rsidRDefault="00E053B0">
            <w:pPr>
              <w:spacing w:after="0" w:line="240" w:lineRule="auto"/>
              <w:ind w:firstLineChars="50" w:firstLine="105"/>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 xml:space="preserve">Plant </w:t>
            </w:r>
            <w:proofErr w:type="gramStart"/>
            <w:r>
              <w:rPr>
                <w:rFonts w:ascii="Calibri" w:hAnsi="Calibri" w:cs="Calibri"/>
                <w:b w:val="0"/>
                <w:bCs w:val="0"/>
                <w:color w:val="000000"/>
                <w:sz w:val="21"/>
                <w:szCs w:val="21"/>
                <w:lang w:val="en-US"/>
              </w:rPr>
              <w:t>height  at</w:t>
            </w:r>
            <w:proofErr w:type="gramEnd"/>
            <w:r>
              <w:rPr>
                <w:rFonts w:ascii="Calibri" w:hAnsi="Calibri" w:cs="Calibri"/>
                <w:b w:val="0"/>
                <w:bCs w:val="0"/>
                <w:color w:val="000000"/>
                <w:sz w:val="21"/>
                <w:szCs w:val="21"/>
                <w:lang w:val="en-US"/>
              </w:rPr>
              <w:t xml:space="preserve"> </w:t>
            </w:r>
            <w:proofErr w:type="spellStart"/>
            <w:r>
              <w:rPr>
                <w:rFonts w:ascii="Calibri" w:hAnsi="Calibri" w:cs="Calibri"/>
                <w:b w:val="0"/>
                <w:bCs w:val="0"/>
                <w:color w:val="000000"/>
                <w:sz w:val="21"/>
                <w:szCs w:val="21"/>
                <w:lang w:val="en-US"/>
              </w:rPr>
              <w:t>maturityharvest</w:t>
            </w:r>
            <w:proofErr w:type="spellEnd"/>
          </w:p>
          <w:p w14:paraId="4950B537"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(cm)</w:t>
            </w:r>
          </w:p>
        </w:tc>
        <w:tc>
          <w:tcPr>
            <w:tcW w:w="1009" w:type="dxa"/>
            <w:tcBorders>
              <w:top w:val="single" w:sz="8" w:space="0" w:color="000000"/>
              <w:left w:val="single" w:sz="8" w:space="0" w:color="000000"/>
              <w:bottom w:val="single" w:sz="8" w:space="0" w:color="000000"/>
            </w:tcBorders>
            <w:shd w:val="clear" w:color="auto" w:fill="FFFFFF"/>
          </w:tcPr>
          <w:p w14:paraId="3844D945"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 xml:space="preserve">Canopy </w:t>
            </w:r>
            <w:proofErr w:type="gramStart"/>
            <w:r>
              <w:rPr>
                <w:rFonts w:ascii="Calibri" w:hAnsi="Calibri" w:cs="Calibri"/>
                <w:b w:val="0"/>
                <w:bCs w:val="0"/>
                <w:color w:val="000000"/>
                <w:sz w:val="21"/>
                <w:szCs w:val="21"/>
                <w:lang w:val="en-US"/>
              </w:rPr>
              <w:t>spread</w:t>
            </w:r>
            <w:r>
              <w:rPr>
                <w:rStyle w:val="CommentReference"/>
                <w:rFonts w:ascii="Calibri" w:hAnsi="Calibri" w:cs="Calibri"/>
                <w:b w:val="0"/>
                <w:bCs w:val="0"/>
                <w:color w:val="auto"/>
                <w:sz w:val="21"/>
                <w:szCs w:val="21"/>
                <w:lang w:val="en-US"/>
              </w:rPr>
              <w:t xml:space="preserve">  at</w:t>
            </w:r>
            <w:proofErr w:type="gramEnd"/>
            <w:r>
              <w:rPr>
                <w:rStyle w:val="CommentReference"/>
                <w:rFonts w:ascii="Calibri" w:hAnsi="Calibri" w:cs="Calibri"/>
                <w:b w:val="0"/>
                <w:bCs w:val="0"/>
                <w:color w:val="auto"/>
                <w:sz w:val="21"/>
                <w:szCs w:val="21"/>
                <w:lang w:val="en-US"/>
              </w:rPr>
              <w:t xml:space="preserve"> maturity </w:t>
            </w:r>
          </w:p>
          <w:p w14:paraId="4450012F"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(cm</w:t>
            </w:r>
            <w:r>
              <w:rPr>
                <w:rFonts w:ascii="Calibri" w:hAnsi="Calibri" w:cs="Calibri"/>
                <w:b w:val="0"/>
                <w:bCs w:val="0"/>
                <w:color w:val="000000"/>
                <w:sz w:val="21"/>
                <w:szCs w:val="21"/>
                <w:vertAlign w:val="superscript"/>
                <w:lang w:val="en-US"/>
              </w:rPr>
              <w:t>2</w:t>
            </w:r>
            <w:r>
              <w:rPr>
                <w:rFonts w:ascii="Calibri" w:hAnsi="Calibri" w:cs="Calibri"/>
                <w:b w:val="0"/>
                <w:bCs w:val="0"/>
                <w:color w:val="000000"/>
                <w:sz w:val="21"/>
                <w:szCs w:val="21"/>
                <w:lang w:val="en-US"/>
              </w:rPr>
              <w:t>)</w:t>
            </w:r>
          </w:p>
        </w:tc>
        <w:tc>
          <w:tcPr>
            <w:tcW w:w="964" w:type="dxa"/>
            <w:tcBorders>
              <w:top w:val="single" w:sz="8" w:space="0" w:color="000000"/>
              <w:left w:val="single" w:sz="8" w:space="0" w:color="000000"/>
              <w:bottom w:val="single" w:sz="8" w:space="0" w:color="000000"/>
            </w:tcBorders>
            <w:shd w:val="clear" w:color="auto" w:fill="FFFFFF"/>
          </w:tcPr>
          <w:p w14:paraId="4C4A4F1A"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 xml:space="preserve">Late leaf spot </w:t>
            </w:r>
            <w:proofErr w:type="gramStart"/>
            <w:r>
              <w:rPr>
                <w:rFonts w:ascii="Calibri" w:hAnsi="Calibri" w:cs="Calibri"/>
                <w:b w:val="0"/>
                <w:bCs w:val="0"/>
                <w:color w:val="000000"/>
                <w:sz w:val="21"/>
                <w:szCs w:val="21"/>
                <w:lang w:val="en-US"/>
              </w:rPr>
              <w:t>score  (</w:t>
            </w:r>
            <w:proofErr w:type="gramEnd"/>
            <w:r>
              <w:rPr>
                <w:rFonts w:ascii="Calibri" w:hAnsi="Calibri" w:cs="Calibri"/>
                <w:b w:val="0"/>
                <w:bCs w:val="0"/>
                <w:color w:val="000000"/>
                <w:sz w:val="21"/>
                <w:szCs w:val="21"/>
                <w:lang w:val="en-US"/>
              </w:rPr>
              <w:t>1 to 9 scale)</w:t>
            </w:r>
          </w:p>
        </w:tc>
        <w:tc>
          <w:tcPr>
            <w:tcW w:w="945" w:type="dxa"/>
            <w:tcBorders>
              <w:top w:val="single" w:sz="8" w:space="0" w:color="000000"/>
              <w:left w:val="single" w:sz="8" w:space="0" w:color="000000"/>
              <w:bottom w:val="single" w:sz="8" w:space="0" w:color="000000"/>
            </w:tcBorders>
            <w:shd w:val="clear" w:color="auto" w:fill="FFFFFF"/>
          </w:tcPr>
          <w:p w14:paraId="59C968EB"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 xml:space="preserve">Haulm yield </w:t>
            </w:r>
          </w:p>
          <w:p w14:paraId="1ECADC5C"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(t/ha)</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Pr>
          <w:p w14:paraId="677478DB"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Pod yield</w:t>
            </w:r>
          </w:p>
          <w:p w14:paraId="7A4D55AD"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1"/>
                <w:szCs w:val="21"/>
                <w:lang w:val="en-US"/>
              </w:rPr>
            </w:pPr>
            <w:r>
              <w:rPr>
                <w:rFonts w:ascii="Calibri" w:hAnsi="Calibri" w:cs="Calibri"/>
                <w:b w:val="0"/>
                <w:bCs w:val="0"/>
                <w:color w:val="000000"/>
                <w:sz w:val="21"/>
                <w:szCs w:val="21"/>
                <w:lang w:val="en-US"/>
              </w:rPr>
              <w:t xml:space="preserve"> (t/ha)</w:t>
            </w:r>
          </w:p>
        </w:tc>
      </w:tr>
      <w:tr w:rsidR="006E6D81" w14:paraId="102B6DD0" w14:textId="77777777" w:rsidTr="006E6D81">
        <w:tc>
          <w:tcPr>
            <w:cnfStyle w:val="001000000000" w:firstRow="0" w:lastRow="0" w:firstColumn="1" w:lastColumn="0" w:oddVBand="0" w:evenVBand="0" w:oddHBand="0" w:evenHBand="0" w:firstRowFirstColumn="0" w:firstRowLastColumn="0" w:lastRowFirstColumn="0" w:lastRowLastColumn="0"/>
            <w:tcW w:w="10073" w:type="dxa"/>
            <w:gridSpan w:val="8"/>
            <w:tcBorders>
              <w:top w:val="single" w:sz="8" w:space="0" w:color="000000"/>
              <w:left w:val="single" w:sz="8" w:space="0" w:color="000000"/>
              <w:bottom w:val="single" w:sz="8" w:space="0" w:color="000000"/>
              <w:right w:val="single" w:sz="8" w:space="0" w:color="000000"/>
            </w:tcBorders>
            <w:shd w:val="clear" w:color="auto" w:fill="FFFFFF"/>
          </w:tcPr>
          <w:p w14:paraId="4977B36E"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Location (A)</w:t>
            </w:r>
          </w:p>
        </w:tc>
      </w:tr>
      <w:tr w:rsidR="006E6D81" w14:paraId="334D74DD" w14:textId="77777777" w:rsidTr="006E6D81">
        <w:tc>
          <w:tcPr>
            <w:cnfStyle w:val="001000000000" w:firstRow="0" w:lastRow="0" w:firstColumn="1" w:lastColumn="0" w:oddVBand="0" w:evenVBand="0" w:oddHBand="0" w:evenHBand="0" w:firstRowFirstColumn="0" w:firstRowLastColumn="0" w:lastRowFirstColumn="0" w:lastRowLastColumn="0"/>
            <w:tcW w:w="2045" w:type="dxa"/>
            <w:tcBorders>
              <w:top w:val="single" w:sz="8" w:space="0" w:color="000000"/>
              <w:left w:val="single" w:sz="8" w:space="0" w:color="000000"/>
              <w:bottom w:val="single" w:sz="8" w:space="0" w:color="000000"/>
              <w:right w:val="single" w:sz="8" w:space="0" w:color="000000"/>
            </w:tcBorders>
            <w:shd w:val="clear" w:color="auto" w:fill="FFFFFF"/>
          </w:tcPr>
          <w:p w14:paraId="6D2078C9" w14:textId="77777777" w:rsidR="006E6D81" w:rsidRPr="001C782A" w:rsidRDefault="00E053B0">
            <w:pPr>
              <w:spacing w:after="0" w:line="240" w:lineRule="auto"/>
              <w:rPr>
                <w:rFonts w:ascii="Calibri" w:hAnsi="Calibri" w:cs="Calibri"/>
                <w:bCs w:val="0"/>
                <w:color w:val="000000"/>
                <w:sz w:val="21"/>
                <w:szCs w:val="21"/>
                <w:lang w:val="de-DE"/>
              </w:rPr>
            </w:pPr>
            <w:r w:rsidRPr="001C782A">
              <w:rPr>
                <w:rFonts w:ascii="Calibri" w:hAnsi="Calibri" w:cs="Calibri"/>
                <w:b w:val="0"/>
                <w:color w:val="000000"/>
                <w:sz w:val="21"/>
                <w:szCs w:val="21"/>
                <w:lang w:val="de-DE"/>
              </w:rPr>
              <w:t>Bawku west</w:t>
            </w:r>
          </w:p>
          <w:p w14:paraId="11C6A804" w14:textId="77777777" w:rsidR="006E6D81" w:rsidRPr="001C782A" w:rsidRDefault="00E053B0">
            <w:pPr>
              <w:spacing w:after="0" w:line="240" w:lineRule="auto"/>
              <w:rPr>
                <w:rFonts w:ascii="Calibri" w:hAnsi="Calibri" w:cs="Calibri"/>
                <w:bCs w:val="0"/>
                <w:color w:val="000000"/>
                <w:sz w:val="21"/>
                <w:szCs w:val="21"/>
                <w:lang w:val="de-DE"/>
              </w:rPr>
            </w:pPr>
            <w:r w:rsidRPr="001C782A">
              <w:rPr>
                <w:rFonts w:ascii="Calibri" w:hAnsi="Calibri" w:cs="Calibri"/>
                <w:b w:val="0"/>
                <w:color w:val="000000"/>
                <w:sz w:val="21"/>
                <w:szCs w:val="21"/>
                <w:lang w:val="de-DE"/>
              </w:rPr>
              <w:t>Nabdam</w:t>
            </w:r>
          </w:p>
          <w:p w14:paraId="0D2851A3" w14:textId="77777777" w:rsidR="006E6D81" w:rsidRPr="001C782A" w:rsidRDefault="00E053B0">
            <w:pPr>
              <w:spacing w:after="0" w:line="240" w:lineRule="auto"/>
              <w:rPr>
                <w:rFonts w:ascii="Calibri" w:hAnsi="Calibri" w:cs="Calibri"/>
                <w:bCs w:val="0"/>
                <w:color w:val="000000"/>
                <w:sz w:val="21"/>
                <w:szCs w:val="21"/>
                <w:lang w:val="de-DE"/>
              </w:rPr>
            </w:pPr>
            <w:r w:rsidRPr="001C782A">
              <w:rPr>
                <w:rFonts w:ascii="Calibri" w:hAnsi="Calibri" w:cs="Calibri"/>
                <w:b w:val="0"/>
                <w:color w:val="000000"/>
                <w:sz w:val="21"/>
                <w:szCs w:val="21"/>
                <w:lang w:val="de-DE"/>
              </w:rPr>
              <w:t xml:space="preserve">LSD </w:t>
            </w:r>
            <w:r w:rsidRPr="001C782A">
              <w:rPr>
                <w:rFonts w:ascii="Calibri" w:hAnsi="Calibri" w:cs="Calibri"/>
                <w:b w:val="0"/>
                <w:color w:val="000000"/>
                <w:sz w:val="21"/>
                <w:szCs w:val="21"/>
                <w:vertAlign w:val="subscript"/>
                <w:lang w:val="de-DE"/>
              </w:rPr>
              <w:t>(p&lt;0.05)</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Pr>
          <w:p w14:paraId="5ED085D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75.3</w:t>
            </w:r>
          </w:p>
          <w:p w14:paraId="00AABE8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67.6</w:t>
            </w:r>
          </w:p>
          <w:p w14:paraId="315D0B5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Pr>
          <w:p w14:paraId="598862C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50.2</w:t>
            </w:r>
          </w:p>
          <w:p w14:paraId="6041E8F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45.0</w:t>
            </w:r>
          </w:p>
          <w:p w14:paraId="5B92E8C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33.7</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Pr>
          <w:p w14:paraId="2DF9EC9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30.1</w:t>
            </w:r>
          </w:p>
          <w:p w14:paraId="67F6612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22.4</w:t>
            </w:r>
          </w:p>
          <w:p w14:paraId="71FAF30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1.8</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Pr>
          <w:p w14:paraId="434970A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34.7</w:t>
            </w:r>
          </w:p>
          <w:p w14:paraId="7373000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33.4</w:t>
            </w:r>
          </w:p>
          <w:p w14:paraId="1DD5963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Pr>
          <w:p w14:paraId="25F17FE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4.8</w:t>
            </w:r>
          </w:p>
          <w:p w14:paraId="3CC456F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5.1</w:t>
            </w:r>
          </w:p>
          <w:p w14:paraId="53486B3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Pr>
          <w:p w14:paraId="1C44F22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3.2</w:t>
            </w:r>
          </w:p>
          <w:p w14:paraId="1C0A49E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1.1</w:t>
            </w:r>
          </w:p>
          <w:p w14:paraId="51C1582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2.6</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Pr>
          <w:p w14:paraId="015F2C4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1.15</w:t>
            </w:r>
          </w:p>
          <w:p w14:paraId="3B32796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0.87</w:t>
            </w:r>
          </w:p>
          <w:p w14:paraId="1A686DE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1.0</w:t>
            </w:r>
          </w:p>
        </w:tc>
      </w:tr>
      <w:tr w:rsidR="006E6D81" w14:paraId="4CEC8D1F" w14:textId="77777777" w:rsidTr="006E6D81">
        <w:tc>
          <w:tcPr>
            <w:cnfStyle w:val="001000000000" w:firstRow="0" w:lastRow="0" w:firstColumn="1" w:lastColumn="0" w:oddVBand="0" w:evenVBand="0" w:oddHBand="0" w:evenHBand="0" w:firstRowFirstColumn="0" w:firstRowLastColumn="0" w:lastRowFirstColumn="0" w:lastRowLastColumn="0"/>
            <w:tcW w:w="10073" w:type="dxa"/>
            <w:gridSpan w:val="8"/>
            <w:tcBorders>
              <w:top w:val="single" w:sz="8" w:space="0" w:color="000000"/>
              <w:left w:val="single" w:sz="8" w:space="0" w:color="000000"/>
              <w:bottom w:val="single" w:sz="8" w:space="0" w:color="000000"/>
              <w:right w:val="single" w:sz="8" w:space="0" w:color="000000"/>
            </w:tcBorders>
            <w:shd w:val="clear" w:color="auto" w:fill="FFFFFF"/>
          </w:tcPr>
          <w:p w14:paraId="3D89075F"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Soil Amendment (B)</w:t>
            </w:r>
          </w:p>
        </w:tc>
      </w:tr>
      <w:tr w:rsidR="006E6D81" w14:paraId="064B9995" w14:textId="77777777" w:rsidTr="006E6D81">
        <w:tc>
          <w:tcPr>
            <w:cnfStyle w:val="001000000000" w:firstRow="0" w:lastRow="0" w:firstColumn="1" w:lastColumn="0" w:oddVBand="0" w:evenVBand="0" w:oddHBand="0" w:evenHBand="0" w:firstRowFirstColumn="0" w:firstRowLastColumn="0" w:lastRowFirstColumn="0" w:lastRowLastColumn="0"/>
            <w:tcW w:w="2045" w:type="dxa"/>
            <w:tcBorders>
              <w:top w:val="single" w:sz="8" w:space="0" w:color="000000"/>
              <w:left w:val="single" w:sz="8" w:space="0" w:color="000000"/>
              <w:bottom w:val="single" w:sz="8" w:space="0" w:color="000000"/>
              <w:right w:val="single" w:sz="8" w:space="0" w:color="000000"/>
            </w:tcBorders>
            <w:shd w:val="clear" w:color="auto" w:fill="FFFFFF"/>
          </w:tcPr>
          <w:p w14:paraId="29EEAE49"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Control</w:t>
            </w:r>
          </w:p>
          <w:p w14:paraId="44A1000F"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Organic manure</w:t>
            </w:r>
          </w:p>
          <w:p w14:paraId="6F8C1B9C"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TSP Fertilizer</w:t>
            </w:r>
          </w:p>
          <w:p w14:paraId="6D0C198B" w14:textId="77777777" w:rsidR="006E6D81" w:rsidRDefault="00E053B0">
            <w:pPr>
              <w:spacing w:after="0" w:line="240" w:lineRule="auto"/>
              <w:rPr>
                <w:rFonts w:ascii="Calibri" w:hAnsi="Calibri" w:cs="Calibri"/>
                <w:bCs w:val="0"/>
                <w:color w:val="000000"/>
                <w:sz w:val="21"/>
                <w:szCs w:val="21"/>
                <w:lang w:val="en-US"/>
              </w:rPr>
            </w:pPr>
            <w:proofErr w:type="spellStart"/>
            <w:r>
              <w:rPr>
                <w:rFonts w:ascii="Calibri" w:hAnsi="Calibri" w:cs="Calibri"/>
                <w:b w:val="0"/>
                <w:color w:val="000000"/>
                <w:sz w:val="21"/>
                <w:szCs w:val="21"/>
                <w:lang w:val="en-US"/>
              </w:rPr>
              <w:t>Organic+Fertilizer</w:t>
            </w:r>
            <w:proofErr w:type="spellEnd"/>
            <w:r>
              <w:rPr>
                <w:rFonts w:ascii="Calibri" w:hAnsi="Calibri" w:cs="Calibri"/>
                <w:b w:val="0"/>
                <w:color w:val="000000"/>
                <w:sz w:val="21"/>
                <w:szCs w:val="21"/>
                <w:lang w:val="en-US"/>
              </w:rPr>
              <w:t xml:space="preserve"> </w:t>
            </w:r>
          </w:p>
          <w:p w14:paraId="043CDCAA"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 xml:space="preserve">LSD </w:t>
            </w:r>
            <w:r>
              <w:rPr>
                <w:rFonts w:ascii="Calibri" w:hAnsi="Calibri" w:cs="Calibri"/>
                <w:b w:val="0"/>
                <w:color w:val="000000"/>
                <w:sz w:val="21"/>
                <w:szCs w:val="21"/>
                <w:vertAlign w:val="subscript"/>
                <w:lang w:val="en-US"/>
              </w:rPr>
              <w:t>(p&lt;0.05)</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Pr>
          <w:p w14:paraId="2DEA204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70.7</w:t>
            </w:r>
          </w:p>
          <w:p w14:paraId="09E5185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71.5</w:t>
            </w:r>
          </w:p>
          <w:p w14:paraId="34E28AB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74.3</w:t>
            </w:r>
          </w:p>
          <w:p w14:paraId="71F00CD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69.1</w:t>
            </w:r>
          </w:p>
          <w:p w14:paraId="2129215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Pr>
          <w:p w14:paraId="41F1F2D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47.2</w:t>
            </w:r>
          </w:p>
          <w:p w14:paraId="79FDAD7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47.7</w:t>
            </w:r>
          </w:p>
          <w:p w14:paraId="13F5ABF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49.6</w:t>
            </w:r>
          </w:p>
          <w:p w14:paraId="52D3F46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46.1</w:t>
            </w:r>
          </w:p>
          <w:p w14:paraId="285512E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Pr>
          <w:p w14:paraId="62C2F3D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25.3</w:t>
            </w:r>
          </w:p>
          <w:p w14:paraId="6C10993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26.3</w:t>
            </w:r>
          </w:p>
          <w:p w14:paraId="53D2388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26.5</w:t>
            </w:r>
          </w:p>
          <w:p w14:paraId="42CF8EC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26.8</w:t>
            </w:r>
          </w:p>
          <w:p w14:paraId="2FA4315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Pr>
          <w:p w14:paraId="4904DAE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33.8</w:t>
            </w:r>
          </w:p>
          <w:p w14:paraId="5A4E87A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34.8</w:t>
            </w:r>
          </w:p>
          <w:p w14:paraId="11B763F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32.3</w:t>
            </w:r>
          </w:p>
          <w:p w14:paraId="4383DBF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35.3</w:t>
            </w:r>
          </w:p>
          <w:p w14:paraId="3499902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Pr>
          <w:p w14:paraId="023B2B3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5.7</w:t>
            </w:r>
          </w:p>
          <w:p w14:paraId="32F4AB2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4.9</w:t>
            </w:r>
          </w:p>
          <w:p w14:paraId="6F57B5E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4.8</w:t>
            </w:r>
          </w:p>
          <w:p w14:paraId="12EAB75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4.5</w:t>
            </w:r>
          </w:p>
          <w:p w14:paraId="518741B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0.5</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Pr>
          <w:p w14:paraId="4CF0F88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2.1</w:t>
            </w:r>
          </w:p>
          <w:p w14:paraId="537B0DDC"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2.1</w:t>
            </w:r>
          </w:p>
          <w:p w14:paraId="32CFA15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2.2</w:t>
            </w:r>
          </w:p>
          <w:p w14:paraId="626C659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2.2</w:t>
            </w:r>
          </w:p>
          <w:p w14:paraId="7381F81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Pr>
          <w:p w14:paraId="5C16967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0.75</w:t>
            </w:r>
          </w:p>
          <w:p w14:paraId="6996470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0.98(0.232)</w:t>
            </w:r>
          </w:p>
          <w:p w14:paraId="45302A3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1.07(0.328)</w:t>
            </w:r>
          </w:p>
          <w:p w14:paraId="63D15DA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1.23(0.486)</w:t>
            </w:r>
          </w:p>
          <w:p w14:paraId="72035E7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1.4</w:t>
            </w:r>
          </w:p>
        </w:tc>
      </w:tr>
      <w:tr w:rsidR="006E6D81" w14:paraId="0FB994B2" w14:textId="77777777" w:rsidTr="006E6D81">
        <w:tc>
          <w:tcPr>
            <w:cnfStyle w:val="001000000000" w:firstRow="0" w:lastRow="0" w:firstColumn="1" w:lastColumn="0" w:oddVBand="0" w:evenVBand="0" w:oddHBand="0" w:evenHBand="0" w:firstRowFirstColumn="0" w:firstRowLastColumn="0" w:lastRowFirstColumn="0" w:lastRowLastColumn="0"/>
            <w:tcW w:w="10073" w:type="dxa"/>
            <w:gridSpan w:val="8"/>
            <w:tcBorders>
              <w:top w:val="single" w:sz="8" w:space="0" w:color="000000"/>
              <w:left w:val="single" w:sz="8" w:space="0" w:color="000000"/>
              <w:bottom w:val="single" w:sz="8" w:space="0" w:color="000000"/>
              <w:right w:val="single" w:sz="8" w:space="0" w:color="000000"/>
            </w:tcBorders>
            <w:shd w:val="clear" w:color="auto" w:fill="FFFFFF"/>
          </w:tcPr>
          <w:p w14:paraId="1D4F8BF9"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Variety (C)</w:t>
            </w:r>
          </w:p>
        </w:tc>
      </w:tr>
      <w:tr w:rsidR="006E6D81" w14:paraId="1B0AE3C5" w14:textId="77777777" w:rsidTr="006E6D81">
        <w:tc>
          <w:tcPr>
            <w:cnfStyle w:val="001000000000" w:firstRow="0" w:lastRow="0" w:firstColumn="1" w:lastColumn="0" w:oddVBand="0" w:evenVBand="0" w:oddHBand="0" w:evenHBand="0" w:firstRowFirstColumn="0" w:firstRowLastColumn="0" w:lastRowFirstColumn="0" w:lastRowLastColumn="0"/>
            <w:tcW w:w="2045" w:type="dxa"/>
            <w:tcBorders>
              <w:top w:val="single" w:sz="8" w:space="0" w:color="000000"/>
              <w:left w:val="single" w:sz="8" w:space="0" w:color="000000"/>
              <w:bottom w:val="single" w:sz="8" w:space="0" w:color="000000"/>
              <w:right w:val="single" w:sz="8" w:space="0" w:color="000000"/>
            </w:tcBorders>
            <w:shd w:val="clear" w:color="auto" w:fill="FFFFFF"/>
          </w:tcPr>
          <w:p w14:paraId="5D8A1DD8"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Farmer Variety 1</w:t>
            </w:r>
          </w:p>
          <w:p w14:paraId="16A7D59E"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Farmer Variety 2</w:t>
            </w:r>
          </w:p>
          <w:p w14:paraId="3FBAC253" w14:textId="77777777" w:rsidR="006E6D81" w:rsidRDefault="00E053B0">
            <w:pPr>
              <w:spacing w:after="0" w:line="240" w:lineRule="auto"/>
              <w:rPr>
                <w:rFonts w:ascii="Calibri" w:hAnsi="Calibri" w:cs="Calibri"/>
                <w:bCs w:val="0"/>
                <w:color w:val="000000"/>
                <w:sz w:val="21"/>
                <w:szCs w:val="21"/>
                <w:lang w:val="en-US"/>
              </w:rPr>
            </w:pPr>
            <w:proofErr w:type="spellStart"/>
            <w:r>
              <w:rPr>
                <w:rFonts w:ascii="Calibri" w:hAnsi="Calibri" w:cs="Calibri"/>
                <w:b w:val="0"/>
                <w:color w:val="000000"/>
                <w:sz w:val="21"/>
                <w:szCs w:val="21"/>
                <w:lang w:val="en-US"/>
              </w:rPr>
              <w:t>Kpanielli</w:t>
            </w:r>
            <w:proofErr w:type="spellEnd"/>
          </w:p>
          <w:p w14:paraId="7ABDBF45" w14:textId="77777777" w:rsidR="006E6D81" w:rsidRDefault="00E053B0">
            <w:pPr>
              <w:spacing w:after="0" w:line="240" w:lineRule="auto"/>
              <w:rPr>
                <w:rFonts w:ascii="Calibri" w:hAnsi="Calibri" w:cs="Calibri"/>
                <w:bCs w:val="0"/>
                <w:color w:val="000000"/>
                <w:sz w:val="21"/>
                <w:szCs w:val="21"/>
                <w:lang w:val="en-US"/>
              </w:rPr>
            </w:pPr>
            <w:proofErr w:type="spellStart"/>
            <w:r>
              <w:rPr>
                <w:rFonts w:ascii="Calibri" w:hAnsi="Calibri" w:cs="Calibri"/>
                <w:b w:val="0"/>
                <w:color w:val="000000"/>
                <w:sz w:val="21"/>
                <w:szCs w:val="21"/>
                <w:lang w:val="en-US"/>
              </w:rPr>
              <w:t>Obolo</w:t>
            </w:r>
            <w:proofErr w:type="spellEnd"/>
          </w:p>
          <w:p w14:paraId="5C5FA117" w14:textId="77777777" w:rsidR="006E6D81" w:rsidRDefault="00E053B0">
            <w:pPr>
              <w:spacing w:after="0" w:line="240" w:lineRule="auto"/>
              <w:rPr>
                <w:rFonts w:ascii="Calibri" w:hAnsi="Calibri" w:cs="Calibri"/>
                <w:bCs w:val="0"/>
                <w:color w:val="000000"/>
                <w:sz w:val="21"/>
                <w:szCs w:val="21"/>
                <w:lang w:val="en-US"/>
              </w:rPr>
            </w:pPr>
            <w:proofErr w:type="spellStart"/>
            <w:r>
              <w:rPr>
                <w:rFonts w:ascii="Calibri" w:hAnsi="Calibri" w:cs="Calibri"/>
                <w:b w:val="0"/>
                <w:color w:val="000000"/>
                <w:sz w:val="21"/>
                <w:szCs w:val="21"/>
                <w:lang w:val="en-US"/>
              </w:rPr>
              <w:t>Oboshie</w:t>
            </w:r>
            <w:proofErr w:type="spellEnd"/>
          </w:p>
          <w:p w14:paraId="5BB3E644"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SARINUT 1</w:t>
            </w:r>
          </w:p>
          <w:p w14:paraId="1F95A2A9"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SARINUT 2</w:t>
            </w:r>
          </w:p>
          <w:p w14:paraId="4A8DECB5" w14:textId="77777777" w:rsidR="006E6D81" w:rsidRDefault="00E053B0">
            <w:pPr>
              <w:spacing w:after="0" w:line="240" w:lineRule="auto"/>
              <w:rPr>
                <w:rFonts w:ascii="Calibri" w:hAnsi="Calibri" w:cs="Calibri"/>
                <w:bCs w:val="0"/>
                <w:color w:val="000000"/>
                <w:sz w:val="21"/>
                <w:szCs w:val="21"/>
                <w:lang w:val="en-US"/>
              </w:rPr>
            </w:pPr>
            <w:proofErr w:type="spellStart"/>
            <w:r>
              <w:rPr>
                <w:rFonts w:ascii="Calibri" w:hAnsi="Calibri" w:cs="Calibri"/>
                <w:b w:val="0"/>
                <w:color w:val="000000"/>
                <w:sz w:val="21"/>
                <w:szCs w:val="21"/>
                <w:lang w:val="en-US"/>
              </w:rPr>
              <w:t>Yenyawaso</w:t>
            </w:r>
            <w:proofErr w:type="spellEnd"/>
          </w:p>
          <w:p w14:paraId="41BEC840"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 xml:space="preserve">LSD </w:t>
            </w:r>
            <w:r>
              <w:rPr>
                <w:rFonts w:ascii="Calibri" w:hAnsi="Calibri" w:cs="Calibri"/>
                <w:b w:val="0"/>
                <w:color w:val="000000"/>
                <w:sz w:val="21"/>
                <w:szCs w:val="21"/>
                <w:vertAlign w:val="subscript"/>
                <w:lang w:val="en-US"/>
              </w:rPr>
              <w:t>(p&lt;0.05)</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Pr>
          <w:p w14:paraId="4F1519B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94.4</w:t>
            </w:r>
          </w:p>
          <w:p w14:paraId="778757F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84.4</w:t>
            </w:r>
          </w:p>
          <w:p w14:paraId="1E478A0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57.1</w:t>
            </w:r>
          </w:p>
          <w:p w14:paraId="398832B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81.4</w:t>
            </w:r>
          </w:p>
          <w:p w14:paraId="390FA64C"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38.8</w:t>
            </w:r>
          </w:p>
          <w:p w14:paraId="286B947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68.8</w:t>
            </w:r>
          </w:p>
          <w:p w14:paraId="422A7CE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63.8</w:t>
            </w:r>
          </w:p>
          <w:p w14:paraId="7307940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82.4</w:t>
            </w:r>
          </w:p>
          <w:p w14:paraId="04C7652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10.1</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Pr>
          <w:p w14:paraId="708160D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62.9</w:t>
            </w:r>
          </w:p>
          <w:p w14:paraId="2E6DDF3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56.9</w:t>
            </w:r>
          </w:p>
          <w:p w14:paraId="481A292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38.1</w:t>
            </w:r>
          </w:p>
          <w:p w14:paraId="2EA9E95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54.2</w:t>
            </w:r>
          </w:p>
          <w:p w14:paraId="476A0B4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25.8</w:t>
            </w:r>
          </w:p>
          <w:p w14:paraId="4A3F2D4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45.9</w:t>
            </w:r>
          </w:p>
          <w:p w14:paraId="74B90D7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42.2</w:t>
            </w:r>
          </w:p>
          <w:p w14:paraId="7A46F7D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54.9</w:t>
            </w:r>
          </w:p>
          <w:p w14:paraId="0F9F743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67.5</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Pr>
          <w:p w14:paraId="7339110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36.5</w:t>
            </w:r>
          </w:p>
          <w:p w14:paraId="6F4E3CB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21.5</w:t>
            </w:r>
          </w:p>
          <w:p w14:paraId="277BFAF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28.4</w:t>
            </w:r>
          </w:p>
          <w:p w14:paraId="5A56CDE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21.6</w:t>
            </w:r>
          </w:p>
          <w:p w14:paraId="4F254B3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29.1</w:t>
            </w:r>
          </w:p>
          <w:p w14:paraId="64C451D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30.5</w:t>
            </w:r>
          </w:p>
          <w:p w14:paraId="5A8416B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20.5</w:t>
            </w:r>
          </w:p>
          <w:p w14:paraId="18686F7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21.7</w:t>
            </w:r>
          </w:p>
          <w:p w14:paraId="798984F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3.5</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Pr>
          <w:p w14:paraId="2BBEFC4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33.4</w:t>
            </w:r>
          </w:p>
          <w:p w14:paraId="58E1161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35.5</w:t>
            </w:r>
          </w:p>
          <w:p w14:paraId="4E18880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36.3</w:t>
            </w:r>
          </w:p>
          <w:p w14:paraId="1E2860EC"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31.1</w:t>
            </w:r>
          </w:p>
          <w:p w14:paraId="0E1AFD6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30.1</w:t>
            </w:r>
          </w:p>
          <w:p w14:paraId="3C79013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35.1</w:t>
            </w:r>
          </w:p>
          <w:p w14:paraId="09303A7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32.7</w:t>
            </w:r>
          </w:p>
          <w:p w14:paraId="1A3F32B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38.3</w:t>
            </w:r>
          </w:p>
          <w:p w14:paraId="058916E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Pr>
          <w:p w14:paraId="774185B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7.0</w:t>
            </w:r>
          </w:p>
          <w:p w14:paraId="27B4CFB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4.8</w:t>
            </w:r>
          </w:p>
          <w:p w14:paraId="5E90BB4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4.2</w:t>
            </w:r>
          </w:p>
          <w:p w14:paraId="716E586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4.7</w:t>
            </w:r>
          </w:p>
          <w:p w14:paraId="31435D8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3.7</w:t>
            </w:r>
          </w:p>
          <w:p w14:paraId="0068281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5.1</w:t>
            </w:r>
          </w:p>
          <w:p w14:paraId="36D5B8B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4.5</w:t>
            </w:r>
          </w:p>
          <w:p w14:paraId="401D1D1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5.6</w:t>
            </w:r>
          </w:p>
          <w:p w14:paraId="37F1582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0.6</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Pr>
          <w:p w14:paraId="40CF28A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2.9</w:t>
            </w:r>
          </w:p>
          <w:p w14:paraId="66587F9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2.4</w:t>
            </w:r>
          </w:p>
          <w:p w14:paraId="6C24932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2.9</w:t>
            </w:r>
          </w:p>
          <w:p w14:paraId="522E5FA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2.0</w:t>
            </w:r>
          </w:p>
          <w:p w14:paraId="5818D99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1.1</w:t>
            </w:r>
          </w:p>
          <w:p w14:paraId="4C60781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2.5</w:t>
            </w:r>
          </w:p>
          <w:p w14:paraId="2BEB8BA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0.9</w:t>
            </w:r>
          </w:p>
          <w:p w14:paraId="06587CB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2.5</w:t>
            </w:r>
          </w:p>
          <w:p w14:paraId="0BB4B75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5.2</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Pr>
          <w:p w14:paraId="2EEB70E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0.93</w:t>
            </w:r>
          </w:p>
          <w:p w14:paraId="1957535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0.90(-0.32)</w:t>
            </w:r>
          </w:p>
          <w:p w14:paraId="462603E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1.06(0.133)</w:t>
            </w:r>
          </w:p>
          <w:p w14:paraId="3B6FBA9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0.99(0.62)</w:t>
            </w:r>
          </w:p>
          <w:p w14:paraId="4854E86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1.12(0.186)</w:t>
            </w:r>
          </w:p>
          <w:p w14:paraId="7C6472D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1.25(0.313)</w:t>
            </w:r>
          </w:p>
          <w:p w14:paraId="3496572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0.93(-0.62)</w:t>
            </w:r>
          </w:p>
          <w:p w14:paraId="069A641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0.88(-0.57)</w:t>
            </w:r>
          </w:p>
          <w:p w14:paraId="6BFE6F9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2.0</w:t>
            </w:r>
          </w:p>
        </w:tc>
      </w:tr>
      <w:tr w:rsidR="006E6D81" w14:paraId="6D02B627" w14:textId="77777777" w:rsidTr="006E6D81">
        <w:tc>
          <w:tcPr>
            <w:cnfStyle w:val="001000000000" w:firstRow="0" w:lastRow="0" w:firstColumn="1" w:lastColumn="0" w:oddVBand="0" w:evenVBand="0" w:oddHBand="0" w:evenHBand="0" w:firstRowFirstColumn="0" w:firstRowLastColumn="0" w:lastRowFirstColumn="0" w:lastRowLastColumn="0"/>
            <w:tcW w:w="2045" w:type="dxa"/>
            <w:tcBorders>
              <w:top w:val="single" w:sz="8" w:space="0" w:color="000000"/>
              <w:left w:val="single" w:sz="8" w:space="0" w:color="000000"/>
              <w:bottom w:val="single" w:sz="8" w:space="0" w:color="000000"/>
              <w:right w:val="single" w:sz="8" w:space="0" w:color="000000"/>
            </w:tcBorders>
            <w:shd w:val="clear" w:color="auto" w:fill="FFFFFF"/>
          </w:tcPr>
          <w:p w14:paraId="0BD0CB2B"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Grand mean</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Pr>
          <w:p w14:paraId="640EF8D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71.2</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Pr>
          <w:p w14:paraId="2D6DA0E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47.6</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Pr>
          <w:p w14:paraId="61C3AD3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26.2</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Pr>
          <w:p w14:paraId="2AD9004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34.1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Pr>
          <w:p w14:paraId="61EB9F5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5.0</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Pr>
          <w:p w14:paraId="274BE13C"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2.2</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Pr>
          <w:p w14:paraId="250C897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1.0</w:t>
            </w:r>
          </w:p>
        </w:tc>
      </w:tr>
      <w:tr w:rsidR="006E6D81" w14:paraId="5CF4BD8F" w14:textId="77777777" w:rsidTr="006E6D81">
        <w:tc>
          <w:tcPr>
            <w:cnfStyle w:val="001000000000" w:firstRow="0" w:lastRow="0" w:firstColumn="1" w:lastColumn="0" w:oddVBand="0" w:evenVBand="0" w:oddHBand="0" w:evenHBand="0" w:firstRowFirstColumn="0" w:firstRowLastColumn="0" w:lastRowFirstColumn="0" w:lastRowLastColumn="0"/>
            <w:tcW w:w="2045" w:type="dxa"/>
            <w:tcBorders>
              <w:top w:val="single" w:sz="8" w:space="0" w:color="000000"/>
              <w:left w:val="single" w:sz="8" w:space="0" w:color="000000"/>
              <w:bottom w:val="single" w:sz="8" w:space="0" w:color="000000"/>
              <w:right w:val="single" w:sz="8" w:space="0" w:color="000000"/>
            </w:tcBorders>
            <w:shd w:val="clear" w:color="auto" w:fill="FFFFFF"/>
          </w:tcPr>
          <w:p w14:paraId="1C12F626"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A</w:t>
            </w:r>
          </w:p>
          <w:p w14:paraId="1E79CC93"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B</w:t>
            </w:r>
          </w:p>
          <w:p w14:paraId="41A9E2CB" w14:textId="77777777" w:rsidR="006E6D81" w:rsidRDefault="00E053B0">
            <w:pPr>
              <w:spacing w:after="0" w:line="240" w:lineRule="auto"/>
              <w:rPr>
                <w:rFonts w:ascii="Calibri" w:hAnsi="Calibri" w:cs="Calibri"/>
                <w:bCs w:val="0"/>
                <w:color w:val="000000"/>
                <w:sz w:val="21"/>
                <w:szCs w:val="21"/>
                <w:lang w:val="en-US"/>
              </w:rPr>
            </w:pPr>
            <w:r>
              <w:rPr>
                <w:rFonts w:ascii="Calibri" w:hAnsi="Calibri" w:cs="Calibri"/>
                <w:b w:val="0"/>
                <w:color w:val="000000"/>
                <w:sz w:val="21"/>
                <w:szCs w:val="21"/>
                <w:lang w:val="en-US"/>
              </w:rPr>
              <w:t>C</w:t>
            </w:r>
          </w:p>
          <w:p w14:paraId="2D6E52D9" w14:textId="77777777" w:rsidR="006E6D81" w:rsidRDefault="00E053B0">
            <w:pPr>
              <w:spacing w:after="0" w:line="240" w:lineRule="auto"/>
              <w:rPr>
                <w:rFonts w:ascii="Calibri" w:hAnsi="Calibri" w:cs="Calibri"/>
                <w:bCs w:val="0"/>
                <w:color w:val="000000"/>
                <w:sz w:val="21"/>
                <w:szCs w:val="21"/>
                <w:lang w:val="en-US"/>
              </w:rPr>
            </w:pPr>
            <w:proofErr w:type="spellStart"/>
            <w:r>
              <w:rPr>
                <w:rFonts w:ascii="Calibri" w:hAnsi="Calibri" w:cs="Calibri"/>
                <w:b w:val="0"/>
                <w:color w:val="000000"/>
                <w:sz w:val="21"/>
                <w:szCs w:val="21"/>
                <w:lang w:val="en-US"/>
              </w:rPr>
              <w:t>AxBxC</w:t>
            </w:r>
            <w:proofErr w:type="spellEnd"/>
          </w:p>
          <w:p w14:paraId="7C6D2525" w14:textId="77777777" w:rsidR="006E6D81" w:rsidRDefault="00E053B0">
            <w:pPr>
              <w:spacing w:after="0" w:line="240" w:lineRule="auto"/>
              <w:rPr>
                <w:rFonts w:ascii="Calibri" w:hAnsi="Calibri" w:cs="Calibri"/>
                <w:bCs w:val="0"/>
                <w:color w:val="000000"/>
                <w:sz w:val="21"/>
                <w:szCs w:val="21"/>
                <w:lang w:val="en-US"/>
              </w:rPr>
            </w:pPr>
            <w:proofErr w:type="gramStart"/>
            <w:r>
              <w:rPr>
                <w:rFonts w:ascii="Calibri" w:hAnsi="Calibri" w:cs="Calibri"/>
                <w:b w:val="0"/>
                <w:color w:val="000000"/>
                <w:sz w:val="21"/>
                <w:szCs w:val="21"/>
                <w:lang w:val="en-US"/>
              </w:rPr>
              <w:t>CV(</w:t>
            </w:r>
            <w:proofErr w:type="gramEnd"/>
            <w:r>
              <w:rPr>
                <w:rFonts w:ascii="Calibri" w:hAnsi="Calibri" w:cs="Calibri"/>
                <w:b w:val="0"/>
                <w:color w:val="000000"/>
                <w:sz w:val="21"/>
                <w:szCs w:val="21"/>
                <w:lang w:val="en-US"/>
              </w:rPr>
              <w:t>%)</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Pr>
          <w:p w14:paraId="0237063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vertAlign w:val="superscript"/>
                <w:lang w:val="en-US"/>
              </w:rPr>
            </w:pPr>
            <w:r>
              <w:rPr>
                <w:rFonts w:ascii="Calibri" w:hAnsi="Calibri" w:cs="Calibri"/>
                <w:color w:val="000000"/>
                <w:sz w:val="21"/>
                <w:szCs w:val="21"/>
                <w:vertAlign w:val="superscript"/>
                <w:lang w:val="en-US"/>
              </w:rPr>
              <w:t>*</w:t>
            </w:r>
          </w:p>
          <w:p w14:paraId="13F7072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06D98D4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630EADA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45296C2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24.9</w:t>
            </w:r>
          </w:p>
        </w:tc>
        <w:tc>
          <w:tcPr>
            <w:tcW w:w="1118" w:type="dxa"/>
            <w:tcBorders>
              <w:top w:val="single" w:sz="8" w:space="0" w:color="000000"/>
              <w:left w:val="single" w:sz="8" w:space="0" w:color="000000"/>
              <w:bottom w:val="single" w:sz="8" w:space="0" w:color="000000"/>
              <w:right w:val="single" w:sz="8" w:space="0" w:color="000000"/>
            </w:tcBorders>
            <w:shd w:val="clear" w:color="auto" w:fill="FFFFFF"/>
          </w:tcPr>
          <w:p w14:paraId="61264D9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157B494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35B74E8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544CAF8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1CF63B5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24.8</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Pr>
          <w:p w14:paraId="2D4E362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2C80DBC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667B1D3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1C1C468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03CAA5C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23.4</w:t>
            </w:r>
          </w:p>
        </w:tc>
        <w:tc>
          <w:tcPr>
            <w:tcW w:w="1009" w:type="dxa"/>
            <w:tcBorders>
              <w:top w:val="single" w:sz="8" w:space="0" w:color="000000"/>
              <w:left w:val="single" w:sz="8" w:space="0" w:color="000000"/>
              <w:bottom w:val="single" w:sz="8" w:space="0" w:color="000000"/>
              <w:right w:val="single" w:sz="8" w:space="0" w:color="000000"/>
            </w:tcBorders>
            <w:shd w:val="clear" w:color="auto" w:fill="FFFFFF"/>
          </w:tcPr>
          <w:p w14:paraId="10476D8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1F40EB5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proofErr w:type="spellStart"/>
            <w:r>
              <w:rPr>
                <w:rFonts w:ascii="Calibri" w:hAnsi="Calibri" w:cs="Calibri"/>
                <w:color w:val="000000"/>
                <w:sz w:val="21"/>
                <w:szCs w:val="21"/>
                <w:vertAlign w:val="superscript"/>
                <w:lang w:val="en-US"/>
              </w:rPr>
              <w:t>sn</w:t>
            </w:r>
            <w:proofErr w:type="spellEnd"/>
          </w:p>
          <w:p w14:paraId="1892588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415A212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p w14:paraId="39B6E2A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23.2</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Pr>
          <w:p w14:paraId="3821384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6D796E1C"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6682125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2706A2A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449A644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22.7</w:t>
            </w:r>
          </w:p>
        </w:tc>
        <w:tc>
          <w:tcPr>
            <w:tcW w:w="945" w:type="dxa"/>
            <w:tcBorders>
              <w:top w:val="single" w:sz="8" w:space="0" w:color="000000"/>
              <w:left w:val="single" w:sz="8" w:space="0" w:color="000000"/>
              <w:bottom w:val="single" w:sz="8" w:space="0" w:color="000000"/>
              <w:right w:val="single" w:sz="8" w:space="0" w:color="000000"/>
            </w:tcBorders>
            <w:shd w:val="clear" w:color="auto" w:fill="FFFFFF"/>
          </w:tcPr>
          <w:p w14:paraId="720553C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516ADEC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0BF1D6E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w:t>
            </w:r>
          </w:p>
          <w:p w14:paraId="57CE4ED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vertAlign w:val="superscript"/>
                <w:lang w:val="en-US"/>
              </w:rPr>
              <w:t>ns</w:t>
            </w:r>
          </w:p>
          <w:p w14:paraId="20B419D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42.1</w:t>
            </w:r>
          </w:p>
        </w:tc>
        <w:tc>
          <w:tcPr>
            <w:tcW w:w="1437" w:type="dxa"/>
            <w:tcBorders>
              <w:top w:val="single" w:sz="8" w:space="0" w:color="000000"/>
              <w:left w:val="single" w:sz="8" w:space="0" w:color="000000"/>
              <w:bottom w:val="single" w:sz="8" w:space="0" w:color="000000"/>
              <w:right w:val="single" w:sz="8" w:space="0" w:color="000000"/>
            </w:tcBorders>
            <w:shd w:val="clear" w:color="auto" w:fill="FFFFFF"/>
          </w:tcPr>
          <w:p w14:paraId="384F8D9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w:t>
            </w:r>
          </w:p>
          <w:p w14:paraId="5EF6CC5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p w14:paraId="3D0914B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p w14:paraId="206BBF4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ns</w:t>
            </w:r>
          </w:p>
          <w:p w14:paraId="60955BE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1"/>
                <w:szCs w:val="21"/>
                <w:lang w:val="en-US"/>
              </w:rPr>
            </w:pPr>
            <w:r>
              <w:rPr>
                <w:rFonts w:ascii="Calibri" w:hAnsi="Calibri" w:cs="Calibri"/>
                <w:color w:val="000000"/>
                <w:sz w:val="21"/>
                <w:szCs w:val="21"/>
                <w:lang w:val="en-US"/>
              </w:rPr>
              <w:t>35.1</w:t>
            </w:r>
          </w:p>
        </w:tc>
      </w:tr>
    </w:tbl>
    <w:p w14:paraId="3418F9B5" w14:textId="77777777" w:rsidR="006E6D81" w:rsidRDefault="00E053B0">
      <w:pPr>
        <w:spacing w:after="200" w:line="240" w:lineRule="auto"/>
        <w:jc w:val="both"/>
        <w:rPr>
          <w:rFonts w:ascii="Calibri" w:hAnsi="Calibri" w:cs="Calibri"/>
          <w:sz w:val="24"/>
          <w:szCs w:val="24"/>
          <w:lang w:val="en-US"/>
        </w:rPr>
      </w:pPr>
      <w:r>
        <w:rPr>
          <w:rFonts w:ascii="Calibri" w:hAnsi="Calibri" w:cs="Calibri"/>
          <w:sz w:val="24"/>
          <w:szCs w:val="24"/>
          <w:lang w:val="en-US"/>
        </w:rPr>
        <w:t>*: significant at 0.05, **: significant at 0.0001, ns: not significant, Yield values in parenthesis represent increases over the control.</w:t>
      </w:r>
    </w:p>
    <w:p w14:paraId="3D3057AA" w14:textId="77777777" w:rsidR="006E6D81" w:rsidRDefault="00E053B0">
      <w:pPr>
        <w:spacing w:after="0" w:line="240" w:lineRule="auto"/>
        <w:jc w:val="both"/>
        <w:rPr>
          <w:rFonts w:ascii="Calibri" w:hAnsi="Calibri" w:cs="Calibri"/>
          <w:b/>
          <w:sz w:val="24"/>
          <w:szCs w:val="24"/>
          <w:lang w:val="en-US" w:eastAsia="en-GB"/>
        </w:rPr>
      </w:pPr>
      <w:r>
        <w:rPr>
          <w:rFonts w:ascii="Calibri" w:hAnsi="Calibri" w:cs="Calibri"/>
          <w:b/>
          <w:sz w:val="24"/>
          <w:szCs w:val="24"/>
          <w:lang w:val="en-US" w:eastAsia="en-GB"/>
        </w:rPr>
        <w:t xml:space="preserve">3.2 Effect of soil amendments and rhizobium inoculants on groundnut  </w:t>
      </w:r>
    </w:p>
    <w:p w14:paraId="029FF678" w14:textId="7B1BD246" w:rsidR="006E6D81" w:rsidRDefault="00E053B0">
      <w:pPr>
        <w:autoSpaceDE w:val="0"/>
        <w:autoSpaceDN w:val="0"/>
        <w:adjustRightInd w:val="0"/>
        <w:spacing w:after="0" w:line="240" w:lineRule="auto"/>
        <w:jc w:val="both"/>
        <w:rPr>
          <w:rFonts w:ascii="Calibri" w:hAnsi="Calibri" w:cs="Calibri"/>
          <w:sz w:val="24"/>
          <w:szCs w:val="24"/>
          <w:lang w:val="en-US" w:eastAsia="en-GB"/>
        </w:rPr>
      </w:pPr>
      <w:r>
        <w:rPr>
          <w:rFonts w:ascii="Calibri" w:hAnsi="Calibri" w:cs="Calibri"/>
          <w:color w:val="000000"/>
          <w:sz w:val="24"/>
          <w:szCs w:val="24"/>
          <w:lang w:val="en-US"/>
        </w:rPr>
        <w:t>Some yield components of groundnut as influenced by Rhizobium inoculant and fertilizer treatments have been summarized (Table 2).</w:t>
      </w:r>
      <w:r w:rsidR="0091771D">
        <w:rPr>
          <w:rFonts w:ascii="Calibri" w:hAnsi="Calibri" w:cs="Calibri"/>
          <w:color w:val="000000"/>
          <w:sz w:val="24"/>
          <w:szCs w:val="24"/>
          <w:lang w:val="en-US"/>
        </w:rPr>
        <w:t xml:space="preserve"> </w:t>
      </w:r>
      <w:r>
        <w:rPr>
          <w:rFonts w:ascii="Calibri" w:hAnsi="Calibri" w:cs="Calibri"/>
          <w:sz w:val="24"/>
          <w:szCs w:val="24"/>
          <w:lang w:val="en-US" w:eastAsia="en-GB"/>
        </w:rPr>
        <w:t xml:space="preserve">The trend of yield performance was similar across the districts covered. All the treatments showed significant increase of yield when compared to the control. Pod yield in Yara Legume treatment plots (0.97 t/ha) was superior compared with TSP (0.85 t/ha).  The application of Yara-Legume + Rhizobium inoculant (1.22 t/ha) or TSP + Rhizobium inoculant (1.01 t/ha) resulted in consistently higher pod yield compared to the control (0.57 t/ha), or single application of any amendment. </w:t>
      </w:r>
    </w:p>
    <w:p w14:paraId="4DBF07AD" w14:textId="77777777" w:rsidR="006E6D81" w:rsidRDefault="006E6D81">
      <w:pPr>
        <w:autoSpaceDE w:val="0"/>
        <w:autoSpaceDN w:val="0"/>
        <w:adjustRightInd w:val="0"/>
        <w:spacing w:after="0" w:line="240" w:lineRule="auto"/>
        <w:jc w:val="both"/>
        <w:rPr>
          <w:rFonts w:ascii="Calibri" w:hAnsi="Calibri" w:cs="Calibri"/>
          <w:sz w:val="24"/>
          <w:szCs w:val="24"/>
          <w:lang w:val="en-US" w:eastAsia="en-GB"/>
        </w:rPr>
      </w:pPr>
    </w:p>
    <w:p w14:paraId="34964687" w14:textId="77777777" w:rsidR="006E6D81" w:rsidRDefault="006E6D81">
      <w:pPr>
        <w:spacing w:after="200" w:line="240" w:lineRule="auto"/>
        <w:jc w:val="both"/>
        <w:rPr>
          <w:rFonts w:ascii="Calibri" w:hAnsi="Calibri" w:cs="Calibri"/>
          <w:sz w:val="24"/>
          <w:szCs w:val="24"/>
          <w:lang w:val="en-US"/>
        </w:rPr>
      </w:pPr>
    </w:p>
    <w:p w14:paraId="041C68E3" w14:textId="5C691810" w:rsidR="006E6D81" w:rsidRDefault="001C782A">
      <w:pPr>
        <w:spacing w:after="200" w:line="240" w:lineRule="auto"/>
        <w:jc w:val="both"/>
        <w:rPr>
          <w:rFonts w:ascii="Calibri" w:hAnsi="Calibri" w:cs="Calibri"/>
          <w:sz w:val="24"/>
          <w:szCs w:val="24"/>
          <w:lang w:val="en-US"/>
        </w:rPr>
      </w:pPr>
      <w:r>
        <w:rPr>
          <w:noProof/>
        </w:rPr>
        <w:drawing>
          <wp:inline distT="0" distB="0" distL="0" distR="0" wp14:anchorId="46CD01EB" wp14:editId="07AF7F95">
            <wp:extent cx="5731510" cy="3117850"/>
            <wp:effectExtent l="0" t="0" r="2540" b="6350"/>
            <wp:docPr id="664989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89985" name=""/>
                    <pic:cNvPicPr/>
                  </pic:nvPicPr>
                  <pic:blipFill>
                    <a:blip r:embed="rId10"/>
                    <a:stretch>
                      <a:fillRect/>
                    </a:stretch>
                  </pic:blipFill>
                  <pic:spPr>
                    <a:xfrm>
                      <a:off x="0" y="0"/>
                      <a:ext cx="5731510" cy="3117850"/>
                    </a:xfrm>
                    <a:prstGeom prst="rect">
                      <a:avLst/>
                    </a:prstGeom>
                  </pic:spPr>
                </pic:pic>
              </a:graphicData>
            </a:graphic>
          </wp:inline>
        </w:drawing>
      </w:r>
    </w:p>
    <w:p w14:paraId="50F076A6" w14:textId="2B44B26A" w:rsidR="006E6D81" w:rsidRDefault="00E053B0">
      <w:pPr>
        <w:spacing w:line="240" w:lineRule="auto"/>
        <w:rPr>
          <w:rFonts w:ascii="Calibri" w:hAnsi="Calibri" w:cs="Calibri"/>
          <w:bCs/>
          <w:sz w:val="24"/>
          <w:szCs w:val="24"/>
          <w:lang w:val="en-US"/>
        </w:rPr>
      </w:pPr>
      <w:r>
        <w:rPr>
          <w:rFonts w:ascii="Calibri" w:hAnsi="Calibri" w:cs="Calibri"/>
          <w:bCs/>
          <w:sz w:val="24"/>
          <w:szCs w:val="24"/>
          <w:lang w:val="en-US"/>
        </w:rPr>
        <w:t>Plate 2: Exce</w:t>
      </w:r>
      <w:r w:rsidR="00F34B08">
        <w:rPr>
          <w:rFonts w:ascii="Calibri" w:hAnsi="Calibri" w:cs="Calibri"/>
          <w:bCs/>
          <w:sz w:val="24"/>
          <w:szCs w:val="24"/>
          <w:lang w:val="en-US"/>
        </w:rPr>
        <w:t>r</w:t>
      </w:r>
      <w:r>
        <w:rPr>
          <w:rFonts w:ascii="Calibri" w:hAnsi="Calibri" w:cs="Calibri"/>
          <w:bCs/>
          <w:sz w:val="24"/>
          <w:szCs w:val="24"/>
          <w:lang w:val="en-US"/>
        </w:rPr>
        <w:t>pts of pictures showing the productivity of groundnut under different management practices</w:t>
      </w:r>
    </w:p>
    <w:p w14:paraId="3404A243" w14:textId="77777777" w:rsidR="006E6D81" w:rsidRDefault="006E6D81">
      <w:pPr>
        <w:spacing w:after="0" w:line="240" w:lineRule="auto"/>
        <w:jc w:val="both"/>
        <w:rPr>
          <w:rFonts w:ascii="Calibri" w:hAnsi="Calibri" w:cs="Calibri"/>
          <w:b/>
          <w:sz w:val="24"/>
          <w:szCs w:val="24"/>
          <w:lang w:val="en-US" w:eastAsia="en-GB"/>
        </w:rPr>
      </w:pPr>
    </w:p>
    <w:p w14:paraId="30D1A3A8" w14:textId="77777777" w:rsidR="006E6D81" w:rsidRDefault="00E053B0">
      <w:pPr>
        <w:autoSpaceDE w:val="0"/>
        <w:autoSpaceDN w:val="0"/>
        <w:adjustRightInd w:val="0"/>
        <w:spacing w:after="0" w:line="240" w:lineRule="auto"/>
        <w:rPr>
          <w:rFonts w:ascii="Calibri" w:hAnsi="Calibri" w:cs="Calibri"/>
          <w:color w:val="000000"/>
          <w:sz w:val="24"/>
          <w:szCs w:val="24"/>
          <w:lang w:val="en-US"/>
        </w:rPr>
      </w:pPr>
      <w:r>
        <w:rPr>
          <w:rFonts w:ascii="Calibri" w:hAnsi="Calibri" w:cs="Calibri"/>
          <w:color w:val="000000"/>
          <w:sz w:val="24"/>
          <w:szCs w:val="24"/>
          <w:lang w:val="en-US"/>
        </w:rPr>
        <w:t>Table 2: Yield and yield components of groundnut as influenced by inoculant and fertilizer treatments</w:t>
      </w:r>
    </w:p>
    <w:tbl>
      <w:tblPr>
        <w:tblStyle w:val="PlainTable21"/>
        <w:tblW w:w="9549" w:type="dxa"/>
        <w:tblInd w:w="-243" w:type="dxa"/>
        <w:tblLayout w:type="fixed"/>
        <w:tblLook w:val="04A0" w:firstRow="1" w:lastRow="0" w:firstColumn="1" w:lastColumn="0" w:noHBand="0" w:noVBand="1"/>
      </w:tblPr>
      <w:tblGrid>
        <w:gridCol w:w="2830"/>
        <w:gridCol w:w="946"/>
        <w:gridCol w:w="1034"/>
        <w:gridCol w:w="1140"/>
        <w:gridCol w:w="977"/>
        <w:gridCol w:w="962"/>
        <w:gridCol w:w="1660"/>
      </w:tblGrid>
      <w:tr w:rsidR="006E6D81" w14:paraId="2F1393FA" w14:textId="77777777" w:rsidTr="006E6D81">
        <w:trPr>
          <w:cnfStyle w:val="100000000000" w:firstRow="1" w:lastRow="0" w:firstColumn="0" w:lastColumn="0" w:oddVBand="0" w:evenVBand="0" w:oddHBand="0"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000000"/>
              <w:left w:val="single" w:sz="8" w:space="0" w:color="000000"/>
              <w:bottom w:val="single" w:sz="8" w:space="0" w:color="000000"/>
              <w:right w:val="single" w:sz="8" w:space="0" w:color="000000"/>
            </w:tcBorders>
            <w:shd w:val="clear" w:color="auto" w:fill="FFFFFF"/>
          </w:tcPr>
          <w:p w14:paraId="75802A29" w14:textId="77777777" w:rsidR="006E6D81" w:rsidRDefault="00E053B0">
            <w:pPr>
              <w:spacing w:after="0" w:line="240" w:lineRule="auto"/>
              <w:rPr>
                <w:rFonts w:ascii="Calibri" w:hAnsi="Calibri" w:cs="Calibri"/>
                <w:bCs w:val="0"/>
                <w:color w:val="000000"/>
                <w:sz w:val="20"/>
                <w:szCs w:val="20"/>
                <w:lang w:val="en-US"/>
              </w:rPr>
            </w:pPr>
            <w:r>
              <w:rPr>
                <w:rFonts w:ascii="Calibri" w:hAnsi="Calibri" w:cs="Calibri"/>
                <w:b w:val="0"/>
                <w:color w:val="000000"/>
                <w:sz w:val="20"/>
                <w:szCs w:val="20"/>
                <w:lang w:val="en-US"/>
              </w:rPr>
              <w:t xml:space="preserve">Treatments </w:t>
            </w:r>
          </w:p>
        </w:tc>
        <w:tc>
          <w:tcPr>
            <w:tcW w:w="946" w:type="dxa"/>
            <w:tcBorders>
              <w:top w:val="single" w:sz="8" w:space="0" w:color="000000"/>
              <w:left w:val="single" w:sz="8" w:space="0" w:color="000000"/>
              <w:bottom w:val="single" w:sz="8" w:space="0" w:color="000000"/>
              <w:right w:val="single" w:sz="8" w:space="0" w:color="000000"/>
            </w:tcBorders>
            <w:shd w:val="clear" w:color="auto" w:fill="FFFFFF"/>
          </w:tcPr>
          <w:p w14:paraId="50DE67B2"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Plant count</w:t>
            </w:r>
            <w:r>
              <w:rPr>
                <w:rStyle w:val="CommentReference"/>
                <w:b w:val="0"/>
                <w:bCs w:val="0"/>
                <w:lang w:val="en-US"/>
              </w:rPr>
              <w:t xml:space="preserve"> at harvest</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Pr>
          <w:p w14:paraId="7F3CFACA"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 xml:space="preserve">Nodule count </w:t>
            </w:r>
          </w:p>
          <w:p w14:paraId="616E237F"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at 45 days</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Pr>
          <w:p w14:paraId="5954B2C0"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 xml:space="preserve">Nodule weight </w:t>
            </w:r>
          </w:p>
          <w:p w14:paraId="215A5402"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 xml:space="preserve">at 45 days </w:t>
            </w:r>
          </w:p>
          <w:p w14:paraId="2155858E"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(g)</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14:paraId="68F14E3C"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proofErr w:type="gramStart"/>
            <w:r>
              <w:rPr>
                <w:rFonts w:ascii="Calibri" w:hAnsi="Calibri" w:cs="Calibri"/>
                <w:b w:val="0"/>
                <w:color w:val="000000"/>
                <w:sz w:val="20"/>
                <w:szCs w:val="20"/>
                <w:lang w:val="en-US"/>
              </w:rPr>
              <w:t>Pod  load</w:t>
            </w:r>
            <w:proofErr w:type="gramEnd"/>
            <w:r>
              <w:rPr>
                <w:rFonts w:ascii="Calibri" w:hAnsi="Calibri" w:cs="Calibri"/>
                <w:b w:val="0"/>
                <w:color w:val="000000"/>
                <w:sz w:val="20"/>
                <w:szCs w:val="20"/>
                <w:lang w:val="en-US"/>
              </w:rPr>
              <w:t xml:space="preserve"> of 10 plants</w:t>
            </w:r>
          </w:p>
        </w:tc>
        <w:tc>
          <w:tcPr>
            <w:tcW w:w="962" w:type="dxa"/>
            <w:tcBorders>
              <w:top w:val="single" w:sz="8" w:space="0" w:color="000000"/>
              <w:left w:val="single" w:sz="8" w:space="0" w:color="000000"/>
              <w:bottom w:val="single" w:sz="8" w:space="0" w:color="000000"/>
              <w:right w:val="single" w:sz="8" w:space="0" w:color="000000"/>
            </w:tcBorders>
            <w:shd w:val="clear" w:color="auto" w:fill="FFFFFF"/>
          </w:tcPr>
          <w:p w14:paraId="0C532FBD"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 xml:space="preserve">Haulm yield </w:t>
            </w:r>
          </w:p>
          <w:p w14:paraId="6E5B1443"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(t/ha)</w:t>
            </w:r>
          </w:p>
        </w:tc>
        <w:tc>
          <w:tcPr>
            <w:tcW w:w="1660" w:type="dxa"/>
            <w:tcBorders>
              <w:top w:val="single" w:sz="8" w:space="0" w:color="000000"/>
              <w:left w:val="single" w:sz="8" w:space="0" w:color="000000"/>
              <w:bottom w:val="single" w:sz="8" w:space="0" w:color="000000"/>
              <w:right w:val="single" w:sz="8" w:space="0" w:color="000000"/>
            </w:tcBorders>
            <w:shd w:val="clear" w:color="auto" w:fill="FFFFFF"/>
          </w:tcPr>
          <w:p w14:paraId="37254DCB"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 xml:space="preserve">Yield </w:t>
            </w:r>
          </w:p>
          <w:p w14:paraId="2D263D8A" w14:textId="77777777" w:rsidR="006E6D81" w:rsidRDefault="00E053B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0"/>
                <w:szCs w:val="20"/>
                <w:lang w:val="en-US"/>
              </w:rPr>
            </w:pPr>
            <w:r>
              <w:rPr>
                <w:rFonts w:ascii="Calibri" w:hAnsi="Calibri" w:cs="Calibri"/>
                <w:b w:val="0"/>
                <w:color w:val="000000"/>
                <w:sz w:val="20"/>
                <w:szCs w:val="20"/>
                <w:lang w:val="en-US"/>
              </w:rPr>
              <w:t>(t/ha)</w:t>
            </w:r>
          </w:p>
        </w:tc>
      </w:tr>
      <w:tr w:rsidR="006E6D81" w14:paraId="51E0239F" w14:textId="77777777" w:rsidTr="006E6D81">
        <w:trPr>
          <w:trHeight w:val="155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000000"/>
              <w:left w:val="single" w:sz="8" w:space="0" w:color="000000"/>
              <w:bottom w:val="single" w:sz="8" w:space="0" w:color="000000"/>
              <w:right w:val="single" w:sz="8" w:space="0" w:color="000000"/>
            </w:tcBorders>
            <w:shd w:val="clear" w:color="auto" w:fill="FFFFFF"/>
          </w:tcPr>
          <w:p w14:paraId="1D20A42E" w14:textId="77777777" w:rsidR="006E6D81" w:rsidRDefault="00E053B0">
            <w:pPr>
              <w:spacing w:after="0" w:line="240" w:lineRule="auto"/>
              <w:rPr>
                <w:rFonts w:ascii="Calibri" w:hAnsi="Calibri" w:cs="Calibri"/>
                <w:b w:val="0"/>
                <w:color w:val="000000"/>
                <w:sz w:val="20"/>
                <w:szCs w:val="20"/>
                <w:lang w:val="en-US"/>
              </w:rPr>
            </w:pPr>
            <w:r>
              <w:rPr>
                <w:rFonts w:ascii="Calibri" w:hAnsi="Calibri" w:cs="Calibri"/>
                <w:b w:val="0"/>
                <w:color w:val="000000"/>
                <w:sz w:val="20"/>
                <w:szCs w:val="20"/>
                <w:lang w:val="en-US"/>
              </w:rPr>
              <w:t xml:space="preserve">Control </w:t>
            </w:r>
          </w:p>
          <w:p w14:paraId="084741B2" w14:textId="77777777" w:rsidR="006E6D81" w:rsidRDefault="00E053B0">
            <w:pPr>
              <w:spacing w:after="0" w:line="240" w:lineRule="auto"/>
              <w:rPr>
                <w:rFonts w:ascii="Calibri" w:hAnsi="Calibri" w:cs="Calibri"/>
                <w:b w:val="0"/>
                <w:color w:val="000000"/>
                <w:sz w:val="20"/>
                <w:szCs w:val="20"/>
                <w:lang w:val="en-US"/>
              </w:rPr>
            </w:pPr>
            <w:r>
              <w:rPr>
                <w:rFonts w:ascii="Calibri" w:hAnsi="Calibri" w:cs="Calibri"/>
                <w:b w:val="0"/>
                <w:color w:val="000000"/>
                <w:sz w:val="20"/>
                <w:szCs w:val="20"/>
                <w:lang w:val="en-US"/>
              </w:rPr>
              <w:t>Rhizobia inoculant</w:t>
            </w:r>
          </w:p>
          <w:p w14:paraId="30AFF9FE" w14:textId="77777777" w:rsidR="006E6D81" w:rsidRDefault="00E053B0">
            <w:pPr>
              <w:spacing w:after="0" w:line="240" w:lineRule="auto"/>
              <w:rPr>
                <w:rFonts w:ascii="Calibri" w:hAnsi="Calibri" w:cs="Calibri"/>
                <w:b w:val="0"/>
                <w:color w:val="000000"/>
                <w:sz w:val="20"/>
                <w:szCs w:val="20"/>
                <w:lang w:val="en-US"/>
              </w:rPr>
            </w:pPr>
            <w:r>
              <w:rPr>
                <w:rFonts w:ascii="Calibri" w:hAnsi="Calibri" w:cs="Calibri"/>
                <w:b w:val="0"/>
                <w:color w:val="000000"/>
                <w:sz w:val="20"/>
                <w:szCs w:val="20"/>
                <w:lang w:val="en-US"/>
              </w:rPr>
              <w:t>TSP fertilizer</w:t>
            </w:r>
          </w:p>
          <w:p w14:paraId="6A16652E" w14:textId="77777777" w:rsidR="006E6D81" w:rsidRDefault="00E053B0">
            <w:pPr>
              <w:spacing w:after="0" w:line="240" w:lineRule="auto"/>
              <w:rPr>
                <w:rFonts w:ascii="Calibri" w:hAnsi="Calibri" w:cs="Calibri"/>
                <w:b w:val="0"/>
                <w:color w:val="000000"/>
                <w:sz w:val="20"/>
                <w:szCs w:val="20"/>
                <w:lang w:val="en-US"/>
              </w:rPr>
            </w:pPr>
            <w:proofErr w:type="spellStart"/>
            <w:r>
              <w:rPr>
                <w:rFonts w:ascii="Calibri" w:hAnsi="Calibri" w:cs="Calibri"/>
                <w:b w:val="0"/>
                <w:color w:val="000000"/>
                <w:sz w:val="20"/>
                <w:szCs w:val="20"/>
                <w:lang w:val="en-US"/>
              </w:rPr>
              <w:t>YaraLegume</w:t>
            </w:r>
            <w:proofErr w:type="spellEnd"/>
            <w:r>
              <w:rPr>
                <w:rFonts w:ascii="Calibri" w:hAnsi="Calibri" w:cs="Calibri"/>
                <w:b w:val="0"/>
                <w:color w:val="000000"/>
                <w:sz w:val="20"/>
                <w:szCs w:val="20"/>
                <w:lang w:val="en-US"/>
              </w:rPr>
              <w:t xml:space="preserve"> fertilizer</w:t>
            </w:r>
          </w:p>
          <w:p w14:paraId="783482BA" w14:textId="77777777" w:rsidR="006E6D81" w:rsidRDefault="00E053B0">
            <w:pPr>
              <w:numPr>
                <w:ilvl w:val="0"/>
                <w:numId w:val="3"/>
              </w:numPr>
              <w:spacing w:after="0" w:line="240" w:lineRule="auto"/>
              <w:rPr>
                <w:rFonts w:ascii="Calibri" w:hAnsi="Calibri" w:cs="Calibri"/>
                <w:b w:val="0"/>
                <w:color w:val="000000"/>
                <w:sz w:val="20"/>
                <w:szCs w:val="20"/>
                <w:lang w:val="en-US"/>
              </w:rPr>
            </w:pPr>
            <w:r>
              <w:rPr>
                <w:rFonts w:ascii="Calibri" w:hAnsi="Calibri" w:cs="Calibri"/>
                <w:b w:val="0"/>
                <w:color w:val="000000"/>
                <w:sz w:val="20"/>
                <w:szCs w:val="20"/>
                <w:lang w:val="en-US"/>
              </w:rPr>
              <w:t>inoculant +TSP</w:t>
            </w:r>
          </w:p>
          <w:p w14:paraId="118824CA" w14:textId="77777777" w:rsidR="006E6D81" w:rsidRDefault="00E053B0">
            <w:pPr>
              <w:spacing w:after="0" w:line="240" w:lineRule="auto"/>
              <w:rPr>
                <w:rFonts w:ascii="Calibri" w:hAnsi="Calibri" w:cs="Calibri"/>
                <w:b w:val="0"/>
                <w:color w:val="000000"/>
                <w:sz w:val="20"/>
                <w:szCs w:val="20"/>
                <w:lang w:val="en-US"/>
              </w:rPr>
            </w:pPr>
            <w:r>
              <w:rPr>
                <w:rFonts w:ascii="Calibri" w:hAnsi="Calibri" w:cs="Calibri"/>
                <w:b w:val="0"/>
                <w:color w:val="000000"/>
                <w:sz w:val="20"/>
                <w:szCs w:val="20"/>
                <w:lang w:val="en-US"/>
              </w:rPr>
              <w:t xml:space="preserve">R. inoculant + </w:t>
            </w:r>
            <w:proofErr w:type="spellStart"/>
            <w:r>
              <w:rPr>
                <w:rFonts w:ascii="Calibri" w:hAnsi="Calibri" w:cs="Calibri"/>
                <w:b w:val="0"/>
                <w:color w:val="000000"/>
                <w:sz w:val="20"/>
                <w:szCs w:val="20"/>
                <w:lang w:val="en-US"/>
              </w:rPr>
              <w:t>YaraLegume</w:t>
            </w:r>
            <w:proofErr w:type="spellEnd"/>
          </w:p>
        </w:tc>
        <w:tc>
          <w:tcPr>
            <w:tcW w:w="946" w:type="dxa"/>
            <w:tcBorders>
              <w:top w:val="single" w:sz="8" w:space="0" w:color="000000"/>
              <w:left w:val="single" w:sz="8" w:space="0" w:color="000000"/>
              <w:bottom w:val="single" w:sz="8" w:space="0" w:color="000000"/>
              <w:right w:val="single" w:sz="8" w:space="0" w:color="000000"/>
            </w:tcBorders>
            <w:shd w:val="clear" w:color="auto" w:fill="FFFFFF"/>
          </w:tcPr>
          <w:p w14:paraId="2EF81FB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36</w:t>
            </w:r>
          </w:p>
          <w:p w14:paraId="7FE6850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37</w:t>
            </w:r>
          </w:p>
          <w:p w14:paraId="49894E0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34.8</w:t>
            </w:r>
          </w:p>
          <w:p w14:paraId="33844F1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43.8</w:t>
            </w:r>
          </w:p>
          <w:p w14:paraId="75DA332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36</w:t>
            </w:r>
          </w:p>
          <w:p w14:paraId="4EE9B2F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36</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Pr>
          <w:p w14:paraId="768480EE"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32.5</w:t>
            </w:r>
          </w:p>
          <w:p w14:paraId="54530F5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44.8</w:t>
            </w:r>
          </w:p>
          <w:p w14:paraId="117F5CC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50.3</w:t>
            </w:r>
          </w:p>
          <w:p w14:paraId="5E17540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47.5</w:t>
            </w:r>
          </w:p>
          <w:p w14:paraId="3FFE5AB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48.0</w:t>
            </w:r>
          </w:p>
          <w:p w14:paraId="1BEA183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56.0</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Pr>
          <w:p w14:paraId="7EAF964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0.16</w:t>
            </w:r>
          </w:p>
          <w:p w14:paraId="3124E049"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0.16</w:t>
            </w:r>
          </w:p>
          <w:p w14:paraId="6EBD16E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0.26</w:t>
            </w:r>
          </w:p>
          <w:p w14:paraId="67237EB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0.24</w:t>
            </w:r>
          </w:p>
          <w:p w14:paraId="57C12FA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0.23</w:t>
            </w:r>
          </w:p>
          <w:p w14:paraId="294F3A6C"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0.28</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14:paraId="5F80FFA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215.0</w:t>
            </w:r>
          </w:p>
          <w:p w14:paraId="72DC68E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251.5</w:t>
            </w:r>
          </w:p>
          <w:p w14:paraId="0CB171D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277.8</w:t>
            </w:r>
          </w:p>
          <w:p w14:paraId="0E67F0D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254.8</w:t>
            </w:r>
          </w:p>
          <w:p w14:paraId="448F050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265.0</w:t>
            </w:r>
          </w:p>
          <w:p w14:paraId="3DC0BBB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259.3</w:t>
            </w:r>
          </w:p>
        </w:tc>
        <w:tc>
          <w:tcPr>
            <w:tcW w:w="962" w:type="dxa"/>
            <w:tcBorders>
              <w:top w:val="single" w:sz="8" w:space="0" w:color="000000"/>
              <w:left w:val="single" w:sz="8" w:space="0" w:color="000000"/>
              <w:bottom w:val="single" w:sz="8" w:space="0" w:color="000000"/>
              <w:right w:val="single" w:sz="8" w:space="0" w:color="000000"/>
            </w:tcBorders>
            <w:shd w:val="clear" w:color="auto" w:fill="FFFFFF"/>
          </w:tcPr>
          <w:p w14:paraId="25EEB4C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2.94</w:t>
            </w:r>
          </w:p>
          <w:p w14:paraId="5199E07A"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2.50</w:t>
            </w:r>
          </w:p>
          <w:p w14:paraId="17458C4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2.38</w:t>
            </w:r>
          </w:p>
          <w:p w14:paraId="62233F1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2.39</w:t>
            </w:r>
          </w:p>
          <w:p w14:paraId="7D38DB4D"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2.31</w:t>
            </w:r>
          </w:p>
          <w:p w14:paraId="094219C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2.22</w:t>
            </w:r>
          </w:p>
        </w:tc>
        <w:tc>
          <w:tcPr>
            <w:tcW w:w="1660" w:type="dxa"/>
            <w:tcBorders>
              <w:top w:val="single" w:sz="8" w:space="0" w:color="000000"/>
              <w:left w:val="single" w:sz="8" w:space="0" w:color="000000"/>
              <w:bottom w:val="single" w:sz="8" w:space="0" w:color="000000"/>
              <w:right w:val="single" w:sz="8" w:space="0" w:color="000000"/>
            </w:tcBorders>
            <w:shd w:val="clear" w:color="auto" w:fill="FFFFFF"/>
          </w:tcPr>
          <w:p w14:paraId="47E3A40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0.57</w:t>
            </w:r>
          </w:p>
          <w:p w14:paraId="0319B93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0.85</w:t>
            </w:r>
          </w:p>
          <w:p w14:paraId="0CE2CCF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0.97</w:t>
            </w:r>
          </w:p>
          <w:p w14:paraId="73DF029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0.82</w:t>
            </w:r>
          </w:p>
          <w:p w14:paraId="4D73554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1.01</w:t>
            </w:r>
          </w:p>
          <w:p w14:paraId="5C9B6E3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1.22</w:t>
            </w:r>
          </w:p>
        </w:tc>
      </w:tr>
      <w:tr w:rsidR="006E6D81" w14:paraId="03244553" w14:textId="77777777" w:rsidTr="006E6D81">
        <w:trPr>
          <w:trHeight w:val="806"/>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000000"/>
              <w:left w:val="single" w:sz="8" w:space="0" w:color="000000"/>
              <w:bottom w:val="single" w:sz="8" w:space="0" w:color="000000"/>
              <w:right w:val="single" w:sz="8" w:space="0" w:color="000000"/>
            </w:tcBorders>
            <w:shd w:val="clear" w:color="auto" w:fill="FFFFFF"/>
          </w:tcPr>
          <w:p w14:paraId="1EC37D54" w14:textId="77777777" w:rsidR="006E6D81" w:rsidRDefault="00E053B0">
            <w:pPr>
              <w:spacing w:after="0" w:line="240" w:lineRule="auto"/>
              <w:rPr>
                <w:rFonts w:ascii="Calibri" w:hAnsi="Calibri" w:cs="Calibri"/>
                <w:bCs w:val="0"/>
                <w:color w:val="000000"/>
                <w:sz w:val="20"/>
                <w:szCs w:val="20"/>
                <w:lang w:val="en-US"/>
              </w:rPr>
            </w:pPr>
            <w:r>
              <w:rPr>
                <w:rFonts w:ascii="Calibri" w:hAnsi="Calibri" w:cs="Calibri"/>
                <w:i/>
                <w:color w:val="000000"/>
                <w:sz w:val="20"/>
                <w:szCs w:val="20"/>
                <w:lang w:val="en-US"/>
              </w:rPr>
              <w:t>P</w:t>
            </w:r>
            <w:r>
              <w:rPr>
                <w:rFonts w:ascii="Calibri" w:hAnsi="Calibri" w:cs="Calibri"/>
                <w:b w:val="0"/>
                <w:color w:val="000000"/>
                <w:sz w:val="20"/>
                <w:szCs w:val="20"/>
                <w:lang w:val="en-US"/>
              </w:rPr>
              <w:t>&lt;0.05</w:t>
            </w:r>
          </w:p>
          <w:p w14:paraId="4CABCEF0" w14:textId="77777777" w:rsidR="006E6D81" w:rsidRDefault="00E053B0">
            <w:pPr>
              <w:spacing w:after="0" w:line="240" w:lineRule="auto"/>
              <w:rPr>
                <w:rFonts w:ascii="Calibri" w:hAnsi="Calibri" w:cs="Calibri"/>
                <w:bCs w:val="0"/>
                <w:color w:val="000000"/>
                <w:sz w:val="20"/>
                <w:szCs w:val="20"/>
                <w:lang w:val="en-US"/>
              </w:rPr>
            </w:pPr>
            <w:r>
              <w:rPr>
                <w:rFonts w:ascii="Calibri" w:hAnsi="Calibri" w:cs="Calibri"/>
                <w:b w:val="0"/>
                <w:color w:val="000000"/>
                <w:sz w:val="20"/>
                <w:szCs w:val="20"/>
                <w:lang w:val="en-US"/>
              </w:rPr>
              <w:t>CV</w:t>
            </w:r>
          </w:p>
          <w:p w14:paraId="762EBBB4" w14:textId="77777777" w:rsidR="006E6D81" w:rsidRDefault="00E053B0">
            <w:pPr>
              <w:spacing w:after="0" w:line="240" w:lineRule="auto"/>
              <w:rPr>
                <w:rFonts w:ascii="Calibri" w:hAnsi="Calibri" w:cs="Calibri"/>
                <w:bCs w:val="0"/>
                <w:color w:val="000000"/>
                <w:sz w:val="20"/>
                <w:szCs w:val="20"/>
                <w:lang w:val="en-US"/>
              </w:rPr>
            </w:pPr>
            <w:r>
              <w:rPr>
                <w:rFonts w:ascii="Calibri" w:hAnsi="Calibri" w:cs="Calibri"/>
                <w:b w:val="0"/>
                <w:color w:val="000000"/>
                <w:sz w:val="20"/>
                <w:szCs w:val="20"/>
                <w:lang w:val="en-US"/>
              </w:rPr>
              <w:t>Grand mean</w:t>
            </w:r>
          </w:p>
        </w:tc>
        <w:tc>
          <w:tcPr>
            <w:tcW w:w="946" w:type="dxa"/>
            <w:tcBorders>
              <w:top w:val="single" w:sz="8" w:space="0" w:color="000000"/>
              <w:left w:val="single" w:sz="8" w:space="0" w:color="000000"/>
              <w:bottom w:val="single" w:sz="8" w:space="0" w:color="000000"/>
              <w:right w:val="single" w:sz="8" w:space="0" w:color="000000"/>
            </w:tcBorders>
            <w:shd w:val="clear" w:color="auto" w:fill="FFFFFF"/>
          </w:tcPr>
          <w:p w14:paraId="79E3E58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ns</w:t>
            </w:r>
          </w:p>
          <w:p w14:paraId="36E9065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22.9</w:t>
            </w:r>
          </w:p>
          <w:p w14:paraId="24A52E8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36.4</w:t>
            </w:r>
          </w:p>
        </w:tc>
        <w:tc>
          <w:tcPr>
            <w:tcW w:w="1034" w:type="dxa"/>
            <w:tcBorders>
              <w:top w:val="single" w:sz="8" w:space="0" w:color="000000"/>
              <w:left w:val="single" w:sz="8" w:space="0" w:color="000000"/>
              <w:bottom w:val="single" w:sz="8" w:space="0" w:color="000000"/>
              <w:right w:val="single" w:sz="8" w:space="0" w:color="000000"/>
            </w:tcBorders>
            <w:shd w:val="clear" w:color="auto" w:fill="FFFFFF"/>
          </w:tcPr>
          <w:p w14:paraId="6FF661E8"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0.05</w:t>
            </w:r>
          </w:p>
          <w:p w14:paraId="5A16E6F5"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20.6</w:t>
            </w:r>
          </w:p>
          <w:p w14:paraId="3BA7319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46.5</w:t>
            </w:r>
          </w:p>
        </w:tc>
        <w:tc>
          <w:tcPr>
            <w:tcW w:w="1140" w:type="dxa"/>
            <w:tcBorders>
              <w:top w:val="single" w:sz="8" w:space="0" w:color="000000"/>
              <w:left w:val="single" w:sz="8" w:space="0" w:color="000000"/>
              <w:bottom w:val="single" w:sz="8" w:space="0" w:color="000000"/>
              <w:right w:val="single" w:sz="8" w:space="0" w:color="000000"/>
            </w:tcBorders>
            <w:shd w:val="clear" w:color="auto" w:fill="FFFFFF"/>
          </w:tcPr>
          <w:p w14:paraId="1825B5D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0.05</w:t>
            </w:r>
          </w:p>
          <w:p w14:paraId="79BCA521"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28.2</w:t>
            </w:r>
          </w:p>
          <w:p w14:paraId="5517E88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0.21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Pr>
          <w:p w14:paraId="113FB772"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Ns</w:t>
            </w:r>
          </w:p>
          <w:p w14:paraId="546D3953"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33.1</w:t>
            </w:r>
          </w:p>
          <w:p w14:paraId="7D3D05B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253.9</w:t>
            </w:r>
          </w:p>
        </w:tc>
        <w:tc>
          <w:tcPr>
            <w:tcW w:w="962" w:type="dxa"/>
            <w:tcBorders>
              <w:top w:val="single" w:sz="8" w:space="0" w:color="000000"/>
              <w:left w:val="single" w:sz="8" w:space="0" w:color="000000"/>
              <w:bottom w:val="single" w:sz="8" w:space="0" w:color="000000"/>
              <w:right w:val="single" w:sz="8" w:space="0" w:color="000000"/>
            </w:tcBorders>
            <w:shd w:val="clear" w:color="auto" w:fill="FFFFFF"/>
          </w:tcPr>
          <w:p w14:paraId="2911DC4F"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ns</w:t>
            </w:r>
          </w:p>
          <w:p w14:paraId="2D3D8277"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53.7</w:t>
            </w:r>
          </w:p>
          <w:p w14:paraId="2BC2D8D0"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2.60</w:t>
            </w:r>
          </w:p>
        </w:tc>
        <w:tc>
          <w:tcPr>
            <w:tcW w:w="1660" w:type="dxa"/>
            <w:tcBorders>
              <w:top w:val="single" w:sz="8" w:space="0" w:color="000000"/>
              <w:left w:val="single" w:sz="8" w:space="0" w:color="000000"/>
              <w:bottom w:val="single" w:sz="8" w:space="0" w:color="000000"/>
              <w:right w:val="single" w:sz="8" w:space="0" w:color="000000"/>
            </w:tcBorders>
            <w:shd w:val="clear" w:color="auto" w:fill="FFFFFF"/>
          </w:tcPr>
          <w:p w14:paraId="6D046546"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0.05</w:t>
            </w:r>
          </w:p>
          <w:p w14:paraId="5CAE13BB"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23.2</w:t>
            </w:r>
          </w:p>
          <w:p w14:paraId="1D37DCF4" w14:textId="77777777" w:rsidR="006E6D81" w:rsidRDefault="00E053B0">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US"/>
              </w:rPr>
            </w:pPr>
            <w:r>
              <w:rPr>
                <w:rFonts w:ascii="Calibri" w:hAnsi="Calibri" w:cs="Calibri"/>
                <w:color w:val="000000"/>
                <w:sz w:val="20"/>
                <w:szCs w:val="20"/>
                <w:lang w:val="en-US"/>
              </w:rPr>
              <w:t>0.91</w:t>
            </w:r>
          </w:p>
        </w:tc>
      </w:tr>
    </w:tbl>
    <w:p w14:paraId="21843BF9" w14:textId="77777777" w:rsidR="006E6D81" w:rsidRDefault="006E6D81">
      <w:pPr>
        <w:autoSpaceDE w:val="0"/>
        <w:autoSpaceDN w:val="0"/>
        <w:adjustRightInd w:val="0"/>
        <w:spacing w:line="240" w:lineRule="auto"/>
        <w:jc w:val="both"/>
        <w:rPr>
          <w:rFonts w:cs="Times New Roman"/>
          <w:b/>
          <w:lang w:val="en-US"/>
        </w:rPr>
      </w:pPr>
    </w:p>
    <w:p w14:paraId="68FD897D" w14:textId="77777777" w:rsidR="006E6D81" w:rsidRDefault="006E6D81">
      <w:pPr>
        <w:autoSpaceDE w:val="0"/>
        <w:autoSpaceDN w:val="0"/>
        <w:adjustRightInd w:val="0"/>
        <w:spacing w:line="240" w:lineRule="auto"/>
        <w:jc w:val="both"/>
        <w:rPr>
          <w:rFonts w:cs="Times New Roman"/>
          <w:b/>
          <w:lang w:val="en-US"/>
        </w:rPr>
      </w:pPr>
    </w:p>
    <w:p w14:paraId="61905C92" w14:textId="77777777" w:rsidR="006E6D81" w:rsidRDefault="006E6D81">
      <w:pPr>
        <w:autoSpaceDE w:val="0"/>
        <w:autoSpaceDN w:val="0"/>
        <w:adjustRightInd w:val="0"/>
        <w:spacing w:line="240" w:lineRule="auto"/>
        <w:jc w:val="both"/>
        <w:rPr>
          <w:rFonts w:cs="Times New Roman"/>
          <w:b/>
          <w:lang w:val="en-US"/>
        </w:rPr>
      </w:pPr>
    </w:p>
    <w:p w14:paraId="7A3C36E9" w14:textId="77777777" w:rsidR="006E6D81" w:rsidRDefault="00E053B0">
      <w:pPr>
        <w:autoSpaceDE w:val="0"/>
        <w:autoSpaceDN w:val="0"/>
        <w:adjustRightInd w:val="0"/>
        <w:spacing w:line="240" w:lineRule="auto"/>
        <w:jc w:val="both"/>
        <w:rPr>
          <w:rFonts w:cs="Times New Roman"/>
          <w:b/>
          <w:sz w:val="24"/>
          <w:szCs w:val="24"/>
          <w:lang w:val="en-US"/>
        </w:rPr>
      </w:pPr>
      <w:r>
        <w:rPr>
          <w:rFonts w:cs="Times New Roman"/>
          <w:b/>
          <w:sz w:val="24"/>
          <w:szCs w:val="24"/>
          <w:lang w:val="en-US"/>
        </w:rPr>
        <w:t xml:space="preserve">3.3 Effect of integrated pest management (IPM) practices on yield </w:t>
      </w:r>
    </w:p>
    <w:p w14:paraId="73137BBB" w14:textId="54F874EB" w:rsidR="006E6D81" w:rsidRDefault="00E053B0">
      <w:pPr>
        <w:autoSpaceDE w:val="0"/>
        <w:autoSpaceDN w:val="0"/>
        <w:adjustRightInd w:val="0"/>
        <w:spacing w:line="240" w:lineRule="auto"/>
        <w:jc w:val="both"/>
        <w:rPr>
          <w:rFonts w:cs="Times New Roman"/>
          <w:sz w:val="24"/>
          <w:szCs w:val="24"/>
          <w:lang w:val="en-US"/>
        </w:rPr>
      </w:pPr>
      <w:r>
        <w:rPr>
          <w:rFonts w:cs="Times New Roman"/>
          <w:sz w:val="24"/>
          <w:szCs w:val="24"/>
          <w:lang w:val="en-US"/>
        </w:rPr>
        <w:t>Tables 3 and 4 present the yield characteristics as well as white flies, leaf spot and rosette incidence in SARINUT 2 u</w:t>
      </w:r>
      <w:r w:rsidR="00A6146F">
        <w:rPr>
          <w:rFonts w:cs="Times New Roman"/>
          <w:sz w:val="24"/>
          <w:szCs w:val="24"/>
          <w:lang w:val="en-US"/>
        </w:rPr>
        <w:t>nder two management practices (C</w:t>
      </w:r>
      <w:r>
        <w:rPr>
          <w:rFonts w:cs="Times New Roman"/>
          <w:sz w:val="24"/>
          <w:szCs w:val="24"/>
          <w:lang w:val="en-US"/>
        </w:rPr>
        <w:t>ontrol and IPM practices). Growth characteristics such as stand count, days to 50% flowering (DFF) and plant height did not significantly (</w:t>
      </w:r>
      <w:r>
        <w:rPr>
          <w:rFonts w:cs="Times New Roman"/>
          <w:i/>
          <w:sz w:val="24"/>
          <w:szCs w:val="24"/>
          <w:lang w:val="en-US"/>
        </w:rPr>
        <w:t>p&lt;0.05</w:t>
      </w:r>
      <w:r>
        <w:rPr>
          <w:rFonts w:cs="Times New Roman"/>
          <w:sz w:val="24"/>
          <w:szCs w:val="24"/>
          <w:lang w:val="en-US"/>
        </w:rPr>
        <w:t xml:space="preserve">) vary between farmer and IPM practices. Pod yield in IPM plots (1.03 t/ha) out-performed the farmer practice (0.64 t/ha) across the locations. Similar trend was </w:t>
      </w:r>
      <w:r>
        <w:rPr>
          <w:rFonts w:cs="Times New Roman"/>
          <w:sz w:val="24"/>
          <w:szCs w:val="24"/>
          <w:lang w:val="en-US"/>
        </w:rPr>
        <w:lastRenderedPageBreak/>
        <w:t>noticed for white flies, leaf spot and rosette incidence where the IPM plots showed better performance than the farmer practice. White flies incidence was lower in the IPM field</w:t>
      </w:r>
      <w:r w:rsidR="00F34B08">
        <w:rPr>
          <w:rFonts w:cs="Times New Roman"/>
          <w:sz w:val="24"/>
          <w:szCs w:val="24"/>
          <w:lang w:val="en-US"/>
        </w:rPr>
        <w:t xml:space="preserve"> during the early to </w:t>
      </w:r>
      <w:r>
        <w:rPr>
          <w:rFonts w:cs="Times New Roman"/>
          <w:sz w:val="24"/>
          <w:szCs w:val="24"/>
          <w:lang w:val="en-US"/>
        </w:rPr>
        <w:t xml:space="preserve">mid-season </w:t>
      </w:r>
      <w:proofErr w:type="gramStart"/>
      <w:r>
        <w:rPr>
          <w:rFonts w:cs="Times New Roman"/>
          <w:sz w:val="24"/>
          <w:szCs w:val="24"/>
          <w:lang w:val="en-US"/>
        </w:rPr>
        <w:t>but  increased</w:t>
      </w:r>
      <w:proofErr w:type="gramEnd"/>
      <w:r>
        <w:rPr>
          <w:rFonts w:cs="Times New Roman"/>
          <w:sz w:val="24"/>
          <w:szCs w:val="24"/>
          <w:lang w:val="en-US"/>
        </w:rPr>
        <w:t xml:space="preserve"> steadily at late season </w:t>
      </w:r>
      <w:r w:rsidR="00A6146F">
        <w:rPr>
          <w:rFonts w:cs="Times New Roman"/>
          <w:sz w:val="24"/>
          <w:szCs w:val="24"/>
          <w:lang w:val="en-US"/>
        </w:rPr>
        <w:t xml:space="preserve">probably </w:t>
      </w:r>
      <w:r>
        <w:rPr>
          <w:rFonts w:cs="Times New Roman"/>
          <w:sz w:val="24"/>
          <w:szCs w:val="24"/>
          <w:lang w:val="en-US"/>
        </w:rPr>
        <w:t>due to resource availability in those plots.</w:t>
      </w:r>
    </w:p>
    <w:p w14:paraId="4D7EB523" w14:textId="429D400E" w:rsidR="006E6D81" w:rsidRDefault="00E053B0">
      <w:pPr>
        <w:autoSpaceDE w:val="0"/>
        <w:autoSpaceDN w:val="0"/>
        <w:adjustRightInd w:val="0"/>
        <w:spacing w:line="240" w:lineRule="auto"/>
        <w:jc w:val="both"/>
        <w:rPr>
          <w:rFonts w:eastAsia="Calibri" w:cs="Times New Roman"/>
          <w:sz w:val="24"/>
          <w:szCs w:val="24"/>
          <w:lang w:val="en-US"/>
        </w:rPr>
      </w:pPr>
      <w:r>
        <w:rPr>
          <w:rFonts w:cs="Times New Roman"/>
          <w:sz w:val="24"/>
          <w:szCs w:val="24"/>
          <w:lang w:val="en-US"/>
        </w:rPr>
        <w:t xml:space="preserve">Table 5 shows the main effects of location, variety and IPM on yield components of groundnut. Plant establishment was generally good with a population range of 44,500 to 75,500 plants. The effects of location, variety and IPM were significant (P&lt;0.0001) on all yield traits (peg count, pod load, vine yield and pod yield). </w:t>
      </w:r>
      <w:r w:rsidR="00A6146F">
        <w:rPr>
          <w:rFonts w:eastAsia="Calibri" w:cs="Times New Roman"/>
          <w:sz w:val="24"/>
          <w:szCs w:val="24"/>
          <w:lang w:val="en-US"/>
        </w:rPr>
        <w:t xml:space="preserve">Significantly </w:t>
      </w:r>
      <w:r w:rsidR="00F34B08">
        <w:rPr>
          <w:rFonts w:eastAsia="Calibri" w:cs="Times New Roman"/>
          <w:sz w:val="24"/>
          <w:szCs w:val="24"/>
          <w:lang w:val="en-US"/>
        </w:rPr>
        <w:t>higher</w:t>
      </w:r>
      <w:r>
        <w:rPr>
          <w:rFonts w:eastAsia="Calibri" w:cs="Times New Roman"/>
          <w:sz w:val="24"/>
          <w:szCs w:val="24"/>
          <w:lang w:val="en-US"/>
        </w:rPr>
        <w:t xml:space="preserve"> yields were recorded in the </w:t>
      </w:r>
      <w:proofErr w:type="spellStart"/>
      <w:r>
        <w:rPr>
          <w:rFonts w:eastAsia="Calibri" w:cs="Times New Roman"/>
          <w:sz w:val="24"/>
          <w:szCs w:val="24"/>
          <w:lang w:val="en-US"/>
        </w:rPr>
        <w:t>Kassena</w:t>
      </w:r>
      <w:proofErr w:type="spellEnd"/>
      <w:r>
        <w:rPr>
          <w:rFonts w:eastAsia="Calibri" w:cs="Times New Roman"/>
          <w:sz w:val="24"/>
          <w:szCs w:val="24"/>
          <w:lang w:val="en-US"/>
        </w:rPr>
        <w:t xml:space="preserve"> Nankana </w:t>
      </w:r>
      <w:r w:rsidR="00F34B08">
        <w:rPr>
          <w:rFonts w:eastAsia="Calibri" w:cs="Times New Roman"/>
          <w:sz w:val="24"/>
          <w:szCs w:val="24"/>
          <w:lang w:val="en-US"/>
        </w:rPr>
        <w:t>East</w:t>
      </w:r>
      <w:r>
        <w:rPr>
          <w:rFonts w:eastAsia="Calibri" w:cs="Times New Roman"/>
          <w:sz w:val="24"/>
          <w:szCs w:val="24"/>
          <w:lang w:val="en-US"/>
        </w:rPr>
        <w:t xml:space="preserve"> (1.6 t/ha) and </w:t>
      </w:r>
      <w:proofErr w:type="spellStart"/>
      <w:r>
        <w:rPr>
          <w:rFonts w:eastAsia="Calibri" w:cs="Times New Roman"/>
          <w:sz w:val="24"/>
          <w:szCs w:val="24"/>
          <w:lang w:val="en-US"/>
        </w:rPr>
        <w:t>Bulsa</w:t>
      </w:r>
      <w:proofErr w:type="spellEnd"/>
      <w:r>
        <w:rPr>
          <w:rFonts w:eastAsia="Calibri" w:cs="Times New Roman"/>
          <w:sz w:val="24"/>
          <w:szCs w:val="24"/>
          <w:lang w:val="en-US"/>
        </w:rPr>
        <w:t xml:space="preserve"> North (1.3 t/ha), compared to Bongo (0.87 t/ha) and </w:t>
      </w:r>
      <w:proofErr w:type="spellStart"/>
      <w:r>
        <w:rPr>
          <w:rFonts w:eastAsia="Calibri" w:cs="Times New Roman"/>
          <w:sz w:val="24"/>
          <w:szCs w:val="24"/>
          <w:lang w:val="en-US"/>
        </w:rPr>
        <w:t>Kassena</w:t>
      </w:r>
      <w:proofErr w:type="spellEnd"/>
      <w:r>
        <w:rPr>
          <w:rFonts w:eastAsia="Calibri" w:cs="Times New Roman"/>
          <w:sz w:val="24"/>
          <w:szCs w:val="24"/>
          <w:lang w:val="en-US"/>
        </w:rPr>
        <w:t xml:space="preserve"> Nankana West (0.62 t/ha) districts. SARINUT 2 (1.26 t/ha) and </w:t>
      </w:r>
      <w:proofErr w:type="spellStart"/>
      <w:r>
        <w:rPr>
          <w:rFonts w:eastAsia="Calibri" w:cs="Times New Roman"/>
          <w:sz w:val="24"/>
          <w:szCs w:val="24"/>
          <w:lang w:val="en-US"/>
        </w:rPr>
        <w:t>Nkatie</w:t>
      </w:r>
      <w:proofErr w:type="spellEnd"/>
      <w:r>
        <w:rPr>
          <w:rFonts w:eastAsia="Calibri" w:cs="Times New Roman"/>
          <w:sz w:val="24"/>
          <w:szCs w:val="24"/>
          <w:lang w:val="en-US"/>
        </w:rPr>
        <w:t xml:space="preserve"> SARI (1.18 t/ha) recorded similar yields, which were significantly higher than the farmer variety (0.91 t/ha). Also, higher yields were recorded in the IPM plots (1.31 t/ha) compared to farmer practices (0.93 t/ha) plots. </w:t>
      </w:r>
    </w:p>
    <w:p w14:paraId="10F7D177" w14:textId="1157E297" w:rsidR="006E6D81" w:rsidRDefault="00E053B0">
      <w:pPr>
        <w:autoSpaceDE w:val="0"/>
        <w:autoSpaceDN w:val="0"/>
        <w:adjustRightInd w:val="0"/>
        <w:spacing w:line="240" w:lineRule="auto"/>
        <w:jc w:val="both"/>
        <w:rPr>
          <w:rFonts w:cs="Times New Roman"/>
          <w:bCs/>
          <w:sz w:val="24"/>
          <w:szCs w:val="24"/>
          <w:lang w:val="en-US"/>
        </w:rPr>
      </w:pPr>
      <w:r>
        <w:rPr>
          <w:rFonts w:cs="Times New Roman"/>
          <w:bCs/>
          <w:sz w:val="24"/>
          <w:szCs w:val="24"/>
          <w:lang w:val="en-US"/>
        </w:rPr>
        <w:t>Table 3: Agronomic yield characteristic of groundnut (SARINUT 2) under 2 management practices</w:t>
      </w:r>
    </w:p>
    <w:tbl>
      <w:tblPr>
        <w:tblStyle w:val="PlainTable21"/>
        <w:tblW w:w="9883" w:type="dxa"/>
        <w:tblInd w:w="-559" w:type="dxa"/>
        <w:tblLayout w:type="fixed"/>
        <w:tblLook w:val="04A0" w:firstRow="1" w:lastRow="0" w:firstColumn="1" w:lastColumn="0" w:noHBand="0" w:noVBand="1"/>
      </w:tblPr>
      <w:tblGrid>
        <w:gridCol w:w="2608"/>
        <w:gridCol w:w="815"/>
        <w:gridCol w:w="1039"/>
        <w:gridCol w:w="823"/>
        <w:gridCol w:w="1077"/>
        <w:gridCol w:w="1169"/>
        <w:gridCol w:w="1092"/>
        <w:gridCol w:w="1260"/>
      </w:tblGrid>
      <w:tr w:rsidR="006E6D81" w14:paraId="0532E465" w14:textId="77777777" w:rsidTr="006E6D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8" w:type="dxa"/>
            <w:tcBorders>
              <w:top w:val="single" w:sz="8" w:space="0" w:color="000000"/>
              <w:left w:val="single" w:sz="8" w:space="0" w:color="000000"/>
              <w:bottom w:val="single" w:sz="8" w:space="0" w:color="000000"/>
              <w:right w:val="single" w:sz="8" w:space="0" w:color="000000"/>
            </w:tcBorders>
            <w:shd w:val="clear" w:color="auto" w:fill="FFFFFF"/>
          </w:tcPr>
          <w:p w14:paraId="0E2B7C3A"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 xml:space="preserve">Treatments </w:t>
            </w:r>
          </w:p>
        </w:tc>
        <w:tc>
          <w:tcPr>
            <w:tcW w:w="815" w:type="dxa"/>
            <w:tcBorders>
              <w:top w:val="single" w:sz="8" w:space="0" w:color="000000"/>
              <w:left w:val="single" w:sz="8" w:space="0" w:color="000000"/>
              <w:bottom w:val="single" w:sz="8" w:space="0" w:color="000000"/>
              <w:right w:val="single" w:sz="8" w:space="0" w:color="000000"/>
            </w:tcBorders>
            <w:shd w:val="clear" w:color="auto" w:fill="FFFFFF"/>
          </w:tcPr>
          <w:p w14:paraId="3549872D"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DFF</w:t>
            </w:r>
          </w:p>
          <w:p w14:paraId="60D39579"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(days)</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Pr>
          <w:p w14:paraId="301A31C7"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Stand count at harvest /ha (000)</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77F46B91"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Plant height</w:t>
            </w:r>
          </w:p>
          <w:p w14:paraId="76CF966E"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(cm)</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Pr>
          <w:p w14:paraId="14CAE470"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Maximum canopy spread</w:t>
            </w:r>
          </w:p>
          <w:p w14:paraId="46AA5482"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(cm)</w:t>
            </w:r>
          </w:p>
        </w:tc>
        <w:tc>
          <w:tcPr>
            <w:tcW w:w="1169" w:type="dxa"/>
            <w:tcBorders>
              <w:top w:val="single" w:sz="8" w:space="0" w:color="000000"/>
              <w:left w:val="single" w:sz="8" w:space="0" w:color="000000"/>
              <w:bottom w:val="single" w:sz="8" w:space="0" w:color="000000"/>
              <w:right w:val="single" w:sz="8" w:space="0" w:color="000000"/>
            </w:tcBorders>
            <w:shd w:val="clear" w:color="auto" w:fill="FFFFFF"/>
          </w:tcPr>
          <w:p w14:paraId="0F78E56F"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 xml:space="preserve">Dry pod weight </w:t>
            </w:r>
          </w:p>
          <w:p w14:paraId="2C067D83"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(kg)</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14:paraId="1009C82F"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b w:val="0"/>
                <w:bCs w:val="0"/>
                <w:color w:val="000000"/>
                <w:lang w:val="en-US"/>
              </w:rPr>
              <w:t>Haulm yield</w:t>
            </w:r>
          </w:p>
          <w:p w14:paraId="62517263"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b w:val="0"/>
                <w:bCs w:val="0"/>
                <w:color w:val="000000"/>
                <w:lang w:val="en-US"/>
              </w:rPr>
              <w:t>(t/ha)</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Pr>
          <w:p w14:paraId="699E2C75"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 xml:space="preserve">Yield </w:t>
            </w:r>
          </w:p>
          <w:p w14:paraId="741C854E"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(t/ha)</w:t>
            </w:r>
          </w:p>
        </w:tc>
      </w:tr>
      <w:tr w:rsidR="006E6D81" w14:paraId="1D2B9A72" w14:textId="77777777" w:rsidTr="006E6D81">
        <w:trPr>
          <w:trHeight w:val="512"/>
        </w:trPr>
        <w:tc>
          <w:tcPr>
            <w:cnfStyle w:val="001000000000" w:firstRow="0" w:lastRow="0" w:firstColumn="1" w:lastColumn="0" w:oddVBand="0" w:evenVBand="0" w:oddHBand="0" w:evenHBand="0" w:firstRowFirstColumn="0" w:firstRowLastColumn="0" w:lastRowFirstColumn="0" w:lastRowLastColumn="0"/>
            <w:tcW w:w="2608" w:type="dxa"/>
            <w:tcBorders>
              <w:top w:val="single" w:sz="8" w:space="0" w:color="000000"/>
              <w:left w:val="single" w:sz="8" w:space="0" w:color="000000"/>
              <w:bottom w:val="single" w:sz="8" w:space="0" w:color="000000"/>
              <w:right w:val="single" w:sz="8" w:space="0" w:color="000000"/>
            </w:tcBorders>
            <w:shd w:val="clear" w:color="auto" w:fill="FFFFFF"/>
          </w:tcPr>
          <w:p w14:paraId="0C70AF44"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Farmer Practice</w:t>
            </w:r>
          </w:p>
          <w:p w14:paraId="5A007C7F"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 xml:space="preserve">Integrated pest management </w:t>
            </w:r>
          </w:p>
        </w:tc>
        <w:tc>
          <w:tcPr>
            <w:tcW w:w="815" w:type="dxa"/>
            <w:tcBorders>
              <w:top w:val="single" w:sz="8" w:space="0" w:color="000000"/>
              <w:left w:val="single" w:sz="8" w:space="0" w:color="000000"/>
              <w:bottom w:val="single" w:sz="8" w:space="0" w:color="000000"/>
              <w:right w:val="single" w:sz="8" w:space="0" w:color="000000"/>
            </w:tcBorders>
            <w:shd w:val="clear" w:color="auto" w:fill="FFFFFF"/>
          </w:tcPr>
          <w:p w14:paraId="5FB50833"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38.0</w:t>
            </w:r>
          </w:p>
          <w:p w14:paraId="3F08743A"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37.8</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Pr>
          <w:p w14:paraId="425FBDE5"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976</w:t>
            </w:r>
          </w:p>
          <w:p w14:paraId="6E04D873"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106</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4AF0A0F3"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45.5</w:t>
            </w:r>
          </w:p>
          <w:p w14:paraId="0C5B56C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45.6</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Pr>
          <w:p w14:paraId="271CFB9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37.8</w:t>
            </w:r>
          </w:p>
          <w:p w14:paraId="1DECADE5"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45.8</w:t>
            </w:r>
          </w:p>
        </w:tc>
        <w:tc>
          <w:tcPr>
            <w:tcW w:w="1169" w:type="dxa"/>
            <w:tcBorders>
              <w:top w:val="single" w:sz="8" w:space="0" w:color="000000"/>
              <w:left w:val="single" w:sz="8" w:space="0" w:color="000000"/>
              <w:bottom w:val="single" w:sz="8" w:space="0" w:color="000000"/>
              <w:right w:val="single" w:sz="8" w:space="0" w:color="000000"/>
            </w:tcBorders>
            <w:shd w:val="clear" w:color="auto" w:fill="FFFFFF"/>
          </w:tcPr>
          <w:p w14:paraId="1BD7DC19"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1.6</w:t>
            </w:r>
          </w:p>
          <w:p w14:paraId="43235D82"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2.6</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14:paraId="3EC7276F"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2.75</w:t>
            </w:r>
          </w:p>
          <w:p w14:paraId="794093AE"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3.50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Pr>
          <w:p w14:paraId="3D6E698E"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0.639</w:t>
            </w:r>
          </w:p>
          <w:p w14:paraId="4FD4436D"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1.025</w:t>
            </w:r>
          </w:p>
        </w:tc>
      </w:tr>
      <w:tr w:rsidR="006E6D81" w14:paraId="1B4CE6AF" w14:textId="77777777" w:rsidTr="006E6D81">
        <w:tc>
          <w:tcPr>
            <w:cnfStyle w:val="001000000000" w:firstRow="0" w:lastRow="0" w:firstColumn="1" w:lastColumn="0" w:oddVBand="0" w:evenVBand="0" w:oddHBand="0" w:evenHBand="0" w:firstRowFirstColumn="0" w:firstRowLastColumn="0" w:lastRowFirstColumn="0" w:lastRowLastColumn="0"/>
            <w:tcW w:w="2608" w:type="dxa"/>
            <w:tcBorders>
              <w:top w:val="single" w:sz="8" w:space="0" w:color="000000"/>
              <w:left w:val="single" w:sz="8" w:space="0" w:color="000000"/>
              <w:bottom w:val="single" w:sz="8" w:space="0" w:color="000000"/>
              <w:right w:val="single" w:sz="8" w:space="0" w:color="000000"/>
            </w:tcBorders>
            <w:shd w:val="clear" w:color="auto" w:fill="FFFFFF"/>
          </w:tcPr>
          <w:p w14:paraId="2CD0C5D5"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Grand mean</w:t>
            </w:r>
          </w:p>
          <w:p w14:paraId="60423B9E" w14:textId="77777777" w:rsidR="006E6D81" w:rsidRDefault="00E053B0">
            <w:pPr>
              <w:pStyle w:val="NoSpacing"/>
              <w:rPr>
                <w:rFonts w:ascii="Calibri" w:hAnsi="Calibri" w:cs="Calibri"/>
                <w:b w:val="0"/>
                <w:bCs w:val="0"/>
                <w:color w:val="000000"/>
                <w:lang w:val="en-US"/>
              </w:rPr>
            </w:pPr>
            <w:r>
              <w:rPr>
                <w:rFonts w:ascii="Calibri" w:hAnsi="Calibri" w:cs="Calibri"/>
                <w:i/>
                <w:color w:val="000000"/>
                <w:lang w:val="en-US"/>
              </w:rPr>
              <w:t>P</w:t>
            </w:r>
            <w:r>
              <w:rPr>
                <w:rFonts w:ascii="Calibri" w:hAnsi="Calibri" w:cs="Calibri"/>
                <w:b w:val="0"/>
                <w:bCs w:val="0"/>
                <w:color w:val="000000"/>
                <w:lang w:val="en-US"/>
              </w:rPr>
              <w:t>&lt;0.05</w:t>
            </w:r>
          </w:p>
          <w:p w14:paraId="67F601ED"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CV</w:t>
            </w:r>
          </w:p>
        </w:tc>
        <w:tc>
          <w:tcPr>
            <w:tcW w:w="815" w:type="dxa"/>
            <w:tcBorders>
              <w:top w:val="single" w:sz="8" w:space="0" w:color="000000"/>
              <w:left w:val="single" w:sz="8" w:space="0" w:color="000000"/>
              <w:bottom w:val="single" w:sz="8" w:space="0" w:color="000000"/>
              <w:right w:val="single" w:sz="8" w:space="0" w:color="000000"/>
            </w:tcBorders>
            <w:shd w:val="clear" w:color="auto" w:fill="FFFFFF"/>
          </w:tcPr>
          <w:p w14:paraId="63B4BFA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38.8</w:t>
            </w:r>
          </w:p>
          <w:p w14:paraId="282972B7"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0.390</w:t>
            </w:r>
          </w:p>
          <w:p w14:paraId="5922926C"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0.93</w:t>
            </w:r>
          </w:p>
        </w:tc>
        <w:tc>
          <w:tcPr>
            <w:tcW w:w="1039" w:type="dxa"/>
            <w:tcBorders>
              <w:top w:val="single" w:sz="8" w:space="0" w:color="000000"/>
              <w:left w:val="single" w:sz="8" w:space="0" w:color="000000"/>
              <w:bottom w:val="single" w:sz="8" w:space="0" w:color="000000"/>
              <w:right w:val="single" w:sz="8" w:space="0" w:color="000000"/>
            </w:tcBorders>
            <w:shd w:val="clear" w:color="auto" w:fill="FFFFFF"/>
          </w:tcPr>
          <w:p w14:paraId="1E581F10"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102</w:t>
            </w:r>
          </w:p>
          <w:p w14:paraId="35AC7CE2"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0.565</w:t>
            </w:r>
          </w:p>
          <w:p w14:paraId="353FBC4D"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10.97</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9279369"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45.5</w:t>
            </w:r>
          </w:p>
          <w:p w14:paraId="2E4F2140"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0.181</w:t>
            </w:r>
          </w:p>
          <w:p w14:paraId="2CBB62A0"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0.9</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Pr>
          <w:p w14:paraId="2BC36DD1"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41.9</w:t>
            </w:r>
          </w:p>
          <w:p w14:paraId="0358AEAA"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0.025</w:t>
            </w:r>
          </w:p>
          <w:p w14:paraId="7C316B06"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6.49</w:t>
            </w:r>
          </w:p>
        </w:tc>
        <w:tc>
          <w:tcPr>
            <w:tcW w:w="1169" w:type="dxa"/>
            <w:tcBorders>
              <w:top w:val="single" w:sz="8" w:space="0" w:color="000000"/>
              <w:left w:val="single" w:sz="8" w:space="0" w:color="000000"/>
              <w:bottom w:val="single" w:sz="8" w:space="0" w:color="000000"/>
              <w:right w:val="single" w:sz="8" w:space="0" w:color="000000"/>
            </w:tcBorders>
            <w:shd w:val="clear" w:color="auto" w:fill="FFFFFF"/>
          </w:tcPr>
          <w:p w14:paraId="0EE3B906"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2.1</w:t>
            </w:r>
          </w:p>
          <w:p w14:paraId="513DC7C3"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0.062</w:t>
            </w:r>
          </w:p>
          <w:p w14:paraId="4A25609A"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2.1</w:t>
            </w:r>
          </w:p>
        </w:tc>
        <w:tc>
          <w:tcPr>
            <w:tcW w:w="1092" w:type="dxa"/>
            <w:tcBorders>
              <w:top w:val="single" w:sz="8" w:space="0" w:color="000000"/>
              <w:left w:val="single" w:sz="8" w:space="0" w:color="000000"/>
              <w:bottom w:val="single" w:sz="8" w:space="0" w:color="000000"/>
              <w:right w:val="single" w:sz="8" w:space="0" w:color="000000"/>
            </w:tcBorders>
            <w:shd w:val="clear" w:color="auto" w:fill="FFFFFF"/>
          </w:tcPr>
          <w:p w14:paraId="16F7C8D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3.13</w:t>
            </w:r>
          </w:p>
          <w:p w14:paraId="3AE0B23A"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0.004</w:t>
            </w:r>
          </w:p>
          <w:p w14:paraId="592237E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4.33</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Pr>
          <w:p w14:paraId="10C79B26"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0.832</w:t>
            </w:r>
          </w:p>
          <w:p w14:paraId="5497A871"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0.062</w:t>
            </w:r>
          </w:p>
          <w:p w14:paraId="5925D443"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22.6</w:t>
            </w:r>
          </w:p>
        </w:tc>
      </w:tr>
    </w:tbl>
    <w:p w14:paraId="703A80F7" w14:textId="77777777" w:rsidR="006E6D81" w:rsidRDefault="006E6D81">
      <w:pPr>
        <w:spacing w:line="240" w:lineRule="auto"/>
        <w:rPr>
          <w:rFonts w:cs="Times New Roman"/>
          <w:sz w:val="24"/>
          <w:szCs w:val="24"/>
          <w:lang w:val="en-US"/>
        </w:rPr>
      </w:pPr>
    </w:p>
    <w:p w14:paraId="0F72892E" w14:textId="77777777" w:rsidR="006E6D81" w:rsidRDefault="00E053B0">
      <w:pPr>
        <w:autoSpaceDE w:val="0"/>
        <w:autoSpaceDN w:val="0"/>
        <w:adjustRightInd w:val="0"/>
        <w:spacing w:line="240" w:lineRule="auto"/>
        <w:jc w:val="both"/>
        <w:rPr>
          <w:rFonts w:cs="Times New Roman"/>
          <w:bCs/>
          <w:sz w:val="24"/>
          <w:szCs w:val="24"/>
          <w:lang w:val="en-US"/>
        </w:rPr>
      </w:pPr>
      <w:r>
        <w:rPr>
          <w:rFonts w:cs="Times New Roman"/>
          <w:bCs/>
          <w:sz w:val="24"/>
          <w:szCs w:val="24"/>
          <w:lang w:val="en-US"/>
        </w:rPr>
        <w:t xml:space="preserve">Table 4: </w:t>
      </w:r>
      <w:proofErr w:type="spellStart"/>
      <w:r>
        <w:rPr>
          <w:rFonts w:cs="Times New Roman"/>
          <w:bCs/>
          <w:sz w:val="24"/>
          <w:szCs w:val="24"/>
          <w:lang w:val="en-US"/>
        </w:rPr>
        <w:t>Vigour</w:t>
      </w:r>
      <w:proofErr w:type="spellEnd"/>
      <w:r>
        <w:rPr>
          <w:rFonts w:cs="Times New Roman"/>
          <w:bCs/>
          <w:sz w:val="24"/>
          <w:szCs w:val="24"/>
          <w:lang w:val="en-US"/>
        </w:rPr>
        <w:t>, white flies, leaf spot and rosette incidence of groundnut (SARINUT 2) under 2 management practices</w:t>
      </w:r>
    </w:p>
    <w:tbl>
      <w:tblPr>
        <w:tblStyle w:val="PlainTable21"/>
        <w:tblW w:w="10009" w:type="dxa"/>
        <w:tblInd w:w="-659" w:type="dxa"/>
        <w:tblLayout w:type="fixed"/>
        <w:tblLook w:val="04A0" w:firstRow="1" w:lastRow="0" w:firstColumn="1" w:lastColumn="0" w:noHBand="0" w:noVBand="1"/>
      </w:tblPr>
      <w:tblGrid>
        <w:gridCol w:w="2969"/>
        <w:gridCol w:w="1077"/>
        <w:gridCol w:w="1185"/>
        <w:gridCol w:w="1415"/>
        <w:gridCol w:w="1254"/>
        <w:gridCol w:w="992"/>
        <w:gridCol w:w="1117"/>
      </w:tblGrid>
      <w:tr w:rsidR="006E6D81" w14:paraId="38898ED0" w14:textId="77777777" w:rsidTr="006E6D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9" w:type="dxa"/>
            <w:tcBorders>
              <w:top w:val="single" w:sz="8" w:space="0" w:color="000000"/>
              <w:left w:val="single" w:sz="8" w:space="0" w:color="000000"/>
              <w:bottom w:val="single" w:sz="8" w:space="0" w:color="000000"/>
              <w:right w:val="single" w:sz="8" w:space="0" w:color="000000"/>
            </w:tcBorders>
            <w:shd w:val="clear" w:color="auto" w:fill="FFFFFF"/>
          </w:tcPr>
          <w:p w14:paraId="38057085"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 xml:space="preserve">Treatments </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Pr>
          <w:p w14:paraId="43BA6ABE"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proofErr w:type="spellStart"/>
            <w:r>
              <w:rPr>
                <w:rFonts w:ascii="Calibri" w:hAnsi="Calibri" w:cs="Calibri"/>
                <w:b w:val="0"/>
                <w:bCs w:val="0"/>
                <w:color w:val="000000"/>
                <w:lang w:val="en-US"/>
              </w:rPr>
              <w:t>Vigour</w:t>
            </w:r>
            <w:proofErr w:type="spellEnd"/>
            <w:r>
              <w:rPr>
                <w:rFonts w:ascii="Calibri" w:hAnsi="Calibri" w:cs="Calibri"/>
                <w:b w:val="0"/>
                <w:bCs w:val="0"/>
                <w:color w:val="000000"/>
                <w:lang w:val="en-US"/>
              </w:rPr>
              <w:t xml:space="preserve"> score </w:t>
            </w:r>
          </w:p>
          <w:p w14:paraId="619DDF5A"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(1 to 5)</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008E61DB"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 xml:space="preserve">White </w:t>
            </w:r>
            <w:proofErr w:type="gramStart"/>
            <w:r>
              <w:rPr>
                <w:rFonts w:ascii="Calibri" w:hAnsi="Calibri" w:cs="Calibri"/>
                <w:b w:val="0"/>
                <w:bCs w:val="0"/>
                <w:color w:val="000000"/>
                <w:lang w:val="en-US"/>
              </w:rPr>
              <w:t>flies</w:t>
            </w:r>
            <w:proofErr w:type="gramEnd"/>
            <w:r>
              <w:rPr>
                <w:rFonts w:ascii="Calibri" w:hAnsi="Calibri" w:cs="Calibri"/>
                <w:b w:val="0"/>
                <w:bCs w:val="0"/>
                <w:color w:val="000000"/>
                <w:lang w:val="en-US"/>
              </w:rPr>
              <w:t xml:space="preserve"> incidence</w:t>
            </w:r>
          </w:p>
          <w:p w14:paraId="714CC015"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(mid-season)</w:t>
            </w:r>
          </w:p>
        </w:tc>
        <w:tc>
          <w:tcPr>
            <w:tcW w:w="1415" w:type="dxa"/>
            <w:tcBorders>
              <w:top w:val="single" w:sz="8" w:space="0" w:color="000000"/>
              <w:left w:val="single" w:sz="8" w:space="0" w:color="000000"/>
              <w:bottom w:val="single" w:sz="8" w:space="0" w:color="000000"/>
              <w:right w:val="single" w:sz="8" w:space="0" w:color="000000"/>
            </w:tcBorders>
            <w:shd w:val="clear" w:color="auto" w:fill="FFFFFF"/>
          </w:tcPr>
          <w:p w14:paraId="2871E84F"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 xml:space="preserve">White </w:t>
            </w:r>
            <w:proofErr w:type="gramStart"/>
            <w:r>
              <w:rPr>
                <w:rFonts w:ascii="Calibri" w:hAnsi="Calibri" w:cs="Calibri"/>
                <w:b w:val="0"/>
                <w:bCs w:val="0"/>
                <w:color w:val="000000"/>
                <w:lang w:val="en-US"/>
              </w:rPr>
              <w:t>flies</w:t>
            </w:r>
            <w:proofErr w:type="gramEnd"/>
            <w:r>
              <w:rPr>
                <w:rFonts w:ascii="Calibri" w:hAnsi="Calibri" w:cs="Calibri"/>
                <w:b w:val="0"/>
                <w:bCs w:val="0"/>
                <w:color w:val="000000"/>
                <w:lang w:val="en-US"/>
              </w:rPr>
              <w:t xml:space="preserve"> incidence</w:t>
            </w:r>
          </w:p>
          <w:p w14:paraId="34E9D553"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(late-season)</w:t>
            </w:r>
          </w:p>
        </w:tc>
        <w:tc>
          <w:tcPr>
            <w:tcW w:w="1254" w:type="dxa"/>
            <w:tcBorders>
              <w:top w:val="single" w:sz="8" w:space="0" w:color="000000"/>
              <w:left w:val="single" w:sz="8" w:space="0" w:color="000000"/>
              <w:bottom w:val="single" w:sz="8" w:space="0" w:color="000000"/>
              <w:right w:val="single" w:sz="8" w:space="0" w:color="000000"/>
            </w:tcBorders>
            <w:shd w:val="clear" w:color="auto" w:fill="FFFFFF"/>
          </w:tcPr>
          <w:p w14:paraId="09A99497"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Early leaf spot</w:t>
            </w:r>
          </w:p>
          <w:p w14:paraId="49B62A9D"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(scale 1-9)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14:paraId="6C8DA6FE"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Late leaf spot (scale 1-9)</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Pr>
          <w:p w14:paraId="114C55F0" w14:textId="77777777" w:rsidR="006E6D81" w:rsidRDefault="00E053B0">
            <w:pPr>
              <w:pStyle w:val="NoSpacing"/>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lang w:val="en-US"/>
              </w:rPr>
            </w:pPr>
            <w:r>
              <w:rPr>
                <w:rFonts w:ascii="Calibri" w:hAnsi="Calibri" w:cs="Calibri"/>
                <w:b w:val="0"/>
                <w:bCs w:val="0"/>
                <w:color w:val="000000"/>
                <w:lang w:val="en-US"/>
              </w:rPr>
              <w:t>Rosette count</w:t>
            </w:r>
          </w:p>
        </w:tc>
      </w:tr>
      <w:tr w:rsidR="006E6D81" w14:paraId="23AC6558" w14:textId="77777777" w:rsidTr="006E6D81">
        <w:trPr>
          <w:trHeight w:val="528"/>
        </w:trPr>
        <w:tc>
          <w:tcPr>
            <w:cnfStyle w:val="001000000000" w:firstRow="0" w:lastRow="0" w:firstColumn="1" w:lastColumn="0" w:oddVBand="0" w:evenVBand="0" w:oddHBand="0" w:evenHBand="0" w:firstRowFirstColumn="0" w:firstRowLastColumn="0" w:lastRowFirstColumn="0" w:lastRowLastColumn="0"/>
            <w:tcW w:w="2969" w:type="dxa"/>
            <w:tcBorders>
              <w:top w:val="single" w:sz="8" w:space="0" w:color="000000"/>
              <w:left w:val="single" w:sz="8" w:space="0" w:color="000000"/>
              <w:bottom w:val="single" w:sz="8" w:space="0" w:color="000000"/>
              <w:right w:val="single" w:sz="8" w:space="0" w:color="000000"/>
            </w:tcBorders>
            <w:shd w:val="clear" w:color="auto" w:fill="FFFFFF"/>
          </w:tcPr>
          <w:p w14:paraId="10388500"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Farmer Practice</w:t>
            </w:r>
          </w:p>
          <w:p w14:paraId="635316C2"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 xml:space="preserve">Integrated pest management </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Pr>
          <w:p w14:paraId="059CEE71"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w:t>
            </w:r>
          </w:p>
          <w:p w14:paraId="70740FFB"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2F961376"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3.5</w:t>
            </w:r>
          </w:p>
          <w:p w14:paraId="2B755256"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w:t>
            </w:r>
          </w:p>
        </w:tc>
        <w:tc>
          <w:tcPr>
            <w:tcW w:w="1415" w:type="dxa"/>
            <w:tcBorders>
              <w:top w:val="single" w:sz="8" w:space="0" w:color="000000"/>
              <w:left w:val="single" w:sz="8" w:space="0" w:color="000000"/>
              <w:bottom w:val="single" w:sz="8" w:space="0" w:color="000000"/>
              <w:right w:val="single" w:sz="8" w:space="0" w:color="000000"/>
            </w:tcBorders>
            <w:shd w:val="clear" w:color="auto" w:fill="FFFFFF"/>
          </w:tcPr>
          <w:p w14:paraId="4EE4771F"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2.75</w:t>
            </w:r>
          </w:p>
          <w:p w14:paraId="2DBABDD9"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4.75</w:t>
            </w:r>
          </w:p>
        </w:tc>
        <w:tc>
          <w:tcPr>
            <w:tcW w:w="1254" w:type="dxa"/>
            <w:tcBorders>
              <w:top w:val="single" w:sz="8" w:space="0" w:color="000000"/>
              <w:left w:val="single" w:sz="8" w:space="0" w:color="000000"/>
              <w:bottom w:val="single" w:sz="8" w:space="0" w:color="000000"/>
              <w:right w:val="single" w:sz="8" w:space="0" w:color="000000"/>
            </w:tcBorders>
            <w:shd w:val="clear" w:color="auto" w:fill="FFFFFF"/>
          </w:tcPr>
          <w:p w14:paraId="701202A6"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2.3</w:t>
            </w:r>
          </w:p>
          <w:p w14:paraId="7DFC8BD1"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14:paraId="5C8CD852"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4.5</w:t>
            </w:r>
          </w:p>
          <w:p w14:paraId="2253A452"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1.0</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Pr>
          <w:p w14:paraId="7DD3B22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1.5</w:t>
            </w:r>
          </w:p>
          <w:p w14:paraId="3D66969A"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0.00</w:t>
            </w:r>
          </w:p>
        </w:tc>
      </w:tr>
      <w:tr w:rsidR="006E6D81" w14:paraId="2C35877B" w14:textId="77777777" w:rsidTr="006E6D81">
        <w:tc>
          <w:tcPr>
            <w:cnfStyle w:val="001000000000" w:firstRow="0" w:lastRow="0" w:firstColumn="1" w:lastColumn="0" w:oddVBand="0" w:evenVBand="0" w:oddHBand="0" w:evenHBand="0" w:firstRowFirstColumn="0" w:firstRowLastColumn="0" w:lastRowFirstColumn="0" w:lastRowLastColumn="0"/>
            <w:tcW w:w="2969" w:type="dxa"/>
            <w:tcBorders>
              <w:top w:val="single" w:sz="8" w:space="0" w:color="000000"/>
              <w:left w:val="single" w:sz="8" w:space="0" w:color="000000"/>
              <w:bottom w:val="single" w:sz="8" w:space="0" w:color="000000"/>
              <w:right w:val="single" w:sz="8" w:space="0" w:color="000000"/>
            </w:tcBorders>
            <w:shd w:val="clear" w:color="auto" w:fill="FFFFFF"/>
          </w:tcPr>
          <w:p w14:paraId="27B89AD1"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Grand mean</w:t>
            </w:r>
          </w:p>
          <w:p w14:paraId="70180017" w14:textId="77777777" w:rsidR="006E6D81" w:rsidRDefault="00E053B0">
            <w:pPr>
              <w:pStyle w:val="NoSpacing"/>
              <w:rPr>
                <w:rFonts w:ascii="Calibri" w:hAnsi="Calibri" w:cs="Calibri"/>
                <w:b w:val="0"/>
                <w:bCs w:val="0"/>
                <w:color w:val="000000"/>
                <w:lang w:val="en-US"/>
              </w:rPr>
            </w:pPr>
            <w:r>
              <w:rPr>
                <w:rFonts w:ascii="Calibri" w:hAnsi="Calibri" w:cs="Calibri"/>
                <w:i/>
                <w:color w:val="000000"/>
                <w:lang w:val="en-US"/>
              </w:rPr>
              <w:t>p</w:t>
            </w:r>
            <w:r>
              <w:rPr>
                <w:rFonts w:ascii="Calibri" w:hAnsi="Calibri" w:cs="Calibri"/>
                <w:b w:val="0"/>
                <w:bCs w:val="0"/>
                <w:color w:val="000000"/>
                <w:lang w:val="en-US"/>
              </w:rPr>
              <w:t>&lt;0.05</w:t>
            </w:r>
          </w:p>
          <w:p w14:paraId="63C86D16" w14:textId="77777777" w:rsidR="006E6D81" w:rsidRDefault="00E053B0">
            <w:pPr>
              <w:pStyle w:val="NoSpacing"/>
              <w:rPr>
                <w:rFonts w:ascii="Calibri" w:hAnsi="Calibri" w:cs="Calibri"/>
                <w:b w:val="0"/>
                <w:bCs w:val="0"/>
                <w:color w:val="000000"/>
                <w:lang w:val="en-US"/>
              </w:rPr>
            </w:pPr>
            <w:r>
              <w:rPr>
                <w:rFonts w:ascii="Calibri" w:hAnsi="Calibri" w:cs="Calibri"/>
                <w:b w:val="0"/>
                <w:bCs w:val="0"/>
                <w:color w:val="000000"/>
                <w:lang w:val="en-US"/>
              </w:rPr>
              <w:t>CV</w:t>
            </w:r>
          </w:p>
        </w:tc>
        <w:tc>
          <w:tcPr>
            <w:tcW w:w="1077" w:type="dxa"/>
            <w:tcBorders>
              <w:top w:val="single" w:sz="8" w:space="0" w:color="000000"/>
              <w:left w:val="single" w:sz="8" w:space="0" w:color="000000"/>
              <w:bottom w:val="single" w:sz="8" w:space="0" w:color="000000"/>
              <w:right w:val="single" w:sz="8" w:space="0" w:color="000000"/>
            </w:tcBorders>
            <w:shd w:val="clear" w:color="auto" w:fill="FFFFFF"/>
          </w:tcPr>
          <w:p w14:paraId="1B0DD337"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3.5</w:t>
            </w:r>
          </w:p>
          <w:p w14:paraId="7C6C9FDF"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0.422</w:t>
            </w:r>
          </w:p>
          <w:p w14:paraId="6E3E255F"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43.6</w:t>
            </w:r>
          </w:p>
        </w:tc>
        <w:tc>
          <w:tcPr>
            <w:tcW w:w="1185" w:type="dxa"/>
            <w:tcBorders>
              <w:top w:val="single" w:sz="8" w:space="0" w:color="000000"/>
              <w:left w:val="single" w:sz="8" w:space="0" w:color="000000"/>
              <w:bottom w:val="single" w:sz="8" w:space="0" w:color="000000"/>
              <w:right w:val="single" w:sz="8" w:space="0" w:color="000000"/>
            </w:tcBorders>
            <w:shd w:val="clear" w:color="auto" w:fill="FFFFFF"/>
          </w:tcPr>
          <w:p w14:paraId="612C94FC"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2.8</w:t>
            </w:r>
          </w:p>
          <w:p w14:paraId="065C81E9"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0.103</w:t>
            </w:r>
          </w:p>
          <w:p w14:paraId="25F06C83"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33.2</w:t>
            </w:r>
          </w:p>
        </w:tc>
        <w:tc>
          <w:tcPr>
            <w:tcW w:w="1415" w:type="dxa"/>
            <w:tcBorders>
              <w:top w:val="single" w:sz="8" w:space="0" w:color="000000"/>
              <w:left w:val="single" w:sz="8" w:space="0" w:color="000000"/>
              <w:bottom w:val="single" w:sz="8" w:space="0" w:color="000000"/>
              <w:right w:val="single" w:sz="8" w:space="0" w:color="000000"/>
            </w:tcBorders>
            <w:shd w:val="clear" w:color="auto" w:fill="FFFFFF"/>
          </w:tcPr>
          <w:p w14:paraId="137F9F2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3.75</w:t>
            </w:r>
          </w:p>
          <w:p w14:paraId="22097289"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0.063</w:t>
            </w:r>
          </w:p>
          <w:p w14:paraId="5F7BC3AA"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15.4</w:t>
            </w:r>
          </w:p>
        </w:tc>
        <w:tc>
          <w:tcPr>
            <w:tcW w:w="1254" w:type="dxa"/>
            <w:tcBorders>
              <w:top w:val="single" w:sz="8" w:space="0" w:color="000000"/>
              <w:left w:val="single" w:sz="8" w:space="0" w:color="000000"/>
              <w:bottom w:val="single" w:sz="8" w:space="0" w:color="000000"/>
              <w:right w:val="single" w:sz="8" w:space="0" w:color="000000"/>
            </w:tcBorders>
            <w:shd w:val="clear" w:color="auto" w:fill="FFFFFF"/>
          </w:tcPr>
          <w:p w14:paraId="2A0E3F0E"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1.5</w:t>
            </w:r>
          </w:p>
          <w:p w14:paraId="7F95BDF2"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0.057</w:t>
            </w:r>
          </w:p>
          <w:p w14:paraId="2EA4E028"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47.1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14:paraId="06382019"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2.8</w:t>
            </w:r>
          </w:p>
          <w:p w14:paraId="32341016"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0.0012</w:t>
            </w:r>
          </w:p>
          <w:p w14:paraId="1259EDE4"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14.9</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Pr>
          <w:p w14:paraId="1F080BC3"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0.75</w:t>
            </w:r>
          </w:p>
          <w:p w14:paraId="12B7F9B4"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0.013</w:t>
            </w:r>
          </w:p>
          <w:p w14:paraId="36F33B45" w14:textId="77777777" w:rsidR="006E6D81" w:rsidRDefault="00E053B0">
            <w:pPr>
              <w:pStyle w:val="No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lang w:val="en-US"/>
              </w:rPr>
              <w:t>54</w:t>
            </w:r>
          </w:p>
        </w:tc>
      </w:tr>
    </w:tbl>
    <w:p w14:paraId="1C9B431E" w14:textId="77777777" w:rsidR="006E6D81" w:rsidRDefault="006E6D81">
      <w:pPr>
        <w:spacing w:line="240" w:lineRule="auto"/>
        <w:jc w:val="both"/>
        <w:rPr>
          <w:rFonts w:ascii="Calibri" w:hAnsi="Calibri" w:cs="Calibri"/>
          <w:b/>
          <w:sz w:val="24"/>
          <w:szCs w:val="24"/>
          <w:lang w:val="en-US"/>
        </w:rPr>
      </w:pPr>
    </w:p>
    <w:p w14:paraId="0B6A89AD" w14:textId="77777777" w:rsidR="006E6D81" w:rsidRDefault="006E6D81">
      <w:pPr>
        <w:spacing w:line="240" w:lineRule="auto"/>
        <w:jc w:val="both"/>
        <w:rPr>
          <w:rFonts w:ascii="Calibri" w:hAnsi="Calibri" w:cs="Calibri"/>
          <w:b/>
          <w:sz w:val="24"/>
          <w:szCs w:val="24"/>
          <w:lang w:val="en-US"/>
        </w:rPr>
      </w:pPr>
    </w:p>
    <w:p w14:paraId="6A94F012" w14:textId="77777777" w:rsidR="00AF5C01" w:rsidRDefault="00AF5C01">
      <w:pPr>
        <w:spacing w:line="240" w:lineRule="auto"/>
        <w:jc w:val="both"/>
        <w:rPr>
          <w:rFonts w:ascii="Calibri" w:hAnsi="Calibri" w:cs="Calibri"/>
          <w:b/>
          <w:sz w:val="24"/>
          <w:szCs w:val="24"/>
          <w:lang w:val="en-US"/>
        </w:rPr>
      </w:pPr>
    </w:p>
    <w:p w14:paraId="2667F5FB" w14:textId="77777777" w:rsidR="00AF5C01" w:rsidRDefault="00AF5C01">
      <w:pPr>
        <w:spacing w:line="240" w:lineRule="auto"/>
        <w:jc w:val="both"/>
        <w:rPr>
          <w:rFonts w:ascii="Calibri" w:hAnsi="Calibri" w:cs="Calibri"/>
          <w:b/>
          <w:sz w:val="24"/>
          <w:szCs w:val="24"/>
          <w:lang w:val="en-US"/>
        </w:rPr>
      </w:pPr>
    </w:p>
    <w:p w14:paraId="2C3CD379" w14:textId="77777777" w:rsidR="00AF5C01" w:rsidRDefault="00AF5C01">
      <w:pPr>
        <w:spacing w:line="240" w:lineRule="auto"/>
        <w:jc w:val="both"/>
        <w:rPr>
          <w:rFonts w:ascii="Calibri" w:hAnsi="Calibri" w:cs="Calibri"/>
          <w:b/>
          <w:sz w:val="24"/>
          <w:szCs w:val="24"/>
          <w:lang w:val="en-US"/>
        </w:rPr>
      </w:pPr>
    </w:p>
    <w:p w14:paraId="1F373DC9" w14:textId="77777777" w:rsidR="00AF5C01" w:rsidRDefault="00AF5C01">
      <w:pPr>
        <w:spacing w:line="240" w:lineRule="auto"/>
        <w:jc w:val="both"/>
        <w:rPr>
          <w:rFonts w:ascii="Calibri" w:hAnsi="Calibri" w:cs="Calibri"/>
          <w:b/>
          <w:sz w:val="24"/>
          <w:szCs w:val="24"/>
          <w:lang w:val="en-US"/>
        </w:rPr>
      </w:pPr>
    </w:p>
    <w:p w14:paraId="2230C996" w14:textId="77777777" w:rsidR="00AF5C01" w:rsidRDefault="00AF5C01">
      <w:pPr>
        <w:spacing w:line="240" w:lineRule="auto"/>
        <w:jc w:val="both"/>
        <w:rPr>
          <w:rFonts w:ascii="Calibri" w:hAnsi="Calibri" w:cs="Calibri"/>
          <w:b/>
          <w:sz w:val="24"/>
          <w:szCs w:val="24"/>
          <w:lang w:val="en-US"/>
        </w:rPr>
      </w:pPr>
    </w:p>
    <w:p w14:paraId="11307908" w14:textId="77777777" w:rsidR="006E6D81" w:rsidRDefault="006E6D81">
      <w:pPr>
        <w:spacing w:line="240" w:lineRule="auto"/>
        <w:jc w:val="both"/>
        <w:rPr>
          <w:rFonts w:ascii="Calibri" w:hAnsi="Calibri" w:cs="Calibri"/>
          <w:b/>
          <w:sz w:val="24"/>
          <w:szCs w:val="24"/>
          <w:lang w:val="en-US"/>
        </w:rPr>
      </w:pPr>
    </w:p>
    <w:p w14:paraId="0B9FF0D1" w14:textId="77777777" w:rsidR="006E6D81" w:rsidRDefault="00E053B0">
      <w:pPr>
        <w:autoSpaceDE w:val="0"/>
        <w:autoSpaceDN w:val="0"/>
        <w:adjustRightInd w:val="0"/>
        <w:spacing w:line="240" w:lineRule="auto"/>
        <w:jc w:val="both"/>
        <w:rPr>
          <w:rFonts w:cs="Times New Roman"/>
          <w:sz w:val="24"/>
          <w:szCs w:val="24"/>
          <w:lang w:val="en-US"/>
        </w:rPr>
      </w:pPr>
      <w:r>
        <w:rPr>
          <w:rFonts w:cs="Times New Roman"/>
          <w:sz w:val="24"/>
          <w:szCs w:val="24"/>
          <w:lang w:val="en-US"/>
        </w:rPr>
        <w:t xml:space="preserve">Table 5: Main effects of location, variety, and integrated pest management practices on yield components of groundnut </w:t>
      </w:r>
    </w:p>
    <w:tbl>
      <w:tblPr>
        <w:tblStyle w:val="PlainTable21"/>
        <w:tblW w:w="10009" w:type="dxa"/>
        <w:tblInd w:w="-648" w:type="dxa"/>
        <w:tblLayout w:type="fixed"/>
        <w:tblLook w:val="04A0" w:firstRow="1" w:lastRow="0" w:firstColumn="1" w:lastColumn="0" w:noHBand="0" w:noVBand="1"/>
      </w:tblPr>
      <w:tblGrid>
        <w:gridCol w:w="3481"/>
        <w:gridCol w:w="1273"/>
        <w:gridCol w:w="1134"/>
        <w:gridCol w:w="1134"/>
        <w:gridCol w:w="1418"/>
        <w:gridCol w:w="1569"/>
      </w:tblGrid>
      <w:tr w:rsidR="006E6D81" w:rsidRPr="00F34B08" w14:paraId="1DB3137F" w14:textId="77777777" w:rsidTr="006E6D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11E62B4A" w14:textId="77777777" w:rsidR="006E6D81" w:rsidRPr="00F34B08" w:rsidRDefault="006E6D81">
            <w:pPr>
              <w:pStyle w:val="NoSpacing"/>
              <w:rPr>
                <w:rFonts w:asciiTheme="minorHAnsi" w:hAnsiTheme="minorHAnsi" w:cstheme="minorHAnsi"/>
                <w:b w:val="0"/>
                <w:bCs w:val="0"/>
                <w:color w:val="000000"/>
                <w:sz w:val="22"/>
                <w:szCs w:val="22"/>
                <w:lang w:val="en-US"/>
              </w:rPr>
            </w:pPr>
          </w:p>
          <w:p w14:paraId="4617738C"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Treatments</w:t>
            </w:r>
          </w:p>
        </w:tc>
        <w:tc>
          <w:tcPr>
            <w:tcW w:w="1273"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0CB8AE82" w14:textId="77777777" w:rsidR="006E6D81" w:rsidRPr="00F34B08" w:rsidRDefault="006E6D8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2"/>
                <w:szCs w:val="22"/>
                <w:lang w:val="en-US"/>
              </w:rPr>
            </w:pPr>
          </w:p>
          <w:p w14:paraId="240B733E" w14:textId="77777777" w:rsidR="006E6D81" w:rsidRPr="00F34B08" w:rsidRDefault="00E053B0">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 xml:space="preserve">Plant </w:t>
            </w:r>
          </w:p>
          <w:p w14:paraId="6650C5F9" w14:textId="77777777" w:rsidR="006E6D81" w:rsidRPr="00F34B08" w:rsidRDefault="00E053B0">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 xml:space="preserve">population </w:t>
            </w:r>
          </w:p>
          <w:p w14:paraId="43C7C0FE" w14:textId="77777777" w:rsidR="006E6D81" w:rsidRPr="00F34B08" w:rsidRDefault="00E053B0">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(000/ha)</w:t>
            </w:r>
          </w:p>
        </w:tc>
        <w:tc>
          <w:tcPr>
            <w:tcW w:w="5255" w:type="dxa"/>
            <w:gridSpan w:val="4"/>
            <w:tcBorders>
              <w:top w:val="single" w:sz="8" w:space="0" w:color="000000"/>
              <w:left w:val="single" w:sz="8" w:space="0" w:color="000000"/>
              <w:bottom w:val="single" w:sz="8" w:space="0" w:color="000000"/>
              <w:right w:val="single" w:sz="8" w:space="0" w:color="000000"/>
            </w:tcBorders>
            <w:shd w:val="clear" w:color="auto" w:fill="FFFFFF"/>
          </w:tcPr>
          <w:p w14:paraId="61439A73" w14:textId="77777777" w:rsidR="006E6D81" w:rsidRPr="00F34B08" w:rsidRDefault="006E6D8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2"/>
                <w:szCs w:val="22"/>
                <w:lang w:val="en-US"/>
              </w:rPr>
            </w:pPr>
          </w:p>
          <w:p w14:paraId="7989273C" w14:textId="77777777" w:rsidR="006E6D81" w:rsidRPr="00F34B08" w:rsidRDefault="00E053B0">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 xml:space="preserve">                                Yield Components</w:t>
            </w:r>
          </w:p>
        </w:tc>
      </w:tr>
      <w:tr w:rsidR="006E6D81" w:rsidRPr="00F34B08" w14:paraId="1C443D08" w14:textId="77777777" w:rsidTr="006E6D81">
        <w:tc>
          <w:tcPr>
            <w:cnfStyle w:val="001000000000" w:firstRow="0" w:lastRow="0" w:firstColumn="1" w:lastColumn="0" w:oddVBand="0" w:evenVBand="0" w:oddHBand="0" w:evenHBand="0" w:firstRowFirstColumn="0" w:firstRowLastColumn="0" w:lastRowFirstColumn="0" w:lastRowLastColumn="0"/>
            <w:tcW w:w="3481" w:type="dxa"/>
            <w:vMerge/>
            <w:tcBorders>
              <w:top w:val="single" w:sz="8" w:space="0" w:color="000000"/>
              <w:left w:val="single" w:sz="8" w:space="0" w:color="000000"/>
              <w:bottom w:val="single" w:sz="8" w:space="0" w:color="000000"/>
              <w:right w:val="single" w:sz="8" w:space="0" w:color="000000"/>
            </w:tcBorders>
            <w:shd w:val="clear" w:color="auto" w:fill="FFFFFF"/>
          </w:tcPr>
          <w:p w14:paraId="79FFBBC9" w14:textId="77777777" w:rsidR="006E6D81" w:rsidRPr="00F34B08" w:rsidRDefault="006E6D81">
            <w:pPr>
              <w:pStyle w:val="NoSpacing"/>
              <w:rPr>
                <w:rFonts w:asciiTheme="minorHAnsi" w:hAnsiTheme="minorHAnsi" w:cstheme="minorHAnsi"/>
                <w:b w:val="0"/>
                <w:bCs w:val="0"/>
                <w:color w:val="000000"/>
                <w:sz w:val="22"/>
                <w:szCs w:val="22"/>
                <w:lang w:val="en-US"/>
              </w:rPr>
            </w:pPr>
          </w:p>
        </w:tc>
        <w:tc>
          <w:tcPr>
            <w:tcW w:w="1273" w:type="dxa"/>
            <w:vMerge/>
            <w:tcBorders>
              <w:top w:val="single" w:sz="8" w:space="0" w:color="000000"/>
              <w:left w:val="single" w:sz="8" w:space="0" w:color="000000"/>
              <w:bottom w:val="single" w:sz="8" w:space="0" w:color="000000"/>
              <w:right w:val="single" w:sz="8" w:space="0" w:color="000000"/>
            </w:tcBorders>
            <w:shd w:val="clear" w:color="auto" w:fill="FFFFFF"/>
          </w:tcPr>
          <w:p w14:paraId="62D40740"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B271E8E"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Peg count/ plant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26CC148A"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 xml:space="preserve">Pod </w:t>
            </w:r>
          </w:p>
          <w:p w14:paraId="7E3CBBC9"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load/ plant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7AFCFD0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 xml:space="preserve">Haulm  </w:t>
            </w:r>
          </w:p>
          <w:p w14:paraId="5685302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yield (t/ha)</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4E94D37B"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 xml:space="preserve">Pod </w:t>
            </w:r>
          </w:p>
          <w:p w14:paraId="3E81FFE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yield (t/ha)</w:t>
            </w:r>
          </w:p>
        </w:tc>
      </w:tr>
      <w:tr w:rsidR="006E6D81" w:rsidRPr="00F34B08" w14:paraId="284F597E" w14:textId="77777777" w:rsidTr="006E6D81">
        <w:tc>
          <w:tcPr>
            <w:cnfStyle w:val="001000000000" w:firstRow="0" w:lastRow="0" w:firstColumn="1" w:lastColumn="0" w:oddVBand="0" w:evenVBand="0" w:oddHBand="0" w:evenHBand="0" w:firstRowFirstColumn="0" w:firstRowLastColumn="0" w:lastRowFirstColumn="0" w:lastRowLastColumn="0"/>
            <w:tcW w:w="3481" w:type="dxa"/>
            <w:tcBorders>
              <w:top w:val="single" w:sz="8" w:space="0" w:color="000000"/>
              <w:left w:val="single" w:sz="8" w:space="0" w:color="000000"/>
              <w:bottom w:val="single" w:sz="8" w:space="0" w:color="000000"/>
              <w:right w:val="single" w:sz="8" w:space="0" w:color="000000"/>
            </w:tcBorders>
            <w:shd w:val="clear" w:color="auto" w:fill="FFFFFF"/>
          </w:tcPr>
          <w:p w14:paraId="00E62125"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Location (A)</w:t>
            </w:r>
          </w:p>
        </w:tc>
        <w:tc>
          <w:tcPr>
            <w:tcW w:w="1273" w:type="dxa"/>
            <w:tcBorders>
              <w:top w:val="single" w:sz="8" w:space="0" w:color="000000"/>
              <w:left w:val="single" w:sz="8" w:space="0" w:color="000000"/>
              <w:bottom w:val="single" w:sz="8" w:space="0" w:color="000000"/>
              <w:right w:val="single" w:sz="8" w:space="0" w:color="000000"/>
            </w:tcBorders>
            <w:shd w:val="clear" w:color="auto" w:fill="FFFFFF"/>
          </w:tcPr>
          <w:p w14:paraId="179235A0"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5F2002E8"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A1C6412"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5E37EA58"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222609B6"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r>
      <w:tr w:rsidR="006E6D81" w:rsidRPr="00F34B08" w14:paraId="3AC21718" w14:textId="77777777" w:rsidTr="006E6D81">
        <w:tc>
          <w:tcPr>
            <w:cnfStyle w:val="001000000000" w:firstRow="0" w:lastRow="0" w:firstColumn="1" w:lastColumn="0" w:oddVBand="0" w:evenVBand="0" w:oddHBand="0" w:evenHBand="0" w:firstRowFirstColumn="0" w:firstRowLastColumn="0" w:lastRowFirstColumn="0" w:lastRowLastColumn="0"/>
            <w:tcW w:w="3481" w:type="dxa"/>
            <w:tcBorders>
              <w:top w:val="single" w:sz="8" w:space="0" w:color="000000"/>
              <w:left w:val="single" w:sz="8" w:space="0" w:color="000000"/>
              <w:bottom w:val="single" w:sz="8" w:space="0" w:color="000000"/>
              <w:right w:val="single" w:sz="8" w:space="0" w:color="000000"/>
            </w:tcBorders>
            <w:shd w:val="clear" w:color="auto" w:fill="FFFFFF"/>
          </w:tcPr>
          <w:p w14:paraId="07291077" w14:textId="77777777" w:rsidR="006E6D81" w:rsidRPr="00F34B08" w:rsidRDefault="00E053B0">
            <w:pPr>
              <w:pStyle w:val="NoSpacing"/>
              <w:rPr>
                <w:rFonts w:asciiTheme="minorHAnsi" w:hAnsiTheme="minorHAnsi" w:cstheme="minorHAnsi"/>
                <w:b w:val="0"/>
                <w:bCs w:val="0"/>
                <w:color w:val="000000"/>
                <w:sz w:val="22"/>
                <w:szCs w:val="22"/>
                <w:lang w:val="en-US"/>
              </w:rPr>
            </w:pPr>
            <w:proofErr w:type="spellStart"/>
            <w:r w:rsidRPr="00F34B08">
              <w:rPr>
                <w:rFonts w:asciiTheme="minorHAnsi" w:hAnsiTheme="minorHAnsi" w:cstheme="minorHAnsi"/>
                <w:b w:val="0"/>
                <w:bCs w:val="0"/>
                <w:color w:val="000000"/>
                <w:sz w:val="22"/>
                <w:szCs w:val="22"/>
                <w:lang w:val="en-US"/>
              </w:rPr>
              <w:t>Bulsa</w:t>
            </w:r>
            <w:proofErr w:type="spellEnd"/>
            <w:r w:rsidRPr="00F34B08">
              <w:rPr>
                <w:rFonts w:asciiTheme="minorHAnsi" w:hAnsiTheme="minorHAnsi" w:cstheme="minorHAnsi"/>
                <w:b w:val="0"/>
                <w:bCs w:val="0"/>
                <w:color w:val="000000"/>
                <w:sz w:val="22"/>
                <w:szCs w:val="22"/>
                <w:lang w:val="en-US"/>
              </w:rPr>
              <w:t xml:space="preserve"> North</w:t>
            </w:r>
          </w:p>
          <w:p w14:paraId="4D6968F7"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Bongo</w:t>
            </w:r>
          </w:p>
          <w:p w14:paraId="5FECAD5C" w14:textId="68844FCA" w:rsidR="006E6D81" w:rsidRPr="00F34B08" w:rsidRDefault="00F34B08">
            <w:pPr>
              <w:pStyle w:val="NoSpacing"/>
              <w:rPr>
                <w:rFonts w:asciiTheme="minorHAnsi" w:hAnsiTheme="minorHAnsi" w:cstheme="minorHAnsi"/>
                <w:b w:val="0"/>
                <w:bCs w:val="0"/>
                <w:color w:val="000000"/>
                <w:sz w:val="22"/>
                <w:szCs w:val="22"/>
                <w:lang w:val="en-US"/>
              </w:rPr>
            </w:pPr>
            <w:proofErr w:type="spellStart"/>
            <w:r w:rsidRPr="00F34B08">
              <w:rPr>
                <w:rFonts w:asciiTheme="minorHAnsi" w:eastAsia="Calibri" w:hAnsiTheme="minorHAnsi" w:cstheme="minorHAnsi"/>
                <w:b w:val="0"/>
                <w:bCs w:val="0"/>
                <w:sz w:val="22"/>
                <w:szCs w:val="22"/>
                <w:lang w:val="en-US"/>
              </w:rPr>
              <w:t>Kassena</w:t>
            </w:r>
            <w:proofErr w:type="spellEnd"/>
            <w:r w:rsidRPr="00F34B08">
              <w:rPr>
                <w:rFonts w:asciiTheme="minorHAnsi" w:eastAsia="Calibri" w:hAnsiTheme="minorHAnsi" w:cstheme="minorHAnsi"/>
                <w:b w:val="0"/>
                <w:bCs w:val="0"/>
                <w:sz w:val="22"/>
                <w:szCs w:val="22"/>
                <w:lang w:val="en-US"/>
              </w:rPr>
              <w:t xml:space="preserve"> Nankana </w:t>
            </w:r>
            <w:r w:rsidR="00E053B0" w:rsidRPr="00F34B08">
              <w:rPr>
                <w:rFonts w:asciiTheme="minorHAnsi" w:hAnsiTheme="minorHAnsi" w:cstheme="minorHAnsi"/>
                <w:b w:val="0"/>
                <w:bCs w:val="0"/>
                <w:color w:val="000000"/>
                <w:sz w:val="22"/>
                <w:szCs w:val="22"/>
                <w:lang w:val="en-US"/>
              </w:rPr>
              <w:t>West</w:t>
            </w:r>
          </w:p>
          <w:p w14:paraId="15C39644" w14:textId="36846D0A" w:rsidR="006E6D81" w:rsidRPr="00F34B08" w:rsidRDefault="00F34B08">
            <w:pPr>
              <w:pStyle w:val="NoSpacing"/>
              <w:rPr>
                <w:rFonts w:asciiTheme="minorHAnsi" w:hAnsiTheme="minorHAnsi" w:cstheme="minorHAnsi"/>
                <w:b w:val="0"/>
                <w:bCs w:val="0"/>
                <w:color w:val="000000"/>
                <w:sz w:val="22"/>
                <w:szCs w:val="22"/>
                <w:lang w:val="en-US"/>
              </w:rPr>
            </w:pPr>
            <w:proofErr w:type="spellStart"/>
            <w:r w:rsidRPr="00F34B08">
              <w:rPr>
                <w:rFonts w:asciiTheme="minorHAnsi" w:eastAsia="Calibri" w:hAnsiTheme="minorHAnsi" w:cstheme="minorHAnsi"/>
                <w:b w:val="0"/>
                <w:bCs w:val="0"/>
                <w:sz w:val="22"/>
                <w:szCs w:val="22"/>
                <w:lang w:val="en-US"/>
              </w:rPr>
              <w:t>Kassena</w:t>
            </w:r>
            <w:proofErr w:type="spellEnd"/>
            <w:r w:rsidRPr="00F34B08">
              <w:rPr>
                <w:rFonts w:asciiTheme="minorHAnsi" w:eastAsia="Calibri" w:hAnsiTheme="minorHAnsi" w:cstheme="minorHAnsi"/>
                <w:b w:val="0"/>
                <w:bCs w:val="0"/>
                <w:sz w:val="22"/>
                <w:szCs w:val="22"/>
                <w:lang w:val="en-US"/>
              </w:rPr>
              <w:t xml:space="preserve"> Nankana East</w:t>
            </w:r>
          </w:p>
          <w:p w14:paraId="0B685B24"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LSD (P&lt;0.05)</w:t>
            </w:r>
          </w:p>
        </w:tc>
        <w:tc>
          <w:tcPr>
            <w:tcW w:w="1273" w:type="dxa"/>
            <w:tcBorders>
              <w:top w:val="single" w:sz="8" w:space="0" w:color="000000"/>
              <w:left w:val="single" w:sz="8" w:space="0" w:color="000000"/>
              <w:bottom w:val="single" w:sz="8" w:space="0" w:color="000000"/>
              <w:right w:val="single" w:sz="8" w:space="0" w:color="000000"/>
            </w:tcBorders>
            <w:shd w:val="clear" w:color="auto" w:fill="FFFFFF"/>
          </w:tcPr>
          <w:p w14:paraId="3D7D1C8A"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44.5</w:t>
            </w:r>
          </w:p>
          <w:p w14:paraId="03BCB746"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49.7</w:t>
            </w:r>
          </w:p>
          <w:p w14:paraId="79CFA36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49.1</w:t>
            </w:r>
          </w:p>
          <w:p w14:paraId="2DBDE392"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75.5</w:t>
            </w:r>
          </w:p>
          <w:p w14:paraId="68D0107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11145018"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28.5</w:t>
            </w:r>
          </w:p>
          <w:p w14:paraId="5351584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46.8</w:t>
            </w:r>
          </w:p>
          <w:p w14:paraId="72B5428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21.1</w:t>
            </w:r>
          </w:p>
          <w:p w14:paraId="2EC757D2"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45.5</w:t>
            </w:r>
          </w:p>
          <w:p w14:paraId="3080CE1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3.1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586FD233"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13.7</w:t>
            </w:r>
          </w:p>
          <w:p w14:paraId="54DFDA0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23.3</w:t>
            </w:r>
          </w:p>
          <w:p w14:paraId="2ABCF14D"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13.5</w:t>
            </w:r>
          </w:p>
          <w:p w14:paraId="2D81E2E0"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11.8</w:t>
            </w:r>
          </w:p>
          <w:p w14:paraId="6AE98549"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15.1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1BAB408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1.38</w:t>
            </w:r>
          </w:p>
          <w:p w14:paraId="13D72A0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1.27</w:t>
            </w:r>
          </w:p>
          <w:p w14:paraId="4073FDC0"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2.22</w:t>
            </w:r>
          </w:p>
          <w:p w14:paraId="3CDA72D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1.47</w:t>
            </w:r>
          </w:p>
          <w:p w14:paraId="23754009"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0.89</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64265223"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1.3</w:t>
            </w:r>
          </w:p>
          <w:p w14:paraId="2D2A03C0"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0.87</w:t>
            </w:r>
          </w:p>
          <w:p w14:paraId="3FDE99F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0.62</w:t>
            </w:r>
          </w:p>
          <w:p w14:paraId="59C581EE"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1.6</w:t>
            </w:r>
          </w:p>
          <w:p w14:paraId="09166234"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0.34</w:t>
            </w:r>
          </w:p>
        </w:tc>
      </w:tr>
      <w:tr w:rsidR="006E6D81" w:rsidRPr="00F34B08" w14:paraId="55A303B3" w14:textId="77777777" w:rsidTr="006E6D81">
        <w:tc>
          <w:tcPr>
            <w:cnfStyle w:val="001000000000" w:firstRow="0" w:lastRow="0" w:firstColumn="1" w:lastColumn="0" w:oddVBand="0" w:evenVBand="0" w:oddHBand="0" w:evenHBand="0" w:firstRowFirstColumn="0" w:firstRowLastColumn="0" w:lastRowFirstColumn="0" w:lastRowLastColumn="0"/>
            <w:tcW w:w="3481" w:type="dxa"/>
            <w:tcBorders>
              <w:top w:val="single" w:sz="8" w:space="0" w:color="000000"/>
              <w:left w:val="single" w:sz="8" w:space="0" w:color="000000"/>
              <w:bottom w:val="single" w:sz="8" w:space="0" w:color="000000"/>
              <w:right w:val="single" w:sz="8" w:space="0" w:color="000000"/>
            </w:tcBorders>
            <w:shd w:val="clear" w:color="auto" w:fill="FFFFFF"/>
          </w:tcPr>
          <w:p w14:paraId="42FCC205"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Variety (B)</w:t>
            </w:r>
          </w:p>
        </w:tc>
        <w:tc>
          <w:tcPr>
            <w:tcW w:w="1273" w:type="dxa"/>
            <w:tcBorders>
              <w:top w:val="single" w:sz="8" w:space="0" w:color="000000"/>
              <w:left w:val="single" w:sz="8" w:space="0" w:color="000000"/>
              <w:bottom w:val="single" w:sz="8" w:space="0" w:color="000000"/>
              <w:right w:val="single" w:sz="8" w:space="0" w:color="000000"/>
            </w:tcBorders>
            <w:shd w:val="clear" w:color="auto" w:fill="FFFFFF"/>
          </w:tcPr>
          <w:p w14:paraId="75AC0C89"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469D1FD"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4AA9B83E"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6C0DFA7D"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6F4F70B0"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r>
      <w:tr w:rsidR="006E6D81" w:rsidRPr="00F34B08" w14:paraId="2452D756" w14:textId="77777777" w:rsidTr="006E6D81">
        <w:tc>
          <w:tcPr>
            <w:cnfStyle w:val="001000000000" w:firstRow="0" w:lastRow="0" w:firstColumn="1" w:lastColumn="0" w:oddVBand="0" w:evenVBand="0" w:oddHBand="0" w:evenHBand="0" w:firstRowFirstColumn="0" w:firstRowLastColumn="0" w:lastRowFirstColumn="0" w:lastRowLastColumn="0"/>
            <w:tcW w:w="3481" w:type="dxa"/>
            <w:tcBorders>
              <w:top w:val="single" w:sz="8" w:space="0" w:color="000000"/>
              <w:left w:val="single" w:sz="8" w:space="0" w:color="000000"/>
              <w:bottom w:val="single" w:sz="8" w:space="0" w:color="000000"/>
              <w:right w:val="single" w:sz="8" w:space="0" w:color="000000"/>
            </w:tcBorders>
            <w:shd w:val="clear" w:color="auto" w:fill="FFFFFF"/>
          </w:tcPr>
          <w:p w14:paraId="69D1DC4A"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Chinese</w:t>
            </w:r>
          </w:p>
          <w:p w14:paraId="32FD0329" w14:textId="77777777" w:rsidR="006E6D81" w:rsidRPr="00F34B08" w:rsidRDefault="00E053B0">
            <w:pPr>
              <w:pStyle w:val="NoSpacing"/>
              <w:rPr>
                <w:rFonts w:asciiTheme="minorHAnsi" w:hAnsiTheme="minorHAnsi" w:cstheme="minorHAnsi"/>
                <w:b w:val="0"/>
                <w:bCs w:val="0"/>
                <w:color w:val="000000"/>
                <w:sz w:val="22"/>
                <w:szCs w:val="22"/>
                <w:lang w:val="en-US"/>
              </w:rPr>
            </w:pPr>
            <w:proofErr w:type="spellStart"/>
            <w:r w:rsidRPr="00F34B08">
              <w:rPr>
                <w:rFonts w:asciiTheme="minorHAnsi" w:hAnsiTheme="minorHAnsi" w:cstheme="minorHAnsi"/>
                <w:b w:val="0"/>
                <w:bCs w:val="0"/>
                <w:color w:val="000000"/>
                <w:sz w:val="22"/>
                <w:szCs w:val="22"/>
                <w:lang w:val="en-US"/>
              </w:rPr>
              <w:t>Nkatie</w:t>
            </w:r>
            <w:proofErr w:type="spellEnd"/>
            <w:r w:rsidRPr="00F34B08">
              <w:rPr>
                <w:rFonts w:asciiTheme="minorHAnsi" w:hAnsiTheme="minorHAnsi" w:cstheme="minorHAnsi"/>
                <w:b w:val="0"/>
                <w:bCs w:val="0"/>
                <w:color w:val="000000"/>
                <w:sz w:val="22"/>
                <w:szCs w:val="22"/>
                <w:lang w:val="en-US"/>
              </w:rPr>
              <w:t>-SARI</w:t>
            </w:r>
          </w:p>
          <w:p w14:paraId="2F6F1489"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SARINUT 2</w:t>
            </w:r>
          </w:p>
          <w:p w14:paraId="5373A109"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LSD (P&lt;0.05)</w:t>
            </w:r>
          </w:p>
        </w:tc>
        <w:tc>
          <w:tcPr>
            <w:tcW w:w="1273" w:type="dxa"/>
            <w:tcBorders>
              <w:top w:val="single" w:sz="8" w:space="0" w:color="000000"/>
              <w:left w:val="single" w:sz="8" w:space="0" w:color="000000"/>
              <w:bottom w:val="single" w:sz="8" w:space="0" w:color="000000"/>
              <w:right w:val="single" w:sz="8" w:space="0" w:color="000000"/>
            </w:tcBorders>
            <w:shd w:val="clear" w:color="auto" w:fill="FFFFFF"/>
          </w:tcPr>
          <w:p w14:paraId="15F5CB3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63.5</w:t>
            </w:r>
          </w:p>
          <w:p w14:paraId="11828508"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41.2</w:t>
            </w:r>
          </w:p>
          <w:p w14:paraId="57363B4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59.1</w:t>
            </w:r>
          </w:p>
          <w:p w14:paraId="568CF58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8B4E521"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23.7</w:t>
            </w:r>
          </w:p>
          <w:p w14:paraId="4EC72B0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42.0</w:t>
            </w:r>
          </w:p>
          <w:p w14:paraId="49CBB2E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40.8</w:t>
            </w:r>
          </w:p>
          <w:p w14:paraId="269AC9DE"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1B3F18DA"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11.5</w:t>
            </w:r>
          </w:p>
          <w:p w14:paraId="5EA91672"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14.8</w:t>
            </w:r>
          </w:p>
          <w:p w14:paraId="17CEF68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20.5</w:t>
            </w:r>
          </w:p>
          <w:p w14:paraId="79D5183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11.6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7F101C59"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1.13</w:t>
            </w:r>
          </w:p>
          <w:p w14:paraId="281C7F1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1.65</w:t>
            </w:r>
          </w:p>
          <w:p w14:paraId="6844597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1.9</w:t>
            </w:r>
          </w:p>
          <w:p w14:paraId="21290858"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0.70</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3E31D0D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0.91</w:t>
            </w:r>
          </w:p>
          <w:p w14:paraId="18259CC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1.18</w:t>
            </w:r>
          </w:p>
          <w:p w14:paraId="75FC3B82"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1.26</w:t>
            </w:r>
          </w:p>
          <w:p w14:paraId="6883D36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0.26</w:t>
            </w:r>
          </w:p>
        </w:tc>
      </w:tr>
      <w:tr w:rsidR="006E6D81" w:rsidRPr="00F34B08" w14:paraId="11AA2F6A" w14:textId="77777777" w:rsidTr="006E6D81">
        <w:tc>
          <w:tcPr>
            <w:cnfStyle w:val="001000000000" w:firstRow="0" w:lastRow="0" w:firstColumn="1" w:lastColumn="0" w:oddVBand="0" w:evenVBand="0" w:oddHBand="0" w:evenHBand="0" w:firstRowFirstColumn="0" w:firstRowLastColumn="0" w:lastRowFirstColumn="0" w:lastRowLastColumn="0"/>
            <w:tcW w:w="3481" w:type="dxa"/>
            <w:tcBorders>
              <w:top w:val="single" w:sz="8" w:space="0" w:color="000000"/>
              <w:left w:val="single" w:sz="8" w:space="0" w:color="000000"/>
              <w:bottom w:val="single" w:sz="8" w:space="0" w:color="000000"/>
              <w:right w:val="single" w:sz="8" w:space="0" w:color="000000"/>
            </w:tcBorders>
            <w:shd w:val="clear" w:color="auto" w:fill="FFFFFF"/>
          </w:tcPr>
          <w:p w14:paraId="191BD6CF"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Management practice (C)</w:t>
            </w:r>
          </w:p>
        </w:tc>
        <w:tc>
          <w:tcPr>
            <w:tcW w:w="1273" w:type="dxa"/>
            <w:tcBorders>
              <w:top w:val="single" w:sz="8" w:space="0" w:color="000000"/>
              <w:left w:val="single" w:sz="8" w:space="0" w:color="000000"/>
              <w:bottom w:val="single" w:sz="8" w:space="0" w:color="000000"/>
              <w:right w:val="single" w:sz="8" w:space="0" w:color="000000"/>
            </w:tcBorders>
            <w:shd w:val="clear" w:color="auto" w:fill="FFFFFF"/>
          </w:tcPr>
          <w:p w14:paraId="5C0C917F"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6936AE38"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1C68890"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6871DD91"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734DFB2F" w14:textId="77777777" w:rsidR="006E6D81" w:rsidRPr="00F34B08" w:rsidRDefault="006E6D8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p>
        </w:tc>
      </w:tr>
      <w:tr w:rsidR="006E6D81" w:rsidRPr="00F34B08" w14:paraId="323EBC7F" w14:textId="77777777" w:rsidTr="006E6D81">
        <w:tc>
          <w:tcPr>
            <w:cnfStyle w:val="001000000000" w:firstRow="0" w:lastRow="0" w:firstColumn="1" w:lastColumn="0" w:oddVBand="0" w:evenVBand="0" w:oddHBand="0" w:evenHBand="0" w:firstRowFirstColumn="0" w:firstRowLastColumn="0" w:lastRowFirstColumn="0" w:lastRowLastColumn="0"/>
            <w:tcW w:w="3481" w:type="dxa"/>
            <w:tcBorders>
              <w:top w:val="single" w:sz="8" w:space="0" w:color="000000"/>
              <w:left w:val="single" w:sz="8" w:space="0" w:color="000000"/>
              <w:bottom w:val="single" w:sz="8" w:space="0" w:color="000000"/>
              <w:right w:val="single" w:sz="8" w:space="0" w:color="000000"/>
            </w:tcBorders>
            <w:shd w:val="clear" w:color="auto" w:fill="FFFFFF"/>
          </w:tcPr>
          <w:p w14:paraId="48E9BA5E"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Farmer Practice</w:t>
            </w:r>
          </w:p>
          <w:p w14:paraId="499F7F37"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Integrated pest management</w:t>
            </w:r>
          </w:p>
          <w:p w14:paraId="06E03D5F"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LSD (P&lt;0.05)</w:t>
            </w:r>
          </w:p>
        </w:tc>
        <w:tc>
          <w:tcPr>
            <w:tcW w:w="1273" w:type="dxa"/>
            <w:tcBorders>
              <w:top w:val="single" w:sz="8" w:space="0" w:color="000000"/>
              <w:left w:val="single" w:sz="8" w:space="0" w:color="000000"/>
              <w:bottom w:val="single" w:sz="8" w:space="0" w:color="000000"/>
              <w:right w:val="single" w:sz="8" w:space="0" w:color="000000"/>
            </w:tcBorders>
            <w:shd w:val="clear" w:color="auto" w:fill="FFFFFF"/>
          </w:tcPr>
          <w:p w14:paraId="639F1790"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53.2</w:t>
            </w:r>
          </w:p>
          <w:p w14:paraId="6957D609"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56.0</w:t>
            </w:r>
          </w:p>
          <w:p w14:paraId="69BB1898"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67.9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49AB6CB0"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29.8</w:t>
            </w:r>
          </w:p>
          <w:p w14:paraId="5075843D"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41.2</w:t>
            </w:r>
          </w:p>
          <w:p w14:paraId="475EEC01"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1F90C60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12.8</w:t>
            </w:r>
          </w:p>
          <w:p w14:paraId="100977A0"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18.4</w:t>
            </w:r>
          </w:p>
          <w:p w14:paraId="563EE561"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7.5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45F2932E"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1.51</w:t>
            </w:r>
          </w:p>
          <w:p w14:paraId="0605167E"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1.65</w:t>
            </w:r>
          </w:p>
          <w:p w14:paraId="0C3C9DE4"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0C81FD90"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0.93</w:t>
            </w:r>
          </w:p>
          <w:p w14:paraId="71E92698"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1.31</w:t>
            </w:r>
          </w:p>
          <w:p w14:paraId="187A98A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0.17</w:t>
            </w:r>
          </w:p>
        </w:tc>
      </w:tr>
      <w:tr w:rsidR="006E6D81" w:rsidRPr="00F34B08" w14:paraId="5DF82ED7" w14:textId="77777777" w:rsidTr="006E6D81">
        <w:tc>
          <w:tcPr>
            <w:cnfStyle w:val="001000000000" w:firstRow="0" w:lastRow="0" w:firstColumn="1" w:lastColumn="0" w:oddVBand="0" w:evenVBand="0" w:oddHBand="0" w:evenHBand="0" w:firstRowFirstColumn="0" w:firstRowLastColumn="0" w:lastRowFirstColumn="0" w:lastRowLastColumn="0"/>
            <w:tcW w:w="3481" w:type="dxa"/>
            <w:tcBorders>
              <w:top w:val="single" w:sz="8" w:space="0" w:color="000000"/>
              <w:left w:val="single" w:sz="8" w:space="0" w:color="000000"/>
              <w:bottom w:val="single" w:sz="8" w:space="0" w:color="000000"/>
              <w:right w:val="single" w:sz="8" w:space="0" w:color="000000"/>
            </w:tcBorders>
            <w:shd w:val="clear" w:color="auto" w:fill="FFFFFF"/>
          </w:tcPr>
          <w:p w14:paraId="2BD223B6"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A</w:t>
            </w:r>
          </w:p>
          <w:p w14:paraId="37B0D336"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B</w:t>
            </w:r>
          </w:p>
          <w:p w14:paraId="15A38D25"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C</w:t>
            </w:r>
          </w:p>
          <w:p w14:paraId="3E6A85B4" w14:textId="77777777" w:rsidR="006E6D81" w:rsidRPr="00F34B08" w:rsidRDefault="00E053B0">
            <w:pPr>
              <w:pStyle w:val="NoSpacing"/>
              <w:rPr>
                <w:rFonts w:asciiTheme="minorHAnsi" w:hAnsiTheme="minorHAnsi" w:cstheme="minorHAnsi"/>
                <w:b w:val="0"/>
                <w:bCs w:val="0"/>
                <w:color w:val="000000"/>
                <w:sz w:val="22"/>
                <w:szCs w:val="22"/>
                <w:lang w:val="en-US"/>
              </w:rPr>
            </w:pPr>
            <w:proofErr w:type="spellStart"/>
            <w:r w:rsidRPr="00F34B08">
              <w:rPr>
                <w:rFonts w:asciiTheme="minorHAnsi" w:hAnsiTheme="minorHAnsi" w:cstheme="minorHAnsi"/>
                <w:b w:val="0"/>
                <w:bCs w:val="0"/>
                <w:color w:val="000000"/>
                <w:sz w:val="22"/>
                <w:szCs w:val="22"/>
                <w:lang w:val="en-US"/>
              </w:rPr>
              <w:t>AxBxC</w:t>
            </w:r>
            <w:proofErr w:type="spellEnd"/>
          </w:p>
          <w:p w14:paraId="17982C40" w14:textId="77777777" w:rsidR="006E6D81" w:rsidRPr="00F34B08" w:rsidRDefault="00E053B0">
            <w:pPr>
              <w:pStyle w:val="NoSpacing"/>
              <w:rPr>
                <w:rFonts w:asciiTheme="minorHAnsi" w:hAnsiTheme="minorHAnsi" w:cstheme="minorHAnsi"/>
                <w:b w:val="0"/>
                <w:bCs w:val="0"/>
                <w:color w:val="000000"/>
                <w:sz w:val="22"/>
                <w:szCs w:val="22"/>
                <w:lang w:val="en-US"/>
              </w:rPr>
            </w:pPr>
            <w:r w:rsidRPr="00F34B08">
              <w:rPr>
                <w:rFonts w:asciiTheme="minorHAnsi" w:hAnsiTheme="minorHAnsi" w:cstheme="minorHAnsi"/>
                <w:b w:val="0"/>
                <w:bCs w:val="0"/>
                <w:color w:val="000000"/>
                <w:sz w:val="22"/>
                <w:szCs w:val="22"/>
                <w:lang w:val="en-US"/>
              </w:rPr>
              <w:t>CV (%)</w:t>
            </w:r>
          </w:p>
        </w:tc>
        <w:tc>
          <w:tcPr>
            <w:tcW w:w="1273" w:type="dxa"/>
            <w:tcBorders>
              <w:top w:val="single" w:sz="8" w:space="0" w:color="000000"/>
              <w:left w:val="single" w:sz="8" w:space="0" w:color="000000"/>
              <w:bottom w:val="single" w:sz="8" w:space="0" w:color="000000"/>
              <w:right w:val="single" w:sz="8" w:space="0" w:color="000000"/>
            </w:tcBorders>
            <w:shd w:val="clear" w:color="auto" w:fill="FFFFFF"/>
          </w:tcPr>
          <w:p w14:paraId="43E64F4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757BD07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29FA8E73"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p w14:paraId="0C37A46D"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p w14:paraId="4DABAA7C"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12.6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4DB83C6D"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2FF2F239"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1643394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2BF8C743"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p w14:paraId="02011BDA"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21.3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F962ABF"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3EF2D634"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05105A31"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5F60C059"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p w14:paraId="1DBFF92A"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9.9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68C68A23"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23AE3E4D"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6E98E4CA"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p w14:paraId="7A8E0AE5"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p w14:paraId="3644FA96"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34.4</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Pr>
          <w:p w14:paraId="0F4E2F07"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456ECD8D"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46D061EE"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w:t>
            </w:r>
          </w:p>
          <w:p w14:paraId="4349BAC8"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ns</w:t>
            </w:r>
          </w:p>
          <w:p w14:paraId="7E8F63E4" w14:textId="77777777" w:rsidR="006E6D81" w:rsidRPr="00F34B08" w:rsidRDefault="00E053B0">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n-US"/>
              </w:rPr>
            </w:pPr>
            <w:r w:rsidRPr="00F34B08">
              <w:rPr>
                <w:rFonts w:asciiTheme="minorHAnsi" w:hAnsiTheme="minorHAnsi" w:cstheme="minorHAnsi"/>
                <w:color w:val="000000"/>
                <w:sz w:val="22"/>
                <w:szCs w:val="22"/>
                <w:lang w:val="en-US"/>
              </w:rPr>
              <w:t>15.2</w:t>
            </w:r>
          </w:p>
        </w:tc>
      </w:tr>
    </w:tbl>
    <w:p w14:paraId="1529E89E" w14:textId="77777777" w:rsidR="006E6D81" w:rsidRDefault="00E053B0">
      <w:pPr>
        <w:spacing w:line="240" w:lineRule="auto"/>
        <w:rPr>
          <w:rFonts w:ascii="Calibri" w:eastAsia="MinionPro-Capt" w:hAnsi="Calibri" w:cs="Calibri"/>
          <w:bCs/>
          <w:sz w:val="24"/>
          <w:szCs w:val="24"/>
          <w:lang w:val="en-GB"/>
        </w:rPr>
      </w:pPr>
      <w:r>
        <w:rPr>
          <w:rFonts w:ascii="Calibri" w:eastAsia="MinionPro-Capt" w:hAnsi="Calibri" w:cs="Calibri"/>
          <w:bCs/>
          <w:sz w:val="24"/>
          <w:szCs w:val="24"/>
          <w:lang w:val="en-GB"/>
        </w:rPr>
        <w:t>* Significant at the 0.05 probability level, ** Significant at the 0.01 probability level.</w:t>
      </w:r>
    </w:p>
    <w:p w14:paraId="03CDA834" w14:textId="77777777" w:rsidR="006E6D81" w:rsidRDefault="00E053B0">
      <w:pPr>
        <w:spacing w:line="240" w:lineRule="auto"/>
        <w:jc w:val="both"/>
        <w:rPr>
          <w:rFonts w:ascii="Calibri" w:hAnsi="Calibri" w:cs="Calibri"/>
          <w:b/>
          <w:sz w:val="24"/>
          <w:szCs w:val="24"/>
          <w:lang w:val="en-US"/>
        </w:rPr>
      </w:pPr>
      <w:r>
        <w:rPr>
          <w:rFonts w:ascii="Calibri" w:hAnsi="Calibri" w:cs="Calibri"/>
          <w:b/>
          <w:sz w:val="24"/>
          <w:szCs w:val="24"/>
          <w:lang w:val="en-US"/>
        </w:rPr>
        <w:t>3.4 Total aflatoxin levels</w:t>
      </w:r>
    </w:p>
    <w:p w14:paraId="03BA8C37" w14:textId="6E9D11FE" w:rsidR="006E6D81" w:rsidRDefault="00E053B0">
      <w:pPr>
        <w:spacing w:line="240" w:lineRule="auto"/>
        <w:jc w:val="both"/>
        <w:rPr>
          <w:rFonts w:ascii="Calibri" w:hAnsi="Calibri" w:cs="Calibri"/>
          <w:sz w:val="24"/>
          <w:szCs w:val="24"/>
          <w:lang w:val="en-US"/>
        </w:rPr>
      </w:pPr>
      <w:r>
        <w:rPr>
          <w:rFonts w:ascii="Calibri" w:hAnsi="Calibri" w:cs="Calibri"/>
          <w:sz w:val="24"/>
          <w:szCs w:val="24"/>
          <w:lang w:val="en-US"/>
        </w:rPr>
        <w:t>The effect of cultivar and soil amendment on aflatoxin levels (8 months after harvest) is summarizes in Table 6. A</w:t>
      </w:r>
      <w:r>
        <w:rPr>
          <w:rFonts w:ascii="Calibri" w:eastAsia="BatangChe" w:hAnsi="Calibri" w:cs="Calibri"/>
          <w:sz w:val="24"/>
          <w:szCs w:val="24"/>
          <w:lang w:val="en-US"/>
        </w:rPr>
        <w:t xml:space="preserve">ll samples from the demonstrations recorded safe (4.2 - 5.5 ppb) </w:t>
      </w:r>
      <w:r w:rsidR="00A6146F">
        <w:rPr>
          <w:rFonts w:ascii="Calibri" w:eastAsia="BatangChe" w:hAnsi="Calibri" w:cs="Calibri"/>
          <w:sz w:val="24"/>
          <w:szCs w:val="24"/>
          <w:lang w:val="en-US"/>
        </w:rPr>
        <w:t xml:space="preserve">levels </w:t>
      </w:r>
      <w:r>
        <w:rPr>
          <w:rFonts w:ascii="Calibri" w:eastAsia="BatangChe" w:hAnsi="Calibri" w:cs="Calibri"/>
          <w:sz w:val="24"/>
          <w:szCs w:val="24"/>
          <w:lang w:val="en-US"/>
        </w:rPr>
        <w:t xml:space="preserve">for human use at 8 months after harvest. Aflatoxin levels did not vary between the cultivars or soil amendments. </w:t>
      </w:r>
      <w:r>
        <w:rPr>
          <w:rFonts w:ascii="Calibri" w:hAnsi="Calibri" w:cs="Calibri"/>
          <w:sz w:val="24"/>
          <w:szCs w:val="24"/>
          <w:lang w:val="en-US"/>
        </w:rPr>
        <w:t xml:space="preserve">The package in this demonstration included sowing at optimum time, control of soil arthropods, nutrient amendments, appropriate plant density, use of improved varieties and weeding twice. Good postharvest operations such as prompt harvesting at maturity, </w:t>
      </w:r>
      <w:r w:rsidR="00A6146F">
        <w:rPr>
          <w:rFonts w:ascii="Calibri" w:hAnsi="Calibri" w:cs="Calibri"/>
          <w:sz w:val="24"/>
          <w:szCs w:val="24"/>
          <w:lang w:val="en-US"/>
        </w:rPr>
        <w:t>reducing the</w:t>
      </w:r>
      <w:r>
        <w:rPr>
          <w:rFonts w:ascii="Calibri" w:hAnsi="Calibri" w:cs="Calibri"/>
          <w:sz w:val="24"/>
          <w:szCs w:val="24"/>
          <w:lang w:val="en-US"/>
        </w:rPr>
        <w:t xml:space="preserve"> harvesting to thrashing interval, prompt drying, storage at safe moisture </w:t>
      </w:r>
      <w:r w:rsidR="00A6146F">
        <w:rPr>
          <w:rFonts w:ascii="Calibri" w:hAnsi="Calibri" w:cs="Calibri"/>
          <w:sz w:val="24"/>
          <w:szCs w:val="24"/>
          <w:lang w:val="en-US"/>
        </w:rPr>
        <w:t>content and</w:t>
      </w:r>
      <w:r>
        <w:rPr>
          <w:rFonts w:ascii="Calibri" w:hAnsi="Calibri" w:cs="Calibri"/>
          <w:sz w:val="24"/>
          <w:szCs w:val="24"/>
          <w:lang w:val="en-US"/>
        </w:rPr>
        <w:t xml:space="preserve"> </w:t>
      </w:r>
      <w:r w:rsidR="00A6146F">
        <w:rPr>
          <w:rFonts w:ascii="Calibri" w:hAnsi="Calibri" w:cs="Calibri"/>
          <w:sz w:val="24"/>
          <w:szCs w:val="24"/>
          <w:lang w:val="en-US"/>
        </w:rPr>
        <w:t xml:space="preserve">good </w:t>
      </w:r>
      <w:r w:rsidR="0001492C">
        <w:rPr>
          <w:rFonts w:ascii="Calibri" w:hAnsi="Calibri" w:cs="Calibri"/>
          <w:sz w:val="24"/>
          <w:szCs w:val="24"/>
          <w:lang w:val="en-US"/>
        </w:rPr>
        <w:t>storage were</w:t>
      </w:r>
      <w:r>
        <w:rPr>
          <w:rFonts w:ascii="Calibri" w:hAnsi="Calibri" w:cs="Calibri"/>
          <w:sz w:val="24"/>
          <w:szCs w:val="24"/>
          <w:lang w:val="en-US"/>
        </w:rPr>
        <w:t xml:space="preserve"> adopted. S</w:t>
      </w:r>
      <w:r>
        <w:rPr>
          <w:rFonts w:ascii="Calibri" w:eastAsia="BatangChe" w:hAnsi="Calibri" w:cs="Calibri"/>
          <w:sz w:val="24"/>
          <w:szCs w:val="24"/>
          <w:lang w:val="en-US"/>
        </w:rPr>
        <w:t xml:space="preserve">ignificant reduction in aflatoxins contamination can be achieved by integrating these best management practices. </w:t>
      </w:r>
    </w:p>
    <w:p w14:paraId="26A1CBBC" w14:textId="77777777" w:rsidR="006E6D81" w:rsidRDefault="00E053B0">
      <w:pPr>
        <w:pStyle w:val="NoSpacing"/>
        <w:rPr>
          <w:rFonts w:ascii="Calibri" w:eastAsia="BatangChe" w:hAnsi="Calibri" w:cs="Calibri"/>
          <w:sz w:val="24"/>
          <w:szCs w:val="24"/>
          <w:lang w:val="en-US"/>
        </w:rPr>
      </w:pPr>
      <w:r>
        <w:rPr>
          <w:rFonts w:ascii="Calibri" w:eastAsia="BatangChe" w:hAnsi="Calibri" w:cs="Calibri"/>
          <w:sz w:val="24"/>
          <w:szCs w:val="24"/>
          <w:lang w:val="en-US"/>
        </w:rPr>
        <w:t>Table 6: Cultivar and soil amendment effects on groundnut aflatoxin levels at 8 months after harvest</w:t>
      </w:r>
    </w:p>
    <w:tbl>
      <w:tblPr>
        <w:tblStyle w:val="PlainTable21"/>
        <w:tblW w:w="0" w:type="auto"/>
        <w:tblLook w:val="04A0" w:firstRow="1" w:lastRow="0" w:firstColumn="1" w:lastColumn="0" w:noHBand="0" w:noVBand="1"/>
      </w:tblPr>
      <w:tblGrid>
        <w:gridCol w:w="3964"/>
        <w:gridCol w:w="4962"/>
      </w:tblGrid>
      <w:tr w:rsidR="006E6D81" w14:paraId="076D723A" w14:textId="77777777" w:rsidTr="006E6D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left w:val="single" w:sz="8" w:space="0" w:color="000000"/>
              <w:bottom w:val="single" w:sz="8" w:space="0" w:color="000000"/>
              <w:right w:val="single" w:sz="8" w:space="0" w:color="000000"/>
            </w:tcBorders>
            <w:shd w:val="clear" w:color="auto" w:fill="FFFFFF"/>
          </w:tcPr>
          <w:p w14:paraId="2811B627"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 xml:space="preserve">Treatments </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4A85BB40" w14:textId="77777777" w:rsidR="006E6D81" w:rsidRDefault="00E053B0">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Aflatoxins level (ppb)</w:t>
            </w:r>
          </w:p>
        </w:tc>
      </w:tr>
      <w:tr w:rsidR="006E6D81" w14:paraId="4D5F1379" w14:textId="77777777" w:rsidTr="006E6D81">
        <w:tc>
          <w:tcPr>
            <w:cnfStyle w:val="001000000000" w:firstRow="0" w:lastRow="0" w:firstColumn="1" w:lastColumn="0" w:oddVBand="0" w:evenVBand="0" w:oddHBand="0" w:evenHBand="0" w:firstRowFirstColumn="0" w:firstRowLastColumn="0" w:lastRowFirstColumn="0" w:lastRowLastColumn="0"/>
            <w:tcW w:w="8926" w:type="dxa"/>
            <w:gridSpan w:val="2"/>
            <w:tcBorders>
              <w:top w:val="single" w:sz="8" w:space="0" w:color="000000"/>
              <w:left w:val="single" w:sz="8" w:space="0" w:color="000000"/>
              <w:bottom w:val="single" w:sz="8" w:space="0" w:color="000000"/>
              <w:right w:val="single" w:sz="8" w:space="0" w:color="000000"/>
            </w:tcBorders>
            <w:shd w:val="clear" w:color="auto" w:fill="FFFFFF"/>
          </w:tcPr>
          <w:p w14:paraId="0CC3C4BC"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 xml:space="preserve">Variety </w:t>
            </w:r>
          </w:p>
        </w:tc>
      </w:tr>
      <w:tr w:rsidR="006E6D81" w14:paraId="5851D2D9" w14:textId="77777777" w:rsidTr="006E6D81">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left w:val="single" w:sz="8" w:space="0" w:color="000000"/>
              <w:bottom w:val="single" w:sz="8" w:space="0" w:color="000000"/>
              <w:right w:val="single" w:sz="8" w:space="0" w:color="000000"/>
            </w:tcBorders>
            <w:shd w:val="clear" w:color="auto" w:fill="FFFFFF"/>
          </w:tcPr>
          <w:p w14:paraId="537AE51E"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Farmer Variety</w:t>
            </w:r>
          </w:p>
          <w:p w14:paraId="2CB499C6" w14:textId="77777777" w:rsidR="006E6D81" w:rsidRDefault="00E053B0">
            <w:pPr>
              <w:spacing w:after="0" w:line="240" w:lineRule="auto"/>
              <w:jc w:val="both"/>
              <w:rPr>
                <w:rFonts w:ascii="Calibri" w:eastAsia="BatangChe" w:hAnsi="Calibri" w:cs="Calibri"/>
                <w:bCs w:val="0"/>
                <w:color w:val="000000"/>
                <w:sz w:val="20"/>
                <w:szCs w:val="20"/>
                <w:lang w:val="en-US"/>
              </w:rPr>
            </w:pPr>
            <w:proofErr w:type="spellStart"/>
            <w:r>
              <w:rPr>
                <w:rFonts w:ascii="Calibri" w:eastAsia="BatangChe" w:hAnsi="Calibri" w:cs="Calibri"/>
                <w:b w:val="0"/>
                <w:color w:val="000000"/>
                <w:sz w:val="20"/>
                <w:szCs w:val="20"/>
                <w:lang w:val="en-US"/>
              </w:rPr>
              <w:t>Oboshie</w:t>
            </w:r>
            <w:proofErr w:type="spellEnd"/>
          </w:p>
          <w:p w14:paraId="277C0DA8" w14:textId="77777777" w:rsidR="006E6D81" w:rsidRDefault="00E053B0">
            <w:pPr>
              <w:spacing w:after="0" w:line="240" w:lineRule="auto"/>
              <w:jc w:val="both"/>
              <w:rPr>
                <w:rFonts w:ascii="Calibri" w:eastAsia="BatangChe" w:hAnsi="Calibri" w:cs="Calibri"/>
                <w:bCs w:val="0"/>
                <w:color w:val="000000"/>
                <w:sz w:val="20"/>
                <w:szCs w:val="20"/>
                <w:lang w:val="en-US"/>
              </w:rPr>
            </w:pPr>
            <w:proofErr w:type="spellStart"/>
            <w:r>
              <w:rPr>
                <w:rFonts w:ascii="Calibri" w:eastAsia="BatangChe" w:hAnsi="Calibri" w:cs="Calibri"/>
                <w:b w:val="0"/>
                <w:color w:val="000000"/>
                <w:sz w:val="20"/>
                <w:szCs w:val="20"/>
                <w:lang w:val="en-US"/>
              </w:rPr>
              <w:t>Kpanielli</w:t>
            </w:r>
            <w:proofErr w:type="spellEnd"/>
          </w:p>
          <w:p w14:paraId="5D24BFDE"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SARINUT 2</w:t>
            </w:r>
          </w:p>
          <w:p w14:paraId="65E19FAE"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lastRenderedPageBreak/>
              <w:t>Farmer Var.</w:t>
            </w:r>
          </w:p>
          <w:p w14:paraId="1BB7D5F7" w14:textId="77777777" w:rsidR="006E6D81" w:rsidRDefault="00E053B0">
            <w:pPr>
              <w:spacing w:after="0" w:line="240" w:lineRule="auto"/>
              <w:jc w:val="both"/>
              <w:rPr>
                <w:rFonts w:ascii="Calibri" w:eastAsia="BatangChe" w:hAnsi="Calibri" w:cs="Calibri"/>
                <w:bCs w:val="0"/>
                <w:color w:val="000000"/>
                <w:sz w:val="20"/>
                <w:szCs w:val="20"/>
                <w:lang w:val="en-US"/>
              </w:rPr>
            </w:pPr>
            <w:proofErr w:type="spellStart"/>
            <w:r>
              <w:rPr>
                <w:rFonts w:ascii="Calibri" w:eastAsia="BatangChe" w:hAnsi="Calibri" w:cs="Calibri"/>
                <w:b w:val="0"/>
                <w:color w:val="000000"/>
                <w:sz w:val="20"/>
                <w:szCs w:val="20"/>
                <w:lang w:val="en-US"/>
              </w:rPr>
              <w:t>Samnut</w:t>
            </w:r>
            <w:proofErr w:type="spellEnd"/>
            <w:r>
              <w:rPr>
                <w:rFonts w:ascii="Calibri" w:eastAsia="BatangChe" w:hAnsi="Calibri" w:cs="Calibri"/>
                <w:b w:val="0"/>
                <w:color w:val="000000"/>
                <w:sz w:val="20"/>
                <w:szCs w:val="20"/>
                <w:lang w:val="en-US"/>
              </w:rPr>
              <w:t xml:space="preserve"> 23</w:t>
            </w:r>
          </w:p>
          <w:p w14:paraId="769832F4" w14:textId="77777777" w:rsidR="006E6D81" w:rsidRDefault="00E053B0">
            <w:pPr>
              <w:spacing w:after="0" w:line="240" w:lineRule="auto"/>
              <w:jc w:val="both"/>
              <w:rPr>
                <w:rFonts w:ascii="Calibri" w:eastAsia="BatangChe" w:hAnsi="Calibri" w:cs="Calibri"/>
                <w:bCs w:val="0"/>
                <w:color w:val="000000"/>
                <w:sz w:val="20"/>
                <w:szCs w:val="20"/>
                <w:lang w:val="en-US"/>
              </w:rPr>
            </w:pPr>
            <w:proofErr w:type="spellStart"/>
            <w:r>
              <w:rPr>
                <w:rFonts w:ascii="Calibri" w:eastAsia="BatangChe" w:hAnsi="Calibri" w:cs="Calibri"/>
                <w:b w:val="0"/>
                <w:color w:val="000000"/>
                <w:sz w:val="20"/>
                <w:szCs w:val="20"/>
                <w:lang w:val="en-US"/>
              </w:rPr>
              <w:t>Yenyawaso</w:t>
            </w:r>
            <w:proofErr w:type="spellEnd"/>
          </w:p>
          <w:p w14:paraId="47E7ACC2" w14:textId="77777777" w:rsidR="006E6D81" w:rsidRDefault="00E053B0">
            <w:pPr>
              <w:spacing w:after="0" w:line="240" w:lineRule="auto"/>
              <w:jc w:val="both"/>
              <w:rPr>
                <w:rFonts w:ascii="Calibri" w:eastAsia="BatangChe" w:hAnsi="Calibri" w:cs="Calibri"/>
                <w:bCs w:val="0"/>
                <w:color w:val="000000"/>
                <w:sz w:val="20"/>
                <w:szCs w:val="20"/>
                <w:lang w:val="en-US"/>
              </w:rPr>
            </w:pPr>
            <w:proofErr w:type="spellStart"/>
            <w:r>
              <w:rPr>
                <w:rFonts w:ascii="Calibri" w:eastAsia="BatangChe" w:hAnsi="Calibri" w:cs="Calibri"/>
                <w:b w:val="0"/>
                <w:color w:val="000000"/>
                <w:sz w:val="20"/>
                <w:szCs w:val="20"/>
                <w:lang w:val="en-US"/>
              </w:rPr>
              <w:t>Obolo</w:t>
            </w:r>
            <w:proofErr w:type="spellEnd"/>
          </w:p>
        </w:tc>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1DDB5A88"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lastRenderedPageBreak/>
              <w:t>5.08±0.15</w:t>
            </w:r>
          </w:p>
          <w:p w14:paraId="032CD4E6"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5.05±0.44</w:t>
            </w:r>
          </w:p>
          <w:p w14:paraId="69F02596"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4.43±0.29</w:t>
            </w:r>
          </w:p>
          <w:p w14:paraId="3CDEE7E0"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5.10±0.28</w:t>
            </w:r>
          </w:p>
          <w:p w14:paraId="4E725AEF"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lastRenderedPageBreak/>
              <w:t>5.05±0.23</w:t>
            </w:r>
          </w:p>
          <w:p w14:paraId="14176582"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4.93±0.32</w:t>
            </w:r>
          </w:p>
          <w:p w14:paraId="609DE82B"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5.45±0.81</w:t>
            </w:r>
          </w:p>
          <w:p w14:paraId="24E09F73"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5.15±0.31</w:t>
            </w:r>
          </w:p>
        </w:tc>
      </w:tr>
      <w:tr w:rsidR="006E6D81" w14:paraId="23B86D59" w14:textId="77777777" w:rsidTr="006E6D81">
        <w:tc>
          <w:tcPr>
            <w:cnfStyle w:val="001000000000" w:firstRow="0" w:lastRow="0" w:firstColumn="1" w:lastColumn="0" w:oddVBand="0" w:evenVBand="0" w:oddHBand="0" w:evenHBand="0" w:firstRowFirstColumn="0" w:firstRowLastColumn="0" w:lastRowFirstColumn="0" w:lastRowLastColumn="0"/>
            <w:tcW w:w="8926" w:type="dxa"/>
            <w:gridSpan w:val="2"/>
            <w:tcBorders>
              <w:top w:val="single" w:sz="8" w:space="0" w:color="000000"/>
              <w:left w:val="single" w:sz="8" w:space="0" w:color="000000"/>
              <w:bottom w:val="single" w:sz="8" w:space="0" w:color="000000"/>
              <w:right w:val="single" w:sz="8" w:space="0" w:color="000000"/>
            </w:tcBorders>
            <w:shd w:val="clear" w:color="auto" w:fill="FFFFFF"/>
          </w:tcPr>
          <w:p w14:paraId="5612A107"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lastRenderedPageBreak/>
              <w:t>Soil Amendments</w:t>
            </w:r>
          </w:p>
        </w:tc>
      </w:tr>
      <w:tr w:rsidR="006E6D81" w14:paraId="5239C711" w14:textId="77777777" w:rsidTr="006E6D81">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left w:val="single" w:sz="8" w:space="0" w:color="000000"/>
              <w:bottom w:val="single" w:sz="8" w:space="0" w:color="000000"/>
              <w:right w:val="single" w:sz="8" w:space="0" w:color="000000"/>
            </w:tcBorders>
            <w:shd w:val="clear" w:color="auto" w:fill="FFFFFF"/>
          </w:tcPr>
          <w:p w14:paraId="7547C712"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Control</w:t>
            </w:r>
          </w:p>
          <w:p w14:paraId="5DACF247"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Fertilizer</w:t>
            </w:r>
          </w:p>
          <w:p w14:paraId="4ED767A2"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Organic manure</w:t>
            </w:r>
          </w:p>
          <w:p w14:paraId="38AF8386"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Organic Manure + Fertilizer</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40558512"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5.05±0.38</w:t>
            </w:r>
          </w:p>
          <w:p w14:paraId="2BDED1C4"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5.18±0.62</w:t>
            </w:r>
          </w:p>
          <w:p w14:paraId="1E2217F5"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5.05±0.44</w:t>
            </w:r>
          </w:p>
          <w:p w14:paraId="1CFDDDFC"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4.84±32</w:t>
            </w:r>
          </w:p>
        </w:tc>
      </w:tr>
      <w:tr w:rsidR="006E6D81" w14:paraId="524A1EC7" w14:textId="77777777" w:rsidTr="006E6D81">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000000"/>
              <w:left w:val="single" w:sz="8" w:space="0" w:color="000000"/>
              <w:bottom w:val="single" w:sz="8" w:space="0" w:color="000000"/>
              <w:right w:val="single" w:sz="8" w:space="0" w:color="000000"/>
            </w:tcBorders>
            <w:shd w:val="clear" w:color="auto" w:fill="FFFFFF"/>
          </w:tcPr>
          <w:p w14:paraId="0D96ABB3"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Grand mean</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6845A14E" w14:textId="77777777" w:rsidR="006E6D81" w:rsidRDefault="00E053B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BatangChe" w:hAnsi="Calibri" w:cs="Calibri"/>
                <w:color w:val="000000"/>
                <w:sz w:val="20"/>
                <w:szCs w:val="20"/>
                <w:lang w:val="en-US"/>
              </w:rPr>
            </w:pPr>
            <w:r>
              <w:rPr>
                <w:rFonts w:ascii="Calibri" w:eastAsia="BatangChe" w:hAnsi="Calibri" w:cs="Calibri"/>
                <w:color w:val="000000"/>
                <w:sz w:val="20"/>
                <w:szCs w:val="20"/>
                <w:lang w:val="en-US"/>
              </w:rPr>
              <w:t>5.03</w:t>
            </w:r>
          </w:p>
        </w:tc>
      </w:tr>
      <w:tr w:rsidR="006E6D81" w14:paraId="0577B3C5" w14:textId="77777777" w:rsidTr="006E6D81">
        <w:tc>
          <w:tcPr>
            <w:cnfStyle w:val="001000000000" w:firstRow="0" w:lastRow="0" w:firstColumn="1" w:lastColumn="0" w:oddVBand="0" w:evenVBand="0" w:oddHBand="0" w:evenHBand="0" w:firstRowFirstColumn="0" w:firstRowLastColumn="0" w:lastRowFirstColumn="0" w:lastRowLastColumn="0"/>
            <w:tcW w:w="8926" w:type="dxa"/>
            <w:gridSpan w:val="2"/>
            <w:tcBorders>
              <w:top w:val="single" w:sz="8" w:space="0" w:color="000000"/>
              <w:left w:val="single" w:sz="8" w:space="0" w:color="000000"/>
              <w:bottom w:val="single" w:sz="8" w:space="0" w:color="000000"/>
              <w:right w:val="single" w:sz="8" w:space="0" w:color="000000"/>
            </w:tcBorders>
            <w:shd w:val="clear" w:color="auto" w:fill="FFFFFF"/>
          </w:tcPr>
          <w:p w14:paraId="008B9249" w14:textId="77777777" w:rsidR="006E6D81" w:rsidRDefault="00E053B0">
            <w:pPr>
              <w:spacing w:after="0" w:line="240" w:lineRule="auto"/>
              <w:jc w:val="both"/>
              <w:rPr>
                <w:rFonts w:ascii="Calibri" w:eastAsia="BatangChe" w:hAnsi="Calibri" w:cs="Calibri"/>
                <w:bCs w:val="0"/>
                <w:color w:val="000000"/>
                <w:sz w:val="20"/>
                <w:szCs w:val="20"/>
                <w:lang w:val="en-US"/>
              </w:rPr>
            </w:pPr>
            <w:r>
              <w:rPr>
                <w:rFonts w:ascii="Calibri" w:eastAsia="BatangChe" w:hAnsi="Calibri" w:cs="Calibri"/>
                <w:b w:val="0"/>
                <w:color w:val="000000"/>
                <w:sz w:val="20"/>
                <w:szCs w:val="20"/>
                <w:lang w:val="en-US"/>
              </w:rPr>
              <w:t>Variety: NS; Soil amendment: NS; CV: 8%</w:t>
            </w:r>
          </w:p>
        </w:tc>
      </w:tr>
    </w:tbl>
    <w:p w14:paraId="5C38375A" w14:textId="77777777" w:rsidR="006E6D81" w:rsidRDefault="006E6D81">
      <w:pPr>
        <w:pStyle w:val="NoSpacing"/>
        <w:rPr>
          <w:rFonts w:ascii="Calibri" w:eastAsia="BatangChe" w:hAnsi="Calibri" w:cs="Calibri"/>
          <w:sz w:val="24"/>
          <w:szCs w:val="24"/>
          <w:lang w:val="en-US"/>
        </w:rPr>
      </w:pPr>
    </w:p>
    <w:p w14:paraId="73B0522A" w14:textId="77777777" w:rsidR="006E6D81" w:rsidRDefault="00E053B0">
      <w:pPr>
        <w:numPr>
          <w:ilvl w:val="0"/>
          <w:numId w:val="2"/>
        </w:numPr>
        <w:spacing w:line="240" w:lineRule="auto"/>
        <w:jc w:val="both"/>
        <w:rPr>
          <w:rFonts w:ascii="Calibri" w:eastAsia="Calibri" w:hAnsi="Calibri" w:cs="Calibri"/>
          <w:b/>
          <w:sz w:val="24"/>
          <w:szCs w:val="24"/>
          <w:lang w:val="en-US"/>
        </w:rPr>
      </w:pPr>
      <w:r>
        <w:rPr>
          <w:rFonts w:ascii="Calibri" w:eastAsia="Calibri" w:hAnsi="Calibri" w:cs="Calibri"/>
          <w:b/>
          <w:sz w:val="24"/>
          <w:szCs w:val="24"/>
          <w:lang w:val="en-US"/>
        </w:rPr>
        <w:t>Discussion</w:t>
      </w:r>
    </w:p>
    <w:p w14:paraId="4E4D0760" w14:textId="4D003ABC" w:rsidR="006E6D81" w:rsidRDefault="0001492C">
      <w:pPr>
        <w:autoSpaceDE w:val="0"/>
        <w:autoSpaceDN w:val="0"/>
        <w:adjustRightInd w:val="0"/>
        <w:spacing w:line="240" w:lineRule="auto"/>
        <w:jc w:val="both"/>
        <w:rPr>
          <w:rFonts w:ascii="Calibri" w:eastAsia="Times New Roman" w:hAnsi="Calibri" w:cs="Calibri"/>
          <w:bCs/>
          <w:color w:val="000000"/>
          <w:sz w:val="24"/>
          <w:szCs w:val="24"/>
        </w:rPr>
      </w:pPr>
      <w:r w:rsidRPr="002F7D84">
        <w:rPr>
          <w:rFonts w:ascii="Calibri" w:eastAsia="Times New Roman" w:hAnsi="Calibri" w:cs="Calibri"/>
          <w:sz w:val="24"/>
          <w:szCs w:val="24"/>
        </w:rPr>
        <w:t xml:space="preserve">A wide range of factors can affect </w:t>
      </w:r>
      <w:r>
        <w:rPr>
          <w:rFonts w:ascii="Calibri" w:eastAsia="Times New Roman" w:hAnsi="Calibri" w:cs="Calibri"/>
          <w:bCs/>
          <w:sz w:val="24"/>
          <w:szCs w:val="24"/>
          <w:lang w:val="en-US"/>
        </w:rPr>
        <w:t>ground</w:t>
      </w:r>
      <w:r>
        <w:rPr>
          <w:rFonts w:ascii="Calibri" w:eastAsia="Times New Roman" w:hAnsi="Calibri" w:cs="Calibri"/>
          <w:bCs/>
          <w:sz w:val="24"/>
          <w:szCs w:val="24"/>
        </w:rPr>
        <w:t>nut</w:t>
      </w:r>
      <w:r w:rsidRPr="002F7D84">
        <w:rPr>
          <w:rFonts w:ascii="Calibri" w:eastAsia="Times New Roman" w:hAnsi="Calibri" w:cs="Calibri"/>
          <w:sz w:val="24"/>
          <w:szCs w:val="24"/>
        </w:rPr>
        <w:t xml:space="preserve"> yield, including pest reaction. </w:t>
      </w:r>
      <w:r>
        <w:rPr>
          <w:rFonts w:ascii="Calibri" w:eastAsia="Times New Roman" w:hAnsi="Calibri" w:cs="Calibri"/>
          <w:bCs/>
          <w:sz w:val="24"/>
          <w:szCs w:val="24"/>
          <w:lang w:val="en-US"/>
        </w:rPr>
        <w:t>Ground</w:t>
      </w:r>
      <w:r>
        <w:rPr>
          <w:rFonts w:ascii="Calibri" w:eastAsia="Times New Roman" w:hAnsi="Calibri" w:cs="Calibri"/>
          <w:bCs/>
          <w:sz w:val="24"/>
          <w:szCs w:val="24"/>
        </w:rPr>
        <w:t>nut</w:t>
      </w:r>
      <w:r w:rsidRPr="002F7D84">
        <w:rPr>
          <w:rFonts w:ascii="Calibri" w:eastAsia="Times New Roman" w:hAnsi="Calibri" w:cs="Calibri"/>
          <w:sz w:val="24"/>
          <w:szCs w:val="24"/>
        </w:rPr>
        <w:t xml:space="preserve"> is a resilient crop with the ability to compensate for a wide range of biotic and abiotic stresses. </w:t>
      </w:r>
      <w:r w:rsidR="00F34B08">
        <w:rPr>
          <w:rFonts w:ascii="Calibri" w:eastAsia="Times New Roman" w:hAnsi="Calibri" w:cs="Calibri"/>
          <w:sz w:val="24"/>
          <w:szCs w:val="24"/>
          <w:lang w:val="en-US"/>
        </w:rPr>
        <w:t>Identifying</w:t>
      </w:r>
      <w:r w:rsidRPr="002F7D84">
        <w:rPr>
          <w:rFonts w:ascii="Calibri" w:eastAsia="Times New Roman" w:hAnsi="Calibri" w:cs="Calibri"/>
          <w:sz w:val="24"/>
          <w:szCs w:val="24"/>
        </w:rPr>
        <w:t xml:space="preserve"> the </w:t>
      </w:r>
      <w:r w:rsidR="00F34B08">
        <w:rPr>
          <w:rFonts w:ascii="Calibri" w:eastAsia="Times New Roman" w:hAnsi="Calibri" w:cs="Calibri"/>
          <w:sz w:val="24"/>
          <w:szCs w:val="24"/>
          <w:lang w:val="en-US"/>
        </w:rPr>
        <w:t>cocktail of</w:t>
      </w:r>
      <w:r>
        <w:rPr>
          <w:rFonts w:ascii="Calibri" w:eastAsia="Times New Roman" w:hAnsi="Calibri" w:cs="Calibri"/>
          <w:sz w:val="24"/>
          <w:szCs w:val="24"/>
          <w:lang w:val="en-US"/>
        </w:rPr>
        <w:t xml:space="preserve"> </w:t>
      </w:r>
      <w:r w:rsidRPr="002F7D84">
        <w:rPr>
          <w:rFonts w:ascii="Calibri" w:eastAsia="Times New Roman" w:hAnsi="Calibri" w:cs="Calibri"/>
          <w:sz w:val="24"/>
          <w:szCs w:val="24"/>
        </w:rPr>
        <w:t>factor</w:t>
      </w:r>
      <w:r w:rsidR="00F34B08">
        <w:rPr>
          <w:rFonts w:ascii="Calibri" w:eastAsia="Times New Roman" w:hAnsi="Calibri" w:cs="Calibri"/>
          <w:sz w:val="24"/>
          <w:szCs w:val="24"/>
          <w:lang w:val="en-US"/>
        </w:rPr>
        <w:t>s</w:t>
      </w:r>
      <w:r w:rsidRPr="002F7D84">
        <w:rPr>
          <w:rFonts w:ascii="Calibri" w:eastAsia="Times New Roman" w:hAnsi="Calibri" w:cs="Calibri"/>
          <w:sz w:val="24"/>
          <w:szCs w:val="24"/>
        </w:rPr>
        <w:t xml:space="preserve"> that impact </w:t>
      </w:r>
      <w:r>
        <w:rPr>
          <w:rFonts w:ascii="Calibri" w:eastAsia="Times New Roman" w:hAnsi="Calibri" w:cs="Calibri"/>
          <w:bCs/>
          <w:sz w:val="24"/>
          <w:szCs w:val="24"/>
          <w:lang w:val="en-US"/>
        </w:rPr>
        <w:t>ground</w:t>
      </w:r>
      <w:r>
        <w:rPr>
          <w:rFonts w:ascii="Calibri" w:eastAsia="Times New Roman" w:hAnsi="Calibri" w:cs="Calibri"/>
          <w:bCs/>
          <w:sz w:val="24"/>
          <w:szCs w:val="24"/>
        </w:rPr>
        <w:t>nut</w:t>
      </w:r>
      <w:r w:rsidRPr="002F7D84">
        <w:rPr>
          <w:rFonts w:ascii="Calibri" w:eastAsia="Times New Roman" w:hAnsi="Calibri" w:cs="Calibri"/>
          <w:sz w:val="24"/>
          <w:szCs w:val="24"/>
        </w:rPr>
        <w:t xml:space="preserve"> yield can be challenging, especially </w:t>
      </w:r>
      <w:r w:rsidR="00F34B08">
        <w:rPr>
          <w:rFonts w:ascii="Calibri" w:eastAsia="Times New Roman" w:hAnsi="Calibri" w:cs="Calibri"/>
          <w:sz w:val="24"/>
          <w:szCs w:val="24"/>
          <w:lang w:val="en-US"/>
        </w:rPr>
        <w:t xml:space="preserve">when working with smallholder producers </w:t>
      </w:r>
      <w:r w:rsidRPr="00A7292F">
        <w:rPr>
          <w:rFonts w:ascii="Calibri" w:eastAsia="Times New Roman" w:hAnsi="Calibri" w:cs="Calibri"/>
          <w:color w:val="000000"/>
          <w:sz w:val="24"/>
          <w:szCs w:val="24"/>
          <w:lang w:val="en-US"/>
        </w:rPr>
        <w:t>(</w:t>
      </w:r>
      <w:r w:rsidRPr="006A2477">
        <w:rPr>
          <w:sz w:val="24"/>
          <w:szCs w:val="24"/>
          <w:lang w:eastAsia="en-GB"/>
        </w:rPr>
        <w:t>Seidu</w:t>
      </w:r>
      <w:r w:rsidRPr="006A2477">
        <w:rPr>
          <w:sz w:val="24"/>
          <w:szCs w:val="24"/>
          <w:lang w:val="en-US" w:eastAsia="en-GB"/>
        </w:rPr>
        <w:t xml:space="preserve"> et al., 2024)</w:t>
      </w:r>
      <w:r w:rsidRPr="00A7292F">
        <w:rPr>
          <w:rFonts w:ascii="Calibri" w:eastAsia="Times New Roman" w:hAnsi="Calibri" w:cs="Calibri"/>
          <w:sz w:val="24"/>
          <w:szCs w:val="24"/>
        </w:rPr>
        <w:t>.</w:t>
      </w:r>
      <w:r>
        <w:rPr>
          <w:rFonts w:ascii="Calibri" w:eastAsia="Times New Roman" w:hAnsi="Calibri" w:cs="Calibri"/>
          <w:sz w:val="24"/>
          <w:szCs w:val="24"/>
        </w:rPr>
        <w:t xml:space="preserve"> </w:t>
      </w:r>
      <w:r w:rsidR="00E053B0">
        <w:rPr>
          <w:rFonts w:ascii="Calibri" w:eastAsia="Times New Roman" w:hAnsi="Calibri" w:cs="Calibri"/>
          <w:sz w:val="24"/>
          <w:szCs w:val="24"/>
        </w:rPr>
        <w:t>Over the years, s</w:t>
      </w:r>
      <w:r w:rsidR="00E053B0">
        <w:rPr>
          <w:rFonts w:ascii="Calibri" w:eastAsia="Times New Roman" w:hAnsi="Calibri" w:cs="Calibri"/>
          <w:bCs/>
          <w:sz w:val="24"/>
          <w:szCs w:val="24"/>
        </w:rPr>
        <w:t xml:space="preserve">everal improved technologies on </w:t>
      </w:r>
      <w:r w:rsidR="00E053B0">
        <w:rPr>
          <w:rFonts w:ascii="Calibri" w:eastAsia="Times New Roman" w:hAnsi="Calibri" w:cs="Calibri"/>
          <w:bCs/>
          <w:sz w:val="24"/>
          <w:szCs w:val="24"/>
          <w:lang w:val="en-US"/>
        </w:rPr>
        <w:t>ground</w:t>
      </w:r>
      <w:r w:rsidR="00E053B0">
        <w:rPr>
          <w:rFonts w:ascii="Calibri" w:eastAsia="Times New Roman" w:hAnsi="Calibri" w:cs="Calibri"/>
          <w:bCs/>
          <w:sz w:val="24"/>
          <w:szCs w:val="24"/>
        </w:rPr>
        <w:t>nut production have been tested in Ghana for increased yield, which can be</w:t>
      </w:r>
      <w:r w:rsidR="00E053B0">
        <w:rPr>
          <w:rFonts w:ascii="Calibri" w:eastAsia="Times New Roman" w:hAnsi="Calibri" w:cs="Calibri"/>
          <w:sz w:val="24"/>
          <w:szCs w:val="24"/>
        </w:rPr>
        <w:t xml:space="preserve"> </w:t>
      </w:r>
      <w:r w:rsidR="00E053B0">
        <w:rPr>
          <w:rFonts w:ascii="Calibri" w:eastAsia="Times New Roman" w:hAnsi="Calibri" w:cs="Calibri"/>
          <w:sz w:val="24"/>
          <w:szCs w:val="24"/>
          <w:lang w:val="en-US"/>
        </w:rPr>
        <w:t>adapted</w:t>
      </w:r>
      <w:r w:rsidR="00E053B0">
        <w:rPr>
          <w:rFonts w:ascii="Calibri" w:eastAsia="Times New Roman" w:hAnsi="Calibri" w:cs="Calibri"/>
          <w:sz w:val="24"/>
          <w:szCs w:val="24"/>
        </w:rPr>
        <w:t xml:space="preserve"> for</w:t>
      </w:r>
      <w:r w:rsidR="00E053B0">
        <w:rPr>
          <w:rFonts w:ascii="Calibri" w:eastAsia="Times New Roman" w:hAnsi="Calibri" w:cs="Calibri"/>
          <w:sz w:val="24"/>
          <w:szCs w:val="24"/>
          <w:lang w:val="en-US"/>
        </w:rPr>
        <w:t xml:space="preserve"> </w:t>
      </w:r>
      <w:r w:rsidR="00E053B0">
        <w:rPr>
          <w:rFonts w:ascii="Calibri" w:eastAsia="Times New Roman" w:hAnsi="Calibri" w:cs="Calibri"/>
          <w:sz w:val="24"/>
          <w:szCs w:val="24"/>
        </w:rPr>
        <w:t>agricultural production in West Africa (</w:t>
      </w:r>
      <w:proofErr w:type="spellStart"/>
      <w:r w:rsidR="00E053B0">
        <w:rPr>
          <w:rFonts w:ascii="Calibri" w:eastAsia="Times New Roman" w:hAnsi="Calibri" w:cs="Calibri"/>
          <w:color w:val="000000" w:themeColor="text1"/>
          <w:sz w:val="24"/>
          <w:szCs w:val="24"/>
          <w:lang w:val="en-GB"/>
        </w:rPr>
        <w:t>Agbetiameh</w:t>
      </w:r>
      <w:proofErr w:type="spellEnd"/>
      <w:r w:rsidR="00E053B0">
        <w:rPr>
          <w:rFonts w:ascii="Calibri" w:eastAsia="Times New Roman" w:hAnsi="Calibri" w:cs="Calibri"/>
          <w:color w:val="000000" w:themeColor="text1"/>
          <w:sz w:val="24"/>
          <w:szCs w:val="24"/>
          <w:lang w:val="en-GB"/>
        </w:rPr>
        <w:t xml:space="preserve"> et al., 2020, </w:t>
      </w:r>
      <w:proofErr w:type="spellStart"/>
      <w:r w:rsidR="00E053B0">
        <w:rPr>
          <w:rFonts w:ascii="Calibri" w:eastAsia="Times New Roman" w:hAnsi="Calibri" w:cs="Calibri"/>
          <w:color w:val="000000" w:themeColor="text1"/>
          <w:sz w:val="24"/>
          <w:szCs w:val="24"/>
          <w:lang w:val="en-GB"/>
        </w:rPr>
        <w:t>Abudulai</w:t>
      </w:r>
      <w:proofErr w:type="spellEnd"/>
      <w:r w:rsidR="00E053B0">
        <w:rPr>
          <w:rFonts w:ascii="Calibri" w:eastAsia="Times New Roman" w:hAnsi="Calibri" w:cs="Calibri"/>
          <w:color w:val="000000" w:themeColor="text1"/>
          <w:sz w:val="24"/>
          <w:szCs w:val="24"/>
          <w:lang w:val="en-GB"/>
        </w:rPr>
        <w:t xml:space="preserve"> et al., 2020; </w:t>
      </w:r>
      <w:r w:rsidR="00E053B0">
        <w:rPr>
          <w:rFonts w:ascii="Calibri" w:eastAsia="Times New Roman" w:hAnsi="Calibri" w:cs="Calibri"/>
          <w:bCs/>
          <w:color w:val="000000"/>
          <w:sz w:val="24"/>
          <w:szCs w:val="24"/>
        </w:rPr>
        <w:t>Ortega-Beltran and Bandyopadhyay, 2021</w:t>
      </w:r>
      <w:r>
        <w:rPr>
          <w:rFonts w:ascii="Calibri" w:eastAsia="Times New Roman" w:hAnsi="Calibri" w:cs="Calibri"/>
          <w:bCs/>
          <w:color w:val="000000"/>
          <w:sz w:val="24"/>
          <w:szCs w:val="24"/>
          <w:lang w:val="en-US"/>
        </w:rPr>
        <w:t xml:space="preserve"> and </w:t>
      </w:r>
      <w:r w:rsidRPr="006A2477">
        <w:rPr>
          <w:sz w:val="24"/>
          <w:szCs w:val="24"/>
          <w:lang w:eastAsia="en-GB"/>
        </w:rPr>
        <w:t>Seidu</w:t>
      </w:r>
      <w:r w:rsidRPr="006A2477">
        <w:rPr>
          <w:sz w:val="24"/>
          <w:szCs w:val="24"/>
          <w:lang w:val="en-US" w:eastAsia="en-GB"/>
        </w:rPr>
        <w:t xml:space="preserve"> et al., 2024</w:t>
      </w:r>
      <w:r w:rsidR="00E053B0">
        <w:rPr>
          <w:rFonts w:ascii="Calibri" w:eastAsia="Times New Roman" w:hAnsi="Calibri" w:cs="Calibri"/>
          <w:sz w:val="24"/>
          <w:szCs w:val="24"/>
        </w:rPr>
        <w:t xml:space="preserve">). </w:t>
      </w:r>
      <w:r w:rsidR="00E053B0">
        <w:rPr>
          <w:rFonts w:ascii="Calibri" w:eastAsia="Times New Roman" w:hAnsi="Calibri" w:cs="Calibri"/>
          <w:color w:val="000000"/>
          <w:sz w:val="24"/>
          <w:szCs w:val="24"/>
        </w:rPr>
        <w:t xml:space="preserve">These technologies when applied alone or integrated with other best practices can boost commercial and profitable production of </w:t>
      </w:r>
      <w:r w:rsidR="00E053B0">
        <w:rPr>
          <w:rFonts w:ascii="Calibri" w:eastAsia="Times New Roman" w:hAnsi="Calibri" w:cs="Calibri"/>
          <w:color w:val="000000"/>
          <w:sz w:val="24"/>
          <w:szCs w:val="24"/>
          <w:lang w:val="en-US"/>
        </w:rPr>
        <w:t>ground</w:t>
      </w:r>
      <w:r w:rsidR="00E053B0">
        <w:rPr>
          <w:rFonts w:ascii="Calibri" w:eastAsia="Times New Roman" w:hAnsi="Calibri" w:cs="Calibri"/>
          <w:color w:val="000000"/>
          <w:sz w:val="24"/>
          <w:szCs w:val="24"/>
        </w:rPr>
        <w:t>nuts i</w:t>
      </w:r>
      <w:r w:rsidR="00E053B0">
        <w:rPr>
          <w:rFonts w:ascii="Calibri" w:eastAsia="Times New Roman" w:hAnsi="Calibri" w:cs="Calibri"/>
          <w:color w:val="000000"/>
          <w:sz w:val="24"/>
          <w:szCs w:val="24"/>
          <w:lang w:val="en-US"/>
        </w:rPr>
        <w:t>n</w:t>
      </w:r>
      <w:r w:rsidR="00E053B0">
        <w:rPr>
          <w:rFonts w:ascii="Calibri" w:eastAsia="Times New Roman" w:hAnsi="Calibri" w:cs="Calibri"/>
          <w:color w:val="000000"/>
          <w:sz w:val="24"/>
          <w:szCs w:val="24"/>
        </w:rPr>
        <w:t xml:space="preserve"> most parts of West Africa</w:t>
      </w:r>
      <w:r>
        <w:rPr>
          <w:rFonts w:ascii="Calibri" w:eastAsia="Times New Roman" w:hAnsi="Calibri" w:cs="Calibri"/>
          <w:color w:val="000000"/>
          <w:sz w:val="24"/>
          <w:szCs w:val="24"/>
          <w:lang w:val="en-US"/>
        </w:rPr>
        <w:t xml:space="preserve"> (</w:t>
      </w:r>
      <w:r w:rsidRPr="006A2477">
        <w:rPr>
          <w:sz w:val="24"/>
          <w:szCs w:val="24"/>
          <w:lang w:eastAsia="en-GB"/>
        </w:rPr>
        <w:t>Seidu</w:t>
      </w:r>
      <w:r w:rsidRPr="006A2477">
        <w:rPr>
          <w:sz w:val="24"/>
          <w:szCs w:val="24"/>
          <w:lang w:val="en-US" w:eastAsia="en-GB"/>
        </w:rPr>
        <w:t xml:space="preserve"> et al., 2024</w:t>
      </w:r>
      <w:r>
        <w:rPr>
          <w:sz w:val="24"/>
          <w:szCs w:val="24"/>
          <w:lang w:val="en-US" w:eastAsia="en-GB"/>
        </w:rPr>
        <w:t>)</w:t>
      </w:r>
      <w:r w:rsidR="00E053B0">
        <w:rPr>
          <w:rFonts w:ascii="Calibri" w:eastAsia="Times New Roman" w:hAnsi="Calibri" w:cs="Calibri"/>
          <w:color w:val="000000"/>
          <w:sz w:val="24"/>
          <w:szCs w:val="24"/>
        </w:rPr>
        <w:t xml:space="preserve">. </w:t>
      </w:r>
      <w:r w:rsidR="00E053B0">
        <w:rPr>
          <w:rFonts w:ascii="Calibri" w:eastAsia="Times New Roman" w:hAnsi="Calibri" w:cs="Calibri"/>
          <w:sz w:val="24"/>
          <w:szCs w:val="24"/>
        </w:rPr>
        <w:t>The</w:t>
      </w:r>
      <w:r w:rsidR="00E053B0">
        <w:rPr>
          <w:rFonts w:ascii="Calibri" w:eastAsia="Times New Roman" w:hAnsi="Calibri" w:cs="Calibri"/>
          <w:sz w:val="24"/>
          <w:szCs w:val="24"/>
          <w:lang w:val="en-US"/>
        </w:rPr>
        <w:t xml:space="preserve"> technologies</w:t>
      </w:r>
      <w:r w:rsidR="00E053B0">
        <w:rPr>
          <w:rFonts w:ascii="Calibri" w:eastAsia="Times New Roman" w:hAnsi="Calibri" w:cs="Calibri"/>
          <w:sz w:val="24"/>
          <w:szCs w:val="24"/>
        </w:rPr>
        <w:t xml:space="preserve"> include i) </w:t>
      </w:r>
      <w:r w:rsidR="00E053B0">
        <w:rPr>
          <w:rFonts w:ascii="Calibri" w:eastAsia="Times New Roman" w:hAnsi="Calibri" w:cs="Calibri"/>
          <w:color w:val="000000"/>
          <w:sz w:val="24"/>
          <w:szCs w:val="24"/>
        </w:rPr>
        <w:t xml:space="preserve">release of elite high yielding, early maturity and aflatoxin resistant </w:t>
      </w:r>
      <w:r w:rsidR="00E053B0">
        <w:rPr>
          <w:rFonts w:ascii="Calibri" w:eastAsia="Times New Roman" w:hAnsi="Calibri" w:cs="Calibri"/>
          <w:color w:val="000000"/>
          <w:sz w:val="24"/>
          <w:szCs w:val="24"/>
          <w:lang w:val="en-US"/>
        </w:rPr>
        <w:t>ground</w:t>
      </w:r>
      <w:r w:rsidR="00E053B0">
        <w:rPr>
          <w:rFonts w:ascii="Calibri" w:eastAsia="Times New Roman" w:hAnsi="Calibri" w:cs="Calibri"/>
          <w:color w:val="000000"/>
          <w:sz w:val="24"/>
          <w:szCs w:val="24"/>
        </w:rPr>
        <w:t>nut varieties such as Nkatiesari, Yenyawoso, Kpaniele, Obolo, Oboshie,</w:t>
      </w:r>
      <w:r w:rsidR="00E053B0">
        <w:rPr>
          <w:rFonts w:ascii="Calibri" w:eastAsia="Times New Roman" w:hAnsi="Calibri" w:cs="Calibri"/>
          <w:color w:val="000000"/>
          <w:sz w:val="24"/>
          <w:szCs w:val="24"/>
          <w:lang w:val="en-US"/>
        </w:rPr>
        <w:t xml:space="preserve"> SARINUT 1, SARINUT 2;</w:t>
      </w:r>
      <w:r w:rsidR="00E053B0">
        <w:rPr>
          <w:rFonts w:ascii="Calibri" w:eastAsia="Times New Roman" w:hAnsi="Calibri" w:cs="Calibri"/>
          <w:color w:val="000000"/>
          <w:sz w:val="24"/>
          <w:szCs w:val="24"/>
        </w:rPr>
        <w:t xml:space="preserve"> ii) development of Rhizobium inoculant specific for </w:t>
      </w:r>
      <w:r w:rsidR="00E053B0">
        <w:rPr>
          <w:rFonts w:ascii="Calibri" w:eastAsia="Times New Roman" w:hAnsi="Calibri" w:cs="Calibri"/>
          <w:color w:val="000000"/>
          <w:sz w:val="24"/>
          <w:szCs w:val="24"/>
          <w:lang w:val="en-US"/>
        </w:rPr>
        <w:t>groundnut</w:t>
      </w:r>
      <w:r w:rsidR="00E053B0">
        <w:rPr>
          <w:rFonts w:ascii="Calibri" w:eastAsia="Times New Roman" w:hAnsi="Calibri" w:cs="Calibri"/>
          <w:color w:val="000000"/>
          <w:sz w:val="24"/>
          <w:szCs w:val="24"/>
        </w:rPr>
        <w:t>; iii) development of Aflasafe for aflatoxin control</w:t>
      </w:r>
      <w:r w:rsidR="00E053B0">
        <w:rPr>
          <w:rFonts w:ascii="Calibri" w:eastAsia="Times New Roman" w:hAnsi="Calibri" w:cs="Calibri"/>
          <w:color w:val="000000"/>
          <w:sz w:val="24"/>
          <w:szCs w:val="24"/>
          <w:lang w:val="en-US"/>
        </w:rPr>
        <w:t>;</w:t>
      </w:r>
      <w:r w:rsidR="00E053B0">
        <w:rPr>
          <w:rFonts w:ascii="Calibri" w:eastAsia="Times New Roman" w:hAnsi="Calibri" w:cs="Calibri"/>
          <w:color w:val="000000"/>
          <w:sz w:val="24"/>
          <w:szCs w:val="24"/>
        </w:rPr>
        <w:t xml:space="preserve"> iv) development of  good agronomic practices such as planting time, planting distance, crop rotation, and  fertilizer dose to achieve optimum yield; v) development of integrated pests,  diseases and weed management practices to achieve optimum yield; vi) development </w:t>
      </w:r>
      <w:r w:rsidR="00E053B0">
        <w:rPr>
          <w:rFonts w:ascii="Calibri" w:eastAsia="Times New Roman" w:hAnsi="Calibri" w:cs="Calibri"/>
          <w:color w:val="000000"/>
          <w:sz w:val="24"/>
          <w:szCs w:val="24"/>
          <w:lang w:val="en-US"/>
        </w:rPr>
        <w:t xml:space="preserve">of </w:t>
      </w:r>
      <w:r w:rsidR="00E053B0">
        <w:rPr>
          <w:rFonts w:ascii="Calibri" w:eastAsia="Times New Roman" w:hAnsi="Calibri" w:cs="Calibri"/>
          <w:color w:val="000000"/>
          <w:sz w:val="24"/>
          <w:szCs w:val="24"/>
        </w:rPr>
        <w:t xml:space="preserve">special fertilizer formulations suitable for </w:t>
      </w:r>
      <w:r w:rsidR="00E053B0">
        <w:rPr>
          <w:rFonts w:ascii="Calibri" w:eastAsia="Times New Roman" w:hAnsi="Calibri" w:cs="Calibri"/>
          <w:color w:val="000000"/>
          <w:sz w:val="24"/>
          <w:szCs w:val="24"/>
          <w:lang w:val="en-US"/>
        </w:rPr>
        <w:t>groundnut</w:t>
      </w:r>
      <w:r w:rsidR="00E053B0">
        <w:rPr>
          <w:rFonts w:ascii="Calibri" w:eastAsia="Times New Roman" w:hAnsi="Calibri" w:cs="Calibri"/>
          <w:color w:val="000000"/>
          <w:sz w:val="24"/>
          <w:szCs w:val="24"/>
        </w:rPr>
        <w:t xml:space="preserve"> production; and vii) validation of technologies on good harvesting, drying, storage, shelling and  processing practices to reduce postharvest losses and risk of aflatoxins contamination</w:t>
      </w:r>
      <w:r w:rsidR="00E053B0">
        <w:rPr>
          <w:rFonts w:ascii="Calibri" w:eastAsia="Times New Roman" w:hAnsi="Calibri" w:cs="Calibri"/>
          <w:color w:val="000000"/>
          <w:sz w:val="24"/>
          <w:szCs w:val="24"/>
          <w:lang w:val="en-US"/>
        </w:rPr>
        <w:t xml:space="preserve"> (</w:t>
      </w:r>
      <w:proofErr w:type="spellStart"/>
      <w:r w:rsidR="00E053B0">
        <w:rPr>
          <w:rFonts w:ascii="Calibri" w:eastAsia="Times New Roman" w:hAnsi="Calibri" w:cs="Calibri"/>
          <w:color w:val="000000"/>
          <w:sz w:val="24"/>
          <w:szCs w:val="24"/>
          <w:lang w:val="en-US"/>
        </w:rPr>
        <w:t>Sugri</w:t>
      </w:r>
      <w:proofErr w:type="spellEnd"/>
      <w:r w:rsidR="00E053B0">
        <w:rPr>
          <w:rFonts w:ascii="Calibri" w:eastAsia="Times New Roman" w:hAnsi="Calibri" w:cs="Calibri"/>
          <w:color w:val="000000"/>
          <w:sz w:val="24"/>
          <w:szCs w:val="24"/>
          <w:lang w:val="en-US"/>
        </w:rPr>
        <w:t xml:space="preserve"> et al., 2017, </w:t>
      </w:r>
      <w:proofErr w:type="spellStart"/>
      <w:r w:rsidR="00E053B0">
        <w:rPr>
          <w:rFonts w:ascii="Calibri" w:eastAsia="Times New Roman" w:hAnsi="Calibri" w:cs="Calibri"/>
          <w:color w:val="000000"/>
          <w:sz w:val="24"/>
          <w:szCs w:val="24"/>
          <w:lang w:val="en-US"/>
        </w:rPr>
        <w:t>Abudulai</w:t>
      </w:r>
      <w:proofErr w:type="spellEnd"/>
      <w:r w:rsidR="00E053B0">
        <w:rPr>
          <w:rFonts w:ascii="Calibri" w:eastAsia="Times New Roman" w:hAnsi="Calibri" w:cs="Calibri"/>
          <w:color w:val="000000"/>
          <w:sz w:val="24"/>
          <w:szCs w:val="24"/>
          <w:lang w:val="en-US"/>
        </w:rPr>
        <w:t xml:space="preserve"> et al., 2020, </w:t>
      </w:r>
      <w:proofErr w:type="spellStart"/>
      <w:r w:rsidR="00E053B0">
        <w:rPr>
          <w:rFonts w:ascii="Calibri" w:eastAsia="Times New Roman" w:hAnsi="Calibri" w:cs="Calibri"/>
          <w:color w:val="000000"/>
          <w:sz w:val="24"/>
          <w:szCs w:val="24"/>
          <w:lang w:val="en-US"/>
        </w:rPr>
        <w:t>Nboyine</w:t>
      </w:r>
      <w:proofErr w:type="spellEnd"/>
      <w:r w:rsidR="00E053B0">
        <w:rPr>
          <w:rFonts w:ascii="Calibri" w:eastAsia="Times New Roman" w:hAnsi="Calibri" w:cs="Calibri"/>
          <w:color w:val="000000"/>
          <w:sz w:val="24"/>
          <w:szCs w:val="24"/>
          <w:lang w:val="en-US"/>
        </w:rPr>
        <w:t xml:space="preserve"> et al., 2023)</w:t>
      </w:r>
      <w:r w:rsidR="00E053B0">
        <w:rPr>
          <w:rFonts w:ascii="Calibri" w:eastAsia="Times New Roman" w:hAnsi="Calibri" w:cs="Calibri"/>
          <w:bCs/>
          <w:color w:val="000000"/>
          <w:sz w:val="24"/>
          <w:szCs w:val="24"/>
        </w:rPr>
        <w:t>.</w:t>
      </w:r>
      <w:r w:rsidRPr="0001492C">
        <w:rPr>
          <w:sz w:val="24"/>
          <w:szCs w:val="24"/>
          <w:lang w:val="en-NZ"/>
        </w:rPr>
        <w:t xml:space="preserve"> </w:t>
      </w:r>
      <w:r w:rsidRPr="00533BE2">
        <w:rPr>
          <w:sz w:val="24"/>
          <w:szCs w:val="24"/>
          <w:lang w:val="en-NZ"/>
        </w:rPr>
        <w:t xml:space="preserve">Naab </w:t>
      </w:r>
      <w:r w:rsidRPr="00533BE2">
        <w:rPr>
          <w:i/>
          <w:iCs/>
          <w:sz w:val="24"/>
          <w:szCs w:val="24"/>
          <w:lang w:val="en-NZ"/>
        </w:rPr>
        <w:t>et al.</w:t>
      </w:r>
      <w:r w:rsidRPr="00533BE2">
        <w:rPr>
          <w:sz w:val="24"/>
          <w:szCs w:val="24"/>
          <w:lang w:val="en-NZ"/>
        </w:rPr>
        <w:t xml:space="preserve"> (2009) and </w:t>
      </w:r>
      <w:proofErr w:type="spellStart"/>
      <w:r w:rsidRPr="00533BE2">
        <w:rPr>
          <w:sz w:val="24"/>
          <w:szCs w:val="24"/>
          <w:lang w:val="en-NZ"/>
        </w:rPr>
        <w:t>Abudulai</w:t>
      </w:r>
      <w:proofErr w:type="spellEnd"/>
      <w:r w:rsidRPr="00533BE2">
        <w:rPr>
          <w:sz w:val="24"/>
          <w:szCs w:val="24"/>
          <w:lang w:val="en-NZ"/>
        </w:rPr>
        <w:t xml:space="preserve"> </w:t>
      </w:r>
      <w:r w:rsidRPr="00533BE2">
        <w:rPr>
          <w:i/>
          <w:iCs/>
          <w:sz w:val="24"/>
          <w:szCs w:val="24"/>
          <w:lang w:val="en-NZ"/>
        </w:rPr>
        <w:t>et al.</w:t>
      </w:r>
      <w:r w:rsidRPr="00533BE2">
        <w:rPr>
          <w:sz w:val="24"/>
          <w:szCs w:val="24"/>
          <w:lang w:val="en-NZ"/>
        </w:rPr>
        <w:t xml:space="preserve"> (2020) also reported groundnut yield and economic returns were higher when a commercial blend of fertilizer was applied with good pest protection compared to farmer practice without these inputs. According to Naab </w:t>
      </w:r>
      <w:r w:rsidRPr="00533BE2">
        <w:rPr>
          <w:i/>
          <w:iCs/>
          <w:sz w:val="24"/>
          <w:szCs w:val="24"/>
          <w:lang w:val="en-NZ"/>
        </w:rPr>
        <w:t>et al.</w:t>
      </w:r>
      <w:r w:rsidRPr="00533BE2">
        <w:rPr>
          <w:sz w:val="24"/>
          <w:szCs w:val="24"/>
          <w:lang w:val="en-NZ"/>
        </w:rPr>
        <w:t xml:space="preserve"> (2009), </w:t>
      </w:r>
      <w:r w:rsidRPr="00533BE2">
        <w:rPr>
          <w:sz w:val="24"/>
          <w:szCs w:val="24"/>
        </w:rPr>
        <w:t>protecting peanut from pest damage and providing adequate nutrition through applied fertilizer can increase yield and financial return</w:t>
      </w:r>
      <w:r w:rsidRPr="00533BE2">
        <w:rPr>
          <w:sz w:val="24"/>
          <w:szCs w:val="24"/>
          <w:lang w:val="en-US"/>
        </w:rPr>
        <w:t>.</w:t>
      </w:r>
    </w:p>
    <w:p w14:paraId="7C20B9ED" w14:textId="658AD8A9" w:rsidR="006E6D81" w:rsidRDefault="00E053B0">
      <w:pPr>
        <w:autoSpaceDE w:val="0"/>
        <w:autoSpaceDN w:val="0"/>
        <w:adjustRightInd w:val="0"/>
        <w:spacing w:line="240" w:lineRule="auto"/>
        <w:jc w:val="both"/>
        <w:rPr>
          <w:rFonts w:ascii="Calibri" w:hAnsi="Calibri" w:cs="Calibri"/>
          <w:sz w:val="24"/>
          <w:szCs w:val="24"/>
          <w:lang w:val="en-US"/>
        </w:rPr>
      </w:pPr>
      <w:r>
        <w:rPr>
          <w:rFonts w:ascii="Calibri" w:eastAsia="Calibri" w:hAnsi="Calibri" w:cs="Calibri"/>
          <w:sz w:val="24"/>
          <w:szCs w:val="24"/>
          <w:lang w:val="en-US"/>
        </w:rPr>
        <w:t xml:space="preserve">This study involved on-farm demonstrations and </w:t>
      </w:r>
      <w:r>
        <w:rPr>
          <w:rFonts w:ascii="Calibri" w:hAnsi="Calibri" w:cs="Calibri"/>
          <w:sz w:val="24"/>
          <w:szCs w:val="24"/>
          <w:lang w:val="en-US"/>
        </w:rPr>
        <w:t xml:space="preserve">farmer field schools (FFS) in which the farmers were sensitized on best production and postharvest operations as well as nutritional and health benefits of consuming groundnut products. </w:t>
      </w:r>
      <w:r>
        <w:rPr>
          <w:rFonts w:ascii="Calibri" w:eastAsia="Calibri" w:hAnsi="Calibri" w:cs="Calibri"/>
          <w:sz w:val="24"/>
          <w:szCs w:val="24"/>
          <w:lang w:val="en-US"/>
        </w:rPr>
        <w:t xml:space="preserve"> </w:t>
      </w:r>
      <w:r>
        <w:rPr>
          <w:rFonts w:ascii="Calibri" w:hAnsi="Calibri" w:cs="Calibri"/>
          <w:sz w:val="24"/>
          <w:szCs w:val="24"/>
          <w:lang w:val="en-US"/>
        </w:rPr>
        <w:t xml:space="preserve">Several FFS were organized at the maximum vegetative stage for 10,000 farmers from the project communities during the period.  Participatory variety selection (PVS) sessions were organized for farmers to identify </w:t>
      </w:r>
      <w:r>
        <w:rPr>
          <w:rFonts w:ascii="Calibri" w:hAnsi="Calibri" w:cs="Calibri"/>
          <w:color w:val="000000"/>
          <w:sz w:val="24"/>
          <w:szCs w:val="24"/>
          <w:lang w:val="en-US"/>
        </w:rPr>
        <w:t xml:space="preserve">essential traits for future groundnut improvement </w:t>
      </w:r>
      <w:proofErr w:type="spellStart"/>
      <w:r>
        <w:rPr>
          <w:rFonts w:ascii="Calibri" w:hAnsi="Calibri" w:cs="Calibri"/>
          <w:color w:val="000000"/>
          <w:sz w:val="24"/>
          <w:szCs w:val="24"/>
          <w:lang w:val="en-US"/>
        </w:rPr>
        <w:t>programmes</w:t>
      </w:r>
      <w:proofErr w:type="spellEnd"/>
      <w:r>
        <w:rPr>
          <w:rFonts w:ascii="Calibri" w:hAnsi="Calibri" w:cs="Calibri"/>
          <w:color w:val="000000"/>
          <w:sz w:val="24"/>
          <w:szCs w:val="24"/>
          <w:lang w:val="en-US"/>
        </w:rPr>
        <w:t>.</w:t>
      </w:r>
      <w:r>
        <w:rPr>
          <w:rFonts w:ascii="Calibri" w:hAnsi="Calibri" w:cs="Calibri"/>
          <w:sz w:val="24"/>
          <w:szCs w:val="24"/>
          <w:lang w:val="en-US"/>
        </w:rPr>
        <w:t xml:space="preserve"> Selection criteria for groundnut include maturity period, seed vigor, plant architecture, yield, disease resistance, kernel number per pod, taste, color, frying quality, oil yield and market potential. </w:t>
      </w:r>
      <w:r>
        <w:rPr>
          <w:rFonts w:ascii="Calibri" w:eastAsia="Times New Roman" w:hAnsi="Calibri" w:cs="Calibri"/>
          <w:bCs/>
          <w:color w:val="000000"/>
          <w:sz w:val="24"/>
          <w:szCs w:val="24"/>
        </w:rPr>
        <w:t xml:space="preserve">  </w:t>
      </w:r>
      <w:r>
        <w:rPr>
          <w:rFonts w:ascii="Calibri" w:eastAsia="Times New Roman" w:hAnsi="Calibri" w:cs="Calibri"/>
          <w:bCs/>
          <w:color w:val="000000"/>
          <w:sz w:val="24"/>
          <w:szCs w:val="24"/>
          <w:lang w:val="en-US"/>
        </w:rPr>
        <w:t>F</w:t>
      </w:r>
      <w:r>
        <w:rPr>
          <w:rFonts w:ascii="Calibri" w:eastAsia="Times New Roman" w:hAnsi="Calibri" w:cs="Calibri"/>
          <w:bCs/>
          <w:color w:val="000000"/>
          <w:sz w:val="24"/>
          <w:szCs w:val="24"/>
        </w:rPr>
        <w:t>armer</w:t>
      </w:r>
      <w:r>
        <w:rPr>
          <w:rFonts w:ascii="Calibri" w:eastAsia="Times New Roman" w:hAnsi="Calibri" w:cs="Calibri"/>
          <w:bCs/>
          <w:color w:val="000000"/>
          <w:sz w:val="24"/>
          <w:szCs w:val="24"/>
          <w:lang w:val="en-US"/>
        </w:rPr>
        <w:t>s that adapt these</w:t>
      </w:r>
      <w:r>
        <w:rPr>
          <w:rFonts w:ascii="Calibri" w:eastAsia="Times New Roman" w:hAnsi="Calibri" w:cs="Calibri"/>
          <w:bCs/>
          <w:color w:val="000000"/>
          <w:sz w:val="24"/>
          <w:szCs w:val="24"/>
        </w:rPr>
        <w:t xml:space="preserve"> select best-bet production practices </w:t>
      </w:r>
      <w:r>
        <w:rPr>
          <w:rFonts w:ascii="Calibri" w:eastAsia="Times New Roman" w:hAnsi="Calibri" w:cs="Calibri"/>
          <w:bCs/>
          <w:color w:val="000000"/>
          <w:sz w:val="24"/>
          <w:szCs w:val="24"/>
          <w:lang w:val="en-US"/>
        </w:rPr>
        <w:t xml:space="preserve">could increase </w:t>
      </w:r>
      <w:proofErr w:type="gramStart"/>
      <w:r>
        <w:rPr>
          <w:rFonts w:ascii="Calibri" w:eastAsia="Times New Roman" w:hAnsi="Calibri" w:cs="Calibri"/>
          <w:bCs/>
          <w:color w:val="000000"/>
          <w:sz w:val="24"/>
          <w:szCs w:val="24"/>
          <w:lang w:val="en-US"/>
        </w:rPr>
        <w:t xml:space="preserve">their </w:t>
      </w:r>
      <w:r>
        <w:rPr>
          <w:rFonts w:ascii="Calibri" w:eastAsia="Times New Roman" w:hAnsi="Calibri" w:cs="Calibri"/>
          <w:bCs/>
          <w:color w:val="000000"/>
          <w:sz w:val="24"/>
          <w:szCs w:val="24"/>
        </w:rPr>
        <w:t xml:space="preserve"> yield</w:t>
      </w:r>
      <w:proofErr w:type="gramEnd"/>
      <w:r>
        <w:rPr>
          <w:rFonts w:ascii="Calibri" w:eastAsia="Times New Roman" w:hAnsi="Calibri" w:cs="Calibri"/>
          <w:bCs/>
          <w:color w:val="000000"/>
          <w:sz w:val="24"/>
          <w:szCs w:val="24"/>
        </w:rPr>
        <w:t xml:space="preserve"> or </w:t>
      </w:r>
      <w:r>
        <w:rPr>
          <w:rFonts w:ascii="Calibri" w:eastAsia="Times New Roman" w:hAnsi="Calibri" w:cs="Calibri"/>
          <w:bCs/>
          <w:color w:val="000000"/>
          <w:sz w:val="24"/>
          <w:szCs w:val="24"/>
          <w:lang w:val="en-US"/>
        </w:rPr>
        <w:t xml:space="preserve">reduce the risk of </w:t>
      </w:r>
      <w:r>
        <w:rPr>
          <w:rFonts w:ascii="Calibri" w:eastAsia="Times New Roman" w:hAnsi="Calibri" w:cs="Calibri"/>
          <w:bCs/>
          <w:color w:val="000000"/>
          <w:sz w:val="24"/>
          <w:szCs w:val="24"/>
        </w:rPr>
        <w:t xml:space="preserve">aflatoxin </w:t>
      </w:r>
      <w:r>
        <w:rPr>
          <w:rFonts w:ascii="Calibri" w:eastAsia="Times New Roman" w:hAnsi="Calibri" w:cs="Calibri"/>
          <w:bCs/>
          <w:color w:val="000000"/>
          <w:sz w:val="24"/>
          <w:szCs w:val="24"/>
          <w:lang w:val="en-US"/>
        </w:rPr>
        <w:t>contamination</w:t>
      </w:r>
      <w:r>
        <w:rPr>
          <w:rFonts w:ascii="Calibri" w:eastAsia="Times New Roman" w:hAnsi="Calibri" w:cs="Calibri"/>
          <w:bCs/>
          <w:color w:val="000000"/>
          <w:sz w:val="24"/>
          <w:szCs w:val="24"/>
        </w:rPr>
        <w:t xml:space="preserve">. </w:t>
      </w:r>
    </w:p>
    <w:p w14:paraId="0E89A0F4" w14:textId="732128B1" w:rsidR="006E6D81" w:rsidRDefault="00E053B0">
      <w:pPr>
        <w:autoSpaceDE w:val="0"/>
        <w:autoSpaceDN w:val="0"/>
        <w:adjustRightInd w:val="0"/>
        <w:spacing w:line="240" w:lineRule="auto"/>
        <w:jc w:val="both"/>
        <w:rPr>
          <w:rFonts w:ascii="Calibri" w:hAnsi="Calibri" w:cs="Calibri"/>
          <w:sz w:val="24"/>
          <w:szCs w:val="24"/>
          <w:lang w:val="en-US" w:eastAsia="en-GB"/>
        </w:rPr>
      </w:pPr>
      <w:r>
        <w:rPr>
          <w:rFonts w:ascii="Calibri" w:eastAsia="Calibri" w:hAnsi="Calibri" w:cs="Calibri"/>
          <w:bCs/>
          <w:sz w:val="24"/>
          <w:szCs w:val="24"/>
          <w:lang w:val="en-US"/>
        </w:rPr>
        <w:lastRenderedPageBreak/>
        <w:t xml:space="preserve">Participatory dissemination of the technologies enhanced farmers’ knowledge of improved production technologies to increase yield. </w:t>
      </w:r>
      <w:r>
        <w:rPr>
          <w:rFonts w:ascii="Calibri" w:eastAsia="Calibri" w:hAnsi="Calibri" w:cs="Calibri"/>
          <w:sz w:val="24"/>
          <w:szCs w:val="24"/>
          <w:lang w:val="en-US"/>
        </w:rPr>
        <w:t xml:space="preserve">We extensively diffused information to enhance </w:t>
      </w:r>
      <w:r>
        <w:rPr>
          <w:rFonts w:ascii="Calibri" w:eastAsia="Calibri" w:hAnsi="Calibri" w:cs="Calibri"/>
          <w:bCs/>
          <w:sz w:val="24"/>
          <w:szCs w:val="24"/>
          <w:lang w:val="en-US"/>
        </w:rPr>
        <w:t>knowledge of improved aflatoxin management techniques</w:t>
      </w:r>
      <w:r>
        <w:rPr>
          <w:rFonts w:ascii="Calibri" w:eastAsia="Calibri" w:hAnsi="Calibri" w:cs="Calibri"/>
          <w:sz w:val="24"/>
          <w:szCs w:val="24"/>
          <w:lang w:val="en-US"/>
        </w:rPr>
        <w:t xml:space="preserve">. Seed harvested from the demonstrations were retained by farmers as starter seed for the next seasons. </w:t>
      </w:r>
      <w:r>
        <w:rPr>
          <w:rFonts w:ascii="Calibri" w:hAnsi="Calibri" w:cs="Calibri"/>
          <w:sz w:val="24"/>
          <w:szCs w:val="24"/>
          <w:lang w:val="en-US"/>
        </w:rPr>
        <w:t xml:space="preserve">Information dissemination and public awareness including training, fact sheet and radio broadcast in local languages on best agronomic and postharvest practices should be promoted. Integrated management of the biotic/abiotic stresses alongside crop improvement for higher yield, diseases resistance, dissemination of improved crop management practices and improved postharvest management practices should be conducted in integrated fashion. Low-cost strategies such as improved seed, clean farm operations, quick </w:t>
      </w:r>
      <w:r w:rsidR="004C28E5">
        <w:rPr>
          <w:rFonts w:ascii="Calibri" w:hAnsi="Calibri" w:cs="Calibri"/>
          <w:sz w:val="24"/>
          <w:szCs w:val="24"/>
          <w:lang w:val="en-US"/>
        </w:rPr>
        <w:t>drying, drying</w:t>
      </w:r>
      <w:r>
        <w:rPr>
          <w:rFonts w:ascii="Calibri" w:hAnsi="Calibri" w:cs="Calibri"/>
          <w:sz w:val="24"/>
          <w:szCs w:val="24"/>
          <w:lang w:val="en-US"/>
        </w:rPr>
        <w:t xml:space="preserve"> on cemented floor or tarpaulins, sorting and used of improved storage methods, which are within the </w:t>
      </w:r>
      <w:r w:rsidR="004C28E5">
        <w:rPr>
          <w:rFonts w:ascii="Calibri" w:hAnsi="Calibri" w:cs="Calibri"/>
          <w:sz w:val="24"/>
          <w:szCs w:val="24"/>
          <w:lang w:val="en-US"/>
        </w:rPr>
        <w:t>capacities of</w:t>
      </w:r>
      <w:r>
        <w:rPr>
          <w:rFonts w:ascii="Calibri" w:hAnsi="Calibri" w:cs="Calibri"/>
          <w:sz w:val="24"/>
          <w:szCs w:val="24"/>
          <w:lang w:val="en-US"/>
        </w:rPr>
        <w:t xml:space="preserve"> the smallholder growers should be prioritized in extension services and public awareness </w:t>
      </w:r>
      <w:proofErr w:type="spellStart"/>
      <w:r>
        <w:rPr>
          <w:rFonts w:ascii="Calibri" w:hAnsi="Calibri" w:cs="Calibri"/>
          <w:sz w:val="24"/>
          <w:szCs w:val="24"/>
          <w:lang w:val="en-US"/>
        </w:rPr>
        <w:t>programmes</w:t>
      </w:r>
      <w:proofErr w:type="spellEnd"/>
      <w:r>
        <w:rPr>
          <w:rFonts w:ascii="Calibri" w:hAnsi="Calibri" w:cs="Calibri"/>
          <w:sz w:val="24"/>
          <w:szCs w:val="24"/>
          <w:lang w:val="en-US"/>
        </w:rPr>
        <w:t>. Albeit, a</w:t>
      </w:r>
      <w:r>
        <w:rPr>
          <w:rFonts w:ascii="Calibri" w:hAnsi="Calibri" w:cs="Calibri"/>
          <w:sz w:val="24"/>
          <w:szCs w:val="24"/>
          <w:lang w:val="en-US" w:eastAsia="en-GB"/>
        </w:rPr>
        <w:t xml:space="preserve">ccess (cost and availability) to these technologies (fertilizers, rhizobium inoculants, </w:t>
      </w:r>
      <w:proofErr w:type="spellStart"/>
      <w:r>
        <w:rPr>
          <w:rFonts w:ascii="Calibri" w:hAnsi="Calibri" w:cs="Calibri"/>
          <w:sz w:val="24"/>
          <w:szCs w:val="24"/>
          <w:lang w:val="en-US" w:eastAsia="en-GB"/>
        </w:rPr>
        <w:t>aflasafe</w:t>
      </w:r>
      <w:proofErr w:type="spellEnd"/>
      <w:r>
        <w:rPr>
          <w:rFonts w:ascii="Calibri" w:hAnsi="Calibri" w:cs="Calibri"/>
          <w:sz w:val="24"/>
          <w:szCs w:val="24"/>
          <w:lang w:val="en-US" w:eastAsia="en-GB"/>
        </w:rPr>
        <w:t xml:space="preserve">, and improved seed) remains </w:t>
      </w:r>
      <w:r w:rsidR="004C28E5">
        <w:rPr>
          <w:rFonts w:ascii="Calibri" w:hAnsi="Calibri" w:cs="Calibri"/>
          <w:sz w:val="24"/>
          <w:szCs w:val="24"/>
          <w:lang w:val="en-US" w:eastAsia="en-GB"/>
        </w:rPr>
        <w:t>a barrier to</w:t>
      </w:r>
      <w:r>
        <w:rPr>
          <w:rFonts w:ascii="Calibri" w:hAnsi="Calibri" w:cs="Calibri"/>
          <w:sz w:val="24"/>
          <w:szCs w:val="24"/>
          <w:lang w:val="en-US" w:eastAsia="en-GB"/>
        </w:rPr>
        <w:t xml:space="preserve"> </w:t>
      </w:r>
      <w:r w:rsidR="004C28E5">
        <w:rPr>
          <w:rFonts w:ascii="Calibri" w:hAnsi="Calibri" w:cs="Calibri"/>
          <w:sz w:val="24"/>
          <w:szCs w:val="24"/>
          <w:lang w:val="en-US" w:eastAsia="en-GB"/>
        </w:rPr>
        <w:t>disseminating these</w:t>
      </w:r>
      <w:r>
        <w:rPr>
          <w:rFonts w:ascii="Calibri" w:hAnsi="Calibri" w:cs="Calibri"/>
          <w:sz w:val="24"/>
          <w:szCs w:val="24"/>
          <w:lang w:val="en-US" w:eastAsia="en-GB"/>
        </w:rPr>
        <w:t xml:space="preserve"> technologies to largely smallholder farmers.</w:t>
      </w:r>
    </w:p>
    <w:p w14:paraId="3AC403FD" w14:textId="77777777" w:rsidR="006E6D81" w:rsidRDefault="006E6D81">
      <w:pPr>
        <w:spacing w:line="240" w:lineRule="auto"/>
        <w:rPr>
          <w:rFonts w:ascii="Calibri" w:hAnsi="Calibri" w:cs="Calibri"/>
          <w:b/>
          <w:sz w:val="24"/>
          <w:szCs w:val="24"/>
          <w:lang w:val="en-US"/>
        </w:rPr>
      </w:pPr>
    </w:p>
    <w:p w14:paraId="0CD9C70C" w14:textId="77777777" w:rsidR="006E6D81" w:rsidRDefault="00E053B0">
      <w:pPr>
        <w:spacing w:line="240" w:lineRule="auto"/>
        <w:jc w:val="both"/>
        <w:rPr>
          <w:rFonts w:ascii="Calibri" w:hAnsi="Calibri" w:cs="Calibri"/>
          <w:b/>
          <w:sz w:val="24"/>
          <w:szCs w:val="24"/>
          <w:lang w:val="en-US"/>
        </w:rPr>
      </w:pPr>
      <w:r>
        <w:rPr>
          <w:rFonts w:ascii="Calibri" w:hAnsi="Calibri" w:cs="Calibri"/>
          <w:b/>
          <w:sz w:val="24"/>
          <w:szCs w:val="24"/>
          <w:lang w:val="en-US"/>
        </w:rPr>
        <w:t>References</w:t>
      </w:r>
    </w:p>
    <w:p w14:paraId="19B5CB70"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Abudulai, M., Mahama, G., Dzomeku, I., Seidu, A., Sugri, I., Nboyine, J.A., Opoku, N., Alhassan, M.H., Appaw, W., Ellis, W.O. and Akromah, R., 2020. Evaluation of Agricultural Practices to Increase Yield and Financial Return and Minimize Aflatoxin Contamination in Peanut in Northern Ghana. Peanut Science, 47(3), pp.156-162.</w:t>
      </w:r>
    </w:p>
    <w:p w14:paraId="6E4A4460" w14:textId="77777777" w:rsidR="006E6D81" w:rsidRDefault="00E053B0">
      <w:pPr>
        <w:numPr>
          <w:ilvl w:val="0"/>
          <w:numId w:val="4"/>
        </w:numPr>
        <w:spacing w:line="240" w:lineRule="auto"/>
        <w:rPr>
          <w:rFonts w:ascii="Calibri" w:hAnsi="Calibri" w:cs="Calibri"/>
          <w:sz w:val="24"/>
          <w:szCs w:val="24"/>
          <w:lang w:val="en-US"/>
        </w:rPr>
      </w:pPr>
      <w:proofErr w:type="spellStart"/>
      <w:r>
        <w:rPr>
          <w:rFonts w:ascii="Calibri" w:hAnsi="Calibri" w:cs="Calibri"/>
          <w:sz w:val="24"/>
          <w:szCs w:val="24"/>
          <w:lang w:val="en-GB"/>
        </w:rPr>
        <w:t>Agbetiameh</w:t>
      </w:r>
      <w:proofErr w:type="spellEnd"/>
      <w:r w:rsidRPr="001C782A">
        <w:rPr>
          <w:rFonts w:ascii="Calibri" w:hAnsi="Calibri" w:cs="Calibri"/>
          <w:sz w:val="24"/>
          <w:szCs w:val="24"/>
        </w:rPr>
        <w:t xml:space="preserve">, </w:t>
      </w:r>
      <w:r>
        <w:rPr>
          <w:rFonts w:ascii="Calibri" w:hAnsi="Calibri" w:cs="Calibri"/>
          <w:sz w:val="24"/>
          <w:szCs w:val="24"/>
          <w:lang w:val="en-GB"/>
        </w:rPr>
        <w:t>D</w:t>
      </w:r>
      <w:r w:rsidRPr="001C782A">
        <w:rPr>
          <w:rFonts w:ascii="Calibri" w:hAnsi="Calibri" w:cs="Calibri"/>
          <w:sz w:val="24"/>
          <w:szCs w:val="24"/>
        </w:rPr>
        <w:t xml:space="preserve">., </w:t>
      </w:r>
      <w:r>
        <w:rPr>
          <w:rFonts w:ascii="Calibri" w:hAnsi="Calibri" w:cs="Calibri"/>
          <w:sz w:val="24"/>
          <w:szCs w:val="24"/>
          <w:lang w:val="en-GB"/>
        </w:rPr>
        <w:t>Ortega</w:t>
      </w:r>
      <w:r w:rsidRPr="001C782A">
        <w:rPr>
          <w:rFonts w:ascii="Calibri" w:hAnsi="Calibri" w:cs="Calibri"/>
          <w:sz w:val="24"/>
          <w:szCs w:val="24"/>
        </w:rPr>
        <w:t>-</w:t>
      </w:r>
      <w:r>
        <w:rPr>
          <w:rFonts w:ascii="Calibri" w:hAnsi="Calibri" w:cs="Calibri"/>
          <w:sz w:val="24"/>
          <w:szCs w:val="24"/>
          <w:lang w:val="en-GB"/>
        </w:rPr>
        <w:t>Beltran</w:t>
      </w:r>
      <w:r w:rsidRPr="001C782A">
        <w:rPr>
          <w:rFonts w:ascii="Calibri" w:hAnsi="Calibri" w:cs="Calibri"/>
          <w:sz w:val="24"/>
          <w:szCs w:val="24"/>
        </w:rPr>
        <w:t xml:space="preserve">, </w:t>
      </w:r>
      <w:r>
        <w:rPr>
          <w:rFonts w:ascii="Calibri" w:hAnsi="Calibri" w:cs="Calibri"/>
          <w:sz w:val="24"/>
          <w:szCs w:val="24"/>
          <w:lang w:val="en-GB"/>
        </w:rPr>
        <w:t>A</w:t>
      </w:r>
      <w:r w:rsidRPr="001C782A">
        <w:rPr>
          <w:rFonts w:ascii="Calibri" w:hAnsi="Calibri" w:cs="Calibri"/>
          <w:sz w:val="24"/>
          <w:szCs w:val="24"/>
        </w:rPr>
        <w:t xml:space="preserve">., </w:t>
      </w:r>
      <w:r>
        <w:rPr>
          <w:rFonts w:ascii="Calibri" w:hAnsi="Calibri" w:cs="Calibri"/>
          <w:sz w:val="24"/>
          <w:szCs w:val="24"/>
          <w:lang w:val="en-GB"/>
        </w:rPr>
        <w:t>Awuah</w:t>
      </w:r>
      <w:r w:rsidRPr="001C782A">
        <w:rPr>
          <w:rFonts w:ascii="Calibri" w:hAnsi="Calibri" w:cs="Calibri"/>
          <w:sz w:val="24"/>
          <w:szCs w:val="24"/>
        </w:rPr>
        <w:t xml:space="preserve">, </w:t>
      </w:r>
      <w:r>
        <w:rPr>
          <w:rFonts w:ascii="Calibri" w:hAnsi="Calibri" w:cs="Calibri"/>
          <w:sz w:val="24"/>
          <w:szCs w:val="24"/>
          <w:lang w:val="en-GB"/>
        </w:rPr>
        <w:t>R</w:t>
      </w:r>
      <w:r w:rsidRPr="001C782A">
        <w:rPr>
          <w:rFonts w:ascii="Calibri" w:hAnsi="Calibri" w:cs="Calibri"/>
          <w:sz w:val="24"/>
          <w:szCs w:val="24"/>
        </w:rPr>
        <w:t>.</w:t>
      </w:r>
      <w:r>
        <w:rPr>
          <w:rFonts w:ascii="Calibri" w:hAnsi="Calibri" w:cs="Calibri"/>
          <w:sz w:val="24"/>
          <w:szCs w:val="24"/>
          <w:lang w:val="en-GB"/>
        </w:rPr>
        <w:t>T</w:t>
      </w:r>
      <w:r w:rsidRPr="001C782A">
        <w:rPr>
          <w:rFonts w:ascii="Calibri" w:hAnsi="Calibri" w:cs="Calibri"/>
          <w:sz w:val="24"/>
          <w:szCs w:val="24"/>
        </w:rPr>
        <w:t xml:space="preserve">., </w:t>
      </w:r>
      <w:proofErr w:type="spellStart"/>
      <w:r>
        <w:rPr>
          <w:rFonts w:ascii="Calibri" w:hAnsi="Calibri" w:cs="Calibri"/>
          <w:sz w:val="24"/>
          <w:szCs w:val="24"/>
          <w:lang w:val="en-GB"/>
        </w:rPr>
        <w:t>Atehnkeng</w:t>
      </w:r>
      <w:proofErr w:type="spellEnd"/>
      <w:r w:rsidRPr="001C782A">
        <w:rPr>
          <w:rFonts w:ascii="Calibri" w:hAnsi="Calibri" w:cs="Calibri"/>
          <w:sz w:val="24"/>
          <w:szCs w:val="24"/>
        </w:rPr>
        <w:t xml:space="preserve">, </w:t>
      </w:r>
      <w:r>
        <w:rPr>
          <w:rFonts w:ascii="Calibri" w:hAnsi="Calibri" w:cs="Calibri"/>
          <w:sz w:val="24"/>
          <w:szCs w:val="24"/>
          <w:lang w:val="en-GB"/>
        </w:rPr>
        <w:t>J</w:t>
      </w:r>
      <w:r w:rsidRPr="001C782A">
        <w:rPr>
          <w:rFonts w:ascii="Calibri" w:hAnsi="Calibri" w:cs="Calibri"/>
          <w:sz w:val="24"/>
          <w:szCs w:val="24"/>
        </w:rPr>
        <w:t>.,</w:t>
      </w:r>
      <w:r>
        <w:rPr>
          <w:rFonts w:ascii="Calibri" w:hAnsi="Calibri" w:cs="Calibri"/>
          <w:sz w:val="24"/>
          <w:szCs w:val="24"/>
        </w:rPr>
        <w:t xml:space="preserve"> Elzein, A., Cotty, P.J. and Bandyopadhyay, R. 2020. Field efficacy of two atoxigenic biocontrol products for mitigation of aflatoxin contamination in maize and groundnut in Ghana. Biological Control, 150, 104351</w:t>
      </w:r>
      <w:r>
        <w:rPr>
          <w:rFonts w:ascii="Calibri" w:hAnsi="Calibri" w:cs="Calibri"/>
          <w:sz w:val="24"/>
          <w:szCs w:val="24"/>
          <w:lang w:val="en-US"/>
        </w:rPr>
        <w:t>.</w:t>
      </w:r>
    </w:p>
    <w:p w14:paraId="322E1C06" w14:textId="77777777" w:rsidR="006E6D81" w:rsidRDefault="00E053B0">
      <w:pPr>
        <w:numPr>
          <w:ilvl w:val="0"/>
          <w:numId w:val="4"/>
        </w:numPr>
        <w:spacing w:line="240" w:lineRule="auto"/>
        <w:rPr>
          <w:rFonts w:ascii="Calibri" w:hAnsi="Calibri" w:cs="Calibri"/>
          <w:sz w:val="24"/>
          <w:szCs w:val="24"/>
        </w:rPr>
      </w:pPr>
      <w:proofErr w:type="spellStart"/>
      <w:r>
        <w:rPr>
          <w:rFonts w:ascii="Calibri" w:hAnsi="Calibri" w:cs="Calibri"/>
          <w:sz w:val="24"/>
          <w:szCs w:val="24"/>
          <w:lang w:val="en-US" w:eastAsia="zh-CN"/>
        </w:rPr>
        <w:t>Asibuo</w:t>
      </w:r>
      <w:proofErr w:type="spellEnd"/>
      <w:r>
        <w:rPr>
          <w:rFonts w:ascii="Calibri" w:hAnsi="Calibri" w:cs="Calibri"/>
          <w:sz w:val="24"/>
          <w:szCs w:val="24"/>
          <w:lang w:val="en-US" w:eastAsia="zh-CN"/>
        </w:rPr>
        <w:t xml:space="preserve">, J. Y., </w:t>
      </w:r>
      <w:proofErr w:type="spellStart"/>
      <w:r>
        <w:rPr>
          <w:rFonts w:ascii="Calibri" w:hAnsi="Calibri" w:cs="Calibri"/>
          <w:sz w:val="24"/>
          <w:szCs w:val="24"/>
          <w:lang w:val="en-US" w:eastAsia="zh-CN"/>
        </w:rPr>
        <w:t>Akromah</w:t>
      </w:r>
      <w:proofErr w:type="spellEnd"/>
      <w:r>
        <w:rPr>
          <w:rFonts w:ascii="Calibri" w:hAnsi="Calibri" w:cs="Calibri"/>
          <w:sz w:val="24"/>
          <w:szCs w:val="24"/>
          <w:lang w:val="en-US" w:eastAsia="zh-CN"/>
        </w:rPr>
        <w:t>, R., Safo-</w:t>
      </w:r>
      <w:proofErr w:type="spellStart"/>
      <w:r>
        <w:rPr>
          <w:rFonts w:ascii="Calibri" w:hAnsi="Calibri" w:cs="Calibri"/>
          <w:sz w:val="24"/>
          <w:szCs w:val="24"/>
          <w:lang w:val="en-US" w:eastAsia="zh-CN"/>
        </w:rPr>
        <w:t>Kantanka</w:t>
      </w:r>
      <w:proofErr w:type="spellEnd"/>
      <w:r>
        <w:rPr>
          <w:rFonts w:ascii="Calibri" w:hAnsi="Calibri" w:cs="Calibri"/>
          <w:sz w:val="24"/>
          <w:szCs w:val="24"/>
          <w:lang w:val="en-US" w:eastAsia="zh-CN"/>
        </w:rPr>
        <w:t xml:space="preserve">, O., Adu-Dapaah, H. K., </w:t>
      </w:r>
      <w:proofErr w:type="spellStart"/>
      <w:r>
        <w:rPr>
          <w:rFonts w:ascii="Calibri" w:hAnsi="Calibri" w:cs="Calibri"/>
          <w:sz w:val="24"/>
          <w:szCs w:val="24"/>
          <w:lang w:val="en-US" w:eastAsia="zh-CN"/>
        </w:rPr>
        <w:t>Ohemeng</w:t>
      </w:r>
      <w:proofErr w:type="spellEnd"/>
      <w:r>
        <w:rPr>
          <w:rFonts w:ascii="Calibri" w:hAnsi="Calibri" w:cs="Calibri"/>
          <w:sz w:val="24"/>
          <w:szCs w:val="24"/>
          <w:lang w:val="en-US" w:eastAsia="zh-CN"/>
        </w:rPr>
        <w:t xml:space="preserve">-Dapaah, S., and Agyeman, A. 2008. Chemical composition of groundnut, Arachis hypogaea (L) landrace. </w:t>
      </w:r>
      <w:proofErr w:type="spellStart"/>
      <w:r>
        <w:rPr>
          <w:rFonts w:ascii="Calibri" w:hAnsi="Calibri" w:cs="Calibri"/>
          <w:sz w:val="24"/>
          <w:szCs w:val="24"/>
          <w:lang w:val="en-US" w:eastAsia="zh-CN"/>
        </w:rPr>
        <w:t>Afri</w:t>
      </w:r>
      <w:proofErr w:type="spellEnd"/>
      <w:r>
        <w:rPr>
          <w:rFonts w:ascii="Calibri" w:hAnsi="Calibri" w:cs="Calibri"/>
          <w:sz w:val="24"/>
          <w:szCs w:val="24"/>
          <w:lang w:val="en-US" w:eastAsia="zh-CN"/>
        </w:rPr>
        <w:t xml:space="preserve">. J. </w:t>
      </w:r>
      <w:proofErr w:type="spellStart"/>
      <w:r>
        <w:rPr>
          <w:rFonts w:ascii="Calibri" w:hAnsi="Calibri" w:cs="Calibri"/>
          <w:sz w:val="24"/>
          <w:szCs w:val="24"/>
          <w:lang w:val="en-US" w:eastAsia="zh-CN"/>
        </w:rPr>
        <w:t>Biotechnol</w:t>
      </w:r>
      <w:proofErr w:type="spellEnd"/>
      <w:r>
        <w:rPr>
          <w:rFonts w:ascii="Calibri" w:hAnsi="Calibri" w:cs="Calibri"/>
          <w:sz w:val="24"/>
          <w:szCs w:val="24"/>
          <w:lang w:val="en-US" w:eastAsia="zh-CN"/>
        </w:rPr>
        <w:t>. 7: 2203–2208.</w:t>
      </w:r>
    </w:p>
    <w:p w14:paraId="2DF5E37A"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Ortega-Beltran, A. and Bandyopadhyay, R. 2021. Contributions of integrated aflatoxin management strategies to achieve the Sustainable Development Goals in various African countries. Global Food Security, 30, 100559.</w:t>
      </w:r>
    </w:p>
    <w:p w14:paraId="4D249C3B"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Carlberg, E., Kostandini, G. and Dankyi, A. 2014. The effects of integrated pest management techniques and farmer field schools on peanut productivity: evidence from Ghana. Quarterly J. Internat. Agric. 53(1): 73-88.</w:t>
      </w:r>
    </w:p>
    <w:p w14:paraId="5D869CAD" w14:textId="77777777" w:rsidR="004C28E5" w:rsidRPr="004C28E5" w:rsidRDefault="004C28E5" w:rsidP="004C28E5">
      <w:pPr>
        <w:pStyle w:val="ListParagraph"/>
        <w:numPr>
          <w:ilvl w:val="0"/>
          <w:numId w:val="4"/>
        </w:numPr>
        <w:rPr>
          <w:rFonts w:ascii="Calibri" w:hAnsi="Calibri" w:cs="Calibri"/>
          <w:sz w:val="24"/>
          <w:szCs w:val="24"/>
          <w:lang w:eastAsia="zh-CN"/>
        </w:rPr>
      </w:pPr>
      <w:r w:rsidRPr="004C28E5">
        <w:rPr>
          <w:rFonts w:ascii="Calibri" w:hAnsi="Calibri" w:cs="Calibri"/>
          <w:sz w:val="24"/>
          <w:szCs w:val="24"/>
          <w:lang w:eastAsia="zh-CN"/>
        </w:rPr>
        <w:t>Food and Agriculture Organization (FAO), Food and Agricultural Organizations of the United Nations (FAOSTAT), (2014). Available at: http://faostat.fao.org/site/339/default.aspx.</w:t>
      </w:r>
    </w:p>
    <w:p w14:paraId="108A6644" w14:textId="77777777" w:rsidR="006E6D81" w:rsidRDefault="00E053B0">
      <w:pPr>
        <w:numPr>
          <w:ilvl w:val="0"/>
          <w:numId w:val="4"/>
        </w:numPr>
        <w:spacing w:line="240" w:lineRule="auto"/>
        <w:rPr>
          <w:rFonts w:ascii="Calibri" w:hAnsi="Calibri" w:cs="Calibri"/>
          <w:sz w:val="24"/>
          <w:szCs w:val="24"/>
          <w:lang w:val="en-US" w:eastAsia="zh-CN"/>
        </w:rPr>
      </w:pPr>
      <w:r>
        <w:rPr>
          <w:rFonts w:ascii="Calibri" w:hAnsi="Calibri" w:cs="Calibri"/>
          <w:sz w:val="24"/>
          <w:szCs w:val="24"/>
          <w:lang w:val="en-US" w:eastAsia="zh-CN"/>
        </w:rPr>
        <w:t xml:space="preserve">Janila, P., S. N. Nigam, M. K. Pandey, P. Nagesh, and R. K. Varshney. 2013. Groundnut improvement: use of genetic and genomic tools. Front. Plant Sci. 4:23. </w:t>
      </w:r>
    </w:p>
    <w:p w14:paraId="28820896" w14:textId="77777777" w:rsidR="006E6D81" w:rsidRDefault="00E053B0">
      <w:pPr>
        <w:spacing w:line="240" w:lineRule="auto"/>
        <w:ind w:firstLine="720"/>
        <w:rPr>
          <w:rFonts w:ascii="Calibri" w:hAnsi="Calibri" w:cs="Calibri"/>
          <w:sz w:val="24"/>
          <w:szCs w:val="24"/>
        </w:rPr>
      </w:pPr>
      <w:r>
        <w:rPr>
          <w:rFonts w:ascii="Calibri" w:hAnsi="Calibri" w:cs="Calibri"/>
          <w:sz w:val="24"/>
          <w:szCs w:val="24"/>
          <w:lang w:val="en-US" w:eastAsia="zh-CN"/>
        </w:rPr>
        <w:t xml:space="preserve">Available at: https://doi.org/10.3389/fpls.2013.00023. </w:t>
      </w:r>
    </w:p>
    <w:p w14:paraId="1F9019B7"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lastRenderedPageBreak/>
        <w:t>Klei</w:t>
      </w:r>
      <w:r>
        <w:rPr>
          <w:rFonts w:ascii="Calibri" w:hAnsi="Calibri" w:cs="Calibri"/>
          <w:sz w:val="24"/>
          <w:szCs w:val="24"/>
          <w:lang w:val="en-US"/>
        </w:rPr>
        <w:t>n,</w:t>
      </w:r>
      <w:r>
        <w:rPr>
          <w:rFonts w:ascii="Calibri" w:hAnsi="Calibri" w:cs="Calibri"/>
          <w:sz w:val="24"/>
          <w:szCs w:val="24"/>
        </w:rPr>
        <w:t xml:space="preserve"> U., S. Bosco</w:t>
      </w:r>
      <w:r>
        <w:rPr>
          <w:rFonts w:ascii="Calibri" w:hAnsi="Calibri" w:cs="Calibri"/>
          <w:sz w:val="24"/>
          <w:szCs w:val="24"/>
          <w:lang w:val="en-US"/>
        </w:rPr>
        <w:t>,</w:t>
      </w:r>
      <w:r>
        <w:rPr>
          <w:rFonts w:ascii="Calibri" w:hAnsi="Calibri" w:cs="Calibri"/>
          <w:sz w:val="24"/>
          <w:szCs w:val="24"/>
        </w:rPr>
        <w:t xml:space="preserve"> S., Kumar</w:t>
      </w:r>
      <w:r>
        <w:rPr>
          <w:rFonts w:ascii="Calibri" w:hAnsi="Calibri" w:cs="Calibri"/>
          <w:sz w:val="24"/>
          <w:szCs w:val="24"/>
          <w:lang w:val="en-US"/>
        </w:rPr>
        <w:t>,</w:t>
      </w:r>
      <w:r>
        <w:rPr>
          <w:rFonts w:ascii="Calibri" w:hAnsi="Calibri" w:cs="Calibri"/>
          <w:sz w:val="24"/>
          <w:szCs w:val="24"/>
        </w:rPr>
        <w:t xml:space="preserve"> R., Apeeliga</w:t>
      </w:r>
      <w:r>
        <w:rPr>
          <w:rFonts w:ascii="Calibri" w:hAnsi="Calibri" w:cs="Calibri"/>
          <w:sz w:val="24"/>
          <w:szCs w:val="24"/>
          <w:lang w:val="en-US"/>
        </w:rPr>
        <w:t>,</w:t>
      </w:r>
      <w:r>
        <w:rPr>
          <w:rFonts w:ascii="Calibri" w:hAnsi="Calibri" w:cs="Calibri"/>
          <w:sz w:val="24"/>
          <w:szCs w:val="24"/>
        </w:rPr>
        <w:t xml:space="preserve"> J., Lalani</w:t>
      </w:r>
      <w:r>
        <w:rPr>
          <w:rFonts w:ascii="Calibri" w:hAnsi="Calibri" w:cs="Calibri"/>
          <w:sz w:val="24"/>
          <w:szCs w:val="24"/>
          <w:lang w:val="en-US"/>
        </w:rPr>
        <w:t>,</w:t>
      </w:r>
      <w:r>
        <w:rPr>
          <w:rFonts w:ascii="Calibri" w:hAnsi="Calibri" w:cs="Calibri"/>
          <w:sz w:val="24"/>
          <w:szCs w:val="24"/>
        </w:rPr>
        <w:t xml:space="preserve"> B. and Yawlui, S. 2020. Groundnut value chain analysis in Ghana. Report for the European Union, DG-DEVCO. Value Chain Analysis for Development Project (VCA4D CTR 2016/375- 804).  Available at: https://www.google.com/url?sa=i&amp;rct=j&amp;q=&amp;esrc=s&amp;source=web&amp;cd=&amp;cad=rja&amp;uact=8&amp;ved=0CAMQw7AJahcKEwiA38XFoO_7AhUAAAAAHQAAAAAQAw&amp;url=https%3A%2F%2Feuropa.eu%2Fcapacity4dev%2Ffile%2F10709%2Fdownload%3Ftoken%3DqGj4C8YO&amp;psig=AOvVaw0nCG3DB4bbM2xGvh3LODo4&amp;ust=16707686915041 29</w:t>
      </w:r>
    </w:p>
    <w:p w14:paraId="7637564C"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Konlan, S., Sarkodie-Addo, J., Asare, E., Adu-Dapaah, H. and Kombiok. J.M. 2013. Groundnut (Arachis hypogaea L.) varietal response to spacing in the humid forest zone of Ghana. ARPN J. Agric. and Biological Sci. 8(9):642-651.</w:t>
      </w:r>
    </w:p>
    <w:p w14:paraId="43F69320"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Masters, W.A., James, S.G., Daniels, A., Sarpong, D.B. 2013. Comprehensive assessment of the peanut value chain for nutrition improvement in Ghana. Final report Tufts University/GAIN project. pp 1-26.</w:t>
      </w:r>
    </w:p>
    <w:p w14:paraId="65D72B8F" w14:textId="2EE61ACC" w:rsidR="004C28E5" w:rsidRDefault="004C28E5" w:rsidP="004C28E5">
      <w:pPr>
        <w:numPr>
          <w:ilvl w:val="0"/>
          <w:numId w:val="4"/>
        </w:numPr>
        <w:spacing w:line="240" w:lineRule="auto"/>
        <w:rPr>
          <w:rFonts w:ascii="Calibri" w:hAnsi="Calibri" w:cs="Calibri"/>
          <w:sz w:val="24"/>
          <w:szCs w:val="24"/>
        </w:rPr>
      </w:pPr>
      <w:r w:rsidRPr="004C28E5">
        <w:rPr>
          <w:rFonts w:ascii="Calibri" w:hAnsi="Calibri" w:cs="Calibri"/>
          <w:sz w:val="24"/>
          <w:szCs w:val="24"/>
        </w:rPr>
        <w:t>MoFA-SRID, (2014). “Agriculture in Ghana: facts and figures, Minist,” in Ministry Of Food and Agriculture / Statistics Research Information Directoriate, Pp. 1–53.</w:t>
      </w:r>
    </w:p>
    <w:p w14:paraId="657713A8" w14:textId="289B389A"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Naab, J.B., Tsigbey, F.K., Prasad, P.V.V., Boote, K.J., Bailey, J.E. and Bradenberg, R.L. 2005. Effects of sowing date and fungicide application on yield of early and late maturing peanut cultivars grown under rainfed conditions in Ghana. Crop Protection. 24(1): 107-110.</w:t>
      </w:r>
    </w:p>
    <w:p w14:paraId="2439F67D"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Nboyine</w:t>
      </w:r>
      <w:r w:rsidRPr="001C782A">
        <w:rPr>
          <w:rFonts w:ascii="Calibri" w:hAnsi="Calibri" w:cs="Calibri"/>
          <w:sz w:val="24"/>
          <w:szCs w:val="24"/>
        </w:rPr>
        <w:t>,</w:t>
      </w:r>
      <w:r>
        <w:rPr>
          <w:rFonts w:ascii="Calibri" w:hAnsi="Calibri" w:cs="Calibri"/>
          <w:sz w:val="24"/>
          <w:szCs w:val="24"/>
        </w:rPr>
        <w:t xml:space="preserve"> J.A.,  Oteng-Frimpong</w:t>
      </w:r>
      <w:r w:rsidRPr="001C782A">
        <w:rPr>
          <w:rFonts w:ascii="Calibri" w:hAnsi="Calibri" w:cs="Calibri"/>
          <w:sz w:val="24"/>
          <w:szCs w:val="24"/>
        </w:rPr>
        <w:t>,</w:t>
      </w:r>
      <w:r>
        <w:rPr>
          <w:rFonts w:ascii="Calibri" w:hAnsi="Calibri" w:cs="Calibri"/>
          <w:sz w:val="24"/>
          <w:szCs w:val="24"/>
        </w:rPr>
        <w:t xml:space="preserve"> R., Arthur </w:t>
      </w:r>
      <w:r w:rsidRPr="001C782A">
        <w:rPr>
          <w:rFonts w:ascii="Calibri" w:hAnsi="Calibri" w:cs="Calibri"/>
          <w:sz w:val="24"/>
          <w:szCs w:val="24"/>
        </w:rPr>
        <w:t>,</w:t>
      </w:r>
      <w:r>
        <w:rPr>
          <w:rFonts w:ascii="Calibri" w:hAnsi="Calibri" w:cs="Calibri"/>
          <w:sz w:val="24"/>
          <w:szCs w:val="24"/>
        </w:rPr>
        <w:t>S., Sugri</w:t>
      </w:r>
      <w:r w:rsidRPr="001C782A">
        <w:rPr>
          <w:rFonts w:ascii="Calibri" w:hAnsi="Calibri" w:cs="Calibri"/>
          <w:sz w:val="24"/>
          <w:szCs w:val="24"/>
        </w:rPr>
        <w:t>,</w:t>
      </w:r>
      <w:r>
        <w:rPr>
          <w:rFonts w:ascii="Calibri" w:hAnsi="Calibri" w:cs="Calibri"/>
          <w:sz w:val="24"/>
          <w:szCs w:val="24"/>
        </w:rPr>
        <w:t xml:space="preserve"> I., Puozaa, D.K., Mahama</w:t>
      </w:r>
      <w:r w:rsidRPr="001C782A">
        <w:rPr>
          <w:rFonts w:ascii="Calibri" w:hAnsi="Calibri" w:cs="Calibri"/>
          <w:sz w:val="24"/>
          <w:szCs w:val="24"/>
        </w:rPr>
        <w:t>,</w:t>
      </w:r>
      <w:r>
        <w:rPr>
          <w:rFonts w:ascii="Calibri" w:hAnsi="Calibri" w:cs="Calibri"/>
          <w:sz w:val="24"/>
          <w:szCs w:val="24"/>
        </w:rPr>
        <w:t xml:space="preserve"> G.Y., Seidu A., Agrengsore, P., Mochiah</w:t>
      </w:r>
      <w:r w:rsidRPr="001C782A">
        <w:rPr>
          <w:rFonts w:ascii="Calibri" w:hAnsi="Calibri" w:cs="Calibri"/>
          <w:sz w:val="24"/>
          <w:szCs w:val="24"/>
        </w:rPr>
        <w:t>,</w:t>
      </w:r>
      <w:r>
        <w:rPr>
          <w:rFonts w:ascii="Calibri" w:hAnsi="Calibri" w:cs="Calibri"/>
          <w:sz w:val="24"/>
          <w:szCs w:val="24"/>
        </w:rPr>
        <w:t xml:space="preserve"> MB., Abudulai</w:t>
      </w:r>
      <w:r w:rsidRPr="001C782A">
        <w:rPr>
          <w:rFonts w:ascii="Calibri" w:hAnsi="Calibri" w:cs="Calibri"/>
          <w:sz w:val="24"/>
          <w:szCs w:val="24"/>
        </w:rPr>
        <w:t>,</w:t>
      </w:r>
      <w:r>
        <w:rPr>
          <w:rFonts w:ascii="Calibri" w:hAnsi="Calibri" w:cs="Calibri"/>
          <w:sz w:val="24"/>
          <w:szCs w:val="24"/>
        </w:rPr>
        <w:t xml:space="preserve"> M., Dzomeku</w:t>
      </w:r>
      <w:r w:rsidRPr="001C782A">
        <w:rPr>
          <w:rFonts w:ascii="Calibri" w:hAnsi="Calibri" w:cs="Calibri"/>
          <w:sz w:val="24"/>
          <w:szCs w:val="24"/>
        </w:rPr>
        <w:t>,</w:t>
      </w:r>
      <w:r>
        <w:rPr>
          <w:rFonts w:ascii="Calibri" w:hAnsi="Calibri" w:cs="Calibri"/>
          <w:sz w:val="24"/>
          <w:szCs w:val="24"/>
        </w:rPr>
        <w:t xml:space="preserve"> I.K., Akromah</w:t>
      </w:r>
      <w:r w:rsidRPr="001C782A">
        <w:rPr>
          <w:rFonts w:ascii="Calibri" w:hAnsi="Calibri" w:cs="Calibri"/>
          <w:sz w:val="24"/>
          <w:szCs w:val="24"/>
        </w:rPr>
        <w:t>,</w:t>
      </w:r>
      <w:r>
        <w:rPr>
          <w:rFonts w:ascii="Calibri" w:hAnsi="Calibri" w:cs="Calibri"/>
          <w:sz w:val="24"/>
          <w:szCs w:val="24"/>
        </w:rPr>
        <w:t xml:space="preserve"> R., Asibuo</w:t>
      </w:r>
      <w:r w:rsidRPr="001C782A">
        <w:rPr>
          <w:rFonts w:ascii="Calibri" w:hAnsi="Calibri" w:cs="Calibri"/>
          <w:sz w:val="24"/>
          <w:szCs w:val="24"/>
        </w:rPr>
        <w:t>,</w:t>
      </w:r>
      <w:r>
        <w:rPr>
          <w:rFonts w:ascii="Calibri" w:hAnsi="Calibri" w:cs="Calibri"/>
          <w:sz w:val="24"/>
          <w:szCs w:val="24"/>
        </w:rPr>
        <w:t xml:space="preserve"> J., Appaw</w:t>
      </w:r>
      <w:r w:rsidRPr="001C782A">
        <w:rPr>
          <w:rFonts w:ascii="Calibri" w:hAnsi="Calibri" w:cs="Calibri"/>
          <w:sz w:val="24"/>
          <w:szCs w:val="24"/>
        </w:rPr>
        <w:t>,</w:t>
      </w:r>
      <w:r>
        <w:rPr>
          <w:rFonts w:ascii="Calibri" w:hAnsi="Calibri" w:cs="Calibri"/>
          <w:sz w:val="24"/>
          <w:szCs w:val="24"/>
        </w:rPr>
        <w:t xml:space="preserve"> W.O., Abdul-Razak</w:t>
      </w:r>
      <w:r w:rsidRPr="001C782A">
        <w:rPr>
          <w:rFonts w:ascii="Calibri" w:hAnsi="Calibri" w:cs="Calibri"/>
          <w:sz w:val="24"/>
          <w:szCs w:val="24"/>
        </w:rPr>
        <w:t>,</w:t>
      </w:r>
      <w:r>
        <w:rPr>
          <w:rFonts w:ascii="Calibri" w:hAnsi="Calibri" w:cs="Calibri"/>
          <w:sz w:val="24"/>
          <w:szCs w:val="24"/>
        </w:rPr>
        <w:t xml:space="preserve"> M.,   Buol G., Jordan</w:t>
      </w:r>
      <w:r w:rsidRPr="001C782A">
        <w:rPr>
          <w:rFonts w:ascii="Calibri" w:hAnsi="Calibri" w:cs="Calibri"/>
          <w:sz w:val="24"/>
          <w:szCs w:val="24"/>
        </w:rPr>
        <w:t>,</w:t>
      </w:r>
      <w:r>
        <w:rPr>
          <w:rFonts w:ascii="Calibri" w:hAnsi="Calibri" w:cs="Calibri"/>
          <w:sz w:val="24"/>
          <w:szCs w:val="24"/>
        </w:rPr>
        <w:t xml:space="preserve"> D., Brandenburg</w:t>
      </w:r>
      <w:r w:rsidRPr="001C782A">
        <w:rPr>
          <w:rFonts w:ascii="Calibri" w:hAnsi="Calibri" w:cs="Calibri"/>
          <w:sz w:val="24"/>
          <w:szCs w:val="24"/>
        </w:rPr>
        <w:t>,</w:t>
      </w:r>
      <w:r>
        <w:rPr>
          <w:rFonts w:ascii="Calibri" w:hAnsi="Calibri" w:cs="Calibri"/>
          <w:sz w:val="24"/>
          <w:szCs w:val="24"/>
        </w:rPr>
        <w:t xml:space="preserve"> R., MacDonald</w:t>
      </w:r>
      <w:r w:rsidRPr="001C782A">
        <w:rPr>
          <w:rFonts w:ascii="Calibri" w:hAnsi="Calibri" w:cs="Calibri"/>
          <w:sz w:val="24"/>
          <w:szCs w:val="24"/>
        </w:rPr>
        <w:t>,</w:t>
      </w:r>
      <w:r>
        <w:rPr>
          <w:rFonts w:ascii="Calibri" w:hAnsi="Calibri" w:cs="Calibri"/>
          <w:sz w:val="24"/>
          <w:szCs w:val="24"/>
        </w:rPr>
        <w:t xml:space="preserve"> G., Hoisington</w:t>
      </w:r>
      <w:r w:rsidRPr="001C782A">
        <w:rPr>
          <w:rFonts w:ascii="Calibri" w:hAnsi="Calibri" w:cs="Calibri"/>
          <w:sz w:val="24"/>
          <w:szCs w:val="24"/>
        </w:rPr>
        <w:t>,</w:t>
      </w:r>
      <w:r>
        <w:rPr>
          <w:rFonts w:ascii="Calibri" w:hAnsi="Calibri" w:cs="Calibri"/>
          <w:sz w:val="24"/>
          <w:szCs w:val="24"/>
        </w:rPr>
        <w:t xml:space="preserve"> DA., and Rhoads</w:t>
      </w:r>
      <w:r w:rsidRPr="001C782A">
        <w:rPr>
          <w:rFonts w:ascii="Calibri" w:hAnsi="Calibri" w:cs="Calibri"/>
          <w:sz w:val="24"/>
          <w:szCs w:val="24"/>
        </w:rPr>
        <w:t>,</w:t>
      </w:r>
      <w:r>
        <w:rPr>
          <w:rFonts w:ascii="Calibri" w:hAnsi="Calibri" w:cs="Calibri"/>
          <w:sz w:val="24"/>
          <w:szCs w:val="24"/>
        </w:rPr>
        <w:t xml:space="preserve"> J.  2023. Managing Risk: a Decision Tool to Enhance Yield and Quality of Peanut (Arachis hypogaea) in Ghana. Peanut Science. 50(1): 65-84. </w:t>
      </w:r>
      <w:r>
        <w:fldChar w:fldCharType="begin"/>
      </w:r>
      <w:r>
        <w:instrText>HYPERLINK "https://doi.org/10.3146/0095-3679-501-PS23-2"</w:instrText>
      </w:r>
      <w:r>
        <w:fldChar w:fldCharType="separate"/>
      </w:r>
      <w:r>
        <w:rPr>
          <w:rStyle w:val="Hyperlink"/>
          <w:rFonts w:ascii="Calibri" w:hAnsi="Calibri" w:cs="Calibri"/>
          <w:color w:val="auto"/>
          <w:sz w:val="24"/>
          <w:szCs w:val="24"/>
        </w:rPr>
        <w:t>https://doi.org/10.3146/0095-3679-501-PS23-2</w:t>
      </w:r>
      <w:r>
        <w:rPr>
          <w:rStyle w:val="Hyperlink"/>
          <w:rFonts w:ascii="Calibri" w:hAnsi="Calibri" w:cs="Calibri"/>
          <w:color w:val="auto"/>
          <w:sz w:val="24"/>
          <w:szCs w:val="24"/>
        </w:rPr>
        <w:fldChar w:fldCharType="end"/>
      </w:r>
      <w:r>
        <w:rPr>
          <w:rFonts w:ascii="Calibri" w:hAnsi="Calibri" w:cs="Calibri"/>
          <w:sz w:val="24"/>
          <w:szCs w:val="24"/>
        </w:rPr>
        <w:t xml:space="preserve"> </w:t>
      </w:r>
    </w:p>
    <w:p w14:paraId="06259FE9" w14:textId="51377FE2" w:rsidR="00FD1B55" w:rsidRPr="00FD1B55" w:rsidRDefault="00FD1B55" w:rsidP="00FD1B55">
      <w:pPr>
        <w:pStyle w:val="ListParagraph"/>
        <w:numPr>
          <w:ilvl w:val="0"/>
          <w:numId w:val="4"/>
        </w:numPr>
        <w:rPr>
          <w:rFonts w:ascii="Calibri" w:hAnsi="Calibri" w:cs="Calibri"/>
          <w:sz w:val="24"/>
          <w:szCs w:val="24"/>
          <w:lang w:val="el-GR" w:eastAsia="en-GB"/>
        </w:rPr>
      </w:pPr>
      <w:r w:rsidRPr="00FD1B55">
        <w:rPr>
          <w:rFonts w:ascii="Calibri" w:hAnsi="Calibri" w:cs="Calibri"/>
          <w:sz w:val="24"/>
          <w:szCs w:val="24"/>
          <w:lang w:val="el-GR" w:eastAsia="en-GB"/>
        </w:rPr>
        <w:t>Seidu, A.; Abudulai, M.; Dzomeku, I.K.; Mahama, G.Y.; Nboyine, J.A.; Appaw, W.; Akromah, R.; Arthur, S.; Bolfrey-Arku, G.; Mochiah, M.B.; Jordan D. L., Brandenburg R. L., MacDonald G., Balota M., Hoisington D.  and D. 2024. Evaluation of Production and Pest Management Practices in Peanut (Arachis hypogaea) in Ghana. Agronomy. 2024, 14, 972. Available at: https://doi.org/10.3390/agronomy 14050972</w:t>
      </w:r>
    </w:p>
    <w:p w14:paraId="5EB1E6CF" w14:textId="4C9EE0DF" w:rsidR="006E6D81" w:rsidRDefault="00E053B0">
      <w:pPr>
        <w:numPr>
          <w:ilvl w:val="0"/>
          <w:numId w:val="4"/>
        </w:numPr>
        <w:spacing w:line="240" w:lineRule="auto"/>
        <w:rPr>
          <w:rFonts w:ascii="Calibri" w:hAnsi="Calibri" w:cs="Calibri"/>
          <w:sz w:val="24"/>
          <w:szCs w:val="24"/>
          <w:lang w:eastAsia="en-GB"/>
        </w:rPr>
      </w:pPr>
      <w:r>
        <w:rPr>
          <w:rFonts w:ascii="Calibri" w:hAnsi="Calibri" w:cs="Calibri"/>
          <w:sz w:val="24"/>
          <w:szCs w:val="24"/>
        </w:rPr>
        <w:t>Subrahmaniyan</w:t>
      </w:r>
      <w:r>
        <w:rPr>
          <w:rFonts w:ascii="Calibri" w:hAnsi="Calibri" w:cs="Calibri"/>
          <w:sz w:val="24"/>
          <w:szCs w:val="24"/>
          <w:lang w:val="en-US"/>
        </w:rPr>
        <w:t>,</w:t>
      </w:r>
      <w:r>
        <w:rPr>
          <w:rFonts w:ascii="Calibri" w:hAnsi="Calibri" w:cs="Calibri"/>
          <w:sz w:val="24"/>
          <w:szCs w:val="24"/>
        </w:rPr>
        <w:t xml:space="preserve"> K., Kalaiselvan</w:t>
      </w:r>
      <w:r>
        <w:rPr>
          <w:rFonts w:ascii="Calibri" w:hAnsi="Calibri" w:cs="Calibri"/>
          <w:sz w:val="24"/>
          <w:szCs w:val="24"/>
          <w:lang w:val="en-US"/>
        </w:rPr>
        <w:t>,</w:t>
      </w:r>
      <w:r>
        <w:rPr>
          <w:rFonts w:ascii="Calibri" w:hAnsi="Calibri" w:cs="Calibri"/>
          <w:sz w:val="24"/>
          <w:szCs w:val="24"/>
        </w:rPr>
        <w:t xml:space="preserve"> P., and Arulmozih</w:t>
      </w:r>
      <w:r>
        <w:rPr>
          <w:rFonts w:ascii="Calibri" w:hAnsi="Calibri" w:cs="Calibri"/>
          <w:sz w:val="24"/>
          <w:szCs w:val="24"/>
          <w:lang w:val="en-US"/>
        </w:rPr>
        <w:t>,</w:t>
      </w:r>
      <w:r>
        <w:rPr>
          <w:rFonts w:ascii="Calibri" w:hAnsi="Calibri" w:cs="Calibri"/>
          <w:sz w:val="24"/>
          <w:szCs w:val="24"/>
        </w:rPr>
        <w:t xml:space="preserve"> N. 2002. Weed control in groundnut (Arachis hypogaea L.) with polyethylene film mulching. Int. J. Pest Manag. 48:261–264.</w:t>
      </w:r>
    </w:p>
    <w:p w14:paraId="69F08563"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Sugri</w:t>
      </w:r>
      <w:r>
        <w:rPr>
          <w:rFonts w:ascii="Calibri" w:hAnsi="Calibri" w:cs="Calibri"/>
          <w:sz w:val="24"/>
          <w:szCs w:val="24"/>
          <w:lang w:val="en-US"/>
        </w:rPr>
        <w:t>,</w:t>
      </w:r>
      <w:r>
        <w:rPr>
          <w:rFonts w:ascii="Calibri" w:hAnsi="Calibri" w:cs="Calibri"/>
          <w:sz w:val="24"/>
          <w:szCs w:val="24"/>
        </w:rPr>
        <w:t xml:space="preserve"> I., Osiru</w:t>
      </w:r>
      <w:r>
        <w:rPr>
          <w:rFonts w:ascii="Calibri" w:hAnsi="Calibri" w:cs="Calibri"/>
          <w:sz w:val="24"/>
          <w:szCs w:val="24"/>
          <w:lang w:val="en-US"/>
        </w:rPr>
        <w:t>,</w:t>
      </w:r>
      <w:r>
        <w:rPr>
          <w:rFonts w:ascii="Calibri" w:hAnsi="Calibri" w:cs="Calibri"/>
          <w:sz w:val="24"/>
          <w:szCs w:val="24"/>
        </w:rPr>
        <w:t xml:space="preserve"> M., Abudulai</w:t>
      </w:r>
      <w:r>
        <w:rPr>
          <w:rFonts w:ascii="Calibri" w:hAnsi="Calibri" w:cs="Calibri"/>
          <w:sz w:val="24"/>
          <w:szCs w:val="24"/>
          <w:lang w:val="en-US"/>
        </w:rPr>
        <w:t>,</w:t>
      </w:r>
      <w:r>
        <w:rPr>
          <w:rFonts w:ascii="Calibri" w:hAnsi="Calibri" w:cs="Calibri"/>
          <w:sz w:val="24"/>
          <w:szCs w:val="24"/>
        </w:rPr>
        <w:t xml:space="preserve"> M., Abubakari</w:t>
      </w:r>
      <w:r>
        <w:rPr>
          <w:rFonts w:ascii="Calibri" w:hAnsi="Calibri" w:cs="Calibri"/>
          <w:sz w:val="24"/>
          <w:szCs w:val="24"/>
          <w:lang w:val="en-US"/>
        </w:rPr>
        <w:t>,</w:t>
      </w:r>
      <w:r>
        <w:rPr>
          <w:rFonts w:ascii="Calibri" w:hAnsi="Calibri" w:cs="Calibri"/>
          <w:sz w:val="24"/>
          <w:szCs w:val="24"/>
        </w:rPr>
        <w:t xml:space="preserve"> M., Asieku</w:t>
      </w:r>
      <w:r>
        <w:rPr>
          <w:rFonts w:ascii="Calibri" w:hAnsi="Calibri" w:cs="Calibri"/>
          <w:sz w:val="24"/>
          <w:szCs w:val="24"/>
          <w:lang w:val="en-US"/>
        </w:rPr>
        <w:t>,</w:t>
      </w:r>
      <w:r>
        <w:rPr>
          <w:rFonts w:ascii="Calibri" w:hAnsi="Calibri" w:cs="Calibri"/>
          <w:sz w:val="24"/>
          <w:szCs w:val="24"/>
        </w:rPr>
        <w:t xml:space="preserve"> A., Lamini</w:t>
      </w:r>
      <w:r>
        <w:rPr>
          <w:rFonts w:ascii="Calibri" w:hAnsi="Calibri" w:cs="Calibri"/>
          <w:sz w:val="24"/>
          <w:szCs w:val="24"/>
          <w:lang w:val="en-US"/>
        </w:rPr>
        <w:t>,</w:t>
      </w:r>
      <w:r>
        <w:rPr>
          <w:rFonts w:ascii="Calibri" w:hAnsi="Calibri" w:cs="Calibri"/>
          <w:sz w:val="24"/>
          <w:szCs w:val="24"/>
        </w:rPr>
        <w:t xml:space="preserve"> S. and Zakaria</w:t>
      </w:r>
      <w:r>
        <w:rPr>
          <w:rFonts w:ascii="Calibri" w:hAnsi="Calibri" w:cs="Calibri"/>
          <w:sz w:val="24"/>
          <w:szCs w:val="24"/>
          <w:lang w:val="en-US"/>
        </w:rPr>
        <w:t>,</w:t>
      </w:r>
      <w:r>
        <w:rPr>
          <w:rFonts w:ascii="Calibri" w:hAnsi="Calibri" w:cs="Calibri"/>
          <w:sz w:val="24"/>
          <w:szCs w:val="24"/>
        </w:rPr>
        <w:t xml:space="preserve"> M. 2017. Integrated peanut aflatoxin management for increase income and nutrition in Northern Ghana. Cogent Food &amp; Agriculture. 3:1312046. </w:t>
      </w:r>
      <w:r>
        <w:fldChar w:fldCharType="begin"/>
      </w:r>
      <w:r>
        <w:instrText>HYPERLINK "http://dx.doi.org/10.1080/23311932.2017.1312046"</w:instrText>
      </w:r>
      <w:r>
        <w:fldChar w:fldCharType="separate"/>
      </w:r>
      <w:r>
        <w:rPr>
          <w:rStyle w:val="Hyperlink"/>
          <w:rFonts w:ascii="Calibri" w:hAnsi="Calibri" w:cs="Calibri"/>
          <w:i/>
          <w:color w:val="000000" w:themeColor="text1"/>
          <w:sz w:val="24"/>
          <w:szCs w:val="24"/>
        </w:rPr>
        <w:t>http://dx.doi.org/10.1080/23311932.2017.1312046</w:t>
      </w:r>
      <w:r>
        <w:rPr>
          <w:rStyle w:val="Hyperlink"/>
          <w:rFonts w:ascii="Calibri" w:hAnsi="Calibri" w:cs="Calibri"/>
          <w:i/>
          <w:color w:val="000000" w:themeColor="text1"/>
          <w:sz w:val="24"/>
          <w:szCs w:val="24"/>
        </w:rPr>
        <w:fldChar w:fldCharType="end"/>
      </w:r>
      <w:r>
        <w:rPr>
          <w:rFonts w:ascii="Calibri" w:hAnsi="Calibri" w:cs="Calibri"/>
          <w:sz w:val="24"/>
          <w:szCs w:val="24"/>
        </w:rPr>
        <w:t>.</w:t>
      </w:r>
    </w:p>
    <w:p w14:paraId="4B3A2046" w14:textId="77777777" w:rsidR="006E6D81" w:rsidRDefault="00E053B0">
      <w:pPr>
        <w:numPr>
          <w:ilvl w:val="0"/>
          <w:numId w:val="4"/>
        </w:numPr>
        <w:spacing w:line="240" w:lineRule="auto"/>
        <w:rPr>
          <w:rFonts w:ascii="Calibri" w:hAnsi="Calibri" w:cs="Calibri"/>
          <w:sz w:val="24"/>
          <w:szCs w:val="24"/>
        </w:rPr>
      </w:pPr>
      <w:r>
        <w:rPr>
          <w:rFonts w:ascii="Calibri" w:hAnsi="Calibri" w:cs="Calibri"/>
          <w:sz w:val="24"/>
          <w:szCs w:val="24"/>
        </w:rPr>
        <w:t>Tsigbey</w:t>
      </w:r>
      <w:r>
        <w:rPr>
          <w:rFonts w:ascii="Calibri" w:hAnsi="Calibri" w:cs="Calibri"/>
          <w:sz w:val="24"/>
          <w:szCs w:val="24"/>
          <w:lang w:val="en-US"/>
        </w:rPr>
        <w:t>,</w:t>
      </w:r>
      <w:r>
        <w:rPr>
          <w:rFonts w:ascii="Calibri" w:hAnsi="Calibri" w:cs="Calibri"/>
          <w:sz w:val="24"/>
          <w:szCs w:val="24"/>
        </w:rPr>
        <w:t xml:space="preserve"> F. K., Brandenburg</w:t>
      </w:r>
      <w:r>
        <w:rPr>
          <w:rFonts w:ascii="Calibri" w:hAnsi="Calibri" w:cs="Calibri"/>
          <w:sz w:val="24"/>
          <w:szCs w:val="24"/>
          <w:lang w:val="en-US"/>
        </w:rPr>
        <w:t>,</w:t>
      </w:r>
      <w:r>
        <w:rPr>
          <w:rFonts w:ascii="Calibri" w:hAnsi="Calibri" w:cs="Calibri"/>
          <w:sz w:val="24"/>
          <w:szCs w:val="24"/>
        </w:rPr>
        <w:t xml:space="preserve"> R. L. and Clottey</w:t>
      </w:r>
      <w:r>
        <w:rPr>
          <w:rFonts w:ascii="Calibri" w:hAnsi="Calibri" w:cs="Calibri"/>
          <w:sz w:val="24"/>
          <w:szCs w:val="24"/>
          <w:lang w:val="en-US"/>
        </w:rPr>
        <w:t>,</w:t>
      </w:r>
      <w:r>
        <w:rPr>
          <w:rFonts w:ascii="Calibri" w:hAnsi="Calibri" w:cs="Calibri"/>
          <w:sz w:val="24"/>
          <w:szCs w:val="24"/>
        </w:rPr>
        <w:t xml:space="preserve"> V. A. 2003. Peanut production methods in northern Ghana and some disease perspectives. Online Journal of Agronomy. 34(2): 36-47.</w:t>
      </w:r>
    </w:p>
    <w:p w14:paraId="0FF4FA32" w14:textId="77777777" w:rsidR="006E6D81" w:rsidRDefault="00E053B0">
      <w:pPr>
        <w:numPr>
          <w:ilvl w:val="0"/>
          <w:numId w:val="4"/>
        </w:numPr>
        <w:spacing w:line="240" w:lineRule="auto"/>
        <w:rPr>
          <w:rFonts w:ascii="Calibri" w:hAnsi="Calibri" w:cs="Calibri"/>
          <w:sz w:val="24"/>
          <w:szCs w:val="24"/>
          <w:lang w:val="en-US"/>
        </w:rPr>
      </w:pPr>
      <w:proofErr w:type="spellStart"/>
      <w:r>
        <w:rPr>
          <w:rFonts w:ascii="Calibri" w:hAnsi="Calibri" w:cs="Calibri"/>
          <w:sz w:val="24"/>
          <w:szCs w:val="24"/>
          <w:lang w:val="en-US"/>
        </w:rPr>
        <w:t>Waliyar</w:t>
      </w:r>
      <w:proofErr w:type="spellEnd"/>
      <w:r>
        <w:rPr>
          <w:rFonts w:ascii="Calibri" w:hAnsi="Calibri" w:cs="Calibri"/>
          <w:sz w:val="24"/>
          <w:szCs w:val="24"/>
          <w:lang w:val="en-US"/>
        </w:rPr>
        <w:t xml:space="preserve">, F., Kumar, P.L., Traore, A., Ntare, B.R., Diarra, B. and Kodio, O. 2008. Pre-and post-harvest management of aflatoxin contamination in peanuts. In Leslie, J. F., </w:t>
      </w:r>
      <w:r>
        <w:rPr>
          <w:rFonts w:ascii="Calibri" w:hAnsi="Calibri" w:cs="Calibri"/>
          <w:sz w:val="24"/>
          <w:szCs w:val="24"/>
          <w:lang w:val="en-US"/>
        </w:rPr>
        <w:lastRenderedPageBreak/>
        <w:t>Bandyopadhyay, R &amp; Visconti, A, (eds), Mycotoxins: detection methods, management, public health and a</w:t>
      </w:r>
      <w:r>
        <w:rPr>
          <w:rFonts w:ascii="Calibri" w:hAnsi="Calibri" w:cs="Calibri"/>
          <w:i/>
          <w:sz w:val="24"/>
          <w:szCs w:val="24"/>
          <w:lang w:val="en-US"/>
        </w:rPr>
        <w:t>gricultural trade. CAB International, pp. 209-218</w:t>
      </w:r>
      <w:r>
        <w:rPr>
          <w:rFonts w:ascii="Calibri" w:hAnsi="Calibri" w:cs="Calibri"/>
          <w:sz w:val="24"/>
          <w:szCs w:val="24"/>
          <w:lang w:val="en-US"/>
        </w:rPr>
        <w:t>.</w:t>
      </w:r>
    </w:p>
    <w:sectPr w:rsidR="006E6D8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284E8" w14:textId="77777777" w:rsidR="00360071" w:rsidRDefault="00360071">
      <w:pPr>
        <w:spacing w:line="240" w:lineRule="auto"/>
      </w:pPr>
      <w:r>
        <w:separator/>
      </w:r>
    </w:p>
  </w:endnote>
  <w:endnote w:type="continuationSeparator" w:id="0">
    <w:p w14:paraId="51A50F17" w14:textId="77777777" w:rsidR="00360071" w:rsidRDefault="00360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MinionPro-Capt">
    <w:altName w:val="MS Gothic"/>
    <w:charset w:val="80"/>
    <w:family w:val="roman"/>
    <w:pitch w:val="default"/>
    <w:sig w:usb0="00000000" w:usb1="0000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F2B00" w14:textId="77777777" w:rsidR="00AF5C01" w:rsidRDefault="00AF5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5EC7E" w14:textId="77777777" w:rsidR="00AF5C01" w:rsidRDefault="00AF5C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AC5A5" w14:textId="77777777" w:rsidR="00AF5C01" w:rsidRDefault="00AF5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79A2B" w14:textId="77777777" w:rsidR="00360071" w:rsidRDefault="00360071">
      <w:pPr>
        <w:spacing w:after="0"/>
      </w:pPr>
      <w:r>
        <w:separator/>
      </w:r>
    </w:p>
  </w:footnote>
  <w:footnote w:type="continuationSeparator" w:id="0">
    <w:p w14:paraId="0DA38EA7" w14:textId="77777777" w:rsidR="00360071" w:rsidRDefault="003600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D6440" w14:textId="528B642A" w:rsidR="00AF5C01" w:rsidRDefault="00AF5C01">
    <w:pPr>
      <w:pStyle w:val="Header"/>
    </w:pPr>
    <w:r>
      <w:rPr>
        <w:noProof/>
      </w:rPr>
      <w:pict w14:anchorId="23D58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742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5008A" w14:textId="7FBF5684" w:rsidR="00AF5C01" w:rsidRDefault="00AF5C01">
    <w:pPr>
      <w:pStyle w:val="Header"/>
    </w:pPr>
    <w:r>
      <w:rPr>
        <w:noProof/>
      </w:rPr>
      <w:pict w14:anchorId="5A40B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742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86315" w14:textId="119C9FB6" w:rsidR="00AF5C01" w:rsidRDefault="00AF5C01">
    <w:pPr>
      <w:pStyle w:val="Header"/>
    </w:pPr>
    <w:r>
      <w:rPr>
        <w:noProof/>
      </w:rPr>
      <w:pict w14:anchorId="14B8D3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742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5542F8"/>
    <w:multiLevelType w:val="singleLevel"/>
    <w:tmpl w:val="845542F8"/>
    <w:lvl w:ilvl="0">
      <w:start w:val="18"/>
      <w:numFmt w:val="upperLetter"/>
      <w:suff w:val="space"/>
      <w:lvlText w:val="%1."/>
      <w:lvlJc w:val="left"/>
    </w:lvl>
  </w:abstractNum>
  <w:abstractNum w:abstractNumId="1" w15:restartNumberingAfterBreak="0">
    <w:nsid w:val="4C10CA6E"/>
    <w:multiLevelType w:val="singleLevel"/>
    <w:tmpl w:val="4C10CA6E"/>
    <w:lvl w:ilvl="0">
      <w:start w:val="2"/>
      <w:numFmt w:val="decimal"/>
      <w:suff w:val="space"/>
      <w:lvlText w:val="%1."/>
      <w:lvlJc w:val="left"/>
    </w:lvl>
  </w:abstractNum>
  <w:abstractNum w:abstractNumId="2" w15:restartNumberingAfterBreak="0">
    <w:nsid w:val="6B15D8F3"/>
    <w:multiLevelType w:val="singleLevel"/>
    <w:tmpl w:val="6B15D8F3"/>
    <w:lvl w:ilvl="0">
      <w:start w:val="1"/>
      <w:numFmt w:val="decimal"/>
      <w:lvlText w:val="%1."/>
      <w:lvlJc w:val="left"/>
      <w:pPr>
        <w:tabs>
          <w:tab w:val="left" w:pos="425"/>
        </w:tabs>
        <w:ind w:left="425" w:hanging="425"/>
      </w:pPr>
      <w:rPr>
        <w:rFonts w:hint="default"/>
      </w:rPr>
    </w:lvl>
  </w:abstractNum>
  <w:abstractNum w:abstractNumId="3" w15:restartNumberingAfterBreak="0">
    <w:nsid w:val="6D3630E6"/>
    <w:multiLevelType w:val="singleLevel"/>
    <w:tmpl w:val="6D3630E6"/>
    <w:lvl w:ilvl="0">
      <w:start w:val="1"/>
      <w:numFmt w:val="decimal"/>
      <w:suff w:val="space"/>
      <w:lvlText w:val="%1."/>
      <w:lvlJc w:val="left"/>
    </w:lvl>
  </w:abstractNum>
  <w:num w:numId="1" w16cid:durableId="532352677">
    <w:abstractNumId w:val="1"/>
  </w:num>
  <w:num w:numId="2" w16cid:durableId="1665939416">
    <w:abstractNumId w:val="3"/>
  </w:num>
  <w:num w:numId="3" w16cid:durableId="883565337">
    <w:abstractNumId w:val="0"/>
  </w:num>
  <w:num w:numId="4" w16cid:durableId="1872958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97D"/>
    <w:rsid w:val="00003F41"/>
    <w:rsid w:val="0001492C"/>
    <w:rsid w:val="000466F2"/>
    <w:rsid w:val="000506EA"/>
    <w:rsid w:val="000507AF"/>
    <w:rsid w:val="00064E76"/>
    <w:rsid w:val="000652E4"/>
    <w:rsid w:val="00072105"/>
    <w:rsid w:val="000816C2"/>
    <w:rsid w:val="00090706"/>
    <w:rsid w:val="000D2A4C"/>
    <w:rsid w:val="000D5292"/>
    <w:rsid w:val="000E6505"/>
    <w:rsid w:val="00103591"/>
    <w:rsid w:val="00115A58"/>
    <w:rsid w:val="00121546"/>
    <w:rsid w:val="00124A5A"/>
    <w:rsid w:val="001504D9"/>
    <w:rsid w:val="00155732"/>
    <w:rsid w:val="00170DA9"/>
    <w:rsid w:val="00196EFD"/>
    <w:rsid w:val="001A2DF5"/>
    <w:rsid w:val="001C782A"/>
    <w:rsid w:val="001F3EC6"/>
    <w:rsid w:val="001F597D"/>
    <w:rsid w:val="0022161F"/>
    <w:rsid w:val="00250B9E"/>
    <w:rsid w:val="002523E2"/>
    <w:rsid w:val="0026491C"/>
    <w:rsid w:val="00271504"/>
    <w:rsid w:val="00293CED"/>
    <w:rsid w:val="002A5D9C"/>
    <w:rsid w:val="002C4F54"/>
    <w:rsid w:val="002E6DEA"/>
    <w:rsid w:val="00337BFC"/>
    <w:rsid w:val="00352EBB"/>
    <w:rsid w:val="00360071"/>
    <w:rsid w:val="003663D3"/>
    <w:rsid w:val="00373E1A"/>
    <w:rsid w:val="003869AA"/>
    <w:rsid w:val="00392759"/>
    <w:rsid w:val="0041033A"/>
    <w:rsid w:val="004120A7"/>
    <w:rsid w:val="00461063"/>
    <w:rsid w:val="0047326E"/>
    <w:rsid w:val="00496686"/>
    <w:rsid w:val="004A4C26"/>
    <w:rsid w:val="004C28E5"/>
    <w:rsid w:val="004C34EC"/>
    <w:rsid w:val="004C5E64"/>
    <w:rsid w:val="004D22BB"/>
    <w:rsid w:val="004F4980"/>
    <w:rsid w:val="00532A30"/>
    <w:rsid w:val="00533462"/>
    <w:rsid w:val="005535E6"/>
    <w:rsid w:val="00567A4C"/>
    <w:rsid w:val="0057253B"/>
    <w:rsid w:val="0059175F"/>
    <w:rsid w:val="005D0E8C"/>
    <w:rsid w:val="006116B2"/>
    <w:rsid w:val="0063700D"/>
    <w:rsid w:val="006543B8"/>
    <w:rsid w:val="00660155"/>
    <w:rsid w:val="00684B19"/>
    <w:rsid w:val="006907A2"/>
    <w:rsid w:val="006B42A9"/>
    <w:rsid w:val="006B4C84"/>
    <w:rsid w:val="006B6DEE"/>
    <w:rsid w:val="006C7D28"/>
    <w:rsid w:val="006E3879"/>
    <w:rsid w:val="006E6D81"/>
    <w:rsid w:val="006E7ADC"/>
    <w:rsid w:val="006F2550"/>
    <w:rsid w:val="006F5CE4"/>
    <w:rsid w:val="007028D1"/>
    <w:rsid w:val="00704033"/>
    <w:rsid w:val="00707991"/>
    <w:rsid w:val="00761D29"/>
    <w:rsid w:val="00770686"/>
    <w:rsid w:val="007916E5"/>
    <w:rsid w:val="007A456C"/>
    <w:rsid w:val="007C3047"/>
    <w:rsid w:val="007F33B3"/>
    <w:rsid w:val="00801829"/>
    <w:rsid w:val="00822E3B"/>
    <w:rsid w:val="00833EEB"/>
    <w:rsid w:val="008519E6"/>
    <w:rsid w:val="008743D2"/>
    <w:rsid w:val="00877DC9"/>
    <w:rsid w:val="008875DD"/>
    <w:rsid w:val="00891AAF"/>
    <w:rsid w:val="00892BB4"/>
    <w:rsid w:val="00893D58"/>
    <w:rsid w:val="009038BF"/>
    <w:rsid w:val="0091771D"/>
    <w:rsid w:val="009220B5"/>
    <w:rsid w:val="009576F4"/>
    <w:rsid w:val="00996D06"/>
    <w:rsid w:val="009A5425"/>
    <w:rsid w:val="009D3062"/>
    <w:rsid w:val="009F0CFE"/>
    <w:rsid w:val="009F5EF6"/>
    <w:rsid w:val="00A01915"/>
    <w:rsid w:val="00A6146F"/>
    <w:rsid w:val="00A6512F"/>
    <w:rsid w:val="00A75137"/>
    <w:rsid w:val="00A75FC8"/>
    <w:rsid w:val="00AA48CF"/>
    <w:rsid w:val="00AC29E8"/>
    <w:rsid w:val="00AC33E1"/>
    <w:rsid w:val="00AF2EF1"/>
    <w:rsid w:val="00AF5C01"/>
    <w:rsid w:val="00AF76D4"/>
    <w:rsid w:val="00B15457"/>
    <w:rsid w:val="00B17278"/>
    <w:rsid w:val="00B81C19"/>
    <w:rsid w:val="00BB194C"/>
    <w:rsid w:val="00BF52A9"/>
    <w:rsid w:val="00C4715B"/>
    <w:rsid w:val="00C54A59"/>
    <w:rsid w:val="00C74BC4"/>
    <w:rsid w:val="00C76D18"/>
    <w:rsid w:val="00C84D9C"/>
    <w:rsid w:val="00C84E01"/>
    <w:rsid w:val="00C86FF9"/>
    <w:rsid w:val="00C9020F"/>
    <w:rsid w:val="00CA6075"/>
    <w:rsid w:val="00CD3950"/>
    <w:rsid w:val="00CD46DD"/>
    <w:rsid w:val="00D07074"/>
    <w:rsid w:val="00D254B9"/>
    <w:rsid w:val="00D26243"/>
    <w:rsid w:val="00D30A28"/>
    <w:rsid w:val="00D57017"/>
    <w:rsid w:val="00D95CD6"/>
    <w:rsid w:val="00DB2E18"/>
    <w:rsid w:val="00DB3CCA"/>
    <w:rsid w:val="00DD3EC4"/>
    <w:rsid w:val="00DE2BC7"/>
    <w:rsid w:val="00DE43F9"/>
    <w:rsid w:val="00E053B0"/>
    <w:rsid w:val="00E06537"/>
    <w:rsid w:val="00E118C2"/>
    <w:rsid w:val="00E62A6F"/>
    <w:rsid w:val="00F23D84"/>
    <w:rsid w:val="00F33C3F"/>
    <w:rsid w:val="00F34B08"/>
    <w:rsid w:val="00F42B2C"/>
    <w:rsid w:val="00F53750"/>
    <w:rsid w:val="00F57671"/>
    <w:rsid w:val="00F842D3"/>
    <w:rsid w:val="00F97DD6"/>
    <w:rsid w:val="00FA5A2A"/>
    <w:rsid w:val="00FD1B55"/>
    <w:rsid w:val="03D02E58"/>
    <w:rsid w:val="072D4ABE"/>
    <w:rsid w:val="088F1D89"/>
    <w:rsid w:val="097455A0"/>
    <w:rsid w:val="0EE90CE8"/>
    <w:rsid w:val="15846E3B"/>
    <w:rsid w:val="15CE7FCE"/>
    <w:rsid w:val="16E32D34"/>
    <w:rsid w:val="18B83356"/>
    <w:rsid w:val="1AAE683A"/>
    <w:rsid w:val="1D421B1B"/>
    <w:rsid w:val="1EB2335E"/>
    <w:rsid w:val="240E00C0"/>
    <w:rsid w:val="24F6559D"/>
    <w:rsid w:val="2786293A"/>
    <w:rsid w:val="27A27DDC"/>
    <w:rsid w:val="29B5077A"/>
    <w:rsid w:val="38885996"/>
    <w:rsid w:val="3C4174B5"/>
    <w:rsid w:val="3D164E4A"/>
    <w:rsid w:val="3D6262E3"/>
    <w:rsid w:val="3E5069E7"/>
    <w:rsid w:val="45A777C2"/>
    <w:rsid w:val="48923D5E"/>
    <w:rsid w:val="48F31050"/>
    <w:rsid w:val="49986A79"/>
    <w:rsid w:val="4E5D2A1D"/>
    <w:rsid w:val="4EDF4398"/>
    <w:rsid w:val="525635BF"/>
    <w:rsid w:val="53212BBB"/>
    <w:rsid w:val="536B1EDB"/>
    <w:rsid w:val="5781397E"/>
    <w:rsid w:val="5A691BB4"/>
    <w:rsid w:val="676E06F0"/>
    <w:rsid w:val="68284340"/>
    <w:rsid w:val="69084426"/>
    <w:rsid w:val="69E25443"/>
    <w:rsid w:val="6BC54320"/>
    <w:rsid w:val="71637B14"/>
    <w:rsid w:val="7A1947DF"/>
    <w:rsid w:val="7D265CAF"/>
    <w:rsid w:val="7E1B5AE7"/>
    <w:rsid w:val="7FBD56A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0ABA9"/>
  <w15:docId w15:val="{2019D92C-BE42-48B3-B976-F0B96F85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3">
    <w:name w:val="Body Text 3"/>
    <w:basedOn w:val="Normal"/>
    <w:link w:val="BodyText3Char"/>
    <w:semiHidden/>
    <w:unhideWhenUsed/>
    <w:qFormat/>
    <w:pPr>
      <w:spacing w:after="0" w:line="360" w:lineRule="auto"/>
      <w:jc w:val="both"/>
    </w:pPr>
    <w:rPr>
      <w:rFonts w:ascii="Times New Roman" w:eastAsia="Times New Roman" w:hAnsi="Times New Roman" w:cs="Times New Roman"/>
      <w:color w:val="000080"/>
      <w:sz w:val="24"/>
      <w:szCs w:val="20"/>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uiPriority w:val="39"/>
    <w:qFormat/>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qFormat/>
    <w:rPr>
      <w:rFonts w:eastAsia="Times New Roman"/>
      <w:lang w:val="fr-FR" w:eastAsia="fr-FR"/>
    </w:rPr>
  </w:style>
  <w:style w:type="character" w:customStyle="1" w:styleId="NoSpacingChar">
    <w:name w:val="No Spacing Char"/>
    <w:link w:val="NoSpacing"/>
    <w:qFormat/>
    <w:rPr>
      <w:rFonts w:ascii="Times New Roman" w:eastAsia="Times New Roman" w:hAnsi="Times New Roman" w:cs="Times New Roman"/>
      <w:sz w:val="20"/>
      <w:szCs w:val="20"/>
      <w:lang w:val="fr-FR" w:eastAsia="fr-FR"/>
    </w:r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61">
    <w:name w:val="Grid Table 4 - Accent 61"/>
    <w:basedOn w:val="TableNormal"/>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yiv5045073589msonormal">
    <w:name w:val="yiv5045073589msonormal"/>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3Char">
    <w:name w:val="Body Text 3 Char"/>
    <w:basedOn w:val="DefaultParagraphFont"/>
    <w:link w:val="BodyText3"/>
    <w:semiHidden/>
    <w:qFormat/>
    <w:rPr>
      <w:rFonts w:ascii="Times New Roman" w:eastAsia="Times New Roman" w:hAnsi="Times New Roman" w:cs="Times New Roman"/>
      <w:color w:val="000080"/>
      <w:sz w:val="24"/>
      <w:szCs w:val="20"/>
      <w:lang w:val="en-US"/>
    </w:rPr>
  </w:style>
  <w:style w:type="character" w:customStyle="1" w:styleId="HeaderChar">
    <w:name w:val="Header Char"/>
    <w:basedOn w:val="DefaultParagraphFont"/>
    <w:link w:val="Header"/>
    <w:uiPriority w:val="99"/>
    <w:qFormat/>
    <w:rPr>
      <w:lang w:val="el-GR"/>
    </w:rPr>
  </w:style>
  <w:style w:type="character" w:customStyle="1" w:styleId="FooterChar">
    <w:name w:val="Footer Char"/>
    <w:basedOn w:val="DefaultParagraphFont"/>
    <w:link w:val="Footer"/>
    <w:uiPriority w:val="99"/>
    <w:qFormat/>
    <w:rPr>
      <w:lang w:val="el-GR"/>
    </w:rPr>
  </w:style>
  <w:style w:type="paragraph" w:styleId="ListParagraph">
    <w:name w:val="List Paragraph"/>
    <w:basedOn w:val="Normal"/>
    <w:link w:val="ListParagraphChar"/>
    <w:uiPriority w:val="34"/>
    <w:qFormat/>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qFormat/>
    <w:rPr>
      <w:lang w:val="en-US"/>
    </w:rPr>
  </w:style>
  <w:style w:type="character" w:customStyle="1" w:styleId="CommentTextChar">
    <w:name w:val="Comment Text Char"/>
    <w:basedOn w:val="DefaultParagraphFont"/>
    <w:link w:val="CommentText"/>
    <w:uiPriority w:val="99"/>
    <w:semiHidden/>
    <w:qFormat/>
    <w:rPr>
      <w:rFonts w:asciiTheme="minorHAnsi" w:eastAsiaTheme="minorHAnsi" w:hAnsiTheme="minorHAnsi" w:cstheme="minorBidi"/>
      <w:lang w:val="el-GR"/>
    </w:rPr>
  </w:style>
  <w:style w:type="character" w:customStyle="1" w:styleId="CommentSubjectChar">
    <w:name w:val="Comment Subject Char"/>
    <w:basedOn w:val="CommentTextChar"/>
    <w:link w:val="CommentSubject"/>
    <w:uiPriority w:val="99"/>
    <w:semiHidden/>
    <w:qFormat/>
    <w:rPr>
      <w:rFonts w:asciiTheme="minorHAnsi" w:eastAsiaTheme="minorHAnsi" w:hAnsiTheme="minorHAnsi" w:cstheme="minorBidi"/>
      <w:b/>
      <w:bCs/>
      <w:lang w:val="el-GR"/>
    </w:rPr>
  </w:style>
  <w:style w:type="paragraph" w:customStyle="1" w:styleId="Revision1">
    <w:name w:val="Revision1"/>
    <w:hidden/>
    <w:uiPriority w:val="99"/>
    <w:semiHidden/>
    <w:qFormat/>
    <w:rPr>
      <w:rFonts w:asciiTheme="minorHAnsi" w:eastAsiaTheme="minorHAnsi" w:hAnsiTheme="minorHAnsi" w:cstheme="minorBidi"/>
      <w:sz w:val="22"/>
      <w:szCs w:val="22"/>
      <w:lang w:val="el-GR"/>
    </w:rPr>
  </w:style>
  <w:style w:type="character" w:customStyle="1" w:styleId="BalloonTextChar">
    <w:name w:val="Balloon Text Char"/>
    <w:basedOn w:val="DefaultParagraphFont"/>
    <w:link w:val="BalloonText"/>
    <w:uiPriority w:val="99"/>
    <w:semiHidden/>
    <w:qFormat/>
    <w:rPr>
      <w:rFonts w:ascii="Segoe UI" w:eastAsiaTheme="minorHAnsi" w:hAnsi="Segoe UI" w:cs="Segoe UI"/>
      <w:sz w:val="18"/>
      <w:szCs w:val="18"/>
      <w:lang w:val="el-GR"/>
    </w:rPr>
  </w:style>
  <w:style w:type="paragraph" w:customStyle="1" w:styleId="p0">
    <w:name w:val="p0"/>
    <w:basedOn w:val="Normal"/>
    <w:qFormat/>
    <w:pPr>
      <w:spacing w:after="0" w:line="240" w:lineRule="auto"/>
      <w:jc w:val="both"/>
    </w:pPr>
    <w:rPr>
      <w:rFonts w:ascii="Times New Roman" w:eastAsia="Times New Roman" w:hAnsi="Times New Roman"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Microsoft_PowerPoint_Slide.sldx"/><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3B82E-9587-4747-9DF9-FA6B9322A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6042</Words>
  <Characters>34443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Editor-23</cp:lastModifiedBy>
  <cp:revision>26</cp:revision>
  <cp:lastPrinted>2024-10-04T19:18:00Z</cp:lastPrinted>
  <dcterms:created xsi:type="dcterms:W3CDTF">2015-12-14T22:43:00Z</dcterms:created>
  <dcterms:modified xsi:type="dcterms:W3CDTF">2024-12-27T11:10:00Z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A997A6D310B449C29285BE3B9A33C654_13</vt:lpwstr>
  </property>
</Properties>
</file>