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5A1C7B" w14:textId="45F14AB2" w:rsidR="00823A0D" w:rsidRPr="006C1BD1" w:rsidRDefault="00823A0D">
      <w:pPr>
        <w:rPr>
          <w:rFonts w:ascii="Times New Roman" w:hAnsi="Times New Roman" w:cs="Times New Roman"/>
          <w:b/>
          <w:bCs/>
          <w:sz w:val="24"/>
          <w:szCs w:val="24"/>
        </w:rPr>
      </w:pPr>
    </w:p>
    <w:p w14:paraId="5A037B1D" w14:textId="2403B5D0" w:rsidR="00823A0D" w:rsidRPr="006C1BD1" w:rsidRDefault="00981F0C">
      <w:pPr>
        <w:ind w:firstLineChars="750" w:firstLine="1807"/>
        <w:rPr>
          <w:rFonts w:ascii="Times New Roman" w:hAnsi="Times New Roman" w:cs="Times New Roman"/>
          <w:b/>
          <w:bCs/>
          <w:sz w:val="24"/>
          <w:szCs w:val="24"/>
        </w:rPr>
      </w:pPr>
      <w:r w:rsidRPr="006C1BD1">
        <w:rPr>
          <w:rFonts w:ascii="Times New Roman" w:hAnsi="Times New Roman" w:cs="Times New Roman"/>
          <w:b/>
          <w:bCs/>
          <w:sz w:val="24"/>
          <w:szCs w:val="24"/>
        </w:rPr>
        <w:t>INSULIN USE IN CLINICAL PRACTICE: FITTER GUIDELINES</w:t>
      </w:r>
    </w:p>
    <w:p w14:paraId="2CEB87A3" w14:textId="77777777" w:rsidR="00BD3548" w:rsidRDefault="00BD3548">
      <w:pPr>
        <w:ind w:firstLineChars="750" w:firstLine="1800"/>
        <w:rPr>
          <w:rFonts w:ascii="Times New Roman" w:hAnsi="Times New Roman" w:cs="Times New Roman"/>
          <w:i/>
          <w:iCs/>
          <w:sz w:val="24"/>
          <w:szCs w:val="24"/>
        </w:rPr>
      </w:pPr>
    </w:p>
    <w:p w14:paraId="05C05E78" w14:textId="77777777" w:rsidR="00823A0D" w:rsidRPr="00F93096" w:rsidRDefault="00823A0D">
      <w:pPr>
        <w:rPr>
          <w:rFonts w:ascii="Times New Roman" w:hAnsi="Times New Roman" w:cs="Times New Roman"/>
          <w:i/>
          <w:iCs/>
          <w:sz w:val="24"/>
          <w:szCs w:val="24"/>
        </w:rPr>
      </w:pPr>
    </w:p>
    <w:p w14:paraId="3FF4C410" w14:textId="77777777" w:rsidR="00823A0D" w:rsidRPr="00F93096" w:rsidRDefault="00981F0C">
      <w:pPr>
        <w:rPr>
          <w:rFonts w:ascii="Times New Roman" w:hAnsi="Times New Roman" w:cs="Times New Roman"/>
          <w:i/>
          <w:iCs/>
          <w:sz w:val="24"/>
          <w:szCs w:val="24"/>
        </w:rPr>
      </w:pPr>
      <w:r w:rsidRPr="00F93096">
        <w:rPr>
          <w:rFonts w:ascii="Times New Roman" w:hAnsi="Times New Roman" w:cs="Times New Roman"/>
          <w:i/>
          <w:iCs/>
          <w:sz w:val="24"/>
          <w:szCs w:val="24"/>
        </w:rPr>
        <w:t xml:space="preserve">ABSTRACT </w:t>
      </w:r>
    </w:p>
    <w:p w14:paraId="2C126292" w14:textId="77777777" w:rsidR="00823A0D" w:rsidRPr="00F93096" w:rsidRDefault="00981F0C">
      <w:pPr>
        <w:pStyle w:val="NormalWeb"/>
      </w:pPr>
      <w:r w:rsidRPr="00F93096">
        <w:t xml:space="preserve">Insulin delivery methods play a pivotal role in the management of diabetes mellitus. This chapter provides an overview of various insulin delivery methods utilized in clinical </w:t>
      </w:r>
      <w:proofErr w:type="spellStart"/>
      <w:proofErr w:type="gramStart"/>
      <w:r w:rsidRPr="00F93096">
        <w:t>practice.Subcutaneous</w:t>
      </w:r>
      <w:proofErr w:type="spellEnd"/>
      <w:proofErr w:type="gramEnd"/>
      <w:r w:rsidRPr="00F93096">
        <w:t xml:space="preserve"> injections remain the cornerstone of insulin administration, offering flexibility with different insulin types—rapid-acting, short-acting, intermediate-acting, and long-</w:t>
      </w:r>
      <w:proofErr w:type="spellStart"/>
      <w:r w:rsidRPr="00F93096">
        <w:t>acting,tailored</w:t>
      </w:r>
      <w:proofErr w:type="spellEnd"/>
      <w:r w:rsidRPr="00F93096">
        <w:t xml:space="preserve"> to individual patient needs. Insulin pens provide a convenient alternative, offering prefilled cartridges or disposable units that simplify dosing and enhance patient </w:t>
      </w:r>
      <w:proofErr w:type="spellStart"/>
      <w:proofErr w:type="gramStart"/>
      <w:r w:rsidRPr="00F93096">
        <w:t>adherence.For</w:t>
      </w:r>
      <w:proofErr w:type="spellEnd"/>
      <w:proofErr w:type="gramEnd"/>
      <w:r w:rsidRPr="00F93096">
        <w:t xml:space="preserve"> patients requiring intensive insulin therapy, insulin pumps offer continuous subcutaneous infusion, delivering basal insulin throughout the day with bolus doses at meal times. These devices provide flexibility in dosing and lifestyle management, although they require regular monitoring and </w:t>
      </w:r>
      <w:proofErr w:type="spellStart"/>
      <w:proofErr w:type="gramStart"/>
      <w:r w:rsidRPr="00F93096">
        <w:t>maintenance.Implantable</w:t>
      </w:r>
      <w:proofErr w:type="spellEnd"/>
      <w:proofErr w:type="gramEnd"/>
      <w:r w:rsidRPr="00F93096">
        <w:t xml:space="preserve"> insulin pumps, though less common, provide continuous insulin infusion via surgically placed devices under the skin. . They enhance predictability and flexibility in insulin therapy, reducing the risk of hypo- and </w:t>
      </w:r>
      <w:proofErr w:type="spellStart"/>
      <w:proofErr w:type="gramStart"/>
      <w:r w:rsidRPr="00F93096">
        <w:t>hyperglycemia.Continuous</w:t>
      </w:r>
      <w:proofErr w:type="spellEnd"/>
      <w:proofErr w:type="gramEnd"/>
      <w:r w:rsidRPr="00F93096">
        <w:t xml:space="preserve"> glucose monitoring (CGM) systems complement insulin delivery methods by providing real-time glucose readings, facilitating personalized insulin adjustments based on glucose </w:t>
      </w:r>
      <w:proofErr w:type="spellStart"/>
      <w:r w:rsidRPr="00F93096">
        <w:t>trends.Selecting</w:t>
      </w:r>
      <w:proofErr w:type="spellEnd"/>
      <w:r w:rsidRPr="00F93096">
        <w:t xml:space="preserve"> the appropriate insulin delivery method is pivotal in diabetes management, considering patient preferences, lifestyle factors, and treatment goals. Tailored approaches ensure optimal glycemic control and improve quality of life for individuals with diabetes mellitus </w:t>
      </w:r>
    </w:p>
    <w:p w14:paraId="585C3CD3" w14:textId="77777777" w:rsidR="00823A0D" w:rsidRPr="00F93096" w:rsidRDefault="00823A0D">
      <w:pPr>
        <w:rPr>
          <w:rFonts w:ascii="Times New Roman" w:hAnsi="Times New Roman" w:cs="Times New Roman"/>
          <w:i/>
          <w:iCs/>
          <w:sz w:val="24"/>
          <w:szCs w:val="24"/>
        </w:rPr>
      </w:pPr>
    </w:p>
    <w:p w14:paraId="659656EC" w14:textId="77777777" w:rsidR="00823A0D" w:rsidRPr="00F93096" w:rsidRDefault="00823A0D">
      <w:pPr>
        <w:ind w:left="1440" w:firstLine="720"/>
        <w:rPr>
          <w:rFonts w:ascii="Times New Roman" w:hAnsi="Times New Roman" w:cs="Times New Roman"/>
          <w:sz w:val="24"/>
          <w:szCs w:val="24"/>
        </w:rPr>
      </w:pPr>
    </w:p>
    <w:p w14:paraId="539187A1" w14:textId="77777777" w:rsidR="00823A0D" w:rsidRDefault="00981F0C">
      <w:pPr>
        <w:pStyle w:val="NormalWeb"/>
      </w:pPr>
      <w:proofErr w:type="gramStart"/>
      <w:r w:rsidRPr="00F93096">
        <w:t>INTRODUCTION :</w:t>
      </w:r>
      <w:proofErr w:type="gramEnd"/>
      <w:r w:rsidRPr="00F93096">
        <w:t xml:space="preserve"> </w:t>
      </w:r>
    </w:p>
    <w:p w14:paraId="58170ACB" w14:textId="77777777" w:rsidR="00F2008C" w:rsidRDefault="00F2008C">
      <w:pPr>
        <w:pStyle w:val="NormalWeb"/>
        <w:rPr>
          <w:b/>
          <w:bCs/>
        </w:rPr>
      </w:pPr>
      <w:proofErr w:type="gramStart"/>
      <w:r w:rsidRPr="00F2008C">
        <w:rPr>
          <w:b/>
          <w:bCs/>
        </w:rPr>
        <w:t>“ Laughter</w:t>
      </w:r>
      <w:proofErr w:type="gramEnd"/>
      <w:r w:rsidRPr="00F2008C">
        <w:rPr>
          <w:b/>
          <w:bCs/>
        </w:rPr>
        <w:t xml:space="preserve"> is the best medicine -unless you are diabetic ,then insulin comes pretty high on the list “    </w:t>
      </w:r>
    </w:p>
    <w:p w14:paraId="790FE0C0" w14:textId="1FCB5F63" w:rsidR="00F2008C" w:rsidRPr="00F2008C" w:rsidRDefault="00F2008C">
      <w:pPr>
        <w:pStyle w:val="NormalWeb"/>
        <w:rPr>
          <w:b/>
          <w:bCs/>
        </w:rPr>
      </w:pPr>
      <w:r w:rsidRPr="00F2008C">
        <w:rPr>
          <w:b/>
          <w:bCs/>
        </w:rPr>
        <w:t xml:space="preserve"> -Jasper carrot</w:t>
      </w:r>
    </w:p>
    <w:p w14:paraId="110D1AE9" w14:textId="77777777" w:rsidR="00823A0D" w:rsidRPr="00F93096" w:rsidRDefault="00981F0C">
      <w:pPr>
        <w:pStyle w:val="NormalWeb"/>
      </w:pPr>
      <w:r w:rsidRPr="00F93096">
        <w:rPr>
          <w:rFonts w:eastAsia="SimSun"/>
        </w:rPr>
        <w:t>The opening discusses the crucial role of insulin in regulating cellular energy absorption and the metabolism of fats and proteins. Islet clusters produce this hormone, but when cells become less responsive to its signals, insulin resistance develops. In some cases, the immune system targets these islets, causing type 1 diabetes</w:t>
      </w:r>
      <w:r w:rsidRPr="00F93096">
        <w:rPr>
          <w:rFonts w:eastAsia="SimSun"/>
        </w:rPr>
        <w:fldChar w:fldCharType="begin"/>
      </w:r>
      <w:r w:rsidRPr="00F93096">
        <w:rPr>
          <w:rFonts w:eastAsia="SimSun"/>
        </w:rPr>
        <w:instrText xml:space="preserve"> ADDIN ZOTERO_ITEM CSL_CITATION {"citationID":"FQZu2ifS","properties":{"formattedCitation":"(1)","plainCitation":"(1)","noteIndex":0},"citationItems":[{"id":81,"uris":["http://zotero.org/users/local/gF7lYIrV/items/56YP44EH"],"itemData":{"id":81,"type":"article-journal","abstract":"BACKGROUND: It is unknown whether insulin therapy can delay or prevent diabetes in nondiabetic relatives of patients with diabetes.\nMETHODS: In a randomized, controlled, nonblinded clinical trial, we screened 84,228 first-degree and second-degree relatives of patients with diabetes for islet-cell antibodies; 3152 tested positive; 2103 of the 3152 underwent genetic, immunologic, and metabolic staging to quantify their risk; 372 of the 2103 had a projected five-year risk of more than 50 percent; 339 of the 372 (median age, 11.2 years) were randomly assigned to undergo either close observation or an intervention that consisted of low-dose subcutaneous ultralente insulin, administered twice daily for a total dose of 0.25 unit per kilogram of body weight per day, plus annual four-day continuous intravenous infusions of insulin. Oral glucose-tolerance tests were performed every six months. Median follow-up was 3.7 years. The primary end point was a diagnosis of diabetes.\nRESULTS: Diabetes was diagnosed in 69 subjects in the intervention group and 70 subjects in the observation group. The annualized rate of progression to diabetes was 15.1 percent in the intervention group and 14.6 percent in the observation group. The cumulative incidence of diabetes was similar in the two groups (relative risk in the intervention group as compared with the observation group, 0.96). Most subjects in whom diabetes developed were asymptomatic. Progression to diabetes occurred at a faster rate among subjects with abnormal base-line glucose tolerance (22 percent per year) than among those with normal base-line glucose tolerance (10 percent per year, P&lt;0.001). There were no episodes of severe hypoglycemia. The incidence of chemical hypoglycemia, assessed without ascertainment bias, was similar in the two groups.\nCONCLUSIONS: In persons at high risk for diabetes, insulin at the dosage used in this study does not delay or prevent type 1 diabetes.","container-title":"The New England Journal of Medicine","DOI":"10.1056/NEJMoa012350","ISSN":"1533-4406","issue":"22","journalAbbreviation":"N Engl J Med","language":"eng","note":"PMID: 12037147","page":"1685-1691","source":"PubMed","title":"Effects of insulin in relatives of patients with type 1 diabetes mellitus","volume":"346","author":[{"literal":"Diabetes Prevention Trial--Type 1 Diabetes Study Group"}],"issued":{"date-parts":[["2002",5,30]]}}}],"schema":"https://github.com/citation-style-language/schema/raw/master/csl-citation.json"} </w:instrText>
      </w:r>
      <w:r w:rsidRPr="00F93096">
        <w:rPr>
          <w:rFonts w:eastAsia="SimSun"/>
        </w:rPr>
        <w:fldChar w:fldCharType="separate"/>
      </w:r>
      <w:r w:rsidRPr="00F93096">
        <w:t>(1)</w:t>
      </w:r>
      <w:r w:rsidRPr="00F93096">
        <w:rPr>
          <w:rFonts w:eastAsia="SimSun"/>
        </w:rPr>
        <w:fldChar w:fldCharType="end"/>
      </w:r>
      <w:r w:rsidRPr="00F93096">
        <w:rPr>
          <w:rFonts w:eastAsia="SimSun"/>
        </w:rPr>
        <w:t xml:space="preserve"> by disrupting insulin production. Type 2 diabetes arises from a combination of insulin resistance and inadequate insulin production. Insulin injections can help offset insulin resistance, with various types available depending on the speed and duration of blood sugar control needed.</w:t>
      </w:r>
    </w:p>
    <w:p w14:paraId="3ECE13F1" w14:textId="77777777" w:rsidR="00823A0D" w:rsidRPr="00F93096" w:rsidRDefault="00981F0C">
      <w:pPr>
        <w:pStyle w:val="NormalWeb"/>
      </w:pPr>
      <w:r w:rsidRPr="00F93096">
        <w:lastRenderedPageBreak/>
        <w:t>Insulin offers superior control over HbA1c compared to other antidiabetic medications</w:t>
      </w:r>
      <w:r w:rsidRPr="00F93096">
        <w:fldChar w:fldCharType="begin"/>
      </w:r>
      <w:r w:rsidRPr="00F93096">
        <w:instrText xml:space="preserve"> ADDIN ZOTERO_ITEM CSL_CITATION {"citationID":"4WYDosNH","properties":{"formattedCitation":"(2)","plainCitation":"(2)","noteIndex":0},"citationItems":[{"id":102,"uris":["http://zotero.org/users/local/gF7lYIrV/items/RG7A2MEC"],"itemData":{"id":102,"type":"article-journal","abstract":"Health-care professionals in India frequently manage injection or infusion therapies in persons with diabetes (PWD). Patients taking insulin should know the importance of proper needle size, correct injection process, complication avoidance, and all other aspects of injection technique from the first visit onward. To assist health-care practitioners in their clinical practice, Forum for Injection Technique and Therapy Expert Recommendations, India, has updated the practical advice and made it more comprehensive evidence-based best practice information. Adherence to these updated recommendations, learning, and translating them into clinical practice should lead to effective therapies, improved outcomes, and lower costs for PWD.","container-title":"Indian Journal of Endocrinology and Metabolism","DOI":"10.4103/ijem.IJEM_97_17","ISSN":"2230-8210","issue":"4","journalAbbreviation":"Indian J Endocrinol Metab","language":"eng","note":"PMID: 28670547\nPMCID: PMC5477451","page":"600-617","source":"PubMed","title":"Forum for Injection Technique and Therapy Expert Recommendations, India: The Indian Recommendations for Best Practice in Insulin Injection Technique, 2017","title-short":"Forum for Injection Technique and Therapy Expert Recommendations, India","volume":"21","author":[{"family":"Tandon","given":"Nikhil"},{"family":"Kalra","given":"Sanjay"},{"family":"Balhara","given":"Yatan Pal Singh"},{"family":"Baruah","given":"Manash P."},{"family":"Chadha","given":"Manoj"},{"family":"Chandalia","given":"Hemraj B."},{"family":"Prasanna Kumar","given":"K. M."},{"family":"Madhu","given":"S. V."},{"family":"Mithal","given":"Ambrish"},{"family":"Sahay","given":"Rakesh"},{"family":"Shukla","given":"Rishi"},{"family":"Sundaram","given":"Annamalai"},{"family":"Unnikrishnan","given":"Ambika G."},{"family":"Saboo","given":"Banshi"},{"family":"Gupta","given":"Vandita"},{"family":"Chowdhury","given":"Subhankar"},{"family":"Kesavadev","given":"Jothydev"},{"family":"Wangnoo","given":"Subhash K."}],"issued":{"date-parts":[["2017"]]}}}],"schema":"https://github.com/citation-style-language/schema/raw/master/csl-citation.json"} </w:instrText>
      </w:r>
      <w:r w:rsidRPr="00F93096">
        <w:fldChar w:fldCharType="separate"/>
      </w:r>
      <w:r w:rsidRPr="00F93096">
        <w:t>(2)</w:t>
      </w:r>
      <w:r w:rsidRPr="00F93096">
        <w:fldChar w:fldCharType="end"/>
      </w:r>
      <w:r w:rsidRPr="00F93096">
        <w:t xml:space="preserve"> Health-care professionals in India frequently manage injection or infusion therapies in persons with diabetes (PWD). Patients taking insulin should know the importance of proper needle size, correct injection process, complication avoidance, and all other aspects of injection technique from the first visit onward. To assist health-care practitioners in their clinical practice, Forum for Injection Technique and Therapy Expert Recommendations, India</w:t>
      </w:r>
      <w:r w:rsidRPr="00F93096">
        <w:fldChar w:fldCharType="begin"/>
      </w:r>
      <w:r w:rsidRPr="00F93096">
        <w:instrText xml:space="preserve"> ADDIN ZOTERO_ITEM CSL_CITATION {"citationID":"dgUpEPOE","properties":{"formattedCitation":"(2)","plainCitation":"(2)","noteIndex":0},"citationItems":[{"id":102,"uris":["http://zotero.org/users/local/gF7lYIrV/items/RG7A2MEC"],"itemData":{"id":102,"type":"article-journal","abstract":"Health-care professionals in India frequently manage injection or infusion therapies in persons with diabetes (PWD). Patients taking insulin should know the importance of proper needle size, correct injection process, complication avoidance, and all other aspects of injection technique from the first visit onward. To assist health-care practitioners in their clinical practice, Forum for Injection Technique and Therapy Expert Recommendations, India, has updated the practical advice and made it more comprehensive evidence-based best practice information. Adherence to these updated recommendations, learning, and translating them into clinical practice should lead to effective therapies, improved outcomes, and lower costs for PWD.","container-title":"Indian Journal of Endocrinology and Metabolism","DOI":"10.4103/ijem.IJEM_97_17","ISSN":"2230-8210","issue":"4","journalAbbreviation":"Indian J Endocrinol Metab","language":"eng","note":"PMID: 28670547\nPMCID: PMC5477451","page":"600-617","source":"PubMed","title":"Forum for Injection Technique and Therapy Expert Recommendations, India: The Indian Recommendations for Best Practice in Insulin Injection Technique, 2017","title-short":"Forum for Injection Technique and Therapy Expert Recommendations, India","volume":"21","author":[{"family":"Tandon","given":"Nikhil"},{"family":"Kalra","given":"Sanjay"},{"family":"Balhara","given":"Yatan Pal Singh"},{"family":"Baruah","given":"Manash P."},{"family":"Chadha","given":"Manoj"},{"family":"Chandalia","given":"Hemraj B."},{"family":"Prasanna Kumar","given":"K. M."},{"family":"Madhu","given":"S. V."},{"family":"Mithal","given":"Ambrish"},{"family":"Sahay","given":"Rakesh"},{"family":"Shukla","given":"Rishi"},{"family":"Sundaram","given":"Annamalai"},{"family":"Unnikrishnan","given":"Ambika G."},{"family":"Saboo","given":"Banshi"},{"family":"Gupta","given":"Vandita"},{"family":"Chowdhury","given":"Subhankar"},{"family":"Kesavadev","given":"Jothydev"},{"family":"Wangnoo","given":"Subhash K."}],"issued":{"date-parts":[["2017"]]}}}],"schema":"https://github.com/citation-style-language/schema/raw/master/csl-citation.json"} </w:instrText>
      </w:r>
      <w:r w:rsidRPr="00F93096">
        <w:fldChar w:fldCharType="separate"/>
      </w:r>
      <w:r w:rsidRPr="00F93096">
        <w:t>(2)</w:t>
      </w:r>
      <w:r w:rsidRPr="00F93096">
        <w:fldChar w:fldCharType="end"/>
      </w:r>
      <w:r w:rsidRPr="00F93096">
        <w:t xml:space="preserve">, has updated the practical advice and made it more comprehensive evidence-based best practice information. Adherence to these updated recommendations, learning, and translating them into clinical practice should lead to effective therapies, improved outcomes, and lower </w:t>
      </w:r>
      <w:proofErr w:type="gramStart"/>
      <w:r w:rsidRPr="00F93096">
        <w:t>costs .</w:t>
      </w:r>
      <w:proofErr w:type="gramEnd"/>
      <w:r w:rsidRPr="00F93096">
        <w:t xml:space="preserve"> Early initiation of insulin therapy has been observed to enhance beta cell function</w:t>
      </w:r>
      <w:r w:rsidRPr="00F93096">
        <w:fldChar w:fldCharType="begin"/>
      </w:r>
      <w:r w:rsidRPr="00F93096">
        <w:instrText xml:space="preserve"> ADDIN ZOTERO_ITEM CSL_CITATION {"citationID":"G79XB3GE","properties":{"formattedCitation":"(3)","plainCitation":"(3)","noteIndex":0},"citationItems":[{"id":86,"uris":["http://zotero.org/users/local/gF7lYIrV/items/5IXX4I3Z"],"itemData":{"id":86,"type":"article-journal","container-title":"Diabetes Care","DOI":"10.2337/dc09-S318","ISSN":"1935-5548","issue":"Suppl 2","journalAbbreviation":"Diabetes Care","language":"eng","note":"PMID: 19875560\nPMCID: PMC2811456","page":"S253-259","source":"PubMed","title":"Insulin therapy for type 2 diabetes","volume":"32 Suppl 2","author":[{"family":"Swinnen","given":"Sanne G."},{"family":"Hoekstra","given":"Joost B."},{"family":"DeVries","given":"J. Hans"}],"issued":{"date-parts":[["2009",11]]}}}],"schema":"https://github.com/citation-style-language/schema/raw/master/csl-citation.json"} </w:instrText>
      </w:r>
      <w:r w:rsidRPr="00F93096">
        <w:fldChar w:fldCharType="separate"/>
      </w:r>
      <w:r w:rsidRPr="00F93096">
        <w:t>(3)</w:t>
      </w:r>
      <w:r w:rsidRPr="00F93096">
        <w:fldChar w:fldCharType="end"/>
      </w:r>
      <w:r w:rsidRPr="00F93096">
        <w:t>. Short-term insulin treatment, when introduced early in the disease progression, demonstrates long-lasting effects. The injection technique is pivotal for the success of insulin therapy.</w:t>
      </w:r>
    </w:p>
    <w:p w14:paraId="02DFE058" w14:textId="77777777" w:rsidR="00823A0D" w:rsidRPr="00F93096" w:rsidRDefault="00981F0C">
      <w:pPr>
        <w:pStyle w:val="NormalWeb"/>
      </w:pPr>
      <w:r w:rsidRPr="00F93096">
        <w:t xml:space="preserve">The Worldwide Injection Technique Questionnaire (ITQ) </w:t>
      </w:r>
      <w:r w:rsidRPr="00F93096">
        <w:fldChar w:fldCharType="begin"/>
      </w:r>
      <w:r w:rsidRPr="00F93096">
        <w:instrText xml:space="preserve"> ADDIN ZOTERO_ITEM CSL_CITATION {"citationID":"9LlPzmTJ","properties":{"formattedCitation":"(4)","plainCitation":"(4)","noteIndex":0},"citationItems":[{"id":109,"uris":["http://zotero.org/users/local/gF7lYIrV/items/MEMUI2YT"],"itemData":{"id":109,"type":"article-journal","abstract":"From February 1, 2014, through June 30, 2015, 13,289 insulin-injecting patients from 423 centers in 42 countries took part in one of the largest surveys ever performed in diabetes. The goal was to assess patient characteristics, as well as historical and practical aspects of their injection technique. Results show that 4- and 8-mm needle lengths are each used by nearly 30% of patients and 5- and 6-mm needles each by approximately 20%. Higher consumption of insulin (as measured by total daily dose) is associated with having lipohypertrophy (LH), injecting into LH, leakage from the injection site, and failing to reconstitute cloudy insulin. Glycated hemoglobin values are, on average, 0.5% higher in patients with LH and are significantly higher with incorrect rotation of sites and with needle reuse. Glycated hemoglobin values are lower in patients who distribute their injections over larger injection areas and whose sites are inspected routinely. The frequencies of unexpected hypoglycemia and glucose variability are significantly higher in those with LH, those injecting into LH, those who incorrectly rotate sites, and those who reuse needles. Needles associated with diabetes treatment are the most commonly used medical sharps in the world. However, correct disposal of sharps after use is critically suboptimal. Many used sharps end up in public trash and constitute a major accidental needlestick risk. Use of these data should stimulate renewed interest in and commitment to optimizing injection practices in patients with diabetes.","container-title":"Mayo Clinic Proceedings","DOI":"10.1016/j.mayocp.2016.06.011","ISSN":"1942-5546","issue":"9","journalAbbreviation":"Mayo Clin Proc","language":"eng","note":"PMID: 27594185","page":"1212-1223","source":"PubMed","title":"Worldwide Injection Technique Questionnaire Study: Population Parameters and Injection Practices","title-short":"Worldwide Injection Technique Questionnaire Study","volume":"91","author":[{"family":"Frid","given":"Anders H."},{"family":"Hirsch","given":"Laurence J."},{"family":"Menchior","given":"Astrid R."},{"family":"Morel","given":"Didier R."},{"family":"Strauss","given":"Kenneth W."}],"issued":{"date-parts":[["2016",9]]}}}],"schema":"https://github.com/citation-style-language/schema/raw/master/csl-citation.json"} </w:instrText>
      </w:r>
      <w:r w:rsidRPr="00F93096">
        <w:fldChar w:fldCharType="separate"/>
      </w:r>
      <w:r w:rsidRPr="00F93096">
        <w:t>(4)</w:t>
      </w:r>
      <w:r w:rsidRPr="00F93096">
        <w:fldChar w:fldCharType="end"/>
      </w:r>
      <w:r w:rsidRPr="00F93096">
        <w:t xml:space="preserve">conducted from February 1, 2014, to June 30, 2015, represents the largest survey in diabetes. It involved 13,289 insulin-using patients from 423 centers across 41 countries, with India contributing 1011 participants from 20 centers. In the Indian context, nearly 40% of participants utilized </w:t>
      </w:r>
      <w:proofErr w:type="gramStart"/>
      <w:r w:rsidRPr="00F93096">
        <w:t>4 and 5 mm</w:t>
      </w:r>
      <w:proofErr w:type="gramEnd"/>
      <w:r w:rsidRPr="00F93096">
        <w:t xml:space="preserve"> needle lengths, while approximately 18% used 8 mm needles. Moreover, 80% of participants reused needles more than three times.</w:t>
      </w:r>
    </w:p>
    <w:p w14:paraId="61AE30A3" w14:textId="77777777" w:rsidR="00823A0D" w:rsidRPr="00F93096" w:rsidRDefault="00981F0C">
      <w:pPr>
        <w:pStyle w:val="NormalWeb"/>
      </w:pPr>
      <w:proofErr w:type="spellStart"/>
      <w:r w:rsidRPr="00F93096">
        <w:t>Lipohypertrophy</w:t>
      </w:r>
      <w:proofErr w:type="spellEnd"/>
      <w:r w:rsidRPr="00F93096">
        <w:t xml:space="preserve"> (LH)</w:t>
      </w:r>
      <w:r w:rsidRPr="00F93096">
        <w:fldChar w:fldCharType="begin"/>
      </w:r>
      <w:r w:rsidRPr="00F93096">
        <w:instrText xml:space="preserve"> ADDIN ZOTERO_ITEM CSL_CITATION {"citationID":"5HsmqVuN","properties":{"formattedCitation":"(5)","plainCitation":"(5)","noteIndex":0},"citationItems":[{"id":105,"uris":["http://zotero.org/users/local/gF7lYIrV/items/BUXEXZUV"],"itemData":{"id":105,"type":"article-journal","abstract":"Lipohypertrophy is an important insulin injection site reaction, which has clinically significant sequelae, including a greater risk of glycaemic variability and higher insulin dose requirement. This article describes the prevention of lipohypertrophy, using the concept of levels of prevention. It enumerates methods of primordial, primary, secondary, tertiary and quaternary prevention of lipohypertrophy. Focus on patient education, site rotation, avoidance of needle reuse, and dose titration when shifting from injection in lipohypertrophic lesions to normal subcutaneous tissue, helps minimize the development and impact of lipohypertrophy.","container-title":"JPMA. The Journal of the Pakistan Medical Association","ISSN":"0030-9982","issue":"7","journalAbbreviation":"J Pak Med Assoc","language":"eng","note":"PMID: 27427150","page":"910-911","source":"PubMed","title":"Prevention of lipohypertrophy","volume":"66","author":[{"family":"Kalra","given":"Sanjay"},{"family":"Kumar","given":"Arun"},{"family":"Gupta","given":"Yashdeep"}],"issued":{"date-parts":[["2016",7]]}}}],"schema":"https://github.com/citation-style-language/schema/raw/master/csl-citation.json"} </w:instrText>
      </w:r>
      <w:r w:rsidRPr="00F93096">
        <w:fldChar w:fldCharType="separate"/>
      </w:r>
      <w:r w:rsidRPr="00F93096">
        <w:t>(5)</w:t>
      </w:r>
      <w:r w:rsidRPr="00F93096">
        <w:fldChar w:fldCharType="end"/>
      </w:r>
      <w:r w:rsidRPr="00F93096">
        <w:t xml:space="preserve"> emerged as the most common complication, self-reported by 26% of participants and identified by healthcare professionals in 22%. Patients with LH exhibited higher HbA1c levels and a heightened frequency of unexpected hypoglycemia and glucose variability. Incorrect rotation of injection sites and needle reuse were significantly associated with elevated HbA1c levels. Additionally, the majority of diabetic sharps ended up in public trash, posing a high risk for needle-stick injuries (NSI).</w:t>
      </w:r>
    </w:p>
    <w:p w14:paraId="728CBE8C" w14:textId="77777777" w:rsidR="00823A0D" w:rsidRPr="00F93096" w:rsidRDefault="00981F0C">
      <w:pPr>
        <w:pStyle w:val="Style6"/>
        <w:rPr>
          <w:rFonts w:ascii="Times New Roman" w:hAnsi="Times New Roman" w:cs="Times New Roman"/>
          <w:sz w:val="24"/>
          <w:szCs w:val="24"/>
        </w:rPr>
      </w:pPr>
      <w:r w:rsidRPr="00F93096">
        <w:rPr>
          <w:rFonts w:ascii="Times New Roman" w:hAnsi="Times New Roman" w:cs="Times New Roman"/>
          <w:sz w:val="24"/>
          <w:szCs w:val="24"/>
        </w:rPr>
        <w:t>窗体顶端</w:t>
      </w:r>
    </w:p>
    <w:p w14:paraId="1C76EFD5" w14:textId="77777777" w:rsidR="00823A0D" w:rsidRPr="00F93096" w:rsidRDefault="00981F0C">
      <w:pPr>
        <w:pStyle w:val="Style7"/>
        <w:rPr>
          <w:rFonts w:ascii="Times New Roman" w:hAnsi="Times New Roman" w:cs="Times New Roman"/>
          <w:sz w:val="24"/>
          <w:szCs w:val="24"/>
        </w:rPr>
      </w:pPr>
      <w:r w:rsidRPr="00F93096">
        <w:rPr>
          <w:rFonts w:ascii="Times New Roman" w:hAnsi="Times New Roman" w:cs="Times New Roman"/>
          <w:sz w:val="24"/>
          <w:szCs w:val="24"/>
        </w:rPr>
        <w:t>窗体底端</w:t>
      </w:r>
    </w:p>
    <w:p w14:paraId="19DB724F" w14:textId="77777777" w:rsidR="00823A0D" w:rsidRPr="00F93096" w:rsidRDefault="00981F0C">
      <w:pPr>
        <w:pStyle w:val="NormalWeb"/>
        <w:rPr>
          <w:rFonts w:eastAsia="SimSun"/>
        </w:rPr>
      </w:pPr>
      <w:r w:rsidRPr="00F93096">
        <w:rPr>
          <w:rFonts w:eastAsia="SimSun"/>
        </w:rPr>
        <w:t xml:space="preserve">The method of administering injections is crucial for the effective therapeutic outcome of insulin. The initial human insulin injection was accompanied by a severe reaction. Incorrect utilization of injection devices can result in adverse effects such as pain, bleeding, bruising, and the needle breaking or becoming lodged under the skin, leading to inaccurate dosages and potentially causing </w:t>
      </w:r>
      <w:proofErr w:type="spellStart"/>
      <w:r w:rsidRPr="00F93096">
        <w:rPr>
          <w:rFonts w:eastAsia="SimSun"/>
        </w:rPr>
        <w:t>lipohypertrophy</w:t>
      </w:r>
      <w:proofErr w:type="spellEnd"/>
      <w:r w:rsidRPr="00F93096">
        <w:rPr>
          <w:rFonts w:eastAsia="SimSun"/>
        </w:rPr>
        <w:t>.</w:t>
      </w:r>
    </w:p>
    <w:p w14:paraId="12BCEF75" w14:textId="77777777" w:rsidR="00823A0D" w:rsidRPr="00F93096" w:rsidRDefault="00823A0D">
      <w:pPr>
        <w:pStyle w:val="NormalWeb"/>
        <w:rPr>
          <w:rFonts w:eastAsia="SimSun"/>
        </w:rPr>
      </w:pPr>
    </w:p>
    <w:p w14:paraId="753B1C2A" w14:textId="77777777" w:rsidR="00823A0D" w:rsidRPr="00F93096" w:rsidRDefault="00981F0C">
      <w:pPr>
        <w:pStyle w:val="NormalWeb"/>
        <w:rPr>
          <w:rFonts w:eastAsia="SimSun"/>
        </w:rPr>
      </w:pPr>
      <w:r w:rsidRPr="00F93096">
        <w:rPr>
          <w:rFonts w:eastAsia="SimSun"/>
        </w:rPr>
        <w:t xml:space="preserve">          </w:t>
      </w:r>
    </w:p>
    <w:p w14:paraId="77B46E17" w14:textId="77777777" w:rsidR="00823A0D" w:rsidRPr="00F93096" w:rsidRDefault="00981F0C">
      <w:pPr>
        <w:pStyle w:val="NormalWeb"/>
      </w:pPr>
      <w:r w:rsidRPr="00F93096">
        <w:rPr>
          <w:noProof/>
        </w:rPr>
        <w:drawing>
          <wp:inline distT="0" distB="0" distL="114300" distR="114300" wp14:anchorId="193B10C7" wp14:editId="09FF649C">
            <wp:extent cx="4511040" cy="1609090"/>
            <wp:effectExtent l="0" t="0" r="0" b="635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pic:cNvPicPr>
                      <a:picLocks noChangeAspect="1" noChangeArrowheads="1"/>
                    </pic:cNvPicPr>
                  </pic:nvPicPr>
                  <pic:blipFill>
                    <a:blip r:embed="rId7">
                      <a:extLst>
                        <a:ext uri="{28A0092B-C50C-407E-A947-70E740481C1C}">
                          <a14:useLocalDpi xmlns:a14="http://schemas.microsoft.com/office/drawing/2010/main" val="0"/>
                        </a:ext>
                      </a:extLst>
                    </a:blip>
                    <a:srcRect l="20545" t="29622" r="18506" b="30849"/>
                    <a:stretch>
                      <a:fillRect/>
                    </a:stretch>
                  </pic:blipFill>
                  <pic:spPr>
                    <a:xfrm>
                      <a:off x="0" y="0"/>
                      <a:ext cx="4511040" cy="1609090"/>
                    </a:xfrm>
                    <a:prstGeom prst="rect">
                      <a:avLst/>
                    </a:prstGeom>
                    <a:noFill/>
                    <a:ln>
                      <a:noFill/>
                    </a:ln>
                    <a:effectLst/>
                  </pic:spPr>
                </pic:pic>
              </a:graphicData>
            </a:graphic>
          </wp:inline>
        </w:drawing>
      </w:r>
    </w:p>
    <w:p w14:paraId="5FF06BDA" w14:textId="77777777" w:rsidR="00823A0D" w:rsidRPr="00F93096" w:rsidRDefault="00981F0C">
      <w:pPr>
        <w:pStyle w:val="NormalWeb"/>
      </w:pPr>
      <w:r w:rsidRPr="00F93096">
        <w:lastRenderedPageBreak/>
        <w:t xml:space="preserve">      Fig 1 </w:t>
      </w:r>
      <w:proofErr w:type="gramStart"/>
      <w:r w:rsidRPr="00F93096">
        <w:t>represent</w:t>
      </w:r>
      <w:proofErr w:type="gramEnd"/>
      <w:r w:rsidRPr="00F93096">
        <w:t xml:space="preserve"> what need to be educated in diabetic population on method of insulin injection </w:t>
      </w:r>
    </w:p>
    <w:p w14:paraId="25668202" w14:textId="77777777" w:rsidR="00823A0D" w:rsidRPr="00F93096" w:rsidRDefault="00823A0D">
      <w:pPr>
        <w:pStyle w:val="NormalWeb"/>
        <w:rPr>
          <w:rFonts w:eastAsia="SimSun"/>
        </w:rPr>
      </w:pPr>
    </w:p>
    <w:p w14:paraId="68964B35" w14:textId="77777777" w:rsidR="00823A0D" w:rsidRPr="00F93096" w:rsidRDefault="00981F0C">
      <w:pPr>
        <w:pStyle w:val="NormalWeb"/>
        <w:rPr>
          <w:rFonts w:eastAsia="SimSun"/>
        </w:rPr>
      </w:pPr>
      <w:r w:rsidRPr="00F93096">
        <w:rPr>
          <w:rFonts w:eastAsia="SimSun"/>
        </w:rPr>
        <w:t>FITTER India aims to advance evidence-based clinical guidelines, safety protocols, and self-management strategies for diabetes treatments involving injections and infusions. These efforts are geared towards enhancing health outcomes, promoting well-being, reducing healthcare expenses, and alleviating the burden on healthcare providers and society. FITTER, or the "Forum for Injection Technique and Therapy Expert Recommendations," pertains to the 2017 initiative</w:t>
      </w:r>
      <w:r w:rsidRPr="00F93096">
        <w:rPr>
          <w:rFonts w:eastAsia="SimSun"/>
        </w:rPr>
        <w:fldChar w:fldCharType="begin"/>
      </w:r>
      <w:r w:rsidRPr="00F93096">
        <w:rPr>
          <w:rFonts w:eastAsia="SimSun"/>
        </w:rPr>
        <w:instrText xml:space="preserve"> ADDIN ZOTERO_ITEM CSL_CITATION {"citationID":"Fv8kNzLY","properties":{"formattedCitation":"(2)","plainCitation":"(2)","noteIndex":0},"citationItems":[{"id":102,"uris":["http://zotero.org/users/local/gF7lYIrV/items/RG7A2MEC"],"itemData":{"id":102,"type":"article-journal","abstract":"Health-care professionals in India frequently manage injection or infusion therapies in persons with diabetes (PWD). Patients taking insulin should know the importance of proper needle size, correct injection process, complication avoidance, and all other aspects of injection technique from the first visit onward. To assist health-care practitioners in their clinical practice, Forum for Injection Technique and Therapy Expert Recommendations, India, has updated the practical advice and made it more comprehensive evidence-based best practice information. Adherence to these updated recommendations, learning, and translating them into clinical practice should lead to effective therapies, improved outcomes, and lower costs for PWD.","container-title":"Indian Journal of Endocrinology and Metabolism","DOI":"10.4103/ijem.IJEM_97_17","ISSN":"2230-8210","issue":"4","journalAbbreviation":"Indian J Endocrinol Metab","language":"eng","note":"PMID: 28670547\nPMCID: PMC5477451","page":"600-617","source":"PubMed","title":"Forum for Injection Technique and Therapy Expert Recommendations, India: The Indian Recommendations for Best Practice in Insulin Injection Technique, 2017","title-short":"Forum for Injection Technique and Therapy Expert Recommendations, India","volume":"21","author":[{"family":"Tandon","given":"Nikhil"},{"family":"Kalra","given":"Sanjay"},{"family":"Balhara","given":"Yatan Pal Singh"},{"family":"Baruah","given":"Manash P."},{"family":"Chadha","given":"Manoj"},{"family":"Chandalia","given":"Hemraj B."},{"family":"Prasanna Kumar","given":"K. M."},{"family":"Madhu","given":"S. V."},{"family":"Mithal","given":"Ambrish"},{"family":"Sahay","given":"Rakesh"},{"family":"Shukla","given":"Rishi"},{"family":"Sundaram","given":"Annamalai"},{"family":"Unnikrishnan","given":"Ambika G."},{"family":"Saboo","given":"Banshi"},{"family":"Gupta","given":"Vandita"},{"family":"Chowdhury","given":"Subhankar"},{"family":"Kesavadev","given":"Jothydev"},{"family":"Wangnoo","given":"Subhash K."}],"issued":{"date-parts":[["2017"]]}}}],"schema":"https://github.com/citation-style-language/schema/raw/master/csl-citation.json"} </w:instrText>
      </w:r>
      <w:r w:rsidRPr="00F93096">
        <w:rPr>
          <w:rFonts w:eastAsia="SimSun"/>
        </w:rPr>
        <w:fldChar w:fldCharType="separate"/>
      </w:r>
      <w:r w:rsidRPr="00F93096">
        <w:t>(2)</w:t>
      </w:r>
      <w:r w:rsidRPr="00F93096">
        <w:rPr>
          <w:rFonts w:eastAsia="SimSun"/>
        </w:rPr>
        <w:fldChar w:fldCharType="end"/>
      </w:r>
      <w:r w:rsidRPr="00F93096">
        <w:rPr>
          <w:rFonts w:eastAsia="SimSun"/>
        </w:rPr>
        <w:t xml:space="preserve"> in India. It involved a systematic literature review of peer-reviewed studies and publications on insulin injections and infusions from 2008 to 2015. An international panel of experts convened over an 18-month period to analyze this literature and develop recommendations. These draft recommendations were then reviewed by 183 experts from 54 countries during the FITTER workshop in October 2015, with an additional 15,000 participants joining virtually.</w:t>
      </w:r>
    </w:p>
    <w:p w14:paraId="68D03134" w14:textId="77777777" w:rsidR="00823A0D" w:rsidRPr="00F93096" w:rsidRDefault="00823A0D">
      <w:pPr>
        <w:pStyle w:val="NormalWeb"/>
        <w:rPr>
          <w:rFonts w:eastAsia="SimSun"/>
        </w:rPr>
      </w:pPr>
    </w:p>
    <w:p w14:paraId="15FC88E3" w14:textId="77777777" w:rsidR="00823A0D" w:rsidRPr="00F93096" w:rsidRDefault="00981F0C">
      <w:pPr>
        <w:pStyle w:val="NormalWeb"/>
      </w:pPr>
      <w:r w:rsidRPr="00F93096">
        <w:rPr>
          <w:noProof/>
        </w:rPr>
        <w:drawing>
          <wp:inline distT="0" distB="0" distL="114300" distR="114300" wp14:anchorId="25C35EA2" wp14:editId="53123BE6">
            <wp:extent cx="3819525" cy="1784350"/>
            <wp:effectExtent l="0" t="0" r="5715" b="13970"/>
            <wp:docPr id="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8"/>
                    <a:stretch>
                      <a:fillRect/>
                    </a:stretch>
                  </pic:blipFill>
                  <pic:spPr>
                    <a:xfrm>
                      <a:off x="0" y="0"/>
                      <a:ext cx="3819525" cy="1784350"/>
                    </a:xfrm>
                    <a:prstGeom prst="rect">
                      <a:avLst/>
                    </a:prstGeom>
                  </pic:spPr>
                </pic:pic>
              </a:graphicData>
            </a:graphic>
          </wp:inline>
        </w:drawing>
      </w:r>
    </w:p>
    <w:p w14:paraId="141C1CA6" w14:textId="77777777" w:rsidR="00823A0D" w:rsidRPr="00F93096" w:rsidRDefault="00981F0C">
      <w:pPr>
        <w:pStyle w:val="NormalWeb"/>
      </w:pPr>
      <w:r w:rsidRPr="00F93096">
        <w:t xml:space="preserve">  Fig 2 represents adverse effects of improper or reuse of injection devices </w:t>
      </w:r>
    </w:p>
    <w:p w14:paraId="1583B7EA" w14:textId="77777777" w:rsidR="00823A0D" w:rsidRPr="00F93096" w:rsidRDefault="00823A0D">
      <w:pPr>
        <w:pStyle w:val="NormalWeb"/>
      </w:pPr>
    </w:p>
    <w:p w14:paraId="79335AE7" w14:textId="77777777" w:rsidR="00823A0D" w:rsidRPr="00F93096" w:rsidRDefault="00981F0C">
      <w:pPr>
        <w:pStyle w:val="NormalWeb"/>
      </w:pPr>
      <w:r w:rsidRPr="00F93096">
        <w:t>When a physician recommends insulin therapy to a patient, the patient may decline due to feelings of distress, anxiety, frustration, fear of needles, the perception of lifelong dependency on insulin, fear of weight gain, low self-esteem, and concerns about interference with their quality of life. Effective patient counseling is essential in this context, aiming to facilitate decision-making with the active involvement of both the patient and their caregiver, as appropriate. Insulin can be administered using either syringes or insulin pens. While syringes are the primary injection device used in India, there is ongoing debate regarding the safest and most effective method of insulin delivery. For individuals new to insulin therapy, pens are often preferred due to their ease of use and teaching.</w:t>
      </w:r>
    </w:p>
    <w:p w14:paraId="42335A63" w14:textId="77777777" w:rsidR="00823A0D" w:rsidRPr="00F93096" w:rsidRDefault="00823A0D">
      <w:pPr>
        <w:pStyle w:val="NormalWeb"/>
      </w:pPr>
    </w:p>
    <w:p w14:paraId="471F5537" w14:textId="77777777" w:rsidR="00823A0D" w:rsidRPr="00F93096" w:rsidRDefault="00981F0C">
      <w:pPr>
        <w:pStyle w:val="NormalWeb"/>
      </w:pPr>
      <w:r w:rsidRPr="00F93096">
        <w:lastRenderedPageBreak/>
        <w:t xml:space="preserve">Table 1 represent compares insulin pen </w:t>
      </w:r>
      <w:proofErr w:type="gramStart"/>
      <w:r w:rsidRPr="00F93096">
        <w:t>vs  insulin</w:t>
      </w:r>
      <w:proofErr w:type="gramEnd"/>
      <w:r w:rsidRPr="00F93096">
        <w:t xml:space="preserve"> syringe as method of insulin </w:t>
      </w:r>
      <w:proofErr w:type="spellStart"/>
      <w:r w:rsidRPr="00F93096">
        <w:t>delievery</w:t>
      </w:r>
      <w:proofErr w:type="spellEnd"/>
    </w:p>
    <w:tbl>
      <w:tblPr>
        <w:tblW w:w="8224" w:type="dxa"/>
        <w:tblCellMar>
          <w:left w:w="0" w:type="dxa"/>
          <w:right w:w="0" w:type="dxa"/>
        </w:tblCellMar>
        <w:tblLook w:val="04A0" w:firstRow="1" w:lastRow="0" w:firstColumn="1" w:lastColumn="0" w:noHBand="0" w:noVBand="1"/>
      </w:tblPr>
      <w:tblGrid>
        <w:gridCol w:w="4060"/>
        <w:gridCol w:w="5295"/>
      </w:tblGrid>
      <w:tr w:rsidR="00823A0D" w:rsidRPr="00F93096" w14:paraId="58E8728F" w14:textId="77777777">
        <w:trPr>
          <w:trHeight w:val="514"/>
        </w:trPr>
        <w:tc>
          <w:tcPr>
            <w:tcW w:w="3639" w:type="dxa"/>
            <w:tcBorders>
              <w:top w:val="single" w:sz="4" w:space="0" w:color="5B9BD5"/>
              <w:left w:val="single" w:sz="4" w:space="0" w:color="5B9BD5"/>
              <w:bottom w:val="single" w:sz="4" w:space="0" w:color="5B9BD5"/>
            </w:tcBorders>
            <w:shd w:val="clear" w:color="auto" w:fill="5B9BD5"/>
            <w:tcMar>
              <w:top w:w="72" w:type="dxa"/>
              <w:left w:w="144" w:type="dxa"/>
              <w:bottom w:w="72" w:type="dxa"/>
              <w:right w:w="144" w:type="dxa"/>
            </w:tcMar>
          </w:tcPr>
          <w:p w14:paraId="1815033D" w14:textId="77777777" w:rsidR="00823A0D" w:rsidRPr="00F93096" w:rsidRDefault="00981F0C">
            <w:pPr>
              <w:pStyle w:val="NormalWeb"/>
            </w:pPr>
            <w:r w:rsidRPr="00F93096">
              <w:rPr>
                <w:b/>
                <w:bCs/>
                <w:color w:val="FFFFFF"/>
              </w:rPr>
              <w:t>Insulin Pen</w:t>
            </w:r>
          </w:p>
        </w:tc>
        <w:tc>
          <w:tcPr>
            <w:tcW w:w="4585" w:type="dxa"/>
            <w:tcBorders>
              <w:top w:val="single" w:sz="4" w:space="0" w:color="5B9BD5"/>
              <w:left w:val="single" w:sz="4" w:space="0" w:color="5B9BD5"/>
              <w:bottom w:val="single" w:sz="4" w:space="0" w:color="5B9BD5"/>
            </w:tcBorders>
            <w:shd w:val="clear" w:color="auto" w:fill="5B9BD5"/>
            <w:tcMar>
              <w:top w:w="72" w:type="dxa"/>
              <w:left w:w="144" w:type="dxa"/>
              <w:bottom w:w="72" w:type="dxa"/>
              <w:right w:w="144" w:type="dxa"/>
            </w:tcMar>
          </w:tcPr>
          <w:p w14:paraId="7929EFFB" w14:textId="77777777" w:rsidR="00823A0D" w:rsidRPr="00F93096" w:rsidRDefault="00981F0C">
            <w:pPr>
              <w:pStyle w:val="NormalWeb"/>
            </w:pPr>
            <w:r w:rsidRPr="00F93096">
              <w:rPr>
                <w:b/>
                <w:bCs/>
                <w:color w:val="FFFFFF"/>
              </w:rPr>
              <w:t>Insulin Syringe </w:t>
            </w:r>
          </w:p>
        </w:tc>
      </w:tr>
      <w:tr w:rsidR="00823A0D" w:rsidRPr="00F93096" w14:paraId="4FC2DB6A" w14:textId="77777777">
        <w:trPr>
          <w:trHeight w:val="302"/>
        </w:trPr>
        <w:tc>
          <w:tcPr>
            <w:tcW w:w="3639" w:type="dxa"/>
            <w:tcBorders>
              <w:top w:val="single" w:sz="4" w:space="0" w:color="5B9BD5"/>
              <w:left w:val="single" w:sz="4" w:space="0" w:color="5B9BD5"/>
              <w:bottom w:val="single" w:sz="4" w:space="0" w:color="5B9BD5"/>
            </w:tcBorders>
            <w:shd w:val="clear" w:color="auto" w:fill="EAEFF7"/>
            <w:tcMar>
              <w:top w:w="72" w:type="dxa"/>
              <w:left w:w="144" w:type="dxa"/>
              <w:bottom w:w="72" w:type="dxa"/>
              <w:right w:w="144" w:type="dxa"/>
            </w:tcMar>
          </w:tcPr>
          <w:p w14:paraId="687FB3E2" w14:textId="77777777" w:rsidR="00823A0D" w:rsidRPr="00F93096" w:rsidRDefault="00981F0C">
            <w:pPr>
              <w:pStyle w:val="NormalWeb"/>
            </w:pPr>
            <w:r w:rsidRPr="00F93096">
              <w:rPr>
                <w:b/>
                <w:bCs/>
                <w:color w:val="000000"/>
              </w:rPr>
              <w:t>More convenient </w:t>
            </w:r>
            <w:r w:rsidRPr="00F93096">
              <w:rPr>
                <w:color w:val="000000"/>
              </w:rPr>
              <w:t>insulin delivery</w:t>
            </w:r>
          </w:p>
        </w:tc>
        <w:tc>
          <w:tcPr>
            <w:tcW w:w="4585" w:type="dxa"/>
            <w:tcBorders>
              <w:top w:val="single" w:sz="4" w:space="0" w:color="5B9BD5"/>
              <w:left w:val="single" w:sz="4" w:space="0" w:color="5B9BD5"/>
              <w:bottom w:val="single" w:sz="4" w:space="0" w:color="5B9BD5"/>
            </w:tcBorders>
            <w:shd w:val="clear" w:color="auto" w:fill="EAEFF7"/>
            <w:tcMar>
              <w:top w:w="72" w:type="dxa"/>
              <w:left w:w="144" w:type="dxa"/>
              <w:bottom w:w="72" w:type="dxa"/>
              <w:right w:w="144" w:type="dxa"/>
            </w:tcMar>
          </w:tcPr>
          <w:p w14:paraId="0624E070" w14:textId="77777777" w:rsidR="00823A0D" w:rsidRPr="00F93096" w:rsidRDefault="00981F0C">
            <w:pPr>
              <w:pStyle w:val="NormalWeb"/>
            </w:pPr>
            <w:r w:rsidRPr="00F93096">
              <w:rPr>
                <w:color w:val="000000"/>
              </w:rPr>
              <w:t>Can be used for preparation from different manufacturers </w:t>
            </w:r>
          </w:p>
        </w:tc>
      </w:tr>
      <w:tr w:rsidR="00823A0D" w:rsidRPr="00F93096" w14:paraId="6E9F3664" w14:textId="77777777">
        <w:trPr>
          <w:trHeight w:val="369"/>
        </w:trPr>
        <w:tc>
          <w:tcPr>
            <w:tcW w:w="3639" w:type="dxa"/>
            <w:tcBorders>
              <w:top w:val="single" w:sz="4" w:space="0" w:color="5B9BD5"/>
              <w:left w:val="single" w:sz="4" w:space="0" w:color="5B9BD5"/>
              <w:bottom w:val="single" w:sz="4" w:space="0" w:color="5B9BD5"/>
            </w:tcBorders>
            <w:shd w:val="clear" w:color="auto" w:fill="FFFFFF"/>
            <w:tcMar>
              <w:top w:w="72" w:type="dxa"/>
              <w:left w:w="144" w:type="dxa"/>
              <w:bottom w:w="72" w:type="dxa"/>
              <w:right w:w="144" w:type="dxa"/>
            </w:tcMar>
          </w:tcPr>
          <w:p w14:paraId="01684A3A" w14:textId="77777777" w:rsidR="00823A0D" w:rsidRPr="00F93096" w:rsidRDefault="00981F0C">
            <w:pPr>
              <w:pStyle w:val="NormalWeb"/>
            </w:pPr>
            <w:r w:rsidRPr="00F93096">
              <w:rPr>
                <w:b/>
                <w:bCs/>
                <w:color w:val="000000"/>
              </w:rPr>
              <w:t>More accurate dosing </w:t>
            </w:r>
          </w:p>
        </w:tc>
        <w:tc>
          <w:tcPr>
            <w:tcW w:w="4585" w:type="dxa"/>
            <w:tcBorders>
              <w:top w:val="single" w:sz="4" w:space="0" w:color="5B9BD5"/>
              <w:left w:val="single" w:sz="4" w:space="0" w:color="5B9BD5"/>
              <w:bottom w:val="single" w:sz="4" w:space="0" w:color="5B9BD5"/>
            </w:tcBorders>
            <w:shd w:val="clear" w:color="auto" w:fill="FFFFFF"/>
            <w:tcMar>
              <w:top w:w="72" w:type="dxa"/>
              <w:left w:w="144" w:type="dxa"/>
              <w:bottom w:w="72" w:type="dxa"/>
              <w:right w:w="144" w:type="dxa"/>
            </w:tcMar>
          </w:tcPr>
          <w:p w14:paraId="18F448F2" w14:textId="77777777" w:rsidR="00823A0D" w:rsidRPr="00F93096" w:rsidRDefault="00981F0C">
            <w:pPr>
              <w:pStyle w:val="NormalWeb"/>
            </w:pPr>
            <w:r w:rsidRPr="00F93096">
              <w:rPr>
                <w:color w:val="000000"/>
              </w:rPr>
              <w:t>Syringe barrel can be chosen based on insulin dose </w:t>
            </w:r>
          </w:p>
        </w:tc>
      </w:tr>
      <w:tr w:rsidR="00823A0D" w:rsidRPr="00F93096" w14:paraId="72FBF4E6" w14:textId="77777777">
        <w:trPr>
          <w:trHeight w:val="386"/>
        </w:trPr>
        <w:tc>
          <w:tcPr>
            <w:tcW w:w="3639" w:type="dxa"/>
            <w:tcBorders>
              <w:top w:val="single" w:sz="4" w:space="0" w:color="5B9BD5"/>
              <w:left w:val="single" w:sz="4" w:space="0" w:color="5B9BD5"/>
              <w:bottom w:val="single" w:sz="4" w:space="0" w:color="5B9BD5"/>
            </w:tcBorders>
            <w:shd w:val="clear" w:color="auto" w:fill="EAEFF7"/>
            <w:tcMar>
              <w:top w:w="72" w:type="dxa"/>
              <w:left w:w="144" w:type="dxa"/>
              <w:bottom w:w="72" w:type="dxa"/>
              <w:right w:w="144" w:type="dxa"/>
            </w:tcMar>
          </w:tcPr>
          <w:p w14:paraId="6CF694CC" w14:textId="77777777" w:rsidR="00823A0D" w:rsidRPr="00F93096" w:rsidRDefault="00981F0C">
            <w:pPr>
              <w:pStyle w:val="NormalWeb"/>
            </w:pPr>
            <w:r w:rsidRPr="00F93096">
              <w:rPr>
                <w:b/>
                <w:bCs/>
                <w:color w:val="000000"/>
              </w:rPr>
              <w:t>Less pain </w:t>
            </w:r>
            <w:r w:rsidRPr="00F93096">
              <w:rPr>
                <w:color w:val="000000"/>
              </w:rPr>
              <w:t>because of small gauze of needles </w:t>
            </w:r>
          </w:p>
        </w:tc>
        <w:tc>
          <w:tcPr>
            <w:tcW w:w="4585" w:type="dxa"/>
            <w:tcBorders>
              <w:top w:val="single" w:sz="4" w:space="0" w:color="5B9BD5"/>
              <w:left w:val="single" w:sz="4" w:space="0" w:color="5B9BD5"/>
              <w:bottom w:val="single" w:sz="4" w:space="0" w:color="5B9BD5"/>
            </w:tcBorders>
            <w:shd w:val="clear" w:color="auto" w:fill="EAEFF7"/>
            <w:tcMar>
              <w:top w:w="72" w:type="dxa"/>
              <w:left w:w="144" w:type="dxa"/>
              <w:bottom w:w="72" w:type="dxa"/>
              <w:right w:w="144" w:type="dxa"/>
            </w:tcMar>
          </w:tcPr>
          <w:p w14:paraId="4AB73F15" w14:textId="77777777" w:rsidR="00823A0D" w:rsidRPr="00F93096" w:rsidRDefault="00981F0C">
            <w:pPr>
              <w:pStyle w:val="NormalWeb"/>
            </w:pPr>
            <w:r w:rsidRPr="00F93096">
              <w:rPr>
                <w:color w:val="000000"/>
              </w:rPr>
              <w:t>Patients can see the number and scale lines together to have accurate dosing </w:t>
            </w:r>
          </w:p>
        </w:tc>
      </w:tr>
      <w:tr w:rsidR="00823A0D" w:rsidRPr="00F93096" w14:paraId="524379D3" w14:textId="77777777">
        <w:trPr>
          <w:trHeight w:val="227"/>
        </w:trPr>
        <w:tc>
          <w:tcPr>
            <w:tcW w:w="3639" w:type="dxa"/>
            <w:tcBorders>
              <w:top w:val="single" w:sz="4" w:space="0" w:color="5B9BD5"/>
              <w:left w:val="single" w:sz="4" w:space="0" w:color="5B9BD5"/>
              <w:bottom w:val="single" w:sz="4" w:space="0" w:color="5B9BD5"/>
            </w:tcBorders>
            <w:shd w:val="clear" w:color="auto" w:fill="FFFFFF"/>
            <w:tcMar>
              <w:top w:w="72" w:type="dxa"/>
              <w:left w:w="144" w:type="dxa"/>
              <w:bottom w:w="72" w:type="dxa"/>
              <w:right w:w="144" w:type="dxa"/>
            </w:tcMar>
          </w:tcPr>
          <w:p w14:paraId="46EF0774" w14:textId="77777777" w:rsidR="00823A0D" w:rsidRPr="00F93096" w:rsidRDefault="00981F0C">
            <w:pPr>
              <w:pStyle w:val="NormalWeb"/>
            </w:pPr>
            <w:r w:rsidRPr="00F93096">
              <w:rPr>
                <w:color w:val="000000"/>
              </w:rPr>
              <w:t>Less intrusive/socially more acceptable </w:t>
            </w:r>
          </w:p>
        </w:tc>
        <w:tc>
          <w:tcPr>
            <w:tcW w:w="4585" w:type="dxa"/>
            <w:tcBorders>
              <w:top w:val="single" w:sz="4" w:space="0" w:color="5B9BD5"/>
              <w:left w:val="single" w:sz="4" w:space="0" w:color="5B9BD5"/>
              <w:bottom w:val="single" w:sz="4" w:space="0" w:color="5B9BD5"/>
            </w:tcBorders>
            <w:shd w:val="clear" w:color="auto" w:fill="FFFFFF"/>
            <w:tcMar>
              <w:top w:w="72" w:type="dxa"/>
              <w:left w:w="144" w:type="dxa"/>
              <w:bottom w:w="72" w:type="dxa"/>
              <w:right w:w="144" w:type="dxa"/>
            </w:tcMar>
          </w:tcPr>
          <w:p w14:paraId="5AFDB632" w14:textId="77777777" w:rsidR="00823A0D" w:rsidRPr="00F93096" w:rsidRDefault="00981F0C">
            <w:pPr>
              <w:pStyle w:val="NormalWeb"/>
            </w:pPr>
            <w:r w:rsidRPr="00F93096">
              <w:rPr>
                <w:color w:val="000000"/>
              </w:rPr>
              <w:t>Allow use of split-mix regimens </w:t>
            </w:r>
          </w:p>
        </w:tc>
      </w:tr>
      <w:tr w:rsidR="00823A0D" w:rsidRPr="00F93096" w14:paraId="1CB64BF7" w14:textId="77777777">
        <w:trPr>
          <w:trHeight w:val="507"/>
        </w:trPr>
        <w:tc>
          <w:tcPr>
            <w:tcW w:w="3639" w:type="dxa"/>
            <w:tcBorders>
              <w:top w:val="single" w:sz="4" w:space="0" w:color="5B9BD5"/>
              <w:left w:val="single" w:sz="4" w:space="0" w:color="5B9BD5"/>
              <w:bottom w:val="single" w:sz="4" w:space="0" w:color="5B9BD5"/>
            </w:tcBorders>
            <w:shd w:val="clear" w:color="auto" w:fill="EAEFF7"/>
            <w:tcMar>
              <w:top w:w="72" w:type="dxa"/>
              <w:left w:w="144" w:type="dxa"/>
              <w:bottom w:w="72" w:type="dxa"/>
              <w:right w:w="144" w:type="dxa"/>
            </w:tcMar>
          </w:tcPr>
          <w:p w14:paraId="01A56F72" w14:textId="77777777" w:rsidR="00823A0D" w:rsidRPr="00F93096" w:rsidRDefault="00981F0C">
            <w:pPr>
              <w:pStyle w:val="NormalWeb"/>
            </w:pPr>
            <w:r w:rsidRPr="00F93096">
              <w:rPr>
                <w:b/>
                <w:bCs/>
                <w:color w:val="000000"/>
              </w:rPr>
              <w:t>More flexibility </w:t>
            </w:r>
            <w:r w:rsidRPr="00F93096">
              <w:rPr>
                <w:color w:val="000000"/>
              </w:rPr>
              <w:t>because of disposable or reusable option</w:t>
            </w:r>
          </w:p>
        </w:tc>
        <w:tc>
          <w:tcPr>
            <w:tcW w:w="4585" w:type="dxa"/>
            <w:tcBorders>
              <w:top w:val="single" w:sz="4" w:space="0" w:color="5B9BD5"/>
              <w:left w:val="single" w:sz="4" w:space="0" w:color="5B9BD5"/>
              <w:bottom w:val="single" w:sz="4" w:space="0" w:color="5B9BD5"/>
            </w:tcBorders>
            <w:shd w:val="clear" w:color="auto" w:fill="EAEFF7"/>
            <w:tcMar>
              <w:top w:w="72" w:type="dxa"/>
              <w:left w:w="144" w:type="dxa"/>
              <w:bottom w:w="72" w:type="dxa"/>
              <w:right w:w="144" w:type="dxa"/>
            </w:tcMar>
          </w:tcPr>
          <w:p w14:paraId="42B10915" w14:textId="77777777" w:rsidR="00823A0D" w:rsidRPr="00F93096" w:rsidRDefault="00981F0C">
            <w:pPr>
              <w:pStyle w:val="NormalWeb"/>
            </w:pPr>
            <w:r w:rsidRPr="00F93096">
              <w:rPr>
                <w:b/>
                <w:bCs/>
                <w:color w:val="000000"/>
              </w:rPr>
              <w:t>Less expensive </w:t>
            </w:r>
          </w:p>
        </w:tc>
      </w:tr>
    </w:tbl>
    <w:p w14:paraId="188CFFCD" w14:textId="77777777" w:rsidR="00823A0D" w:rsidRPr="00F93096" w:rsidRDefault="00981F0C">
      <w:pPr>
        <w:pStyle w:val="NormalWeb"/>
      </w:pPr>
      <w:r w:rsidRPr="00F93096">
        <w:t>The optimal technique for administering insulin involves lifting the skin fold, inserting the needle into the skin at a 90-degree angle, leaving the needle in the subcutaneous tissue for 10 seconds after fully depressing the plunger, withdrawing the needle from the skin, and releasing the skin fold. Proper disposal of used needles or syringes is essential for safety. Intramuscular (IM) injections</w:t>
      </w:r>
      <w:r w:rsidRPr="00F93096">
        <w:fldChar w:fldCharType="begin"/>
      </w:r>
      <w:r w:rsidRPr="00F93096">
        <w:instrText xml:space="preserve"> ADDIN ZOTERO_ITEM CSL_CITATION {"citationID":"7GccTfcx","properties":{"formattedCitation":"(6)","plainCitation":"(6)","noteIndex":0},"citationItems":[{"id":112,"uris":["http://zotero.org/users/local/gF7lYIrV/items/6F7FRZ96"],"itemData":{"id":112,"type":"article-journal","abstract":"Many patients with advanced type 2 diabetes mellitus (T2DM) and all patients with T1DM require insulin to keep blood glucose levels in the target range. The most common route of insulin administration is subcutaneous insulin injections. There are many ways to deliver insulin subcutaneously such as vials and syringes, insulin pens, and insulin pumps. Though subcutaneous insulin delivery is the standard route of insulin administration, it is associated with injection pain, needle phobia, lipodystrophy, noncompliance and peripheral hyperinsulinemia. Therefore, the need exists for delivering insulin in a minimally invasive or noninvasive and in most physiological way. Inhaled insulin was the first approved noninvasive and alternative way to deliver insulin, but it has been withdrawn from the market. Technologies are being explored to make the noninvasive delivery of insulin possible. Some of the routes of insulin administration that are under investigation are oral, buccal, nasal, peritoneal and transdermal. This review article focuses on the past, present and future of various insulin delivery techniques. This article has focused on different possible routes of insulin administration with its advantages and limitation and possible scope for the new drug development.","container-title":"International Journal of Pharmaceutical Investigation","DOI":"10.4103/2230-973X.176456","ISSN":"2230-973X","issue":"1","journalAbbreviation":"Int J Pharm Investig","language":"eng","note":"PMID: 27014614\nPMCID: PMC4787057","page":"1-9","source":"PubMed","title":"Insulin delivery methods: Past, present and future","title-short":"Insulin delivery methods","volume":"6","author":[{"family":"Shah","given":"Rima B."},{"family":"Patel","given":"Manhar"},{"family":"Maahs","given":"David M."},{"family":"Shah","given":"Viral N."}],"issued":{"date-parts":[["2016"]]}}}],"schema":"https://github.com/citation-style-language/schema/raw/master/csl-citation.json"} </w:instrText>
      </w:r>
      <w:r w:rsidRPr="00F93096">
        <w:fldChar w:fldCharType="separate"/>
      </w:r>
      <w:r w:rsidRPr="00F93096">
        <w:t>(6)</w:t>
      </w:r>
      <w:r w:rsidRPr="00F93096">
        <w:fldChar w:fldCharType="end"/>
      </w:r>
      <w:r w:rsidRPr="00F93096">
        <w:t xml:space="preserve"> are more common with longer needles, particularly in slimmer and younger patients, males, and individuals who inject into limbs rather than truncal sites for insulin delivery.</w:t>
      </w:r>
    </w:p>
    <w:p w14:paraId="743E105F" w14:textId="77777777" w:rsidR="00823A0D" w:rsidRPr="00F93096" w:rsidRDefault="00981F0C">
      <w:pPr>
        <w:pStyle w:val="NormalWeb"/>
      </w:pPr>
      <w:r w:rsidRPr="00F93096">
        <w:rPr>
          <w:noProof/>
        </w:rPr>
        <w:drawing>
          <wp:inline distT="0" distB="0" distL="114300" distR="114300" wp14:anchorId="7D90D898" wp14:editId="38D22A97">
            <wp:extent cx="5615940" cy="2473960"/>
            <wp:effectExtent l="0" t="0" r="7620" b="10160"/>
            <wp:docPr id="25" name="Picture 2" descr="Do you rotate your injection sites? All Type 1 diabetics need to know this  tr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 descr="Do you rotate your injection sites? All Type 1 diabetics need to know this  trick"/>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5615940" cy="2473960"/>
                    </a:xfrm>
                    <a:prstGeom prst="rect">
                      <a:avLst/>
                    </a:prstGeom>
                    <a:noFill/>
                  </pic:spPr>
                </pic:pic>
              </a:graphicData>
            </a:graphic>
          </wp:inline>
        </w:drawing>
      </w:r>
    </w:p>
    <w:p w14:paraId="0C06EF7F" w14:textId="77777777" w:rsidR="00823A0D" w:rsidRPr="00F93096" w:rsidRDefault="00981F0C">
      <w:pPr>
        <w:pStyle w:val="NormalWeb"/>
      </w:pPr>
      <w:r w:rsidRPr="00F93096">
        <w:t xml:space="preserve">Fig 3 represent </w:t>
      </w:r>
      <w:proofErr w:type="gramStart"/>
      <w:r w:rsidRPr="00F93096">
        <w:t>site ,method</w:t>
      </w:r>
      <w:proofErr w:type="gramEnd"/>
      <w:r w:rsidRPr="00F93096">
        <w:t xml:space="preserve"> and rotation practice to be followed for insulin delivery </w:t>
      </w:r>
    </w:p>
    <w:p w14:paraId="011E8CAB" w14:textId="77777777" w:rsidR="00823A0D" w:rsidRPr="00F93096" w:rsidRDefault="00981F0C">
      <w:pPr>
        <w:pStyle w:val="NormalWeb"/>
      </w:pPr>
      <w:r w:rsidRPr="00F93096">
        <w:t xml:space="preserve">Rotation of site </w:t>
      </w:r>
      <w:proofErr w:type="gramStart"/>
      <w:r w:rsidRPr="00F93096">
        <w:t>of  insulin</w:t>
      </w:r>
      <w:proofErr w:type="gramEnd"/>
      <w:r w:rsidRPr="00F93096">
        <w:t xml:space="preserve"> injection is necessary for accurate dose </w:t>
      </w:r>
      <w:proofErr w:type="spellStart"/>
      <w:r w:rsidRPr="00F93096">
        <w:t>delievery</w:t>
      </w:r>
      <w:proofErr w:type="spellEnd"/>
      <w:r w:rsidRPr="00F93096">
        <w:t xml:space="preserve"> and prevent </w:t>
      </w:r>
      <w:proofErr w:type="spellStart"/>
      <w:r w:rsidRPr="00F93096">
        <w:t>lipohypertrophy</w:t>
      </w:r>
      <w:proofErr w:type="spellEnd"/>
      <w:r w:rsidRPr="00F93096">
        <w:t xml:space="preserve"> . An easy to follow rotation scheme should be taught to the patients from the onset of injection therapy .Dividing the injection site into quadrants (or halves when using thighs or buttocks), using one quadrant per week and moving always in the same direction, either </w:t>
      </w:r>
      <w:r w:rsidRPr="00F93096">
        <w:lastRenderedPageBreak/>
        <w:t>clockwise or anticlockwise, has been proven to be effective</w:t>
      </w:r>
      <w:r w:rsidRPr="00F93096">
        <w:fldChar w:fldCharType="begin"/>
      </w:r>
      <w:r w:rsidRPr="00F93096">
        <w:instrText xml:space="preserve"> ADDIN ZOTERO_ITEM CSL_CITATION {"citationID":"jQnoYkQo","properties":{"formattedCitation":"(7)","plainCitation":"(7)","noteIndex":0},"citationItems":[{"id":89,"uris":["http://zotero.org/users/local/gF7lYIrV/items/BFQ9YX79"],"itemData":{"id":89,"type":"article-journal","abstract":"Absorption of subcutaneously injected unmodified human 125I-insulin (5 U; 100 U ml-1) was studied concurrently from three areas of the abdominal wall (120 mm above, 120 mm lateral to, and 40 mm below the umbilicus), and one area of the thigh (upper midline), in nine Type 1 diabetic patients of normal body weight, and from deep (2 mm above muscle fascia) and superficial (3 mm beneath skin surface) sites in abdominal wall and thigh in 11 Type 1 diabetic patients. The absorption rates were followed continuously for 3 h with the patient in the supine position. Whereas 125I-insulin disappeared considerably faster from the site above the umbilicus than from sites below or lateral to the umbilicus or from the thigh (residual radioactivities after 175 min: 36 +/- 4 vs 49 +/- 5, 54 +/- 2, and 62 +/- 4 (+/- SE)%, respectively; p less than 0.05 or better), no significant differences were found between deep and superficial sites in either abdominal wall or thigh. The results suggest that insulin absorption rates from subcutaneous injection sites within the abdominal wall differ sufficiently for this to be of clinical importance.","container-title":"Diabetic Medicine: A Journal of the British Diabetic Association","DOI":"10.1111/j.1464-5491.1992.tb01768.x","ISSN":"0742-3071","issue":"3","journalAbbreviation":"Diabet Med","language":"eng","note":"PMID: 1533580","page":"236-239","source":"PubMed","title":"Intraregional differences in the absorption of unmodified insulin from the abdominal wall","volume":"9","author":[{"family":"Frid","given":"A."},{"family":"Linde","given":"B."}],"issued":{"date-parts":[["1992",4]]}}}],"schema":"https://github.com/citation-style-language/schema/raw/master/csl-citation.json"} </w:instrText>
      </w:r>
      <w:r w:rsidRPr="00F93096">
        <w:fldChar w:fldCharType="separate"/>
      </w:r>
      <w:r w:rsidRPr="00F93096">
        <w:t>(7)</w:t>
      </w:r>
      <w:r w:rsidRPr="00F93096">
        <w:fldChar w:fldCharType="end"/>
      </w:r>
      <w:r w:rsidRPr="00F93096">
        <w:t xml:space="preserve">.Injection within any quadrant or half should be spaced at least 1 or 2 </w:t>
      </w:r>
      <w:proofErr w:type="spellStart"/>
      <w:r w:rsidRPr="00F93096">
        <w:t>cms</w:t>
      </w:r>
      <w:proofErr w:type="spellEnd"/>
      <w:r w:rsidRPr="00F93096">
        <w:t xml:space="preserve"> apart to avoid repeat tissue trauma</w:t>
      </w:r>
      <w:r w:rsidRPr="00F93096">
        <w:fldChar w:fldCharType="begin"/>
      </w:r>
      <w:r w:rsidRPr="00F93096">
        <w:instrText xml:space="preserve"> ADDIN ZOTERO_ITEM CSL_CITATION {"citationID":"NQ4tYi2Y","properties":{"formattedCitation":"(7)","plainCitation":"(7)","noteIndex":0},"citationItems":[{"id":89,"uris":["http://zotero.org/users/local/gF7lYIrV/items/BFQ9YX79"],"itemData":{"id":89,"type":"article-journal","abstract":"Absorption of subcutaneously injected unmodified human 125I-insulin (5 U; 100 U ml-1) was studied concurrently from three areas of the abdominal wall (120 mm above, 120 mm lateral to, and 40 mm below the umbilicus), and one area of the thigh (upper midline), in nine Type 1 diabetic patients of normal body weight, and from deep (2 mm above muscle fascia) and superficial (3 mm beneath skin surface) sites in abdominal wall and thigh in 11 Type 1 diabetic patients. The absorption rates were followed continuously for 3 h with the patient in the supine position. Whereas 125I-insulin disappeared considerably faster from the site above the umbilicus than from sites below or lateral to the umbilicus or from the thigh (residual radioactivities after 175 min: 36 +/- 4 vs 49 +/- 5, 54 +/- 2, and 62 +/- 4 (+/- SE)%, respectively; p less than 0.05 or better), no significant differences were found between deep and superficial sites in either abdominal wall or thigh. The results suggest that insulin absorption rates from subcutaneous injection sites within the abdominal wall differ sufficiently for this to be of clinical importance.","container-title":"Diabetic Medicine: A Journal of the British Diabetic Association","DOI":"10.1111/j.1464-5491.1992.tb01768.x","ISSN":"0742-3071","issue":"3","journalAbbreviation":"Diabet Med","language":"eng","note":"PMID: 1533580","page":"236-239","source":"PubMed","title":"Intraregional differences in the absorption of unmodified insulin from the abdominal wall","volume":"9","author":[{"family":"Frid","given":"A."},{"family":"Linde","given":"B."}],"issued":{"date-parts":[["1992",4]]}}}],"schema":"https://github.com/citation-style-language/schema/raw/master/csl-citation.json"} </w:instrText>
      </w:r>
      <w:r w:rsidRPr="00F93096">
        <w:fldChar w:fldCharType="separate"/>
      </w:r>
      <w:r w:rsidRPr="00F93096">
        <w:t>(7)</w:t>
      </w:r>
      <w:r w:rsidRPr="00F93096">
        <w:fldChar w:fldCharType="end"/>
      </w:r>
      <w:r w:rsidRPr="00F93096">
        <w:t>.Rotation scheme should be audited during every visit and advice is to be provided where needed .</w:t>
      </w:r>
    </w:p>
    <w:p w14:paraId="0C073213" w14:textId="77777777" w:rsidR="00823A0D" w:rsidRPr="00F93096" w:rsidRDefault="00981F0C">
      <w:pPr>
        <w:pStyle w:val="NormalWeb"/>
      </w:pPr>
      <w:r w:rsidRPr="00F93096">
        <w:t xml:space="preserve">Reusing needles can lead to the blunting and bending of the needle tip, increasing the risk of bleeding, bruising, scarring, dosage inaccuracies, and </w:t>
      </w:r>
      <w:proofErr w:type="spellStart"/>
      <w:r w:rsidRPr="00F93096">
        <w:t>lipohypertrophy</w:t>
      </w:r>
      <w:proofErr w:type="spellEnd"/>
      <w:r w:rsidRPr="00F93096">
        <w:t xml:space="preserve">. Healthcare professionals should educate patients about the potential adverse effects of needle reuse and discourage this practice. Injecting through clothing is not advisable, and patients should be informed about the consequences of missing injections. If there is a need to change insulin, patients should be fully informed about the reasons behind the change and the potential need for additional glucose monitoring. Changing the species, type, or brand name of insulin should only be done if absolutely necessary. Hazards associated with needle reuse include pain, bleeding, bruising, </w:t>
      </w:r>
      <w:proofErr w:type="spellStart"/>
      <w:r w:rsidRPr="00F93096">
        <w:t>lipohypertrophy</w:t>
      </w:r>
      <w:proofErr w:type="spellEnd"/>
      <w:r w:rsidRPr="00F93096">
        <w:t>, contamination, infection, dosage inaccuracies, and the risk of the needle breaking off and becoming lodged under the skin.</w:t>
      </w:r>
    </w:p>
    <w:p w14:paraId="0B18ADFE" w14:textId="77777777" w:rsidR="00823A0D" w:rsidRPr="00F93096" w:rsidRDefault="00823A0D">
      <w:pPr>
        <w:pStyle w:val="NormalWeb"/>
      </w:pPr>
    </w:p>
    <w:p w14:paraId="4CD792E5" w14:textId="77777777" w:rsidR="00823A0D" w:rsidRPr="00F93096" w:rsidRDefault="00981F0C">
      <w:pPr>
        <w:pStyle w:val="NormalWeb"/>
      </w:pPr>
      <w:r w:rsidRPr="00F93096">
        <w:rPr>
          <w:noProof/>
        </w:rPr>
        <w:drawing>
          <wp:inline distT="0" distB="0" distL="114300" distR="114300" wp14:anchorId="71B8C7EE" wp14:editId="58DAF6F0">
            <wp:extent cx="6626860" cy="1342390"/>
            <wp:effectExtent l="0" t="0" r="0" b="0"/>
            <wp:docPr id="1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6"/>
                    <pic:cNvPicPr>
                      <a:picLocks noChangeAspect="1"/>
                    </pic:cNvPicPr>
                  </pic:nvPicPr>
                  <pic:blipFill>
                    <a:blip r:embed="rId10"/>
                    <a:srcRect b="24608"/>
                    <a:stretch>
                      <a:fillRect/>
                    </a:stretch>
                  </pic:blipFill>
                  <pic:spPr>
                    <a:xfrm>
                      <a:off x="0" y="0"/>
                      <a:ext cx="6626860" cy="1342390"/>
                    </a:xfrm>
                    <a:prstGeom prst="rect">
                      <a:avLst/>
                    </a:prstGeom>
                  </pic:spPr>
                </pic:pic>
              </a:graphicData>
            </a:graphic>
          </wp:inline>
        </w:drawing>
      </w:r>
    </w:p>
    <w:p w14:paraId="052B446F" w14:textId="77777777" w:rsidR="00823A0D" w:rsidRPr="00F93096" w:rsidRDefault="00981F0C">
      <w:pPr>
        <w:pStyle w:val="NormalWeb"/>
      </w:pPr>
      <w:r w:rsidRPr="00F93096">
        <w:t xml:space="preserve">Fig 4 represent correct and incorrect method of performing a skin lift for insulin </w:t>
      </w:r>
      <w:proofErr w:type="gramStart"/>
      <w:r w:rsidRPr="00F93096">
        <w:t>delivery .hold</w:t>
      </w:r>
      <w:proofErr w:type="gramEnd"/>
      <w:r w:rsidRPr="00F93096">
        <w:t xml:space="preserve"> skin fold between first finger and thumb leaving muscle behind</w:t>
      </w:r>
    </w:p>
    <w:p w14:paraId="67ECFB09" w14:textId="77777777" w:rsidR="00823A0D" w:rsidRPr="00F93096" w:rsidRDefault="00981F0C">
      <w:pPr>
        <w:pStyle w:val="NormalWeb"/>
      </w:pPr>
      <w:r w:rsidRPr="00F93096">
        <w:t>The injection site and hands should be thoroughly cleaned before insulin administration. For adults, children, and adolescents, it is recommended to use 4mm pen needles or 6mm syringe needles</w:t>
      </w:r>
      <w:r w:rsidRPr="00F93096">
        <w:fldChar w:fldCharType="begin"/>
      </w:r>
      <w:r w:rsidRPr="00F93096">
        <w:instrText xml:space="preserve"> ADDIN ZOTERO_ITEM CSL_CITATION {"citationID":"kFs7twQ9","properties":{"formattedCitation":"(8)","plainCitation":"(8)","noteIndex":0},"citationItems":[{"id":99,"uris":["http://zotero.org/users/local/gF7lYIrV/items/Z9RSPV2V"],"itemData":{"id":99,"type":"article-journal","abstract":"BACKGROUND: Insulin treatment is widely used not only for type 1 but also for type 2 diabetes patients. Insulin must be injected into the subcutaneous tissue to be effective. The needle length has been shortened for safety and efficiency. However, whether patients use an appropriate needle length is unclear.\nMETHODS: Skin thickness was measured by ultrasound with patients in their usual posture during injection. Furthermore, the effect of the intervention in which the needle length was changed was investigated.\nRESULTS: Thirty-eight percent of the patients had fluid leakage and injected the needle intradermally. The average skin thickness was 3.3 mm while sitting, which was greater than that in a previous report including measurements taken while lying down. Consequently, the skin thickness was &gt; 4 mm in 9.5% of the patients who used 4-mm needles. Cases of leakage and intradermal injection decreased when the needle length was changed.\nCONCLUSIONS: This study identified that the needle length should be considered in patients with thick skin or a lower body mass index due to possibility of intradermal injection.","container-title":"Journal of Pharmaceutical Health Care and Sciences","DOI":"10.1186/s40780-023-00288-9","ISSN":"2055-0294","issue":"1","journalAbbreviation":"J Pharm Health Care Sci","language":"eng","note":"PMID: 37259150\nPMCID: PMC10233969","page":"19","source":"PubMed","title":"Investigation of appropriate needle length considering skin thickness with the real injection posture for insulin injections in diabetic patients","volume":"9","author":[{"family":"Torii-Goto","given":"Aya"},{"family":"Hirai","given":"Kana"},{"family":"Inukai","given":"Yuri"},{"family":"Hoshina","given":"Yoshimi"},{"family":"Shiomi","given":"Kazumi"},{"family":"Ito","given":"Junko"},{"family":"Yoshikawa","given":"Masae"}],"issued":{"date-parts":[["2023",6,1]]}}}],"schema":"https://github.com/citation-style-language/schema/raw/master/csl-citation.json"} </w:instrText>
      </w:r>
      <w:r w:rsidRPr="00F93096">
        <w:fldChar w:fldCharType="separate"/>
      </w:r>
      <w:r w:rsidRPr="00F93096">
        <w:t>(8)</w:t>
      </w:r>
      <w:r w:rsidRPr="00F93096">
        <w:fldChar w:fldCharType="end"/>
      </w:r>
      <w:r w:rsidRPr="00F93096">
        <w:t xml:space="preserve">. Preferred injection sites include the abdomen, upper thighs, upper arms, and upper buttocks. Individuals using insulin should regularly self-inspect their injection sites for signs of </w:t>
      </w:r>
      <w:proofErr w:type="spellStart"/>
      <w:r w:rsidRPr="00F93096">
        <w:t>lipohypertrophy</w:t>
      </w:r>
      <w:proofErr w:type="spellEnd"/>
      <w:r w:rsidRPr="00F93096">
        <w:t xml:space="preserve"> (LH). Healthcare professionals should inspect and palpate the injection site at least once a year, or more frequently if LH is detected. Reusing needles and sharing insulin pens, cartridges, or vials should be avoided, and proper disposal of insulin needles and accessories should be ensured.</w:t>
      </w:r>
    </w:p>
    <w:p w14:paraId="096788A0" w14:textId="77777777" w:rsidR="00823A0D" w:rsidRPr="00F93096" w:rsidRDefault="00823A0D">
      <w:pPr>
        <w:pStyle w:val="NormalWeb"/>
      </w:pPr>
    </w:p>
    <w:p w14:paraId="63F11B5E" w14:textId="77777777" w:rsidR="00823A0D" w:rsidRPr="00F93096" w:rsidRDefault="00981F0C">
      <w:pPr>
        <w:pStyle w:val="NormalWeb"/>
      </w:pPr>
      <w:r w:rsidRPr="00F93096">
        <w:rPr>
          <w:noProof/>
        </w:rPr>
        <w:lastRenderedPageBreak/>
        <w:drawing>
          <wp:inline distT="0" distB="0" distL="114300" distR="114300" wp14:anchorId="63402A3B" wp14:editId="2FA0F97E">
            <wp:extent cx="3688080" cy="1685925"/>
            <wp:effectExtent l="0" t="0" r="0" b="5715"/>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11"/>
                    <a:stretch>
                      <a:fillRect/>
                    </a:stretch>
                  </pic:blipFill>
                  <pic:spPr>
                    <a:xfrm>
                      <a:off x="0" y="0"/>
                      <a:ext cx="3688080" cy="1685925"/>
                    </a:xfrm>
                    <a:prstGeom prst="rect">
                      <a:avLst/>
                    </a:prstGeom>
                  </pic:spPr>
                </pic:pic>
              </a:graphicData>
            </a:graphic>
          </wp:inline>
        </w:drawing>
      </w:r>
    </w:p>
    <w:p w14:paraId="33B3DCA9" w14:textId="77777777" w:rsidR="00823A0D" w:rsidRPr="00F93096" w:rsidRDefault="00981F0C">
      <w:pPr>
        <w:pStyle w:val="NormalWeb"/>
      </w:pPr>
      <w:r w:rsidRPr="00F93096">
        <w:t xml:space="preserve">Fig 5 represent what </w:t>
      </w:r>
      <w:proofErr w:type="gramStart"/>
      <w:r w:rsidRPr="00F93096">
        <w:t>specifications  need</w:t>
      </w:r>
      <w:proofErr w:type="gramEnd"/>
      <w:r w:rsidRPr="00F93096">
        <w:t xml:space="preserve"> to be checked before injecting insulin </w:t>
      </w:r>
    </w:p>
    <w:p w14:paraId="16250E5F" w14:textId="77777777" w:rsidR="00823A0D" w:rsidRPr="00F93096" w:rsidRDefault="00981F0C">
      <w:pPr>
        <w:pStyle w:val="NormalWeb"/>
      </w:pPr>
      <w:r w:rsidRPr="00F93096">
        <w:t>During pregnancy, there should be no change in insulin site or technique in the first trimester. In the second trimester, insulin can be injected into the lateral parts of the abdomen, avoiding the skin overlying the fetus. In the third trimester, insulin can be injected into the lateral abdomen while ensuring proper skin fold elevation. Alternative injection sites for apprehensive patients include the thigh, upper arm, or buttock.</w:t>
      </w:r>
    </w:p>
    <w:p w14:paraId="2364E205" w14:textId="77777777" w:rsidR="00F93096" w:rsidRDefault="00981F0C">
      <w:pPr>
        <w:pStyle w:val="NormalWeb"/>
      </w:pPr>
      <w:r w:rsidRPr="00F93096">
        <w:rPr>
          <w:noProof/>
        </w:rPr>
        <w:drawing>
          <wp:inline distT="0" distB="0" distL="114300" distR="114300" wp14:anchorId="4D902B5E" wp14:editId="2EDC91C3">
            <wp:extent cx="3665855" cy="1545590"/>
            <wp:effectExtent l="0" t="0" r="6985" b="889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1"/>
                    <pic:cNvPicPr>
                      <a:picLocks noChangeAspect="1"/>
                    </pic:cNvPicPr>
                  </pic:nvPicPr>
                  <pic:blipFill>
                    <a:blip r:embed="rId12"/>
                    <a:stretch>
                      <a:fillRect/>
                    </a:stretch>
                  </pic:blipFill>
                  <pic:spPr>
                    <a:xfrm>
                      <a:off x="0" y="0"/>
                      <a:ext cx="3665855" cy="1545590"/>
                    </a:xfrm>
                    <a:prstGeom prst="rect">
                      <a:avLst/>
                    </a:prstGeom>
                    <a:noFill/>
                    <a:ln>
                      <a:noFill/>
                    </a:ln>
                  </pic:spPr>
                </pic:pic>
              </a:graphicData>
            </a:graphic>
          </wp:inline>
        </w:drawing>
      </w:r>
    </w:p>
    <w:p w14:paraId="2E0E4DC3" w14:textId="77777777" w:rsidR="00F93096" w:rsidRDefault="00F93096" w:rsidP="00F93096">
      <w:pPr>
        <w:pStyle w:val="NormalWeb"/>
      </w:pPr>
      <w:r w:rsidRPr="00F93096">
        <w:t xml:space="preserve">Fig 6 shows method of </w:t>
      </w:r>
      <w:proofErr w:type="spellStart"/>
      <w:r w:rsidRPr="00F93096">
        <w:t>repsuspension</w:t>
      </w:r>
      <w:proofErr w:type="spellEnd"/>
      <w:r w:rsidRPr="00F93096">
        <w:t xml:space="preserve"> of cloudy insulin           </w:t>
      </w:r>
    </w:p>
    <w:p w14:paraId="56212E1C" w14:textId="77777777" w:rsidR="00F93096" w:rsidRDefault="00F93096">
      <w:pPr>
        <w:pStyle w:val="NormalWeb"/>
      </w:pPr>
    </w:p>
    <w:p w14:paraId="26A51739" w14:textId="20F2F31A" w:rsidR="00823A0D" w:rsidRPr="00F93096" w:rsidRDefault="00981F0C">
      <w:pPr>
        <w:pStyle w:val="NormalWeb"/>
      </w:pPr>
      <w:r w:rsidRPr="00F93096">
        <w:rPr>
          <w:noProof/>
        </w:rPr>
        <w:drawing>
          <wp:inline distT="0" distB="0" distL="114300" distR="114300" wp14:anchorId="5ED0ACCC" wp14:editId="0681E87A">
            <wp:extent cx="3197225" cy="1875790"/>
            <wp:effectExtent l="53975" t="38735" r="116840" b="112395"/>
            <wp:docPr id="24"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4" name="Content Placeholder 4"/>
                    <pic:cNvPicPr>
                      <a:picLocks noGrp="1" noChangeAspect="1"/>
                    </pic:cNvPicPr>
                  </pic:nvPicPr>
                  <pic:blipFill>
                    <a:blip r:embed="rId13"/>
                    <a:srcRect l="2583" r="3749" b="22054"/>
                    <a:stretch>
                      <a:fillRect/>
                    </a:stretch>
                  </pic:blipFill>
                  <pic:spPr>
                    <a:xfrm>
                      <a:off x="0" y="0"/>
                      <a:ext cx="3197225" cy="1875790"/>
                    </a:xfrm>
                    <a:prstGeom prst="rect">
                      <a:avLst/>
                    </a:prstGeom>
                    <a:ln w="38100" cap="sq">
                      <a:solidFill>
                        <a:srgbClr val="000000"/>
                      </a:solidFill>
                      <a:prstDash val="solid"/>
                      <a:miter lim="800000"/>
                      <a:headEnd/>
                      <a:tailEnd/>
                    </a:ln>
                    <a:effectLst>
                      <a:outerShdw blurRad="50800" dist="38100" dir="2700000" algn="tl" rotWithShape="0">
                        <a:srgbClr val="000000">
                          <a:alpha val="43000"/>
                        </a:srgbClr>
                      </a:outerShdw>
                    </a:effectLst>
                  </pic:spPr>
                </pic:pic>
              </a:graphicData>
            </a:graphic>
          </wp:inline>
        </w:drawing>
      </w:r>
    </w:p>
    <w:p w14:paraId="2678AED7" w14:textId="6D24342F" w:rsidR="00823A0D" w:rsidRPr="00F93096" w:rsidRDefault="00981F0C">
      <w:pPr>
        <w:pStyle w:val="NormalWeb"/>
      </w:pPr>
      <w:r w:rsidRPr="00F93096">
        <w:t xml:space="preserve">fig 7 shows right tissue space to inject insulin </w:t>
      </w:r>
    </w:p>
    <w:p w14:paraId="7ED82C5E" w14:textId="77777777" w:rsidR="00823A0D" w:rsidRPr="00F93096" w:rsidRDefault="00981F0C">
      <w:pPr>
        <w:pStyle w:val="NormalWeb"/>
      </w:pPr>
      <w:proofErr w:type="spellStart"/>
      <w:r w:rsidRPr="00F93096">
        <w:lastRenderedPageBreak/>
        <w:t>Lipohypertrophy</w:t>
      </w:r>
      <w:proofErr w:type="spellEnd"/>
      <w:r w:rsidRPr="00F93096">
        <w:fldChar w:fldCharType="begin"/>
      </w:r>
      <w:r w:rsidRPr="00F93096">
        <w:instrText xml:space="preserve"> ADDIN ZOTERO_ITEM CSL_CITATION {"citationID":"wLXBdieL","properties":{"formattedCitation":"(5)","plainCitation":"(5)","noteIndex":0},"citationItems":[{"id":105,"uris":["http://zotero.org/users/local/gF7lYIrV/items/BUXEXZUV"],"itemData":{"id":105,"type":"article-journal","abstract":"Lipohypertrophy is an important insulin injection site reaction, which has clinically significant sequelae, including a greater risk of glycaemic variability and higher insulin dose requirement. This article describes the prevention of lipohypertrophy, using the concept of levels of prevention. It enumerates methods of primordial, primary, secondary, tertiary and quaternary prevention of lipohypertrophy. Focus on patient education, site rotation, avoidance of needle reuse, and dose titration when shifting from injection in lipohypertrophic lesions to normal subcutaneous tissue, helps minimize the development and impact of lipohypertrophy.","container-title":"JPMA. The Journal of the Pakistan Medical Association","ISSN":"0030-9982","issue":"7","journalAbbreviation":"J Pak Med Assoc","language":"eng","note":"PMID: 27427150","page":"910-911","source":"PubMed","title":"Prevention of lipohypertrophy","volume":"66","author":[{"family":"Kalra","given":"Sanjay"},{"family":"Kumar","given":"Arun"},{"family":"Gupta","given":"Yashdeep"}],"issued":{"date-parts":[["2016",7]]}}}],"schema":"https://github.com/citation-style-language/schema/raw/master/csl-citation.json"} </w:instrText>
      </w:r>
      <w:r w:rsidRPr="00F93096">
        <w:fldChar w:fldCharType="separate"/>
      </w:r>
      <w:r w:rsidRPr="00F93096">
        <w:t>(5)</w:t>
      </w:r>
      <w:r w:rsidRPr="00F93096">
        <w:fldChar w:fldCharType="end"/>
      </w:r>
      <w:r w:rsidRPr="00F93096">
        <w:t xml:space="preserve"> presents as thick, soft to firm swelling with a rubbery consistency at insulin injection sites, typically due to repeated needle reuse. It may appear as raised swelling that cannot be pinched together. Inspections reveal large LH sites, while others may only be evident upon palpation. A significant proportion of patients with LH experience unexplained hypoglycemia and glycemic variability. Regular inspection of injection sites is crucial, and patients should be trained to detect </w:t>
      </w:r>
      <w:proofErr w:type="spellStart"/>
      <w:r w:rsidRPr="00F93096">
        <w:t>lipohypertrophy</w:t>
      </w:r>
      <w:proofErr w:type="spellEnd"/>
      <w:r w:rsidRPr="00F93096">
        <w:t xml:space="preserve"> themselves. Ultrasonography can aid in LH detection, especially when visual examination and palpation are inconclusive, and histopathological examination may be necessary for differentiation from insulin-derived amyloidosis.</w:t>
      </w:r>
      <w:r w:rsidRPr="00F93096">
        <w:fldChar w:fldCharType="begin"/>
      </w:r>
      <w:r w:rsidRPr="00F93096">
        <w:instrText xml:space="preserve"> ADDIN ZOTERO_ITEM CSL_CITATION {"citationID":"hYov6tTW","properties":{"formattedCitation":"(9)","plainCitation":"(9)","noteIndex":0},"citationItems":[{"id":115,"uris":["http://zotero.org/users/local/gF7lYIrV/items/DKH9QU65"],"itemData":{"id":115,"type":"article-journal","container-title":"JAAD case reports","DOI":"10.1016/j.jdcr.2020.02.011","ISSN":"2352-5126","issue":"4","journalAbbreviation":"JAAD Case Rep","language":"eng","note":"PMID: 32258319\nPMCID: PMC7103663","page":"351-353","source":"PubMed","title":"Insulin-derived amyloidosis: The insulin ball, amyloidoma","title-short":"Insulin-derived amyloidosis","volume":"6","author":[{"family":"Samlaska","given":"Curt"},{"family":"Reber","given":"Sara"},{"family":"Murry","given":"Todd"}],"issued":{"date-parts":[["2020",4]]}}}],"schema":"https://github.com/citation-style-language/schema/raw/master/csl-citation.json"} </w:instrText>
      </w:r>
      <w:r w:rsidRPr="00F93096">
        <w:fldChar w:fldCharType="separate"/>
      </w:r>
      <w:r w:rsidRPr="00F93096">
        <w:t>(9)</w:t>
      </w:r>
      <w:r w:rsidRPr="00F93096">
        <w:fldChar w:fldCharType="end"/>
      </w:r>
    </w:p>
    <w:p w14:paraId="462B102E" w14:textId="77777777" w:rsidR="00823A0D" w:rsidRPr="00F93096" w:rsidRDefault="00981F0C">
      <w:pPr>
        <w:pStyle w:val="NormalWeb"/>
      </w:pPr>
      <w:r w:rsidRPr="00F93096">
        <w:rPr>
          <w:noProof/>
        </w:rPr>
        <w:drawing>
          <wp:inline distT="0" distB="0" distL="114300" distR="114300" wp14:anchorId="40C0460B" wp14:editId="2B4BF6E7">
            <wp:extent cx="4972685" cy="2036445"/>
            <wp:effectExtent l="0" t="0" r="10795" b="5715"/>
            <wp:docPr id="21" name="Content Placeholder 4"/>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1" name="Content Placeholder 4"/>
                    <pic:cNvPicPr>
                      <a:picLocks noGrp="1" noChangeAspect="1"/>
                    </pic:cNvPicPr>
                  </pic:nvPicPr>
                  <pic:blipFill>
                    <a:blip r:embed="rId14"/>
                    <a:stretch>
                      <a:fillRect/>
                    </a:stretch>
                  </pic:blipFill>
                  <pic:spPr>
                    <a:xfrm>
                      <a:off x="0" y="0"/>
                      <a:ext cx="4972685" cy="2036445"/>
                    </a:xfrm>
                    <a:prstGeom prst="rect">
                      <a:avLst/>
                    </a:prstGeom>
                  </pic:spPr>
                </pic:pic>
              </a:graphicData>
            </a:graphic>
          </wp:inline>
        </w:drawing>
      </w:r>
    </w:p>
    <w:p w14:paraId="7D187C44" w14:textId="77777777" w:rsidR="00823A0D" w:rsidRPr="00F93096" w:rsidRDefault="00981F0C">
      <w:pPr>
        <w:pStyle w:val="NormalWeb"/>
      </w:pPr>
      <w:r w:rsidRPr="00F93096">
        <w:t xml:space="preserve">Fig 8 </w:t>
      </w:r>
      <w:proofErr w:type="gramStart"/>
      <w:r w:rsidRPr="00F93096">
        <w:t>represent</w:t>
      </w:r>
      <w:proofErr w:type="gramEnd"/>
      <w:r w:rsidRPr="00F93096">
        <w:t xml:space="preserve"> levels of prevention of </w:t>
      </w:r>
      <w:proofErr w:type="spellStart"/>
      <w:r w:rsidRPr="00F93096">
        <w:t>lipohypertrophy</w:t>
      </w:r>
      <w:proofErr w:type="spellEnd"/>
    </w:p>
    <w:p w14:paraId="2F642874" w14:textId="77777777" w:rsidR="00823A0D" w:rsidRPr="00F93096" w:rsidRDefault="00823A0D">
      <w:pPr>
        <w:pStyle w:val="NormalWeb"/>
      </w:pPr>
    </w:p>
    <w:p w14:paraId="3070A569" w14:textId="77777777" w:rsidR="00823A0D" w:rsidRPr="00F93096" w:rsidRDefault="00981F0C">
      <w:pPr>
        <w:pStyle w:val="NormalWeb"/>
      </w:pPr>
      <w:r w:rsidRPr="00F93096">
        <w:rPr>
          <w:noProof/>
        </w:rPr>
        <w:drawing>
          <wp:inline distT="0" distB="0" distL="114300" distR="114300" wp14:anchorId="1C4BCCC5" wp14:editId="22FB54AB">
            <wp:extent cx="4866005" cy="3444240"/>
            <wp:effectExtent l="0" t="0" r="10795" b="0"/>
            <wp:docPr id="23" name="Picture 4" descr="A picture containing refrigerato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4" descr="A picture containing refrigerator&#10;&#10;Description automatically generated"/>
                    <pic:cNvPicPr>
                      <a:picLocks noChangeAspect="1"/>
                    </pic:cNvPicPr>
                  </pic:nvPicPr>
                  <pic:blipFill>
                    <a:blip r:embed="rId15"/>
                    <a:srcRect l="66945" t="5381" r="18550" b="84204"/>
                    <a:stretch>
                      <a:fillRect/>
                    </a:stretch>
                  </pic:blipFill>
                  <pic:spPr>
                    <a:xfrm>
                      <a:off x="0" y="0"/>
                      <a:ext cx="4866005" cy="3444240"/>
                    </a:xfrm>
                    <a:prstGeom prst="rect">
                      <a:avLst/>
                    </a:prstGeom>
                  </pic:spPr>
                </pic:pic>
              </a:graphicData>
            </a:graphic>
          </wp:inline>
        </w:drawing>
      </w:r>
    </w:p>
    <w:p w14:paraId="6C867A9E" w14:textId="77777777" w:rsidR="00823A0D" w:rsidRPr="00F93096" w:rsidRDefault="00981F0C">
      <w:pPr>
        <w:pStyle w:val="NormalWeb"/>
      </w:pPr>
      <w:r w:rsidRPr="00F93096">
        <w:lastRenderedPageBreak/>
        <w:t xml:space="preserve">Fig 9 </w:t>
      </w:r>
      <w:proofErr w:type="gramStart"/>
      <w:r w:rsidRPr="00F93096">
        <w:t>represent</w:t>
      </w:r>
      <w:proofErr w:type="gramEnd"/>
      <w:r w:rsidRPr="00F93096">
        <w:t xml:space="preserve"> sites of </w:t>
      </w:r>
      <w:proofErr w:type="spellStart"/>
      <w:r w:rsidRPr="00F93096">
        <w:t>lipohypertrophy</w:t>
      </w:r>
      <w:proofErr w:type="spellEnd"/>
      <w:r w:rsidRPr="00F93096">
        <w:t xml:space="preserve"> post injection </w:t>
      </w:r>
      <w:proofErr w:type="spellStart"/>
      <w:r w:rsidRPr="00F93096">
        <w:t>injection</w:t>
      </w:r>
      <w:proofErr w:type="spellEnd"/>
    </w:p>
    <w:p w14:paraId="7E1AF88E" w14:textId="77777777" w:rsidR="00823A0D" w:rsidRPr="00F93096" w:rsidRDefault="00981F0C">
      <w:pPr>
        <w:pStyle w:val="NormalWeb"/>
      </w:pPr>
      <w:r w:rsidRPr="00F93096">
        <w:t xml:space="preserve">Timely detection of hypoglycemia is critical for improving quality of life and preventing complications. Despite advancements in insulin pumps and continuous glucose monitoring (CGM), only a third of individuals achieve desired glycemic targets. Calculating basal insulin is simpler than bolus insulin doses due to variability in food intake. Scientific methods such as carbohydrate counting and insulin-to-carbohydrate ratios help calculate bolus doses for optimal control, aiming to prevent </w:t>
      </w:r>
      <w:proofErr w:type="gramStart"/>
      <w:r w:rsidRPr="00F93096">
        <w:t>hypoglycemia  and</w:t>
      </w:r>
      <w:proofErr w:type="gramEnd"/>
      <w:r w:rsidRPr="00F93096">
        <w:t xml:space="preserve"> achieving target glucose levels .</w:t>
      </w:r>
    </w:p>
    <w:p w14:paraId="6BBE54D9" w14:textId="77777777" w:rsidR="00823A0D" w:rsidRPr="00F93096" w:rsidRDefault="00823A0D">
      <w:pPr>
        <w:pStyle w:val="NormalWeb"/>
      </w:pPr>
    </w:p>
    <w:p w14:paraId="7FC9ED02" w14:textId="77777777" w:rsidR="00823A0D" w:rsidRPr="00F93096" w:rsidRDefault="00981F0C">
      <w:pPr>
        <w:pStyle w:val="NormalWeb"/>
      </w:pPr>
      <w:r w:rsidRPr="00F93096">
        <w:rPr>
          <w:noProof/>
        </w:rPr>
        <w:drawing>
          <wp:inline distT="0" distB="0" distL="114300" distR="114300" wp14:anchorId="1EEBF951" wp14:editId="5DC8600E">
            <wp:extent cx="5683250" cy="1805940"/>
            <wp:effectExtent l="0" t="0" r="1270" b="7620"/>
            <wp:docPr id="19" name="Picture 2" descr="Slide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2" descr="Slide15"/>
                    <pic:cNvPicPr>
                      <a:picLocks noChangeAspect="1" noChangeArrowheads="1"/>
                    </pic:cNvPicPr>
                  </pic:nvPicPr>
                  <pic:blipFill>
                    <a:blip r:embed="rId16">
                      <a:extLst>
                        <a:ext uri="{28A0092B-C50C-407E-A947-70E740481C1C}">
                          <a14:useLocalDpi xmlns:a14="http://schemas.microsoft.com/office/drawing/2010/main" val="0"/>
                        </a:ext>
                      </a:extLst>
                    </a:blip>
                    <a:srcRect l="12347" t="29247" b="14690"/>
                    <a:stretch>
                      <a:fillRect/>
                    </a:stretch>
                  </pic:blipFill>
                  <pic:spPr>
                    <a:xfrm>
                      <a:off x="0" y="0"/>
                      <a:ext cx="5683250" cy="1805940"/>
                    </a:xfrm>
                    <a:prstGeom prst="rect">
                      <a:avLst/>
                    </a:prstGeom>
                    <a:noFill/>
                    <a:ln>
                      <a:noFill/>
                    </a:ln>
                  </pic:spPr>
                </pic:pic>
              </a:graphicData>
            </a:graphic>
          </wp:inline>
        </w:drawing>
      </w:r>
    </w:p>
    <w:p w14:paraId="00966063" w14:textId="77777777" w:rsidR="00823A0D" w:rsidRPr="00F93096" w:rsidRDefault="00981F0C">
      <w:pPr>
        <w:pStyle w:val="NormalWeb"/>
      </w:pPr>
      <w:r w:rsidRPr="00F93096">
        <w:rPr>
          <w:noProof/>
        </w:rPr>
        <mc:AlternateContent>
          <mc:Choice Requires="wps">
            <w:drawing>
              <wp:anchor distT="0" distB="0" distL="114300" distR="114300" simplePos="0" relativeHeight="251667456" behindDoc="0" locked="0" layoutInCell="1" allowOverlap="1" wp14:anchorId="6B19EBCD" wp14:editId="5C77F4D5">
                <wp:simplePos x="0" y="0"/>
                <wp:positionH relativeFrom="column">
                  <wp:posOffset>1104265</wp:posOffset>
                </wp:positionH>
                <wp:positionV relativeFrom="paragraph">
                  <wp:posOffset>261620</wp:posOffset>
                </wp:positionV>
                <wp:extent cx="4246245" cy="262255"/>
                <wp:effectExtent l="4445" t="4445" r="16510" b="7620"/>
                <wp:wrapNone/>
                <wp:docPr id="20" name="Text Box 20"/>
                <wp:cNvGraphicFramePr/>
                <a:graphic xmlns:a="http://schemas.openxmlformats.org/drawingml/2006/main">
                  <a:graphicData uri="http://schemas.microsoft.com/office/word/2010/wordprocessingShape">
                    <wps:wsp>
                      <wps:cNvSpPr txBox="1"/>
                      <wps:spPr>
                        <a:xfrm>
                          <a:off x="2546350" y="5504815"/>
                          <a:ext cx="4246245" cy="26225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14:paraId="38476CD7" w14:textId="77777777" w:rsidR="00823A0D" w:rsidRDefault="00981F0C">
                            <w:pPr>
                              <w:rPr>
                                <w:sz w:val="21"/>
                                <w:szCs w:val="21"/>
                              </w:rPr>
                            </w:pPr>
                            <w:r>
                              <w:rPr>
                                <w:sz w:val="21"/>
                                <w:szCs w:val="21"/>
                              </w:rPr>
                              <w:t>ORDER OF RATE OF ABSORPTION ABDOMEN &gt;ARM&gt;THIGH&gt;BUTTOCK</w:t>
                            </w:r>
                          </w:p>
                          <w:p w14:paraId="27274362" w14:textId="77777777" w:rsidR="00823A0D" w:rsidRDefault="00981F0C">
                            <w:pPr>
                              <w:rPr>
                                <w:sz w:val="21"/>
                                <w:szCs w:val="21"/>
                              </w:rPr>
                            </w:pPr>
                            <w:r>
                              <w:rPr>
                                <w:sz w:val="21"/>
                                <w:szCs w:val="21"/>
                              </w:rPr>
                              <w:t>ABDADD</w:t>
                            </w:r>
                          </w:p>
                          <w:p w14:paraId="2850C0D3" w14:textId="77777777" w:rsidR="00823A0D" w:rsidRDefault="00823A0D">
                            <w:pPr>
                              <w:rPr>
                                <w:sz w:val="21"/>
                                <w:szCs w:val="21"/>
                              </w:rPr>
                            </w:pPr>
                          </w:p>
                          <w:p w14:paraId="3D02174C" w14:textId="77777777" w:rsidR="00823A0D" w:rsidRDefault="00823A0D">
                            <w:pPr>
                              <w:rPr>
                                <w:sz w:val="21"/>
                                <w:szCs w:val="21"/>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6B19EBCD" id="_x0000_t202" coordsize="21600,21600" o:spt="202" path="m,l,21600r21600,l21600,xe">
                <v:stroke joinstyle="miter"/>
                <v:path gradientshapeok="t" o:connecttype="rect"/>
              </v:shapetype>
              <v:shape id="Text Box 20" o:spid="_x0000_s1026" type="#_x0000_t202" style="position:absolute;margin-left:86.95pt;margin-top:20.6pt;width:334.35pt;height:20.65pt;z-index:25166745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" fillcolor="white [3201]" strokeweight=".5pt">
                <v:textbox>
                  <w:txbxContent>
                    <w:p w14:paraId="38476CD7" w14:textId="77777777" w:rsidR="00823A0D" w:rsidRDefault="00981F0C">
                      <w:pPr>
                        <w:rPr>
                          <w:sz w:val="21"/>
                          <w:szCs w:val="21"/>
                        </w:rPr>
                      </w:pPr>
                      <w:r>
                        <w:rPr>
                          <w:sz w:val="21"/>
                          <w:szCs w:val="21"/>
                        </w:rPr>
                        <w:t>ORDER OF RATE OF ABSORPTION ABDOMEN &gt;ARM&gt;THIGH&gt;BUTTOCK</w:t>
                      </w:r>
                    </w:p>
                    <w:p w14:paraId="27274362" w14:textId="77777777" w:rsidR="00823A0D" w:rsidRDefault="00981F0C">
                      <w:pPr>
                        <w:rPr>
                          <w:sz w:val="21"/>
                          <w:szCs w:val="21"/>
                        </w:rPr>
                      </w:pPr>
                      <w:r>
                        <w:rPr>
                          <w:sz w:val="21"/>
                          <w:szCs w:val="21"/>
                        </w:rPr>
                        <w:t>ABDADD</w:t>
                      </w:r>
                    </w:p>
                    <w:p w14:paraId="2850C0D3" w14:textId="77777777" w:rsidR="00823A0D" w:rsidRDefault="00823A0D">
                      <w:pPr>
                        <w:rPr>
                          <w:sz w:val="21"/>
                          <w:szCs w:val="21"/>
                        </w:rPr>
                      </w:pPr>
                    </w:p>
                    <w:p w14:paraId="3D02174C" w14:textId="77777777" w:rsidR="00823A0D" w:rsidRDefault="00823A0D">
                      <w:pPr>
                        <w:rPr>
                          <w:sz w:val="21"/>
                          <w:szCs w:val="21"/>
                        </w:rPr>
                      </w:pPr>
                    </w:p>
                  </w:txbxContent>
                </v:textbox>
              </v:shape>
            </w:pict>
          </mc:Fallback>
        </mc:AlternateContent>
      </w:r>
      <w:r w:rsidRPr="00F93096">
        <w:t xml:space="preserve">Fig 10 represent sites of insulin injection </w:t>
      </w:r>
      <w:r w:rsidRPr="00F93096">
        <w:fldChar w:fldCharType="begin"/>
      </w:r>
      <w:r w:rsidRPr="00F93096">
        <w:instrText xml:space="preserve"> ADDIN ZOTERO_ITEM CSL_CITATION {"citationID":"TeiSjKnn","properties":{"formattedCitation":"(10)","plainCitation":"(10)","noteIndex":0},"citationItems":[{"id":118,"uris":["http://zotero.org/users/local/gF7lYIrV/items/LL6ULUJI"],"itemData":{"id":118,"type":"article-journal","abstract":"IN BRIEF To be consistently effective, insulin must be delivered into subcutaneous tissue. If insulin is delivered intramuscularly, its uptake and action become variably faster, leading to suboptimal, inconsistent glucose control. The best strategy to avoid intramuscular injection is to use the shortest needles available. Injection sites should be rotated systematically to prevent lipohypertrophy, which also substantially affects insulin uptake and action. New evidence-based insulin delivery recommendations are available, and awareness of them should lead to more effective use of insulin therapy, improved clinical outcomes, and considerable cost savings.","container-title":"Clinical Diabetes: A Publication of the American Diabetes Association","DOI":"10.2337/cd18-0076","ISSN":"0891-8929","issue":"3","journalAbbreviation":"Clin Diabetes","language":"eng","note":"PMID: 31371853\nPMCID: PMC6640874","page":"227-233","source":"PubMed","title":"The Injection Technique Factor: What You Don't Know or Teach Can Make a Difference","title-short":"The Injection Technique Factor","volume":"37","author":[{"family":"Hirsch","given":"Laurence J."},{"family":"Strauss","given":"Kenneth W."}],"issued":{"date-parts":[["2019",7]]}}}],"schema":"https://github.com/citation-style-language/schema/raw/master/csl-citation.json"} </w:instrText>
      </w:r>
      <w:r w:rsidRPr="00F93096">
        <w:fldChar w:fldCharType="separate"/>
      </w:r>
      <w:r w:rsidRPr="00F93096">
        <w:t>(10)</w:t>
      </w:r>
      <w:r w:rsidRPr="00F93096">
        <w:fldChar w:fldCharType="end"/>
      </w:r>
    </w:p>
    <w:p w14:paraId="23FC76C8" w14:textId="77777777" w:rsidR="00823A0D" w:rsidRPr="00F93096" w:rsidRDefault="00823A0D">
      <w:pPr>
        <w:pStyle w:val="NormalWeb"/>
        <w:rPr>
          <w:rFonts w:eastAsia="SimSun"/>
        </w:rPr>
      </w:pPr>
    </w:p>
    <w:p w14:paraId="27658EB5" w14:textId="77777777" w:rsidR="00823A0D" w:rsidRPr="00F93096" w:rsidRDefault="00981F0C">
      <w:pPr>
        <w:pStyle w:val="NormalWeb"/>
        <w:rPr>
          <w:rFonts w:eastAsia="SimSun"/>
        </w:rPr>
      </w:pPr>
      <w:r w:rsidRPr="00F93096">
        <w:rPr>
          <w:rFonts w:eastAsia="SimSun"/>
        </w:rPr>
        <w:t>Manual bolus calculations can be laborious, leading to the adoption of empirical doses. However, relying on empirical doses can result in errors and adverse clinical outcomes. Automated bolus advisors offer a solution by automatically quantifying bolus insulin dosages, incorporating factors such as carbohydrate intake and addressing abnormal blood glucose levels based on individualized insulin parameters. When setting bolus dose calculations, several factors are considered on an individual basis, including the insulin-to-carbohydrate ratio (ICR), insulin sensitivity (correction factor), target blood glucose levels, and active insulin time (insulin on board). Therefore, ensuring the correct use and method of insulin injections is crucial for achieving glycemic control in diabetes mellitus.</w:t>
      </w:r>
    </w:p>
    <w:p w14:paraId="7E206FA2" w14:textId="77777777" w:rsidR="00823A0D" w:rsidRPr="00F93096" w:rsidRDefault="00823A0D">
      <w:pPr>
        <w:pStyle w:val="NormalWeb"/>
        <w:rPr>
          <w:rFonts w:eastAsia="SimSun"/>
        </w:rPr>
      </w:pPr>
    </w:p>
    <w:p w14:paraId="3D67930C" w14:textId="77777777" w:rsidR="00823A0D" w:rsidRPr="00F93096" w:rsidRDefault="00823A0D">
      <w:pPr>
        <w:pStyle w:val="NormalWeb"/>
        <w:rPr>
          <w:rFonts w:eastAsia="SimSun"/>
        </w:rPr>
      </w:pPr>
    </w:p>
    <w:p w14:paraId="498118E3" w14:textId="77777777" w:rsidR="00823A0D" w:rsidRPr="00F93096" w:rsidRDefault="00981F0C">
      <w:pPr>
        <w:pStyle w:val="NormalWeb"/>
        <w:rPr>
          <w:rFonts w:eastAsia="SimSun"/>
        </w:rPr>
      </w:pPr>
      <w:r w:rsidRPr="00F93096">
        <w:rPr>
          <w:rFonts w:eastAsia="SimSun"/>
        </w:rPr>
        <w:t>REFERENCES</w:t>
      </w:r>
    </w:p>
    <w:p w14:paraId="78A49B05" w14:textId="77777777" w:rsidR="00823A0D" w:rsidRPr="00F93096" w:rsidRDefault="00981F0C">
      <w:pPr>
        <w:pStyle w:val="Bibliography1"/>
        <w:rPr>
          <w:rFonts w:ascii="Times New Roman" w:hAnsi="Times New Roman" w:cs="Times New Roman"/>
          <w:sz w:val="24"/>
          <w:szCs w:val="24"/>
        </w:rPr>
      </w:pPr>
      <w:r w:rsidRPr="00F93096">
        <w:rPr>
          <w:rFonts w:ascii="Times New Roman" w:eastAsia="SimSun" w:hAnsi="Times New Roman" w:cs="Times New Roman"/>
          <w:sz w:val="24"/>
          <w:szCs w:val="24"/>
        </w:rPr>
        <w:fldChar w:fldCharType="begin"/>
      </w:r>
      <w:r w:rsidRPr="00F93096">
        <w:rPr>
          <w:rFonts w:ascii="Times New Roman" w:eastAsia="SimSun" w:hAnsi="Times New Roman" w:cs="Times New Roman"/>
          <w:sz w:val="24"/>
          <w:szCs w:val="24"/>
        </w:rPr>
        <w:instrText xml:space="preserve"> ADDIN ZOTERO_BIBL {"uncited":[],"omitted":[],"custom":[]} CSL_BIBLIOGRAPHY </w:instrText>
      </w:r>
      <w:r w:rsidRPr="00F93096">
        <w:rPr>
          <w:rFonts w:ascii="Times New Roman" w:eastAsia="SimSun" w:hAnsi="Times New Roman" w:cs="Times New Roman"/>
          <w:sz w:val="24"/>
          <w:szCs w:val="24"/>
        </w:rPr>
        <w:fldChar w:fldCharType="separate"/>
      </w:r>
      <w:r w:rsidRPr="00F93096">
        <w:rPr>
          <w:rFonts w:ascii="Times New Roman" w:hAnsi="Times New Roman" w:cs="Times New Roman"/>
          <w:sz w:val="24"/>
          <w:szCs w:val="24"/>
        </w:rPr>
        <w:t>1.</w:t>
      </w:r>
      <w:r w:rsidRPr="00F93096">
        <w:rPr>
          <w:rFonts w:ascii="Times New Roman" w:hAnsi="Times New Roman" w:cs="Times New Roman"/>
          <w:sz w:val="24"/>
          <w:szCs w:val="24"/>
        </w:rPr>
        <w:tab/>
        <w:t xml:space="preserve">Diabetes Prevention Trial--Type 1 Diabetes Study Group. Effects of insulin in relatives of patients with type 1 diabetes mellitus. N Engl J Med. 2002 May 30;346(22):1685–91. </w:t>
      </w:r>
    </w:p>
    <w:p w14:paraId="5DDC17DC" w14:textId="77777777" w:rsidR="00823A0D" w:rsidRPr="00F93096" w:rsidRDefault="00981F0C">
      <w:pPr>
        <w:pStyle w:val="Bibliography1"/>
        <w:rPr>
          <w:rFonts w:ascii="Times New Roman" w:hAnsi="Times New Roman" w:cs="Times New Roman"/>
          <w:sz w:val="24"/>
          <w:szCs w:val="24"/>
        </w:rPr>
      </w:pPr>
      <w:r w:rsidRPr="00F93096">
        <w:rPr>
          <w:rFonts w:ascii="Times New Roman" w:hAnsi="Times New Roman" w:cs="Times New Roman"/>
          <w:sz w:val="24"/>
          <w:szCs w:val="24"/>
        </w:rPr>
        <w:lastRenderedPageBreak/>
        <w:t>2.</w:t>
      </w:r>
      <w:r w:rsidRPr="00F93096">
        <w:rPr>
          <w:rFonts w:ascii="Times New Roman" w:hAnsi="Times New Roman" w:cs="Times New Roman"/>
          <w:sz w:val="24"/>
          <w:szCs w:val="24"/>
        </w:rPr>
        <w:tab/>
        <w:t xml:space="preserve">Tandon N, Kalra S, Balhara YPS, Baruah MP, Chadha M, Chandalia HB, et al. Forum for Injection Technique and Therapy Expert Recommendations, India: The Indian Recommendations for Best Practice in Insulin Injection Technique, 2017. Indian J Endocrinol Metab. 2017;21(4):600–17. </w:t>
      </w:r>
    </w:p>
    <w:p w14:paraId="5F8C354D" w14:textId="77777777" w:rsidR="00823A0D" w:rsidRPr="00F93096" w:rsidRDefault="00981F0C">
      <w:pPr>
        <w:pStyle w:val="Bibliography1"/>
        <w:rPr>
          <w:rFonts w:ascii="Times New Roman" w:hAnsi="Times New Roman" w:cs="Times New Roman"/>
          <w:sz w:val="24"/>
          <w:szCs w:val="24"/>
        </w:rPr>
      </w:pPr>
      <w:r w:rsidRPr="00F93096">
        <w:rPr>
          <w:rFonts w:ascii="Times New Roman" w:hAnsi="Times New Roman" w:cs="Times New Roman"/>
          <w:sz w:val="24"/>
          <w:szCs w:val="24"/>
        </w:rPr>
        <w:t>3.</w:t>
      </w:r>
      <w:r w:rsidRPr="00F93096">
        <w:rPr>
          <w:rFonts w:ascii="Times New Roman" w:hAnsi="Times New Roman" w:cs="Times New Roman"/>
          <w:sz w:val="24"/>
          <w:szCs w:val="24"/>
        </w:rPr>
        <w:tab/>
        <w:t xml:space="preserve">Swinnen SG, Hoekstra JB, DeVries JH. Insulin therapy for type 2 diabetes. Diabetes Care. 2009 Nov;32 Suppl 2(Suppl 2):S253-259. </w:t>
      </w:r>
    </w:p>
    <w:p w14:paraId="20E5B7C5" w14:textId="77777777" w:rsidR="00823A0D" w:rsidRPr="00F93096" w:rsidRDefault="00981F0C">
      <w:pPr>
        <w:pStyle w:val="Bibliography1"/>
        <w:rPr>
          <w:rFonts w:ascii="Times New Roman" w:hAnsi="Times New Roman" w:cs="Times New Roman"/>
          <w:sz w:val="24"/>
          <w:szCs w:val="24"/>
        </w:rPr>
      </w:pPr>
      <w:r w:rsidRPr="00F93096">
        <w:rPr>
          <w:rFonts w:ascii="Times New Roman" w:hAnsi="Times New Roman" w:cs="Times New Roman"/>
          <w:sz w:val="24"/>
          <w:szCs w:val="24"/>
        </w:rPr>
        <w:t>4.</w:t>
      </w:r>
      <w:r w:rsidRPr="00F93096">
        <w:rPr>
          <w:rFonts w:ascii="Times New Roman" w:hAnsi="Times New Roman" w:cs="Times New Roman"/>
          <w:sz w:val="24"/>
          <w:szCs w:val="24"/>
        </w:rPr>
        <w:tab/>
        <w:t xml:space="preserve">Frid AH, Hirsch LJ, Menchior AR, Morel DR, Strauss KW. Worldwide Injection Technique Questionnaire Study: Population Parameters and Injection Practices. Mayo Clin Proc. 2016 Sep;91(9):1212–23. </w:t>
      </w:r>
    </w:p>
    <w:p w14:paraId="27C7D084" w14:textId="77777777" w:rsidR="00823A0D" w:rsidRPr="00F93096" w:rsidRDefault="00981F0C">
      <w:pPr>
        <w:pStyle w:val="Bibliography1"/>
        <w:rPr>
          <w:rFonts w:ascii="Times New Roman" w:hAnsi="Times New Roman" w:cs="Times New Roman"/>
          <w:sz w:val="24"/>
          <w:szCs w:val="24"/>
        </w:rPr>
      </w:pPr>
      <w:r w:rsidRPr="00F93096">
        <w:rPr>
          <w:rFonts w:ascii="Times New Roman" w:hAnsi="Times New Roman" w:cs="Times New Roman"/>
          <w:sz w:val="24"/>
          <w:szCs w:val="24"/>
        </w:rPr>
        <w:t>5.</w:t>
      </w:r>
      <w:r w:rsidRPr="00F93096">
        <w:rPr>
          <w:rFonts w:ascii="Times New Roman" w:hAnsi="Times New Roman" w:cs="Times New Roman"/>
          <w:sz w:val="24"/>
          <w:szCs w:val="24"/>
        </w:rPr>
        <w:tab/>
        <w:t xml:space="preserve">Kalra S, Kumar A, Gupta Y. Prevention of lipohypertrophy. </w:t>
      </w:r>
      <w:r w:rsidRPr="00981F0C">
        <w:rPr>
          <w:rFonts w:ascii="Times New Roman" w:hAnsi="Times New Roman" w:cs="Times New Roman"/>
          <w:sz w:val="24"/>
          <w:szCs w:val="24"/>
          <w:lang w:val="nb-NO"/>
        </w:rPr>
        <w:t xml:space="preserve">JPMA J Pak Med Assoc. </w:t>
      </w:r>
      <w:r w:rsidRPr="00F93096">
        <w:rPr>
          <w:rFonts w:ascii="Times New Roman" w:hAnsi="Times New Roman" w:cs="Times New Roman"/>
          <w:sz w:val="24"/>
          <w:szCs w:val="24"/>
        </w:rPr>
        <w:t xml:space="preserve">2016 Jul;66(7):910–1. </w:t>
      </w:r>
    </w:p>
    <w:p w14:paraId="37972A86" w14:textId="77777777" w:rsidR="00823A0D" w:rsidRPr="00F93096" w:rsidRDefault="00981F0C">
      <w:pPr>
        <w:pStyle w:val="Bibliography1"/>
        <w:rPr>
          <w:rFonts w:ascii="Times New Roman" w:hAnsi="Times New Roman" w:cs="Times New Roman"/>
          <w:sz w:val="24"/>
          <w:szCs w:val="24"/>
        </w:rPr>
      </w:pPr>
      <w:r w:rsidRPr="00F93096">
        <w:rPr>
          <w:rFonts w:ascii="Times New Roman" w:hAnsi="Times New Roman" w:cs="Times New Roman"/>
          <w:sz w:val="24"/>
          <w:szCs w:val="24"/>
        </w:rPr>
        <w:t>6.</w:t>
      </w:r>
      <w:r w:rsidRPr="00F93096">
        <w:rPr>
          <w:rFonts w:ascii="Times New Roman" w:hAnsi="Times New Roman" w:cs="Times New Roman"/>
          <w:sz w:val="24"/>
          <w:szCs w:val="24"/>
        </w:rPr>
        <w:tab/>
        <w:t xml:space="preserve">Shah RB, Patel M, Maahs DM, Shah VN. Insulin delivery methods: Past, present and future. Int J Pharm Investig. 2016;6(1):1–9. </w:t>
      </w:r>
    </w:p>
    <w:p w14:paraId="3D4736F7" w14:textId="77777777" w:rsidR="00823A0D" w:rsidRPr="00F93096" w:rsidRDefault="00981F0C">
      <w:pPr>
        <w:pStyle w:val="Bibliography1"/>
        <w:rPr>
          <w:rFonts w:ascii="Times New Roman" w:hAnsi="Times New Roman" w:cs="Times New Roman"/>
          <w:sz w:val="24"/>
          <w:szCs w:val="24"/>
        </w:rPr>
      </w:pPr>
      <w:r w:rsidRPr="00F93096">
        <w:rPr>
          <w:rFonts w:ascii="Times New Roman" w:hAnsi="Times New Roman" w:cs="Times New Roman"/>
          <w:sz w:val="24"/>
          <w:szCs w:val="24"/>
        </w:rPr>
        <w:t>7.</w:t>
      </w:r>
      <w:r w:rsidRPr="00F93096">
        <w:rPr>
          <w:rFonts w:ascii="Times New Roman" w:hAnsi="Times New Roman" w:cs="Times New Roman"/>
          <w:sz w:val="24"/>
          <w:szCs w:val="24"/>
        </w:rPr>
        <w:tab/>
        <w:t xml:space="preserve">Frid A, Linde B. Intraregional differences in the absorption of unmodified insulin from the abdominal wall. Diabet Med J Br Diabet Assoc. 1992 Apr;9(3):236–9. </w:t>
      </w:r>
    </w:p>
    <w:p w14:paraId="701464DD" w14:textId="77777777" w:rsidR="00823A0D" w:rsidRPr="00F93096" w:rsidRDefault="00981F0C">
      <w:pPr>
        <w:pStyle w:val="Bibliography1"/>
        <w:rPr>
          <w:rFonts w:ascii="Times New Roman" w:hAnsi="Times New Roman" w:cs="Times New Roman"/>
          <w:sz w:val="24"/>
          <w:szCs w:val="24"/>
        </w:rPr>
      </w:pPr>
      <w:r w:rsidRPr="00F93096">
        <w:rPr>
          <w:rFonts w:ascii="Times New Roman" w:hAnsi="Times New Roman" w:cs="Times New Roman"/>
          <w:sz w:val="24"/>
          <w:szCs w:val="24"/>
        </w:rPr>
        <w:t>8.</w:t>
      </w:r>
      <w:r w:rsidRPr="00F93096">
        <w:rPr>
          <w:rFonts w:ascii="Times New Roman" w:hAnsi="Times New Roman" w:cs="Times New Roman"/>
          <w:sz w:val="24"/>
          <w:szCs w:val="24"/>
        </w:rPr>
        <w:tab/>
        <w:t xml:space="preserve">Torii-Goto A, Hirai K, Inukai Y, Hoshina Y, Shiomi K, Ito J, et al. Investigation of appropriate needle length considering skin thickness with the real injection posture for insulin injections in diabetic patients. J Pharm Health Care Sci. 2023 Jun 1;9(1):19. </w:t>
      </w:r>
    </w:p>
    <w:p w14:paraId="596E68E5" w14:textId="77777777" w:rsidR="00823A0D" w:rsidRPr="00F93096" w:rsidRDefault="00981F0C">
      <w:pPr>
        <w:pStyle w:val="Bibliography1"/>
        <w:rPr>
          <w:rFonts w:ascii="Times New Roman" w:hAnsi="Times New Roman" w:cs="Times New Roman"/>
          <w:sz w:val="24"/>
          <w:szCs w:val="24"/>
        </w:rPr>
      </w:pPr>
      <w:r w:rsidRPr="00F93096">
        <w:rPr>
          <w:rFonts w:ascii="Times New Roman" w:hAnsi="Times New Roman" w:cs="Times New Roman"/>
          <w:sz w:val="24"/>
          <w:szCs w:val="24"/>
        </w:rPr>
        <w:t>9.</w:t>
      </w:r>
      <w:r w:rsidRPr="00F93096">
        <w:rPr>
          <w:rFonts w:ascii="Times New Roman" w:hAnsi="Times New Roman" w:cs="Times New Roman"/>
          <w:sz w:val="24"/>
          <w:szCs w:val="24"/>
        </w:rPr>
        <w:tab/>
        <w:t xml:space="preserve">Samlaska C, Reber S, Murry T. Insulin-derived amyloidosis: The insulin ball, amyloidoma. JAAD Case Rep. 2020 Apr;6(4):351–3. </w:t>
      </w:r>
    </w:p>
    <w:p w14:paraId="7BBB07B5" w14:textId="77777777" w:rsidR="00823A0D" w:rsidRPr="00F93096" w:rsidRDefault="00981F0C">
      <w:pPr>
        <w:pStyle w:val="Bibliography1"/>
        <w:rPr>
          <w:rFonts w:ascii="Times New Roman" w:hAnsi="Times New Roman" w:cs="Times New Roman"/>
          <w:sz w:val="24"/>
          <w:szCs w:val="24"/>
        </w:rPr>
      </w:pPr>
      <w:r w:rsidRPr="00F93096">
        <w:rPr>
          <w:rFonts w:ascii="Times New Roman" w:hAnsi="Times New Roman" w:cs="Times New Roman"/>
          <w:sz w:val="24"/>
          <w:szCs w:val="24"/>
        </w:rPr>
        <w:t>10.</w:t>
      </w:r>
      <w:r w:rsidRPr="00F93096">
        <w:rPr>
          <w:rFonts w:ascii="Times New Roman" w:hAnsi="Times New Roman" w:cs="Times New Roman"/>
          <w:sz w:val="24"/>
          <w:szCs w:val="24"/>
        </w:rPr>
        <w:tab/>
        <w:t xml:space="preserve">Hirsch LJ, Strauss KW. The Injection Technique Factor: What You Don’t Know or Teach Can Make a Difference. Clin Diabetes Publ Am Diabetes Assoc. 2019 Jul;37(3):227–33. </w:t>
      </w:r>
    </w:p>
    <w:p w14:paraId="5123A7E2" w14:textId="77777777" w:rsidR="00823A0D" w:rsidRPr="00F93096" w:rsidRDefault="00981F0C">
      <w:pPr>
        <w:pStyle w:val="NormalWeb"/>
        <w:rPr>
          <w:rFonts w:eastAsia="SimSun"/>
        </w:rPr>
      </w:pPr>
      <w:r w:rsidRPr="00F93096">
        <w:rPr>
          <w:rFonts w:eastAsia="SimSun"/>
        </w:rPr>
        <w:fldChar w:fldCharType="end"/>
      </w:r>
    </w:p>
    <w:p w14:paraId="78984593" w14:textId="77777777" w:rsidR="00823A0D" w:rsidRPr="00F93096" w:rsidRDefault="00823A0D">
      <w:pPr>
        <w:rPr>
          <w:rFonts w:ascii="Times New Roman" w:hAnsi="Times New Roman" w:cs="Times New Roman"/>
          <w:sz w:val="24"/>
          <w:szCs w:val="24"/>
        </w:rPr>
      </w:pPr>
    </w:p>
    <w:p w14:paraId="04B20F3E" w14:textId="77777777" w:rsidR="00823A0D" w:rsidRPr="00F93096" w:rsidRDefault="00823A0D">
      <w:pPr>
        <w:rPr>
          <w:rFonts w:ascii="Times New Roman" w:hAnsi="Times New Roman" w:cs="Times New Roman"/>
          <w:sz w:val="24"/>
          <w:szCs w:val="24"/>
        </w:rPr>
      </w:pPr>
    </w:p>
    <w:p w14:paraId="3DFF744C" w14:textId="77777777" w:rsidR="00823A0D" w:rsidRPr="00F93096" w:rsidRDefault="00823A0D">
      <w:pPr>
        <w:rPr>
          <w:rFonts w:ascii="Times New Roman" w:hAnsi="Times New Roman" w:cs="Times New Roman"/>
          <w:sz w:val="24"/>
          <w:szCs w:val="24"/>
        </w:rPr>
      </w:pPr>
    </w:p>
    <w:p w14:paraId="0C1D58FC" w14:textId="77777777" w:rsidR="00823A0D" w:rsidRPr="00F93096" w:rsidRDefault="00823A0D">
      <w:pPr>
        <w:rPr>
          <w:rFonts w:ascii="Times New Roman" w:hAnsi="Times New Roman" w:cs="Times New Roman"/>
          <w:sz w:val="24"/>
          <w:szCs w:val="24"/>
        </w:rPr>
      </w:pPr>
    </w:p>
    <w:p w14:paraId="5CEB7910" w14:textId="77777777" w:rsidR="00823A0D" w:rsidRPr="00F93096" w:rsidRDefault="00823A0D">
      <w:pPr>
        <w:rPr>
          <w:rFonts w:ascii="Times New Roman" w:hAnsi="Times New Roman" w:cs="Times New Roman"/>
          <w:sz w:val="24"/>
          <w:szCs w:val="24"/>
        </w:rPr>
      </w:pPr>
    </w:p>
    <w:p w14:paraId="50903985" w14:textId="77777777" w:rsidR="00823A0D" w:rsidRPr="00F93096" w:rsidRDefault="00823A0D">
      <w:pPr>
        <w:rPr>
          <w:rFonts w:ascii="Times New Roman" w:hAnsi="Times New Roman" w:cs="Times New Roman"/>
          <w:sz w:val="24"/>
          <w:szCs w:val="24"/>
        </w:rPr>
      </w:pPr>
    </w:p>
    <w:p w14:paraId="1C94D8B9" w14:textId="77777777" w:rsidR="00823A0D" w:rsidRPr="00F93096" w:rsidRDefault="00823A0D">
      <w:pPr>
        <w:tabs>
          <w:tab w:val="left" w:pos="915"/>
        </w:tabs>
        <w:rPr>
          <w:rFonts w:ascii="Times New Roman" w:hAnsi="Times New Roman" w:cs="Times New Roman"/>
          <w:sz w:val="24"/>
          <w:szCs w:val="24"/>
        </w:rPr>
      </w:pPr>
    </w:p>
    <w:sectPr w:rsidR="00823A0D" w:rsidRPr="00F93096">
      <w:headerReference w:type="even" r:id="rId17"/>
      <w:headerReference w:type="default" r:id="rId18"/>
      <w:footerReference w:type="even" r:id="rId19"/>
      <w:footerReference w:type="default" r:id="rId20"/>
      <w:headerReference w:type="first" r:id="rId21"/>
      <w:footerReference w:type="first" r:id="rId2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0E1053" w14:textId="77777777" w:rsidR="00F149F7" w:rsidRDefault="00F149F7">
      <w:pPr>
        <w:spacing w:line="240" w:lineRule="auto"/>
      </w:pPr>
      <w:r>
        <w:separator/>
      </w:r>
    </w:p>
  </w:endnote>
  <w:endnote w:type="continuationSeparator" w:id="0">
    <w:p w14:paraId="78020EBD" w14:textId="77777777" w:rsidR="00F149F7" w:rsidRDefault="00F149F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FDD2DA" w14:textId="77777777" w:rsidR="006E2A1C" w:rsidRDefault="006E2A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371127" w14:textId="77777777" w:rsidR="006E2A1C" w:rsidRDefault="006E2A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35DCC" w14:textId="77777777" w:rsidR="006E2A1C" w:rsidRDefault="006E2A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EB1AFA0" w14:textId="77777777" w:rsidR="00F149F7" w:rsidRDefault="00F149F7">
      <w:pPr>
        <w:spacing w:after="0"/>
      </w:pPr>
      <w:r>
        <w:separator/>
      </w:r>
    </w:p>
  </w:footnote>
  <w:footnote w:type="continuationSeparator" w:id="0">
    <w:p w14:paraId="7660917F" w14:textId="77777777" w:rsidR="00F149F7" w:rsidRDefault="00F149F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4C42D9" w14:textId="48B6538A" w:rsidR="006E2A1C" w:rsidRDefault="006E2A1C">
    <w:pPr>
      <w:pStyle w:val="Header"/>
    </w:pPr>
    <w:r>
      <w:rPr>
        <w:noProof/>
      </w:rPr>
      <w:pict w14:anchorId="7D8093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19938"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4CD165" w14:textId="709D23E3" w:rsidR="006E2A1C" w:rsidRDefault="006E2A1C">
    <w:pPr>
      <w:pStyle w:val="Header"/>
    </w:pPr>
    <w:r>
      <w:rPr>
        <w:noProof/>
      </w:rPr>
      <w:pict w14:anchorId="5D4664F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19939"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1AFE39" w14:textId="4732FB67" w:rsidR="006E2A1C" w:rsidRDefault="006E2A1C">
    <w:pPr>
      <w:pStyle w:val="Header"/>
    </w:pPr>
    <w:r>
      <w:rPr>
        <w:noProof/>
      </w:rPr>
      <w:pict w14:anchorId="17237B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919937"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1"/>
  <w:proofState w:spelling="clean" w:grammar="clean"/>
  <w:defaultTabStop w:val="720"/>
  <w:noPunctuationKerning/>
  <w:characterSpacingControl w:val="doNotCompress"/>
  <w:hdrShapeDefaults>
    <o:shapedefaults v:ext="edit" spidmax="2050" fillcolor="white">
      <v:fill color="white"/>
    </o:shapedefaults>
    <o:shapelayout v:ext="edit">
      <o:idmap v:ext="edit" data="1"/>
    </o:shapelayout>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A3B97"/>
    <w:rsid w:val="000B59F1"/>
    <w:rsid w:val="00172A27"/>
    <w:rsid w:val="002E7E8E"/>
    <w:rsid w:val="003767BC"/>
    <w:rsid w:val="004366FB"/>
    <w:rsid w:val="00474072"/>
    <w:rsid w:val="00584CA0"/>
    <w:rsid w:val="005D29BE"/>
    <w:rsid w:val="006153FA"/>
    <w:rsid w:val="00631F61"/>
    <w:rsid w:val="006C1BD1"/>
    <w:rsid w:val="006E0DA1"/>
    <w:rsid w:val="006E2A1C"/>
    <w:rsid w:val="00823A0D"/>
    <w:rsid w:val="008511C1"/>
    <w:rsid w:val="008F40B1"/>
    <w:rsid w:val="00981F0C"/>
    <w:rsid w:val="00A349AB"/>
    <w:rsid w:val="00A622E2"/>
    <w:rsid w:val="00AD0D1D"/>
    <w:rsid w:val="00BD3548"/>
    <w:rsid w:val="00CB215F"/>
    <w:rsid w:val="00CE4EEA"/>
    <w:rsid w:val="00D96F1A"/>
    <w:rsid w:val="00ED2ADB"/>
    <w:rsid w:val="00ED4E07"/>
    <w:rsid w:val="00F149F7"/>
    <w:rsid w:val="00F2008C"/>
    <w:rsid w:val="00F93096"/>
    <w:rsid w:val="00FF592D"/>
    <w:rsid w:val="05DF64EB"/>
    <w:rsid w:val="09FA29EB"/>
    <w:rsid w:val="0DFF47ED"/>
    <w:rsid w:val="1D315072"/>
    <w:rsid w:val="2D200579"/>
    <w:rsid w:val="30A4556D"/>
    <w:rsid w:val="35800704"/>
    <w:rsid w:val="45905725"/>
    <w:rsid w:val="57352832"/>
    <w:rsid w:val="5EFB0076"/>
    <w:rsid w:val="61B42AB2"/>
    <w:rsid w:val="79850253"/>
    <w:rsid w:val="7BBD57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3126B821"/>
  <w15:docId w15:val="{8E2E51D3-F67D-4A04-8078-A1460153E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rFonts w:asciiTheme="minorHAnsi" w:eastAsiaTheme="minorHAnsi" w:hAnsiTheme="minorHAnsi" w:cstheme="minorBidi"/>
      <w:sz w:val="22"/>
      <w:szCs w:val="22"/>
      <w:lang w:val="en-US" w:eastAsia="en-US"/>
    </w:rPr>
  </w:style>
  <w:style w:type="paragraph" w:styleId="Heading3">
    <w:name w:val="heading 3"/>
    <w:basedOn w:val="Normal"/>
    <w:link w:val="Heading3Char"/>
    <w:uiPriority w:val="9"/>
    <w:unhideWhenUsed/>
    <w:qFormat/>
    <w:rsid w:val="00BD3548"/>
    <w:pPr>
      <w:widowControl w:val="0"/>
      <w:autoSpaceDE w:val="0"/>
      <w:autoSpaceDN w:val="0"/>
      <w:spacing w:after="0" w:line="240" w:lineRule="auto"/>
      <w:ind w:left="1323" w:hanging="361"/>
      <w:outlineLvl w:val="2"/>
    </w:pPr>
    <w:rPr>
      <w:rFonts w:ascii="Trebuchet MS" w:eastAsia="Trebuchet MS" w:hAnsi="Trebuchet MS" w:cs="Trebuchet MS"/>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qFormat/>
    <w:rPr>
      <w:color w:val="0000FF"/>
      <w:u w:val="single"/>
    </w:rPr>
  </w:style>
  <w:style w:type="paragraph" w:styleId="NormalWeb">
    <w:name w:val="Normal (Web)"/>
    <w:basedOn w:val="Normal"/>
    <w:uiPriority w:val="99"/>
    <w:semiHidden/>
    <w:unhideWhenUsed/>
    <w:qFormat/>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pPr>
      <w:spacing w:after="0" w:line="240" w:lineRule="auto"/>
      <w:ind w:left="720"/>
      <w:contextualSpacing/>
    </w:pPr>
    <w:rPr>
      <w:rFonts w:ascii="Times New Roman" w:eastAsia="Times New Roman" w:hAnsi="Times New Roman" w:cs="Times New Roman"/>
      <w:sz w:val="24"/>
      <w:szCs w:val="24"/>
    </w:rPr>
  </w:style>
  <w:style w:type="paragraph" w:customStyle="1" w:styleId="Style6">
    <w:name w:val="_Style 6"/>
    <w:basedOn w:val="Normal"/>
    <w:next w:val="Normal"/>
    <w:qFormat/>
    <w:pPr>
      <w:pBdr>
        <w:bottom w:val="single" w:sz="6" w:space="1" w:color="auto"/>
      </w:pBdr>
      <w:jc w:val="center"/>
    </w:pPr>
    <w:rPr>
      <w:rFonts w:ascii="Arial" w:eastAsia="SimSun"/>
      <w:vanish/>
      <w:sz w:val="16"/>
    </w:rPr>
  </w:style>
  <w:style w:type="paragraph" w:customStyle="1" w:styleId="Style7">
    <w:name w:val="_Style 7"/>
    <w:basedOn w:val="Normal"/>
    <w:next w:val="Normal"/>
    <w:qFormat/>
    <w:pPr>
      <w:pBdr>
        <w:top w:val="single" w:sz="6" w:space="1" w:color="auto"/>
      </w:pBdr>
      <w:jc w:val="center"/>
    </w:pPr>
    <w:rPr>
      <w:rFonts w:ascii="Arial" w:eastAsia="SimSun"/>
      <w:vanish/>
      <w:sz w:val="16"/>
    </w:rPr>
  </w:style>
  <w:style w:type="paragraph" w:customStyle="1" w:styleId="Bibliography1">
    <w:name w:val="Bibliography1"/>
    <w:basedOn w:val="Normal"/>
    <w:qFormat/>
    <w:pPr>
      <w:tabs>
        <w:tab w:val="left" w:pos="264"/>
      </w:tabs>
      <w:spacing w:after="240" w:line="240" w:lineRule="auto"/>
      <w:ind w:left="264" w:hanging="264"/>
    </w:pPr>
  </w:style>
  <w:style w:type="character" w:customStyle="1" w:styleId="Heading3Char">
    <w:name w:val="Heading 3 Char"/>
    <w:basedOn w:val="DefaultParagraphFont"/>
    <w:link w:val="Heading3"/>
    <w:uiPriority w:val="9"/>
    <w:rsid w:val="00BD3548"/>
    <w:rPr>
      <w:rFonts w:ascii="Trebuchet MS" w:eastAsia="Trebuchet MS" w:hAnsi="Trebuchet MS" w:cs="Trebuchet MS"/>
      <w:b/>
      <w:bCs/>
      <w:sz w:val="24"/>
      <w:szCs w:val="24"/>
      <w:lang w:val="en-US" w:eastAsia="en-US"/>
    </w:rPr>
  </w:style>
  <w:style w:type="paragraph" w:styleId="BodyText">
    <w:name w:val="Body Text"/>
    <w:basedOn w:val="Normal"/>
    <w:link w:val="BodyTextChar"/>
    <w:uiPriority w:val="1"/>
    <w:qFormat/>
    <w:rsid w:val="00BD3548"/>
    <w:pPr>
      <w:widowControl w:val="0"/>
      <w:autoSpaceDE w:val="0"/>
      <w:autoSpaceDN w:val="0"/>
      <w:spacing w:after="0" w:line="240" w:lineRule="auto"/>
    </w:pPr>
    <w:rPr>
      <w:rFonts w:ascii="Trebuchet MS" w:eastAsia="Trebuchet MS" w:hAnsi="Trebuchet MS" w:cs="Trebuchet MS"/>
      <w:sz w:val="24"/>
      <w:szCs w:val="24"/>
    </w:rPr>
  </w:style>
  <w:style w:type="character" w:customStyle="1" w:styleId="BodyTextChar">
    <w:name w:val="Body Text Char"/>
    <w:basedOn w:val="DefaultParagraphFont"/>
    <w:link w:val="BodyText"/>
    <w:uiPriority w:val="1"/>
    <w:rsid w:val="00BD3548"/>
    <w:rPr>
      <w:rFonts w:ascii="Trebuchet MS" w:eastAsia="Trebuchet MS" w:hAnsi="Trebuchet MS" w:cs="Trebuchet MS"/>
      <w:sz w:val="24"/>
      <w:szCs w:val="24"/>
      <w:lang w:val="en-US" w:eastAsia="en-US"/>
    </w:rPr>
  </w:style>
  <w:style w:type="paragraph" w:styleId="Header">
    <w:name w:val="header"/>
    <w:basedOn w:val="Normal"/>
    <w:link w:val="HeaderChar"/>
    <w:uiPriority w:val="99"/>
    <w:unhideWhenUsed/>
    <w:rsid w:val="006E2A1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E2A1C"/>
    <w:rPr>
      <w:rFonts w:asciiTheme="minorHAnsi" w:eastAsiaTheme="minorHAnsi" w:hAnsiTheme="minorHAnsi" w:cstheme="minorBidi"/>
      <w:sz w:val="22"/>
      <w:szCs w:val="22"/>
      <w:lang w:val="en-US" w:eastAsia="en-US"/>
    </w:rPr>
  </w:style>
  <w:style w:type="paragraph" w:styleId="Footer">
    <w:name w:val="footer"/>
    <w:basedOn w:val="Normal"/>
    <w:link w:val="FooterChar"/>
    <w:uiPriority w:val="99"/>
    <w:unhideWhenUsed/>
    <w:rsid w:val="006E2A1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E2A1C"/>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2.xml"/><Relationship Id="rId3" Type="http://schemas.openxmlformats.org/officeDocument/2006/relationships/settings" Target="settings.xml"/><Relationship Id="rId21" Type="http://schemas.openxmlformats.org/officeDocument/2006/relationships/header" Target="header3.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188</TotalTime>
  <Pages>9</Pages>
  <Words>6369</Words>
  <Characters>36306</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alekhmandela123@gmail.com</dc:creator>
  <cp:lastModifiedBy>Editor-23</cp:lastModifiedBy>
  <cp:revision>9</cp:revision>
  <dcterms:created xsi:type="dcterms:W3CDTF">2024-05-27T01:24:00Z</dcterms:created>
  <dcterms:modified xsi:type="dcterms:W3CDTF">2024-12-27T07:14:00Z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1033-12.2.0.17119</vt:lpwstr>
  </property>
  <property fmtid="{D5CDD505-2E9C-101B-9397-08002B2CF9AE}" pid="3" name="ICV">
    <vt:lpwstr>DA7698E076754327849BDB30C19DFF9D_13</vt:lpwstr>
  </property>
  <property fmtid="{D5CDD505-2E9C-101B-9397-08002B2CF9AE}" pid="4" name="ZOTERO_PREF_1">
    <vt:lpwstr>&lt;data data-version="3" zotero-version="6.0.36"&gt;&lt;session id="Cw5i59CZ"/&gt;&lt;style id="http://www.zotero.org/styles/vancouver" locale="en-US" hasBibliography="1" bibliographyStyleHasBeenSet="1"/&gt;&lt;prefs&gt;&lt;pref name="fieldType" value="Field"/&gt;&lt;pref name="automati</vt:lpwstr>
  </property>
  <property fmtid="{D5CDD505-2E9C-101B-9397-08002B2CF9AE}" pid="5" name="ZOTERO_PREF_2">
    <vt:lpwstr>cJournalAbbreviations" value="true"/&gt;&lt;/prefs&gt;&lt;/data&gt;</vt:lpwstr>
  </property>
  <property fmtid="{D5CDD505-2E9C-101B-9397-08002B2CF9AE}" pid="6" name="GrammarlyDocumentId">
    <vt:lpwstr>a34d8f40f482eaebf5f1d23ce889a12f34f9d5575ecc533cc9b57ea2d60ab26b</vt:lpwstr>
  </property>
</Properties>
</file>